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8"/>
        <w:rPr>
          <w:rFonts w:ascii="Times New Roman" w:hAnsi="Times New Roman" w:cs="Times New Roman" w:eastAsia="Times New Roman" w:hint="default"/>
          <w:sz w:val="7"/>
          <w:szCs w:val="7"/>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2"/>
          <w:szCs w:val="22"/>
        </w:rPr>
      </w:pPr>
    </w:p>
    <w:p>
      <w:pPr>
        <w:spacing w:line="2930" w:lineRule="exact"/>
        <w:ind w:left="351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8"/>
          <w:sz w:val="20"/>
          <w:szCs w:val="20"/>
        </w:rPr>
        <w:drawing>
          <wp:inline distT="0" distB="0" distL="0" distR="0">
            <wp:extent cx="1856347" cy="1860803"/>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856347" cy="1860803"/>
                    </a:xfrm>
                    <a:prstGeom prst="rect">
                      <a:avLst/>
                    </a:prstGeom>
                  </pic:spPr>
                </pic:pic>
              </a:graphicData>
            </a:graphic>
          </wp:inline>
        </w:drawing>
      </w:r>
      <w:r>
        <w:rPr>
          <w:rFonts w:ascii="Times New Roman" w:hAnsi="Times New Roman" w:cs="Times New Roman" w:eastAsia="Times New Roman" w:hint="default"/>
          <w:position w:val="-58"/>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1"/>
          <w:szCs w:val="21"/>
        </w:rPr>
      </w:pPr>
    </w:p>
    <w:p>
      <w:pPr>
        <w:spacing w:line="460" w:lineRule="exact" w:before="0"/>
        <w:ind w:left="2241" w:right="2244" w:firstLine="0"/>
        <w:jc w:val="center"/>
        <w:rPr>
          <w:rFonts w:ascii="宋体" w:hAnsi="宋体" w:cs="宋体" w:eastAsia="宋体" w:hint="default"/>
          <w:sz w:val="36"/>
          <w:szCs w:val="36"/>
        </w:rPr>
      </w:pPr>
      <w:r>
        <w:rPr>
          <w:rFonts w:ascii="宋体" w:hAnsi="宋体" w:cs="宋体" w:eastAsia="宋体" w:hint="default"/>
          <w:b/>
          <w:bCs/>
          <w:sz w:val="36"/>
          <w:szCs w:val="36"/>
        </w:rPr>
        <w:t>厦门市美亚柏科信息股份有限公司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2241" w:right="224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2012</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241" w:right="224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type w:val="continuous"/>
          <w:pgSz w:w="11910" w:h="16840"/>
          <w:pgMar w:top="880" w:bottom="2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7"/>
          <w:szCs w:val="27"/>
        </w:rPr>
      </w:pPr>
    </w:p>
    <w:p>
      <w:pPr>
        <w:spacing w:before="14"/>
        <w:ind w:left="3074" w:right="0" w:firstLine="0"/>
        <w:jc w:val="left"/>
        <w:rPr>
          <w:rFonts w:ascii="宋体" w:hAnsi="宋体" w:cs="宋体" w:eastAsia="宋体" w:hint="default"/>
          <w:sz w:val="28"/>
          <w:szCs w:val="28"/>
        </w:rPr>
      </w:pPr>
      <w:r>
        <w:rPr>
          <w:rFonts w:ascii="宋体" w:hAnsi="宋体" w:cs="宋体" w:eastAsia="宋体" w:hint="default"/>
          <w:b/>
          <w:bCs/>
          <w:sz w:val="28"/>
          <w:szCs w:val="28"/>
        </w:rPr>
        <w:t>第一节 重要提示、目录和释义</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12"/>
        <w:rPr>
          <w:rFonts w:ascii="宋体" w:hAnsi="宋体" w:cs="宋体" w:eastAsia="宋体" w:hint="default"/>
          <w:b/>
          <w:bCs/>
          <w:sz w:val="21"/>
          <w:szCs w:val="21"/>
        </w:rPr>
      </w:pPr>
    </w:p>
    <w:p>
      <w:pPr>
        <w:spacing w:line="408" w:lineRule="auto" w:before="0"/>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不存在任何虚假记载、误导性陈述或者重大遗漏，并对其内容的真实性、准确</w:t>
      </w:r>
      <w:r>
        <w:rPr>
          <w:rFonts w:ascii="宋体" w:hAnsi="宋体" w:cs="宋体" w:eastAsia="宋体" w:hint="default"/>
          <w:b/>
          <w:bCs/>
          <w:w w:val="99"/>
          <w:sz w:val="28"/>
          <w:szCs w:val="28"/>
        </w:rPr>
        <w:t> </w:t>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72" w:lineRule="auto" w:before="163"/>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w w:val="95"/>
          <w:sz w:val="28"/>
          <w:szCs w:val="28"/>
        </w:rPr>
        <w:t>公司负责人刘祥南、主管会计工作负责人张乃军及会计机构负责人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sz w:val="28"/>
          <w:szCs w:val="28"/>
        </w:rPr>
      </w:r>
    </w:p>
    <w:p>
      <w:pPr>
        <w:spacing w:line="323" w:lineRule="exact" w:before="0"/>
        <w:ind w:left="152" w:right="0" w:firstLine="0"/>
        <w:jc w:val="left"/>
        <w:rPr>
          <w:rFonts w:ascii="宋体" w:hAnsi="宋体" w:cs="宋体" w:eastAsia="宋体" w:hint="default"/>
          <w:sz w:val="28"/>
          <w:szCs w:val="28"/>
        </w:rPr>
      </w:pP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陈志友声明：保证年度报告中财务报告的真实、准确、完整。</w:t>
      </w:r>
      <w:r>
        <w:rPr>
          <w:rFonts w:ascii="宋体" w:hAnsi="宋体" w:cs="宋体" w:eastAsia="宋体" w:hint="default"/>
          <w:sz w:val="28"/>
          <w:szCs w:val="28"/>
        </w:rPr>
      </w:r>
    </w:p>
    <w:p>
      <w:pPr>
        <w:spacing w:line="240" w:lineRule="auto" w:before="10"/>
        <w:rPr>
          <w:rFonts w:ascii="宋体" w:hAnsi="宋体" w:cs="宋体" w:eastAsia="宋体" w:hint="default"/>
          <w:b/>
          <w:bCs/>
          <w:sz w:val="25"/>
          <w:szCs w:val="25"/>
        </w:rPr>
      </w:pPr>
    </w:p>
    <w:p>
      <w:pPr>
        <w:spacing w:line="408" w:lineRule="auto" w:before="0"/>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本报告中如有涉及未来的计划、业绩预测等方面的内容，均不构成本公司</w:t>
      </w:r>
      <w:r>
        <w:rPr>
          <w:rFonts w:ascii="宋体" w:hAnsi="宋体" w:cs="宋体" w:eastAsia="宋体" w:hint="default"/>
          <w:b/>
          <w:bCs/>
          <w:w w:val="99"/>
          <w:sz w:val="28"/>
          <w:szCs w:val="28"/>
        </w:rPr>
        <w:t> </w:t>
      </w:r>
      <w:r>
        <w:rPr>
          <w:rFonts w:ascii="宋体" w:hAnsi="宋体" w:cs="宋体" w:eastAsia="宋体" w:hint="default"/>
          <w:b/>
          <w:bCs/>
          <w:spacing w:val="2"/>
          <w:sz w:val="28"/>
          <w:szCs w:val="28"/>
        </w:rPr>
        <w:t>对任何投资者及相关人士的承诺，投资者及相关人士均应对此保持足够的风险</w:t>
      </w:r>
      <w:r>
        <w:rPr>
          <w:rFonts w:ascii="宋体" w:hAnsi="宋体" w:cs="宋体" w:eastAsia="宋体" w:hint="default"/>
          <w:b/>
          <w:bCs/>
          <w:w w:val="99"/>
          <w:sz w:val="28"/>
          <w:szCs w:val="28"/>
        </w:rPr>
        <w:t> </w:t>
      </w:r>
      <w:r>
        <w:rPr>
          <w:rFonts w:ascii="宋体" w:hAnsi="宋体" w:cs="宋体" w:eastAsia="宋体" w:hint="default"/>
          <w:b/>
          <w:bCs/>
          <w:sz w:val="28"/>
          <w:szCs w:val="28"/>
        </w:rPr>
        <w:t>认识，并且应当理解计划、预测与承诺之间的差异。</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headerReference w:type="default" r:id="rId6"/>
          <w:footerReference w:type="default" r:id="rId7"/>
          <w:pgSz w:w="11910" w:h="16840"/>
          <w:pgMar w:header="877" w:footer="1227" w:top="1100" w:bottom="1420" w:left="980" w:right="980"/>
          <w:pgNumType w:start="1"/>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spacing w:line="460" w:lineRule="exact" w:before="0"/>
        <w:ind w:left="2241" w:right="224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rPr>
          </w:pPr>
          <w:r>
            <w:rPr/>
            <w:t>第一节</w:t>
          </w:r>
          <w:r>
            <w:rPr>
              <w:spacing w:val="1"/>
            </w:rPr>
            <w:t> </w:t>
          </w:r>
          <w:r>
            <w:rPr/>
            <w:t>重要提示、目录和释义</w:t>
          </w:r>
          <w:r>
            <w:rPr>
              <w:rFonts w:ascii="Times New Roman" w:hAnsi="Times New Roman" w:cs="Times New Roman" w:eastAsia="Times New Roman" w:hint="default"/>
            </w:rPr>
            <w:tab/>
            <w:t>1</w:t>
          </w:r>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TOC_250008">
            <w:r>
              <w:rPr/>
              <w:t>第二节</w:t>
            </w:r>
            <w:r>
              <w:rPr>
                <w:spacing w:val="1"/>
              </w:rPr>
              <w:t> </w:t>
            </w:r>
            <w:r>
              <w:rPr/>
              <w:t>公司基本情况简介</w:t>
            </w:r>
            <w:r>
              <w:rPr>
                <w:rFonts w:ascii="Times New Roman" w:hAnsi="Times New Roman" w:cs="Times New Roman" w:eastAsia="Times New Roman" w:hint="default"/>
              </w:rPr>
              <w:tab/>
              <w:t>4</w:t>
            </w:r>
          </w:hyperlink>
        </w:p>
        <w:p>
          <w:pPr>
            <w:pStyle w:val="TOC1"/>
            <w:tabs>
              <w:tab w:pos="9782" w:val="right" w:leader="dot"/>
            </w:tabs>
            <w:spacing w:line="240" w:lineRule="auto" w:before="102"/>
            <w:ind w:right="0"/>
            <w:jc w:val="left"/>
            <w:rPr>
              <w:rFonts w:ascii="Times New Roman" w:hAnsi="Times New Roman" w:cs="Times New Roman" w:eastAsia="Times New Roman" w:hint="default"/>
            </w:rPr>
          </w:pPr>
          <w:hyperlink w:history="true" w:anchor="_TOC_250007">
            <w:r>
              <w:rPr/>
              <w:t>第三节</w:t>
            </w:r>
            <w:r>
              <w:rPr>
                <w:spacing w:val="1"/>
              </w:rPr>
              <w:t> </w:t>
            </w:r>
            <w:r>
              <w:rPr/>
              <w:t>会计数据和财务指标摘要</w:t>
            </w:r>
            <w:r>
              <w:rPr>
                <w:rFonts w:ascii="Times New Roman" w:hAnsi="Times New Roman" w:cs="Times New Roman" w:eastAsia="Times New Roman" w:hint="default"/>
              </w:rPr>
              <w:tab/>
              <w:t>6</w:t>
            </w:r>
          </w:hyperlink>
        </w:p>
        <w:p>
          <w:pPr>
            <w:pStyle w:val="TOC1"/>
            <w:tabs>
              <w:tab w:pos="9778" w:val="right" w:leader="dot"/>
            </w:tabs>
            <w:spacing w:line="240" w:lineRule="auto"/>
            <w:ind w:right="0"/>
            <w:jc w:val="left"/>
            <w:rPr>
              <w:rFonts w:ascii="Times New Roman" w:hAnsi="Times New Roman" w:cs="Times New Roman" w:eastAsia="Times New Roman" w:hint="default"/>
            </w:rPr>
          </w:pPr>
          <w:hyperlink w:history="true" w:anchor="_TOC_250006">
            <w:r>
              <w:rPr/>
              <w:t>第四节</w:t>
            </w:r>
            <w:r>
              <w:rPr>
                <w:spacing w:val="1"/>
              </w:rPr>
              <w:t> </w:t>
            </w:r>
            <w:r>
              <w:rPr/>
              <w:t>董事会报告</w:t>
            </w:r>
            <w:r>
              <w:rPr>
                <w:rFonts w:ascii="Times New Roman" w:hAnsi="Times New Roman" w:cs="Times New Roman" w:eastAsia="Times New Roman" w:hint="default"/>
              </w:rPr>
              <w:tab/>
            </w:r>
            <w:r>
              <w:rPr>
                <w:rFonts w:ascii="Times New Roman" w:hAnsi="Times New Roman" w:cs="Times New Roman" w:eastAsia="Times New Roman" w:hint="default"/>
                <w:spacing w:val="-6"/>
              </w:rPr>
              <w:t>11</w:t>
            </w:r>
            <w:r>
              <w:rPr>
                <w:rFonts w:ascii="Times New Roman" w:hAnsi="Times New Roman" w:cs="Times New Roman" w:eastAsia="Times New Roman" w:hint="default"/>
              </w:rPr>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5">
            <w:r>
              <w:rPr/>
              <w:t>第五节</w:t>
            </w:r>
            <w:r>
              <w:rPr>
                <w:spacing w:val="1"/>
              </w:rPr>
              <w:t> </w:t>
            </w:r>
            <w:r>
              <w:rPr/>
              <w:t>重要事项</w:t>
            </w:r>
            <w:r>
              <w:rPr>
                <w:rFonts w:ascii="Times New Roman" w:hAnsi="Times New Roman" w:cs="Times New Roman" w:eastAsia="Times New Roman" w:hint="default"/>
              </w:rPr>
              <w:tab/>
              <w:t>38</w:t>
            </w:r>
          </w:hyperlink>
        </w:p>
        <w:p>
          <w:pPr>
            <w:pStyle w:val="TOC1"/>
            <w:tabs>
              <w:tab w:pos="9785" w:val="right" w:leader="dot"/>
            </w:tabs>
            <w:spacing w:line="240" w:lineRule="auto" w:before="101"/>
            <w:ind w:right="0"/>
            <w:jc w:val="left"/>
            <w:rPr>
              <w:rFonts w:ascii="Times New Roman" w:hAnsi="Times New Roman" w:cs="Times New Roman" w:eastAsia="Times New Roman" w:hint="default"/>
            </w:rPr>
          </w:pPr>
          <w:hyperlink w:history="true" w:anchor="_TOC_250004">
            <w:r>
              <w:rPr/>
              <w:t>第六节</w:t>
            </w:r>
            <w:r>
              <w:rPr>
                <w:spacing w:val="1"/>
              </w:rPr>
              <w:t> </w:t>
            </w:r>
            <w:r>
              <w:rPr/>
              <w:t>股份变动及股东情况</w:t>
            </w:r>
            <w:r>
              <w:rPr>
                <w:rFonts w:ascii="Times New Roman" w:hAnsi="Times New Roman" w:cs="Times New Roman" w:eastAsia="Times New Roman" w:hint="default"/>
              </w:rPr>
              <w:tab/>
              <w:t>49</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3">
            <w:r>
              <w:rPr/>
              <w:t>第七节</w:t>
            </w:r>
            <w:r>
              <w:rPr>
                <w:spacing w:val="1"/>
              </w:rPr>
              <w:t> </w:t>
            </w:r>
            <w:r>
              <w:rPr/>
              <w:t>董事、监事、高级管理人员和员工情况</w:t>
            </w:r>
            <w:r>
              <w:rPr>
                <w:rFonts w:ascii="Times New Roman" w:hAnsi="Times New Roman" w:cs="Times New Roman" w:eastAsia="Times New Roman" w:hint="default"/>
              </w:rPr>
              <w:tab/>
              <w:t>56</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2">
            <w:r>
              <w:rPr/>
              <w:t>第八节</w:t>
            </w:r>
            <w:r>
              <w:rPr>
                <w:spacing w:val="1"/>
              </w:rPr>
              <w:t> </w:t>
            </w:r>
            <w:r>
              <w:rPr/>
              <w:t>公司治理</w:t>
            </w:r>
            <w:r>
              <w:rPr>
                <w:rFonts w:ascii="Times New Roman" w:hAnsi="Times New Roman" w:cs="Times New Roman" w:eastAsia="Times New Roman" w:hint="default"/>
              </w:rPr>
              <w:tab/>
              <w:t>65</w:t>
            </w:r>
          </w:hyperlink>
        </w:p>
        <w:p>
          <w:pPr>
            <w:pStyle w:val="TOC1"/>
            <w:tabs>
              <w:tab w:pos="9785" w:val="right" w:leader="dot"/>
            </w:tabs>
            <w:spacing w:line="240" w:lineRule="auto" w:before="101"/>
            <w:ind w:right="0"/>
            <w:jc w:val="left"/>
            <w:rPr>
              <w:rFonts w:ascii="Times New Roman" w:hAnsi="Times New Roman" w:cs="Times New Roman" w:eastAsia="Times New Roman" w:hint="default"/>
            </w:rPr>
          </w:pPr>
          <w:hyperlink w:history="true" w:anchor="_TOC_250001">
            <w:r>
              <w:rPr/>
              <w:t>第九节</w:t>
            </w:r>
            <w:r>
              <w:rPr>
                <w:spacing w:val="1"/>
              </w:rPr>
              <w:t> </w:t>
            </w:r>
            <w:r>
              <w:rPr/>
              <w:t>财务报告</w:t>
            </w:r>
            <w:r>
              <w:rPr>
                <w:rFonts w:ascii="Times New Roman" w:hAnsi="Times New Roman" w:cs="Times New Roman" w:eastAsia="Times New Roman" w:hint="default"/>
              </w:rPr>
              <w:tab/>
              <w:t>69</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0">
            <w:r>
              <w:rPr/>
              <w:t>第十节</w:t>
            </w:r>
            <w:r>
              <w:rPr>
                <w:spacing w:val="1"/>
              </w:rPr>
              <w:t> </w:t>
            </w:r>
            <w:r>
              <w:rPr/>
              <w:t>备查文件目录</w:t>
            </w:r>
            <w:r>
              <w:rPr>
                <w:rFonts w:ascii="Times New Roman" w:hAnsi="Times New Roman" w:cs="Times New Roman" w:eastAsia="Times New Roman" w:hint="default"/>
              </w:rPr>
              <w:tab/>
              <w:t>170</w:t>
            </w:r>
          </w:hyperlink>
        </w:p>
      </w:sdtContent>
    </w:sdt>
    <w:p>
      <w:pPr>
        <w:spacing w:after="0" w:line="240" w:lineRule="auto"/>
        <w:jc w:val="left"/>
        <w:rPr>
          <w:rFonts w:ascii="Times New Roman" w:hAnsi="Times New Roman" w:cs="Times New Roman" w:eastAsia="Times New Roman" w:hint="default"/>
        </w:rPr>
        <w:sectPr>
          <w:pgSz w:w="11910" w:h="16840"/>
          <w:pgMar w:header="877" w:footer="1227" w:top="1100" w:bottom="1420" w:left="980" w:right="980"/>
        </w:sect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10"/>
        <w:rPr>
          <w:rFonts w:ascii="Times New Roman" w:hAnsi="Times New Roman" w:cs="Times New Roman" w:eastAsia="Times New Roman" w:hint="default"/>
          <w:sz w:val="25"/>
          <w:szCs w:val="25"/>
        </w:rPr>
      </w:pPr>
    </w:p>
    <w:p>
      <w:pPr>
        <w:spacing w:before="0"/>
        <w:ind w:left="2241" w:right="224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24"/>
        <w:gridCol w:w="622"/>
        <w:gridCol w:w="5425"/>
      </w:tblGrid>
      <w:tr>
        <w:trPr>
          <w:trHeight w:val="401"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释义内容</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美亚柏科、公司或本公司</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厦门市美亚柏科信息股份有限公司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厦门市美亚柏科信息股份有限公司章程</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股东大会</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厦门市美亚柏科信息股份有限公司股东大会</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董事会</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厦门市美亚柏科信息股份有限公司董事会</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监事会</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厦门市美亚柏科信息股份有限公司监事会</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广州通连</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广州通连投资咨询有限公司</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美亚柏科信息安全研究所</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6"/>
              <w:jc w:val="left"/>
              <w:rPr>
                <w:rFonts w:ascii="宋体" w:hAnsi="宋体" w:cs="宋体" w:eastAsia="宋体" w:hint="default"/>
                <w:sz w:val="21"/>
                <w:szCs w:val="21"/>
              </w:rPr>
            </w:pPr>
            <w:r>
              <w:rPr>
                <w:rFonts w:ascii="宋体" w:hAnsi="宋体" w:cs="宋体" w:eastAsia="宋体" w:hint="default"/>
                <w:spacing w:val="-5"/>
                <w:w w:val="100"/>
                <w:sz w:val="21"/>
                <w:szCs w:val="21"/>
              </w:rPr>
              <w:t>厦门市美亚柏科信息安全研究所有限公司，本公司的全资子</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杭州创聚</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杭州创聚科技有限公司，本公司的全资子公司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美亚中敏</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厦门美亚中敏电子科技有限公司，本公司的控股子公司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杭州攀克</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杭州攀克网络技术有限公司，本公司的参股公司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巨龙信息</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厦门市巨龙信息科技有限公司，本公司的参股公司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保荐机构、国信证券</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国信证券股份有限公司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天健正信</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天健正信会计师事务所有限公司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致同</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致同会计师事务所（特殊普通合伙）</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证监会</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深交所、交易所</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厦门证监局</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中国证券监督管理委员会厦门监管局</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首次公开发行股票</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发行人首次发行</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1,350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万股</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A </w:t>
            </w:r>
            <w:r>
              <w:rPr>
                <w:rFonts w:ascii="宋体" w:hAnsi="宋体" w:cs="宋体" w:eastAsia="宋体" w:hint="default"/>
                <w:sz w:val="21"/>
                <w:szCs w:val="21"/>
              </w:rPr>
              <w:t>股的行为</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每股面值</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元人民币之普通股</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限制性股票激励计划</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132"/>
              <w:jc w:val="left"/>
              <w:rPr>
                <w:rFonts w:ascii="宋体" w:hAnsi="宋体" w:cs="宋体" w:eastAsia="宋体" w:hint="default"/>
                <w:sz w:val="21"/>
                <w:szCs w:val="21"/>
              </w:rPr>
            </w:pPr>
            <w:r>
              <w:rPr>
                <w:rFonts w:ascii="宋体" w:hAnsi="宋体" w:cs="宋体" w:eastAsia="宋体" w:hint="default"/>
                <w:spacing w:val="-2"/>
                <w:sz w:val="21"/>
                <w:szCs w:val="21"/>
              </w:rPr>
              <w:t>厦门市美亚柏科信息股份有限公司首次限制性股票激励计</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划</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控股股东</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郭永芳</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实际控制人</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郭永芳、刘祥南和滕达</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r>
    </w:tbl>
    <w:p>
      <w:pPr>
        <w:spacing w:after="0" w:line="240" w:lineRule="auto"/>
        <w:jc w:val="left"/>
        <w:rPr>
          <w:rFonts w:ascii="宋体" w:hAnsi="宋体" w:cs="宋体" w:eastAsia="宋体" w:hint="default"/>
          <w:sz w:val="21"/>
          <w:szCs w:val="21"/>
        </w:rPr>
        <w:sectPr>
          <w:pgSz w:w="11910" w:h="16840"/>
          <w:pgMar w:header="877" w:footer="1227" w:top="1100" w:bottom="142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1"/>
        <w:spacing w:line="240" w:lineRule="auto"/>
        <w:ind w:left="3124" w:right="0"/>
        <w:jc w:val="left"/>
        <w:rPr>
          <w:b w:val="0"/>
          <w:bCs w:val="0"/>
        </w:rPr>
      </w:pPr>
      <w:bookmarkStart w:name="_TOC_250008" w:id="1"/>
      <w:r>
        <w:rPr/>
        <w:t>第二节</w:t>
      </w:r>
      <w:r>
        <w:rPr>
          <w:spacing w:val="-6"/>
        </w:rPr>
        <w:t> </w:t>
      </w:r>
      <w:r>
        <w:rPr/>
        <w:t>公司基本情况简介</w:t>
      </w:r>
      <w:bookmarkEnd w:id="1"/>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909"/>
        <w:gridCol w:w="2327"/>
        <w:gridCol w:w="2135"/>
        <w:gridCol w:w="2188"/>
      </w:tblGrid>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27"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美亚柏科</w:t>
            </w:r>
          </w:p>
        </w:tc>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300188</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6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厦门市美亚柏科信息股份有限公司</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美亚柏科</w:t>
            </w:r>
          </w:p>
        </w:tc>
      </w:tr>
      <w:tr>
        <w:trPr>
          <w:trHeight w:val="404"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Xiamen Meiya Pico Information</w:t>
            </w:r>
            <w:r>
              <w:rPr>
                <w:rFonts w:ascii="Times New Roman"/>
                <w:spacing w:val="-13"/>
                <w:sz w:val="18"/>
              </w:rPr>
              <w:t> </w:t>
            </w:r>
            <w:r>
              <w:rPr>
                <w:rFonts w:ascii="Times New Roman"/>
                <w:sz w:val="18"/>
              </w:rPr>
              <w:t>Co.,Ltd.</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pacing w:val="-4"/>
                <w:sz w:val="18"/>
              </w:rPr>
              <w:t>MEIYA </w:t>
            </w:r>
            <w:r>
              <w:rPr>
                <w:rFonts w:ascii="Times New Roman"/>
                <w:sz w:val="18"/>
              </w:rPr>
              <w:t>PICO</w:t>
            </w:r>
            <w:r>
              <w:rPr>
                <w:rFonts w:ascii="Times New Roman"/>
                <w:spacing w:val="-8"/>
                <w:sz w:val="18"/>
              </w:rPr>
              <w:t> </w:t>
            </w:r>
            <w:r>
              <w:rPr>
                <w:rFonts w:ascii="Times New Roman"/>
                <w:sz w:val="18"/>
              </w:rPr>
              <w:t>INC.</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刘祥南</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厦门市软件园二期观日路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102-402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单元</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361008</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厦门市软件园二期观日路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号美亚柏科大厦</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361008</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8">
              <w:r>
                <w:rPr>
                  <w:rFonts w:ascii="Times New Roman"/>
                  <w:sz w:val="18"/>
                </w:rPr>
                <w:t>www.300188.cn</w:t>
              </w:r>
            </w:hyperlink>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tzzgx@300188.cn</w:t>
              </w:r>
            </w:hyperlink>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福建省厦门市思明区曾厝垵软件园创新大厦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王斌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李滢雪</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0" w:lineRule="auto" w:before="49"/>
              <w:ind w:left="17" w:right="19"/>
              <w:jc w:val="left"/>
              <w:rPr>
                <w:rFonts w:ascii="宋体" w:hAnsi="宋体" w:cs="宋体" w:eastAsia="宋体" w:hint="default"/>
                <w:sz w:val="18"/>
                <w:szCs w:val="18"/>
              </w:rPr>
            </w:pPr>
            <w:r>
              <w:rPr>
                <w:rFonts w:ascii="宋体" w:hAnsi="宋体" w:cs="宋体" w:eastAsia="宋体" w:hint="default"/>
                <w:sz w:val="18"/>
                <w:szCs w:val="18"/>
              </w:rPr>
              <w:t>厦门市软件园二期观日路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号美亚柏科 董事会办公室</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厦门市软件园二期观日路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号美亚柏科 董事会办公室</w:t>
            </w:r>
          </w:p>
        </w:tc>
      </w:tr>
      <w:tr>
        <w:trPr>
          <w:trHeight w:val="394"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0592-3698792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0592-3698792</w:t>
            </w:r>
          </w:p>
        </w:tc>
      </w:tr>
      <w:tr>
        <w:trPr>
          <w:trHeight w:val="404"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0592-2519335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0592-2519335</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hyperlink r:id="rId9">
              <w:r>
                <w:rPr>
                  <w:rFonts w:ascii="Times New Roman"/>
                  <w:sz w:val="18"/>
                </w:rPr>
                <w:t>tzzgx@300188.cn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tzzgx@300188.cn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48"/>
        <w:gridCol w:w="5721"/>
      </w:tblGrid>
      <w:tr>
        <w:trPr>
          <w:trHeight w:val="403"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z w:val="18"/>
                <w:szCs w:val="18"/>
              </w:rPr>
              <w:t>《上海证券报》</w:t>
            </w:r>
          </w:p>
        </w:tc>
      </w:tr>
      <w:tr>
        <w:trPr>
          <w:trHeight w:val="401"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巨潮资讯网，网址</w:t>
            </w:r>
            <w:r>
              <w:rPr>
                <w:rFonts w:ascii="宋体" w:hAnsi="宋体" w:cs="宋体" w:eastAsia="宋体" w:hint="default"/>
                <w:spacing w:val="-66"/>
                <w:sz w:val="18"/>
                <w:szCs w:val="18"/>
              </w:rPr>
              <w:t> </w:t>
            </w:r>
            <w:hyperlink r:id="rId10">
              <w:r>
                <w:rPr>
                  <w:rFonts w:ascii="Times New Roman" w:hAnsi="Times New Roman" w:cs="Times New Roman" w:eastAsia="Times New Roman" w:hint="default"/>
                  <w:sz w:val="18"/>
                  <w:szCs w:val="18"/>
                </w:rPr>
                <w:t>http://www.cninfo.com.cn</w:t>
              </w:r>
            </w:hyperlink>
          </w:p>
        </w:tc>
      </w:tr>
      <w:tr>
        <w:trPr>
          <w:trHeight w:val="403"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福建省厦门市软件园二期观日路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号公司董事会办公室证券部</w:t>
            </w:r>
          </w:p>
        </w:tc>
      </w:tr>
    </w:tbl>
    <w:p>
      <w:pPr>
        <w:spacing w:after="0" w:line="240" w:lineRule="auto"/>
        <w:jc w:val="left"/>
        <w:rPr>
          <w:rFonts w:ascii="宋体" w:hAnsi="宋体" w:cs="宋体" w:eastAsia="宋体" w:hint="default"/>
          <w:sz w:val="18"/>
          <w:szCs w:val="18"/>
        </w:rPr>
        <w:sectPr>
          <w:pgSz w:w="11910" w:h="16840"/>
          <w:pgMar w:header="877" w:footer="1227" w:top="1100" w:bottom="1420" w:left="980" w:right="980"/>
        </w:sectPr>
      </w:pPr>
    </w:p>
    <w:p>
      <w:pPr>
        <w:spacing w:line="240" w:lineRule="auto" w:before="9"/>
        <w:rPr>
          <w:rFonts w:ascii="宋体" w:hAnsi="宋体" w:cs="宋体" w:eastAsia="宋体" w:hint="default"/>
          <w:b/>
          <w:bCs/>
          <w:sz w:val="19"/>
          <w:szCs w:val="19"/>
        </w:rPr>
      </w:pPr>
    </w:p>
    <w:p>
      <w:pPr>
        <w:pStyle w:val="Heading2"/>
        <w:spacing w:line="240" w:lineRule="auto" w:before="26"/>
        <w:ind w:right="0"/>
        <w:jc w:val="left"/>
        <w:rPr>
          <w:b w:val="0"/>
          <w:bCs w:val="0"/>
        </w:rPr>
      </w:pPr>
      <w:r>
        <w:rPr/>
        <w:t>四、公司历史沿革</w:t>
      </w:r>
      <w:r>
        <w:rPr>
          <w:b w:val="0"/>
          <w:bCs w:val="0"/>
        </w:rPr>
      </w:r>
    </w:p>
    <w:p>
      <w:pPr>
        <w:spacing w:line="240" w:lineRule="auto" w:before="12"/>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574"/>
        <w:gridCol w:w="1391"/>
        <w:gridCol w:w="2268"/>
        <w:gridCol w:w="1560"/>
        <w:gridCol w:w="1561"/>
        <w:gridCol w:w="1202"/>
      </w:tblGrid>
      <w:tr>
        <w:trPr>
          <w:trHeight w:val="161" w:hRule="exact"/>
        </w:trPr>
        <w:tc>
          <w:tcPr>
            <w:tcW w:w="15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2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06" w:right="50" w:hanging="449"/>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74" w:type="dxa"/>
            <w:tcBorders>
              <w:top w:val="nil" w:sz="6" w:space="0" w:color="auto"/>
              <w:left w:val="single" w:sz="4" w:space="0" w:color="000000"/>
              <w:bottom w:val="nil" w:sz="6" w:space="0" w:color="auto"/>
              <w:right w:val="single" w:sz="4" w:space="0" w:color="000000"/>
            </w:tcBorders>
            <w:shd w:val="clear" w:color="auto" w:fill="D2D2D2"/>
          </w:tcPr>
          <w:p>
            <w:pPr/>
          </w:p>
        </w:tc>
        <w:tc>
          <w:tcPr>
            <w:tcW w:w="1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57"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22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60"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33"/>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2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2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39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1999.09.22.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厦门市工商行政管理局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350298200005610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3"/>
              <w:jc w:val="right"/>
              <w:rPr>
                <w:rFonts w:ascii="Times New Roman" w:hAnsi="Times New Roman" w:cs="Times New Roman" w:eastAsia="Times New Roman" w:hint="default"/>
                <w:sz w:val="18"/>
                <w:szCs w:val="18"/>
              </w:rPr>
            </w:pPr>
            <w:r>
              <w:rPr>
                <w:rFonts w:ascii="Times New Roman"/>
                <w:spacing w:val="-1"/>
                <w:sz w:val="18"/>
              </w:rPr>
              <w:t>350204705420347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70542034-7</w:t>
            </w:r>
          </w:p>
        </w:tc>
      </w:tr>
      <w:tr>
        <w:trPr>
          <w:trHeight w:val="71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9"/>
                <w:sz w:val="18"/>
                <w:szCs w:val="18"/>
              </w:rPr>
              <w:t>股份公司成立、法人</w:t>
            </w:r>
            <w:r>
              <w:rPr>
                <w:rFonts w:ascii="宋体" w:hAnsi="宋体" w:cs="宋体" w:eastAsia="宋体" w:hint="default"/>
                <w:sz w:val="18"/>
                <w:szCs w:val="18"/>
              </w:rPr>
              <w:t> 变更、增资</w:t>
            </w:r>
          </w:p>
        </w:tc>
        <w:tc>
          <w:tcPr>
            <w:tcW w:w="139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2009.09.20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厦门市工商行政管理局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350298200005610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3"/>
              <w:jc w:val="right"/>
              <w:rPr>
                <w:rFonts w:ascii="Times New Roman" w:hAnsi="Times New Roman" w:cs="Times New Roman" w:eastAsia="Times New Roman" w:hint="default"/>
                <w:sz w:val="18"/>
                <w:szCs w:val="18"/>
              </w:rPr>
            </w:pPr>
            <w:r>
              <w:rPr>
                <w:rFonts w:ascii="Times New Roman"/>
                <w:spacing w:val="-1"/>
                <w:sz w:val="18"/>
              </w:rPr>
              <w:t>350204705420347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70542034-7</w:t>
            </w: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经营范围变更</w:t>
            </w:r>
          </w:p>
        </w:tc>
        <w:tc>
          <w:tcPr>
            <w:tcW w:w="139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2009.12.28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厦门市工商行政管理局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350298200005610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3"/>
              <w:jc w:val="right"/>
              <w:rPr>
                <w:rFonts w:ascii="Times New Roman" w:hAnsi="Times New Roman" w:cs="Times New Roman" w:eastAsia="Times New Roman" w:hint="default"/>
                <w:sz w:val="18"/>
                <w:szCs w:val="18"/>
              </w:rPr>
            </w:pPr>
            <w:r>
              <w:rPr>
                <w:rFonts w:ascii="Times New Roman"/>
                <w:spacing w:val="-1"/>
                <w:sz w:val="18"/>
              </w:rPr>
              <w:t>350204705420347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70542034-7</w:t>
            </w:r>
          </w:p>
        </w:tc>
      </w:tr>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首次公开发行股票</w:t>
            </w:r>
          </w:p>
        </w:tc>
        <w:tc>
          <w:tcPr>
            <w:tcW w:w="139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2011.03.28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厦门市工商行政管理局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350298200005610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3"/>
              <w:jc w:val="right"/>
              <w:rPr>
                <w:rFonts w:ascii="Times New Roman" w:hAnsi="Times New Roman" w:cs="Times New Roman" w:eastAsia="Times New Roman" w:hint="default"/>
                <w:sz w:val="18"/>
                <w:szCs w:val="18"/>
              </w:rPr>
            </w:pPr>
            <w:r>
              <w:rPr>
                <w:rFonts w:ascii="Times New Roman"/>
                <w:spacing w:val="-1"/>
                <w:sz w:val="18"/>
              </w:rPr>
              <w:t>350204705420347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70542034-7</w:t>
            </w: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经营范围变更</w:t>
            </w:r>
          </w:p>
        </w:tc>
        <w:tc>
          <w:tcPr>
            <w:tcW w:w="139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2012.05.25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厦门市工商行政管理局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350298200005610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3"/>
              <w:jc w:val="right"/>
              <w:rPr>
                <w:rFonts w:ascii="Times New Roman" w:hAnsi="Times New Roman" w:cs="Times New Roman" w:eastAsia="Times New Roman" w:hint="default"/>
                <w:sz w:val="18"/>
                <w:szCs w:val="18"/>
              </w:rPr>
            </w:pPr>
            <w:r>
              <w:rPr>
                <w:rFonts w:ascii="Times New Roman"/>
                <w:spacing w:val="-1"/>
                <w:sz w:val="18"/>
              </w:rPr>
              <w:t>350204705420347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70542034-7</w:t>
            </w:r>
          </w:p>
        </w:tc>
      </w:tr>
      <w:tr>
        <w:trPr>
          <w:trHeight w:val="71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11"/>
              <w:jc w:val="left"/>
              <w:rPr>
                <w:rFonts w:ascii="宋体" w:hAnsi="宋体" w:cs="宋体" w:eastAsia="宋体" w:hint="default"/>
                <w:sz w:val="18"/>
                <w:szCs w:val="18"/>
              </w:rPr>
            </w:pPr>
            <w:r>
              <w:rPr>
                <w:rFonts w:ascii="宋体" w:hAnsi="宋体" w:cs="宋体" w:eastAsia="宋体" w:hint="default"/>
                <w:sz w:val="18"/>
                <w:szCs w:val="18"/>
              </w:rPr>
              <w:t>资本公积金转增股 本、股权激励授予</w:t>
            </w:r>
          </w:p>
        </w:tc>
        <w:tc>
          <w:tcPr>
            <w:tcW w:w="139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2012.08.17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厦门市工商行政管理局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350298200005610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3"/>
              <w:jc w:val="right"/>
              <w:rPr>
                <w:rFonts w:ascii="Times New Roman" w:hAnsi="Times New Roman" w:cs="Times New Roman" w:eastAsia="Times New Roman" w:hint="default"/>
                <w:sz w:val="18"/>
                <w:szCs w:val="18"/>
              </w:rPr>
            </w:pPr>
            <w:r>
              <w:rPr>
                <w:rFonts w:ascii="Times New Roman"/>
                <w:spacing w:val="-1"/>
                <w:sz w:val="18"/>
              </w:rPr>
              <w:t>350204705420347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70542034-7</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27" w:top="1100" w:bottom="142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1"/>
        <w:spacing w:line="240" w:lineRule="auto"/>
        <w:ind w:left="2641" w:right="0"/>
        <w:jc w:val="left"/>
        <w:rPr>
          <w:b w:val="0"/>
          <w:bCs w:val="0"/>
        </w:rPr>
      </w:pPr>
      <w:bookmarkStart w:name="_TOC_250007" w:id="2"/>
      <w:r>
        <w:rPr/>
        <w:t>第三节</w:t>
      </w:r>
      <w:r>
        <w:rPr>
          <w:spacing w:val="-5"/>
        </w:rPr>
        <w:t> </w:t>
      </w:r>
      <w:r>
        <w:rPr/>
        <w:t>会计数据和财务指标摘要</w:t>
      </w:r>
      <w:bookmarkEnd w:id="2"/>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line="338" w:lineRule="auto" w:before="117"/>
        <w:ind w:left="152" w:right="8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主要会计数据</w:t>
      </w:r>
    </w:p>
    <w:p>
      <w:pPr>
        <w:spacing w:line="240" w:lineRule="auto" w:before="9"/>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3097"/>
        <w:gridCol w:w="246"/>
        <w:gridCol w:w="1324"/>
        <w:gridCol w:w="1560"/>
        <w:gridCol w:w="1985"/>
        <w:gridCol w:w="1346"/>
      </w:tblGrid>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营业总收入（元）</w:t>
            </w:r>
          </w:p>
        </w:tc>
        <w:tc>
          <w:tcPr>
            <w:tcW w:w="157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349,997,542.03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268,515,584.75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30.35%</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187,996,001.19</w:t>
            </w:r>
          </w:p>
        </w:tc>
      </w:tr>
      <w:tr>
        <w:trPr>
          <w:trHeight w:val="404"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57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91" w:right="0"/>
              <w:jc w:val="left"/>
              <w:rPr>
                <w:rFonts w:ascii="Times New Roman" w:hAnsi="Times New Roman" w:cs="Times New Roman" w:eastAsia="Times New Roman" w:hint="default"/>
                <w:sz w:val="18"/>
                <w:szCs w:val="18"/>
              </w:rPr>
            </w:pPr>
            <w:r>
              <w:rPr>
                <w:rFonts w:ascii="Times New Roman"/>
                <w:sz w:val="18"/>
              </w:rPr>
              <w:t>53,333,858.37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52,190,135.60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30,692,825.15</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57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91" w:right="0"/>
              <w:jc w:val="left"/>
              <w:rPr>
                <w:rFonts w:ascii="Times New Roman" w:hAnsi="Times New Roman" w:cs="Times New Roman" w:eastAsia="Times New Roman" w:hint="default"/>
                <w:sz w:val="18"/>
                <w:szCs w:val="18"/>
              </w:rPr>
            </w:pPr>
            <w:r>
              <w:rPr>
                <w:rFonts w:ascii="Times New Roman"/>
                <w:sz w:val="18"/>
              </w:rPr>
              <w:t>83,157,452.34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70,209,189.90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18.44%</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48,492,926.85</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57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91" w:right="0"/>
              <w:jc w:val="left"/>
              <w:rPr>
                <w:rFonts w:ascii="Times New Roman" w:hAnsi="Times New Roman" w:cs="Times New Roman" w:eastAsia="Times New Roman" w:hint="default"/>
                <w:sz w:val="18"/>
                <w:szCs w:val="18"/>
              </w:rPr>
            </w:pPr>
            <w:r>
              <w:rPr>
                <w:rFonts w:ascii="Times New Roman"/>
                <w:sz w:val="18"/>
              </w:rPr>
              <w:t>78,431,616.50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61,504,981.78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27.52%</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41,045,570.47</w:t>
            </w:r>
          </w:p>
        </w:tc>
      </w:tr>
      <w:tr>
        <w:trPr>
          <w:trHeight w:val="71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3"/>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 益的净利润（元）</w:t>
            </w:r>
          </w:p>
        </w:tc>
        <w:tc>
          <w:tcPr>
            <w:tcW w:w="157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1" w:right="0"/>
              <w:jc w:val="left"/>
              <w:rPr>
                <w:rFonts w:ascii="Times New Roman" w:hAnsi="Times New Roman" w:cs="Times New Roman" w:eastAsia="Times New Roman" w:hint="default"/>
                <w:sz w:val="18"/>
                <w:szCs w:val="18"/>
              </w:rPr>
            </w:pPr>
            <w:r>
              <w:rPr>
                <w:rFonts w:ascii="Times New Roman"/>
                <w:sz w:val="18"/>
              </w:rPr>
              <w:t>68,367,222.61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55,396,431.78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23.41%</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31,193,383.27</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57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91" w:right="0"/>
              <w:jc w:val="left"/>
              <w:rPr>
                <w:rFonts w:ascii="Times New Roman" w:hAnsi="Times New Roman" w:cs="Times New Roman" w:eastAsia="Times New Roman" w:hint="default"/>
                <w:sz w:val="18"/>
                <w:szCs w:val="18"/>
              </w:rPr>
            </w:pPr>
            <w:r>
              <w:rPr>
                <w:rFonts w:ascii="Times New Roman"/>
                <w:sz w:val="18"/>
              </w:rPr>
              <w:t>26,943,447.29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3,948,304.00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582.41%</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58,838,645.45</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本年末比上年末增减</w:t>
            </w:r>
            <w:r>
              <w:rPr>
                <w:rFonts w:ascii="Times New Roman" w:hAnsi="Times New Roman" w:cs="Times New Roman" w:eastAsia="Times New Roman" w:hint="default"/>
                <w:spacing w:val="-1"/>
                <w:sz w:val="18"/>
                <w:szCs w:val="18"/>
              </w:rPr>
              <w:t>(%)</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57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927,163,278.02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820,879,877.87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12.95%</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216,824,727.55</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57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145,892,914.83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147,191,143.04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-0.88%</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106,047,009.50</w:t>
            </w:r>
          </w:p>
        </w:tc>
      </w:tr>
      <w:tr>
        <w:trPr>
          <w:trHeight w:val="404"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归属于上市公司股东的所有者权</w:t>
            </w:r>
            <w:r>
              <w:rPr>
                <w:rFonts w:ascii="宋体" w:hAnsi="宋体" w:cs="宋体" w:eastAsia="宋体" w:hint="default"/>
                <w:spacing w:val="-87"/>
                <w:sz w:val="18"/>
                <w:szCs w:val="18"/>
              </w:rPr>
              <w:t>益</w:t>
            </w:r>
            <w:r>
              <w:rPr>
                <w:rFonts w:ascii="宋体" w:hAnsi="宋体" w:cs="宋体" w:eastAsia="宋体" w:hint="default"/>
                <w:sz w:val="18"/>
                <w:szCs w:val="18"/>
              </w:rPr>
              <w:t>（元</w:t>
            </w:r>
          </w:p>
        </w:tc>
        <w:tc>
          <w:tcPr>
            <w:tcW w:w="246"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3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778,934,199.29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673,688,734.83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15.62%</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110,777,718.05</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57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08" w:right="0"/>
              <w:jc w:val="left"/>
              <w:rPr>
                <w:rFonts w:ascii="Times New Roman" w:hAnsi="Times New Roman" w:cs="Times New Roman" w:eastAsia="Times New Roman" w:hint="default"/>
                <w:sz w:val="18"/>
                <w:szCs w:val="18"/>
              </w:rPr>
            </w:pPr>
            <w:r>
              <w:rPr>
                <w:rFonts w:ascii="Times New Roman"/>
                <w:sz w:val="18"/>
              </w:rPr>
              <w:t>110,906,600.00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53,500,000.00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107.3%</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主要财务指标</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943"/>
        <w:gridCol w:w="1290"/>
        <w:gridCol w:w="1135"/>
        <w:gridCol w:w="2127"/>
        <w:gridCol w:w="1063"/>
      </w:tblGrid>
      <w:tr>
        <w:trPr>
          <w:trHeight w:val="401" w:hRule="exact"/>
        </w:trPr>
        <w:tc>
          <w:tcPr>
            <w:tcW w:w="39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3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0.72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0.61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0.51</w:t>
            </w:r>
          </w:p>
        </w:tc>
      </w:tr>
      <w:tr>
        <w:trPr>
          <w:trHeight w:val="401" w:hRule="exact"/>
        </w:trPr>
        <w:tc>
          <w:tcPr>
            <w:tcW w:w="3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0.72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0.61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0.51</w:t>
            </w:r>
          </w:p>
        </w:tc>
      </w:tr>
      <w:tr>
        <w:trPr>
          <w:trHeight w:val="403" w:hRule="exact"/>
        </w:trPr>
        <w:tc>
          <w:tcPr>
            <w:tcW w:w="3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扣除非经常性损益后的基本每股收益（元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0.63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0.39</w:t>
            </w:r>
          </w:p>
        </w:tc>
      </w:tr>
      <w:tr>
        <w:trPr>
          <w:trHeight w:val="401" w:hRule="exact"/>
        </w:trPr>
        <w:tc>
          <w:tcPr>
            <w:tcW w:w="3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全面摊薄净资产收益率（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10.84%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11.88%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45.23%</w:t>
            </w:r>
          </w:p>
        </w:tc>
      </w:tr>
      <w:tr>
        <w:trPr>
          <w:trHeight w:val="403" w:hRule="exact"/>
        </w:trPr>
        <w:tc>
          <w:tcPr>
            <w:tcW w:w="3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10.84%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11.88%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45.23%</w:t>
            </w:r>
          </w:p>
        </w:tc>
      </w:tr>
      <w:tr>
        <w:trPr>
          <w:trHeight w:val="401" w:hRule="exact"/>
        </w:trPr>
        <w:tc>
          <w:tcPr>
            <w:tcW w:w="3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扣除非经常性损益后全面摊薄净资产收益率（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9.45%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34.37%</w:t>
            </w:r>
          </w:p>
        </w:tc>
      </w:tr>
      <w:tr>
        <w:trPr>
          <w:trHeight w:val="715" w:hRule="exact"/>
        </w:trPr>
        <w:tc>
          <w:tcPr>
            <w:tcW w:w="3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扣除非经常性损益后的加权平均净资产收益率</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9.45%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34.37%</w:t>
            </w:r>
          </w:p>
        </w:tc>
      </w:tr>
      <w:tr>
        <w:trPr>
          <w:trHeight w:val="401" w:hRule="exact"/>
        </w:trPr>
        <w:tc>
          <w:tcPr>
            <w:tcW w:w="3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0.24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1.47</w:t>
            </w:r>
          </w:p>
        </w:tc>
      </w:tr>
      <w:tr>
        <w:trPr>
          <w:trHeight w:val="403" w:hRule="exact"/>
        </w:trPr>
        <w:tc>
          <w:tcPr>
            <w:tcW w:w="39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本年末比上年末增减</w:t>
            </w:r>
            <w:r>
              <w:rPr>
                <w:rFonts w:ascii="Times New Roman" w:hAnsi="Times New Roman" w:cs="Times New Roman" w:eastAsia="Times New Roman"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3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归属于上市公司股东的每股净资产（元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12.59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2.77</w:t>
            </w:r>
          </w:p>
        </w:tc>
      </w:tr>
      <w:tr>
        <w:trPr>
          <w:trHeight w:val="403" w:hRule="exact"/>
        </w:trPr>
        <w:tc>
          <w:tcPr>
            <w:tcW w:w="3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资产负债率（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15.74%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17.93%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48.91%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二、境内外会计准则下会计数据差异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52" w:right="0"/>
        <w:jc w:val="left"/>
        <w:rPr>
          <w:b w:val="0"/>
          <w:bCs w:val="0"/>
        </w:rPr>
      </w:pP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73"/>
        <w:gridCol w:w="1741"/>
        <w:gridCol w:w="2004"/>
        <w:gridCol w:w="1769"/>
        <w:gridCol w:w="1771"/>
      </w:tblGrid>
      <w:tr>
        <w:trPr>
          <w:trHeight w:val="206" w:hRule="exact"/>
        </w:trPr>
        <w:tc>
          <w:tcPr>
            <w:tcW w:w="227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0" w:hRule="exact"/>
        </w:trPr>
        <w:tc>
          <w:tcPr>
            <w:tcW w:w="2273" w:type="dxa"/>
            <w:vMerge w:val="restart"/>
            <w:tcBorders>
              <w:top w:val="nil" w:sz="6" w:space="0" w:color="auto"/>
              <w:left w:val="single" w:sz="4" w:space="0" w:color="000000"/>
              <w:right w:val="single" w:sz="4" w:space="0" w:color="000000"/>
            </w:tcBorders>
            <w:shd w:val="clear" w:color="auto" w:fill="D2D2D2"/>
          </w:tcPr>
          <w:p>
            <w:pPr/>
          </w:p>
        </w:tc>
        <w:tc>
          <w:tcPr>
            <w:tcW w:w="3745"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273" w:type="dxa"/>
            <w:vMerge/>
            <w:tcBorders>
              <w:left w:val="single" w:sz="4" w:space="0" w:color="000000"/>
              <w:bottom w:val="nil" w:sz="6" w:space="0" w:color="auto"/>
              <w:right w:val="single" w:sz="4" w:space="0" w:color="000000"/>
            </w:tcBorders>
            <w:shd w:val="clear" w:color="auto" w:fill="D2D2D2"/>
          </w:tcPr>
          <w:p>
            <w:pPr/>
          </w:p>
        </w:tc>
        <w:tc>
          <w:tcPr>
            <w:tcW w:w="17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1"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67" w:right="0"/>
              <w:jc w:val="left"/>
              <w:rPr>
                <w:rFonts w:ascii="Times New Roman" w:hAnsi="Times New Roman" w:cs="Times New Roman" w:eastAsia="Times New Roman" w:hint="default"/>
                <w:sz w:val="18"/>
                <w:szCs w:val="18"/>
              </w:rPr>
            </w:pPr>
            <w:r>
              <w:rPr>
                <w:rFonts w:ascii="Times New Roman"/>
                <w:sz w:val="18"/>
              </w:rPr>
              <w:t>78,431,616.50</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61,504,981.78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2" w:right="0"/>
              <w:jc w:val="left"/>
              <w:rPr>
                <w:rFonts w:ascii="Times New Roman" w:hAnsi="Times New Roman" w:cs="Times New Roman" w:eastAsia="Times New Roman" w:hint="default"/>
                <w:sz w:val="18"/>
                <w:szCs w:val="18"/>
              </w:rPr>
            </w:pPr>
            <w:r>
              <w:rPr>
                <w:rFonts w:ascii="Times New Roman"/>
                <w:sz w:val="18"/>
              </w:rPr>
              <w:t>778,934,199.29</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673,688,734.83</w:t>
            </w:r>
          </w:p>
        </w:tc>
      </w:tr>
      <w:tr>
        <w:trPr>
          <w:trHeight w:val="403"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bl>
    <w:p>
      <w:pPr>
        <w:spacing w:line="240" w:lineRule="auto" w:before="3"/>
        <w:rPr>
          <w:rFonts w:ascii="宋体" w:hAnsi="宋体" w:cs="宋体" w:eastAsia="宋体" w:hint="default"/>
          <w:sz w:val="19"/>
          <w:szCs w:val="19"/>
        </w:rPr>
      </w:pPr>
    </w:p>
    <w:p>
      <w:pPr>
        <w:pStyle w:val="Heading3"/>
        <w:spacing w:line="240" w:lineRule="auto" w:before="36"/>
        <w:ind w:left="152" w:right="0"/>
        <w:jc w:val="left"/>
        <w:rPr>
          <w:b w:val="0"/>
          <w:bCs w:val="0"/>
        </w:rPr>
      </w:pP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85"/>
        <w:gridCol w:w="1741"/>
        <w:gridCol w:w="2004"/>
        <w:gridCol w:w="1769"/>
        <w:gridCol w:w="1771"/>
      </w:tblGrid>
      <w:tr>
        <w:trPr>
          <w:trHeight w:val="206" w:hRule="exact"/>
        </w:trPr>
        <w:tc>
          <w:tcPr>
            <w:tcW w:w="22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2" w:hRule="exact"/>
        </w:trPr>
        <w:tc>
          <w:tcPr>
            <w:tcW w:w="2285" w:type="dxa"/>
            <w:vMerge w:val="restart"/>
            <w:tcBorders>
              <w:top w:val="nil" w:sz="6" w:space="0" w:color="auto"/>
              <w:left w:val="single" w:sz="4" w:space="0" w:color="000000"/>
              <w:right w:val="single" w:sz="4" w:space="0" w:color="000000"/>
            </w:tcBorders>
            <w:shd w:val="clear" w:color="auto" w:fill="D2D2D2"/>
          </w:tcPr>
          <w:p>
            <w:pPr/>
          </w:p>
        </w:tc>
        <w:tc>
          <w:tcPr>
            <w:tcW w:w="3745"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285" w:type="dxa"/>
            <w:vMerge/>
            <w:tcBorders>
              <w:left w:val="single" w:sz="4" w:space="0" w:color="000000"/>
              <w:bottom w:val="nil" w:sz="6" w:space="0" w:color="auto"/>
              <w:right w:val="single" w:sz="4" w:space="0" w:color="000000"/>
            </w:tcBorders>
            <w:shd w:val="clear" w:color="auto" w:fill="D2D2D2"/>
          </w:tcPr>
          <w:p>
            <w:pPr/>
          </w:p>
        </w:tc>
        <w:tc>
          <w:tcPr>
            <w:tcW w:w="17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1"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67" w:right="0"/>
              <w:jc w:val="left"/>
              <w:rPr>
                <w:rFonts w:ascii="Times New Roman" w:hAnsi="Times New Roman" w:cs="Times New Roman" w:eastAsia="Times New Roman" w:hint="default"/>
                <w:sz w:val="18"/>
                <w:szCs w:val="18"/>
              </w:rPr>
            </w:pPr>
            <w:r>
              <w:rPr>
                <w:rFonts w:ascii="Times New Roman"/>
                <w:sz w:val="18"/>
              </w:rPr>
              <w:t>78,431,616.50</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61,504,981.78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2" w:right="0"/>
              <w:jc w:val="left"/>
              <w:rPr>
                <w:rFonts w:ascii="Times New Roman" w:hAnsi="Times New Roman" w:cs="Times New Roman" w:eastAsia="Times New Roman" w:hint="default"/>
                <w:sz w:val="18"/>
                <w:szCs w:val="18"/>
              </w:rPr>
            </w:pPr>
            <w:r>
              <w:rPr>
                <w:rFonts w:ascii="Times New Roman"/>
                <w:sz w:val="18"/>
              </w:rPr>
              <w:t>778,934,199.29</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673,688,734.83</w:t>
            </w:r>
          </w:p>
        </w:tc>
      </w:tr>
      <w:tr>
        <w:trPr>
          <w:trHeight w:val="401"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bl>
    <w:p>
      <w:pPr>
        <w:spacing w:line="240" w:lineRule="auto" w:before="3"/>
        <w:rPr>
          <w:rFonts w:ascii="宋体" w:hAnsi="宋体" w:cs="宋体" w:eastAsia="宋体" w:hint="default"/>
          <w:sz w:val="19"/>
          <w:szCs w:val="19"/>
        </w:rPr>
      </w:pPr>
    </w:p>
    <w:p>
      <w:pPr>
        <w:pStyle w:val="Heading3"/>
        <w:spacing w:line="506" w:lineRule="auto" w:before="36"/>
        <w:ind w:left="573" w:right="5814" w:hanging="421"/>
        <w:jc w:val="left"/>
        <w:rPr>
          <w:rFonts w:ascii="宋体" w:hAnsi="宋体" w:cs="宋体" w:eastAsia="宋体" w:hint="default"/>
          <w:b w:val="0"/>
          <w:bCs w:val="0"/>
        </w:rPr>
      </w:pPr>
      <w:r>
        <w:rPr>
          <w:rFonts w:ascii="Times New Roman" w:hAnsi="Times New Roman" w:cs="Times New Roman" w:eastAsia="Times New Roman" w:hint="default"/>
          <w:spacing w:val="-1"/>
        </w:rPr>
        <w:t>3</w:t>
      </w:r>
      <w:r>
        <w:rPr>
          <w:spacing w:val="-1"/>
        </w:rPr>
        <w:t>、境内外会计准则下会计数据差异说明</w:t>
      </w:r>
      <w:r>
        <w:rPr>
          <w:spacing w:val="-87"/>
        </w:rPr>
        <w:t> </w:t>
      </w:r>
      <w:r>
        <w:rPr>
          <w:spacing w:val="-87"/>
        </w:rPr>
      </w:r>
      <w:r>
        <w:rPr>
          <w:rFonts w:ascii="宋体" w:hAnsi="宋体" w:cs="宋体" w:eastAsia="宋体" w:hint="default"/>
          <w:b w:val="0"/>
          <w:bCs w:val="0"/>
        </w:rPr>
        <w:t>无。</w:t>
      </w:r>
    </w:p>
    <w:p>
      <w:pPr>
        <w:pStyle w:val="Heading2"/>
        <w:spacing w:line="240" w:lineRule="auto" w:before="79"/>
        <w:ind w:right="0"/>
        <w:jc w:val="left"/>
        <w:rPr>
          <w:b w:val="0"/>
          <w:bCs w:val="0"/>
        </w:rPr>
      </w:pPr>
      <w:r>
        <w:rPr/>
        <w:t>三、报告期内非经常性损益的项目及金额</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-37,974.62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12,108,066.34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7,825,186.73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11,392,929.24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156,825.00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-906,211.10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33,354.87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-53,149.95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1,281,783.34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1,749,991.60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1,449,617.47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12,503.01</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10,064,393.89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6,108,550.00</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9,852,187.20</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227" w:top="1100" w:bottom="1420" w:left="980" w:right="980"/>
        </w:sectPr>
      </w:pPr>
    </w:p>
    <w:p>
      <w:pPr>
        <w:spacing w:line="240" w:lineRule="auto" w:before="11"/>
        <w:rPr>
          <w:rFonts w:ascii="宋体" w:hAnsi="宋体" w:cs="宋体" w:eastAsia="宋体" w:hint="default"/>
          <w:sz w:val="21"/>
          <w:szCs w:val="21"/>
        </w:rPr>
      </w:pPr>
    </w:p>
    <w:p>
      <w:pPr>
        <w:spacing w:before="44"/>
        <w:ind w:left="152" w:right="0" w:firstLine="0"/>
        <w:jc w:val="both"/>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52" w:firstLine="0"/>
        <w:jc w:val="both"/>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四、重大风险提示</w:t>
      </w:r>
      <w:r>
        <w:rPr>
          <w:b w:val="0"/>
          <w:bCs w:val="0"/>
        </w:rPr>
      </w:r>
    </w:p>
    <w:p>
      <w:pPr>
        <w:spacing w:line="240" w:lineRule="auto" w:before="10"/>
        <w:rPr>
          <w:rFonts w:ascii="宋体" w:hAnsi="宋体" w:cs="宋体" w:eastAsia="宋体" w:hint="default"/>
          <w:b/>
          <w:bCs/>
          <w:sz w:val="30"/>
          <w:szCs w:val="30"/>
        </w:rPr>
      </w:pPr>
    </w:p>
    <w:p>
      <w:pPr>
        <w:pStyle w:val="BodyText"/>
        <w:spacing w:line="386" w:lineRule="auto"/>
        <w:ind w:left="573" w:right="0"/>
        <w:jc w:val="left"/>
      </w:pPr>
      <w:r>
        <w:rPr>
          <w:rFonts w:ascii="Times New Roman" w:hAnsi="Times New Roman" w:cs="Times New Roman" w:eastAsia="Times New Roman" w:hint="default"/>
        </w:rPr>
        <w:t>1</w:t>
      </w:r>
      <w:r>
        <w:rPr/>
        <w:t>、市场竞争风险</w:t>
      </w:r>
      <w:r>
        <w:rPr>
          <w:w w:val="100"/>
        </w:rPr>
        <w:t> </w:t>
      </w:r>
      <w:r>
        <w:rPr>
          <w:spacing w:val="-2"/>
        </w:rPr>
        <w:t>在社会信息化程度迅速提高、电子证据入法等大环境的推动下，电子数据取证产品需求也逐渐由司法</w:t>
      </w:r>
    </w:p>
    <w:p>
      <w:pPr>
        <w:pStyle w:val="BodyText"/>
        <w:spacing w:line="408" w:lineRule="auto" w:before="65"/>
        <w:ind w:left="152" w:right="146"/>
        <w:jc w:val="both"/>
      </w:pPr>
      <w:r>
        <w:rPr>
          <w:spacing w:val="-2"/>
        </w:rPr>
        <w:t>机关延伸至各行政执法部门以及企事业单位，国内电子数据取证领域也涌现出了很多新进入企业，虽然目</w:t>
      </w:r>
      <w:r>
        <w:rPr>
          <w:spacing w:val="-42"/>
        </w:rPr>
        <w:t> </w:t>
      </w:r>
      <w:r>
        <w:rPr>
          <w:spacing w:val="-42"/>
        </w:rPr>
      </w:r>
      <w:r>
        <w:rPr>
          <w:spacing w:val="-2"/>
        </w:rPr>
        <w:t>前规模还不大，但是正在细分整个电子数据取证市场，公司必须始终保持强大的创新研发能力和市场开拓</w:t>
      </w:r>
      <w:r>
        <w:rPr>
          <w:spacing w:val="-43"/>
        </w:rPr>
        <w:t> </w:t>
      </w:r>
      <w:r>
        <w:rPr>
          <w:spacing w:val="-43"/>
        </w:rPr>
      </w:r>
      <w:r>
        <w:rPr/>
        <w:t>能力，才能在日益激烈的市场竞争中继续保持领先地位。</w:t>
      </w:r>
    </w:p>
    <w:p>
      <w:pPr>
        <w:pStyle w:val="BodyText"/>
        <w:spacing w:line="386" w:lineRule="auto" w:before="46"/>
        <w:ind w:left="573" w:right="0"/>
        <w:jc w:val="left"/>
      </w:pPr>
      <w:r>
        <w:rPr>
          <w:rFonts w:ascii="Times New Roman" w:hAnsi="Times New Roman" w:cs="Times New Roman" w:eastAsia="Times New Roman" w:hint="default"/>
        </w:rPr>
        <w:t>2</w:t>
      </w:r>
      <w:r>
        <w:rPr/>
        <w:t>、技术更新风险</w:t>
      </w:r>
      <w:r>
        <w:rPr>
          <w:w w:val="100"/>
        </w:rPr>
        <w:t> </w:t>
      </w:r>
      <w:r>
        <w:rPr>
          <w:spacing w:val="-2"/>
        </w:rPr>
        <w:t>公司业务主要针对各类存储介质中的电子数据和网络信息进行搜索和分析，因此，公司产品和技术需</w:t>
      </w:r>
    </w:p>
    <w:p>
      <w:pPr>
        <w:pStyle w:val="BodyText"/>
        <w:spacing w:line="408" w:lineRule="auto" w:before="65"/>
        <w:ind w:left="152" w:right="146"/>
        <w:jc w:val="both"/>
      </w:pPr>
      <w:r>
        <w:rPr>
          <w:spacing w:val="-2"/>
        </w:rPr>
        <w:t>要与相关的电子设备及网络技术同步发展，该行业具有发展迅速、技术和产品更新换代快、产品生命周期</w:t>
      </w:r>
      <w:r>
        <w:rPr>
          <w:spacing w:val="-45"/>
        </w:rPr>
        <w:t> </w:t>
      </w:r>
      <w:r>
        <w:rPr>
          <w:spacing w:val="-45"/>
        </w:rPr>
      </w:r>
      <w:r>
        <w:rPr>
          <w:spacing w:val="-2"/>
        </w:rPr>
        <w:t>较短的特点。如果公司产品和技术研发能力不能及时跟上，将对公司的业务开展和市场竞争力造成较大影</w:t>
      </w:r>
      <w:r>
        <w:rPr>
          <w:spacing w:val="-44"/>
        </w:rPr>
        <w:t> </w:t>
      </w:r>
      <w:r>
        <w:rPr>
          <w:spacing w:val="-44"/>
        </w:rPr>
      </w:r>
      <w:r>
        <w:rPr>
          <w:spacing w:val="-2"/>
        </w:rPr>
        <w:t>响。为此，公司需要密切跟踪新技术和新产品发展趋势，持续不断地保持必要的研发投入，以维持强大的</w:t>
      </w:r>
      <w:r>
        <w:rPr>
          <w:spacing w:val="-46"/>
        </w:rPr>
        <w:t> </w:t>
      </w:r>
      <w:r>
        <w:rPr>
          <w:spacing w:val="-46"/>
        </w:rPr>
      </w:r>
      <w:r>
        <w:rPr/>
        <w:t>创新研发能力。</w:t>
      </w:r>
    </w:p>
    <w:p>
      <w:pPr>
        <w:pStyle w:val="BodyText"/>
        <w:spacing w:line="386" w:lineRule="auto" w:before="46"/>
        <w:ind w:left="573" w:right="0"/>
        <w:jc w:val="left"/>
      </w:pPr>
      <w:r>
        <w:rPr>
          <w:rFonts w:ascii="Times New Roman" w:hAnsi="Times New Roman" w:cs="Times New Roman" w:eastAsia="Times New Roman" w:hint="default"/>
        </w:rPr>
        <w:t>3</w:t>
      </w:r>
      <w:r>
        <w:rPr/>
        <w:t>、服务市场开拓和培育风险</w:t>
      </w:r>
      <w:r>
        <w:rPr>
          <w:w w:val="100"/>
        </w:rPr>
        <w:t> </w:t>
      </w:r>
      <w:r>
        <w:rPr>
          <w:spacing w:val="-2"/>
        </w:rPr>
        <w:t>报告期内，公司在持续完善搜索云服务平台、取证云服务平台的技术研发的基础上，又推出了公证云</w:t>
      </w:r>
    </w:p>
    <w:p>
      <w:pPr>
        <w:pStyle w:val="BodyText"/>
        <w:spacing w:line="408" w:lineRule="auto" w:before="65"/>
        <w:ind w:left="152" w:right="146"/>
        <w:jc w:val="both"/>
      </w:pPr>
      <w:r>
        <w:rPr>
          <w:spacing w:val="-2"/>
        </w:rPr>
        <w:t>项目和企业调查取证服务项目，公司的经营模式也从单一的产品销售向“小产品、大服务”的模式迈进一</w:t>
      </w:r>
      <w:r>
        <w:rPr>
          <w:spacing w:val="-47"/>
        </w:rPr>
        <w:t> </w:t>
      </w:r>
      <w:r>
        <w:rPr>
          <w:spacing w:val="-47"/>
        </w:rPr>
      </w:r>
      <w:r>
        <w:rPr>
          <w:spacing w:val="-2"/>
        </w:rPr>
        <w:t>大步。但是新的用户领域开拓和用户对新服务模式接受时间和程度也存在着诸多不确定因素，将直接影响</w:t>
      </w:r>
      <w:r>
        <w:rPr>
          <w:spacing w:val="-43"/>
        </w:rPr>
        <w:t> </w:t>
      </w:r>
      <w:r>
        <w:rPr>
          <w:spacing w:val="-43"/>
        </w:rPr>
      </w:r>
      <w:r>
        <w:rPr>
          <w:spacing w:val="-2"/>
        </w:rPr>
        <w:t>到公司新业务模式开展的进程和成败。因此，公司在进行市场开拓和新模式创新时，将始终坚持以市场客</w:t>
      </w:r>
      <w:r>
        <w:rPr>
          <w:spacing w:val="-43"/>
        </w:rPr>
        <w:t> </w:t>
      </w:r>
      <w:r>
        <w:rPr>
          <w:spacing w:val="-43"/>
        </w:rPr>
      </w:r>
      <w:r>
        <w:rPr/>
        <w:t>户需求为导向，以财务风险控制为基准，规避同质化竞争和盲目投入的风险。</w:t>
      </w:r>
    </w:p>
    <w:p>
      <w:pPr>
        <w:pStyle w:val="BodyText"/>
        <w:spacing w:line="386" w:lineRule="auto" w:before="46"/>
        <w:ind w:left="573" w:right="0"/>
        <w:jc w:val="left"/>
      </w:pPr>
      <w:r>
        <w:rPr>
          <w:rFonts w:ascii="Times New Roman" w:hAnsi="Times New Roman" w:cs="Times New Roman" w:eastAsia="Times New Roman" w:hint="default"/>
        </w:rPr>
        <w:t>4</w:t>
      </w:r>
      <w:r>
        <w:rPr/>
        <w:t>、管理风险</w:t>
      </w:r>
      <w:r>
        <w:rPr>
          <w:w w:val="100"/>
        </w:rPr>
        <w:t> </w:t>
      </w:r>
      <w:r>
        <w:rPr>
          <w:spacing w:val="-2"/>
        </w:rPr>
        <w:t>报告期内，公司正式员工人数由年初的</w:t>
      </w:r>
      <w:r>
        <w:rPr>
          <w:rFonts w:ascii="Times New Roman" w:hAnsi="Times New Roman" w:cs="Times New Roman" w:eastAsia="Times New Roman" w:hint="default"/>
          <w:spacing w:val="-2"/>
        </w:rPr>
        <w:t>641</w:t>
      </w:r>
      <w:r>
        <w:rPr>
          <w:spacing w:val="-2"/>
        </w:rPr>
        <w:t>人增加到</w:t>
      </w:r>
      <w:r>
        <w:rPr>
          <w:rFonts w:ascii="Times New Roman" w:hAnsi="Times New Roman" w:cs="Times New Roman" w:eastAsia="Times New Roman" w:hint="default"/>
          <w:spacing w:val="-2"/>
        </w:rPr>
        <w:t>868</w:t>
      </w:r>
      <w:r>
        <w:rPr>
          <w:spacing w:val="-2"/>
        </w:rPr>
        <w:t>人，随着投资并购项目的开展，公司的经营规</w:t>
      </w:r>
    </w:p>
    <w:p>
      <w:pPr>
        <w:pStyle w:val="BodyText"/>
        <w:spacing w:line="408" w:lineRule="auto" w:before="36"/>
        <w:ind w:left="152" w:right="146"/>
        <w:jc w:val="both"/>
      </w:pPr>
      <w:r>
        <w:rPr>
          <w:spacing w:val="-2"/>
        </w:rPr>
        <w:t>模和业务总量将再上台阶，人员构成和管理体系也日趋复杂，这要求公司不断提高自身的管理能力，并根</w:t>
      </w:r>
      <w:r>
        <w:rPr>
          <w:spacing w:val="-44"/>
        </w:rPr>
        <w:t> </w:t>
      </w:r>
      <w:r>
        <w:rPr>
          <w:spacing w:val="-44"/>
        </w:rPr>
      </w:r>
      <w:r>
        <w:rPr>
          <w:spacing w:val="-2"/>
        </w:rPr>
        <w:t>据业务发展需要及时调整现有的组织模式和管理制度，否则，将会阻碍公司业务的健康发展。因此，公司</w:t>
      </w:r>
      <w:r>
        <w:rPr>
          <w:spacing w:val="-44"/>
        </w:rPr>
        <w:t> </w:t>
      </w:r>
      <w:r>
        <w:rPr>
          <w:spacing w:val="-44"/>
        </w:rPr>
      </w:r>
      <w:r>
        <w:rPr>
          <w:spacing w:val="-2"/>
        </w:rPr>
        <w:t>将不断深化组织架构和业务流程方面的调整，完善管理制度和绩效考核制度，加强内部控制尤其是风险控</w:t>
      </w:r>
      <w:r>
        <w:rPr>
          <w:spacing w:val="-43"/>
        </w:rPr>
        <w:t> </w:t>
      </w:r>
      <w:r>
        <w:rPr>
          <w:spacing w:val="-43"/>
        </w:rPr>
      </w:r>
      <w:r>
        <w:rPr/>
        <w:t>制体系建设，以适应公司规模快速发展的需要。</w:t>
      </w:r>
    </w:p>
    <w:p>
      <w:pPr>
        <w:pStyle w:val="BodyText"/>
        <w:spacing w:line="386" w:lineRule="auto" w:before="46"/>
        <w:ind w:left="573" w:right="0"/>
        <w:jc w:val="left"/>
      </w:pPr>
      <w:r>
        <w:rPr>
          <w:rFonts w:ascii="Times New Roman" w:hAnsi="Times New Roman" w:cs="Times New Roman" w:eastAsia="Times New Roman" w:hint="default"/>
        </w:rPr>
        <w:t>5</w:t>
      </w:r>
      <w:r>
        <w:rPr/>
        <w:t>、核心技术和核心人员流失的风险</w:t>
      </w:r>
      <w:r>
        <w:rPr>
          <w:w w:val="100"/>
        </w:rPr>
        <w:t> </w:t>
      </w:r>
      <w:r>
        <w:rPr>
          <w:spacing w:val="-2"/>
        </w:rPr>
        <w:t>公司属于研发型企业，核心技术和核心技术人员是公司稳定发展的重要保障。公司拥有多项国内领先</w:t>
      </w:r>
    </w:p>
    <w:p>
      <w:pPr>
        <w:spacing w:after="0" w:line="386" w:lineRule="auto"/>
        <w:jc w:val="left"/>
        <w:sectPr>
          <w:pgSz w:w="11910" w:h="16840"/>
          <w:pgMar w:header="877" w:footer="1227" w:top="1100" w:bottom="1420" w:left="980" w:right="980"/>
        </w:sectPr>
      </w:pPr>
    </w:p>
    <w:p>
      <w:pPr>
        <w:spacing w:line="240" w:lineRule="auto" w:before="9"/>
        <w:rPr>
          <w:rFonts w:ascii="宋体" w:hAnsi="宋体" w:cs="宋体" w:eastAsia="宋体" w:hint="default"/>
          <w:sz w:val="26"/>
          <w:szCs w:val="26"/>
        </w:rPr>
      </w:pPr>
    </w:p>
    <w:p>
      <w:pPr>
        <w:pStyle w:val="BodyText"/>
        <w:spacing w:line="408" w:lineRule="auto" w:before="36"/>
        <w:ind w:left="152" w:right="101"/>
        <w:jc w:val="both"/>
      </w:pPr>
      <w:r>
        <w:rPr>
          <w:spacing w:val="-5"/>
        </w:rPr>
        <w:t>的核心技术，这些核心技术为巩固和提高公司的综合竞争实力有重要作用，如果核心技术和核心人员流失，</w:t>
      </w:r>
      <w:r>
        <w:rPr>
          <w:spacing w:val="-4"/>
        </w:rPr>
        <w:t> </w:t>
      </w:r>
      <w:r>
        <w:rPr>
          <w:spacing w:val="-4"/>
        </w:rPr>
      </w:r>
      <w:r>
        <w:rPr/>
        <w:t>可能会对公司的核心技术产品的销售产生影响，从而也会对公司的市场竞争力产生一定影响。</w:t>
      </w:r>
    </w:p>
    <w:p>
      <w:pPr>
        <w:pStyle w:val="BodyText"/>
        <w:spacing w:line="408" w:lineRule="auto" w:before="46"/>
        <w:ind w:left="152" w:right="99" w:firstLine="420"/>
        <w:jc w:val="left"/>
      </w:pPr>
      <w:r>
        <w:rPr/>
        <w:t>为保持核心技术团队的稳定，公司根据发展需要及时调整公司的薪酬福利制度和核心人员激励措施，</w:t>
      </w:r>
      <w:r>
        <w:rPr>
          <w:w w:val="100"/>
        </w:rPr>
        <w:t> </w:t>
      </w:r>
      <w:r>
        <w:rPr>
          <w:spacing w:val="-2"/>
        </w:rPr>
        <w:t>包括实施股权激励计划等长期激励措施。从制度上，公司建立了较为完善的《保密制度》、《资料保密分</w:t>
      </w:r>
      <w:r>
        <w:rPr>
          <w:spacing w:val="-45"/>
        </w:rPr>
        <w:t> </w:t>
      </w:r>
      <w:r>
        <w:rPr>
          <w:spacing w:val="-45"/>
        </w:rPr>
      </w:r>
      <w:r>
        <w:rPr>
          <w:spacing w:val="-5"/>
        </w:rPr>
        <w:t>级标准》、《定期保密培训制度》等措施，明确各级保密责任人；从宣传上，开辟了专门的保密宣传窗口，</w:t>
      </w:r>
      <w:r>
        <w:rPr>
          <w:spacing w:val="-8"/>
        </w:rPr>
        <w:t> </w:t>
      </w:r>
      <w:r>
        <w:rPr>
          <w:spacing w:val="-8"/>
        </w:rPr>
      </w:r>
      <w:r>
        <w:rPr/>
        <w:t>以便员工随时随地可看到相关要求提高保密意识；从技术上，建立了企业内部安全信息系统。尽管如此，</w:t>
      </w:r>
      <w:r>
        <w:rPr>
          <w:w w:val="100"/>
        </w:rPr>
        <w:t> </w:t>
      </w:r>
      <w:r>
        <w:rPr/>
        <w:t>仍然只能降低核心技术流失的风险。</w:t>
      </w:r>
    </w:p>
    <w:p>
      <w:pPr>
        <w:pStyle w:val="BodyText"/>
        <w:spacing w:line="240" w:lineRule="auto" w:before="46"/>
        <w:ind w:left="573" w:right="99"/>
        <w:jc w:val="left"/>
      </w:pPr>
      <w:r>
        <w:rPr>
          <w:rFonts w:ascii="Times New Roman" w:hAnsi="Times New Roman" w:cs="Times New Roman" w:eastAsia="Times New Roman" w:hint="default"/>
        </w:rPr>
        <w:t>6</w:t>
      </w:r>
      <w:r>
        <w:rPr/>
        <w:t>、应收帐款风险</w:t>
      </w:r>
    </w:p>
    <w:p>
      <w:pPr>
        <w:pStyle w:val="BodyText"/>
        <w:spacing w:line="386" w:lineRule="auto" w:before="178"/>
        <w:ind w:left="152" w:right="99" w:firstLine="420"/>
        <w:jc w:val="left"/>
      </w:pPr>
      <w:r>
        <w:rPr>
          <w:rFonts w:ascii="Times New Roman" w:hAnsi="Times New Roman" w:cs="Times New Roman" w:eastAsia="Times New Roman" w:hint="default"/>
          <w:spacing w:val="-2"/>
        </w:rPr>
        <w:t>2010</w:t>
      </w:r>
      <w:r>
        <w:rPr>
          <w:spacing w:val="-2"/>
        </w:rPr>
        <w:t>年末、</w:t>
      </w:r>
      <w:r>
        <w:rPr>
          <w:rFonts w:ascii="Times New Roman" w:hAnsi="Times New Roman" w:cs="Times New Roman" w:eastAsia="Times New Roman" w:hint="default"/>
          <w:spacing w:val="-2"/>
        </w:rPr>
        <w:t>2011</w:t>
      </w:r>
      <w:r>
        <w:rPr>
          <w:spacing w:val="-2"/>
        </w:rPr>
        <w:t>年末、</w:t>
      </w:r>
      <w:r>
        <w:rPr>
          <w:rFonts w:ascii="Times New Roman" w:hAnsi="Times New Roman" w:cs="Times New Roman" w:eastAsia="Times New Roman" w:hint="default"/>
          <w:spacing w:val="-2"/>
        </w:rPr>
        <w:t>2012</w:t>
      </w:r>
      <w:r>
        <w:rPr>
          <w:spacing w:val="-2"/>
        </w:rPr>
        <w:t>年末公司应收账款净额</w:t>
      </w:r>
      <w:r>
        <w:rPr>
          <w:rFonts w:ascii="Times New Roman" w:hAnsi="Times New Roman" w:cs="Times New Roman" w:eastAsia="Times New Roman" w:hint="default"/>
          <w:spacing w:val="-2"/>
        </w:rPr>
        <w:t>4,142.75</w:t>
      </w:r>
      <w:r>
        <w:rPr>
          <w:spacing w:val="-2"/>
        </w:rPr>
        <w:t>万元、</w:t>
      </w:r>
      <w:r>
        <w:rPr>
          <w:rFonts w:ascii="Times New Roman" w:hAnsi="Times New Roman" w:cs="Times New Roman" w:eastAsia="Times New Roman" w:hint="default"/>
          <w:spacing w:val="-2"/>
        </w:rPr>
        <w:t>8,563.78</w:t>
      </w:r>
      <w:r>
        <w:rPr>
          <w:spacing w:val="-2"/>
        </w:rPr>
        <w:t>万元、</w:t>
      </w:r>
      <w:r>
        <w:rPr>
          <w:rFonts w:ascii="Times New Roman" w:hAnsi="Times New Roman" w:cs="Times New Roman" w:eastAsia="Times New Roman" w:hint="default"/>
          <w:spacing w:val="-2"/>
        </w:rPr>
        <w:t>13,487.85</w:t>
      </w:r>
      <w:r>
        <w:rPr>
          <w:spacing w:val="-2"/>
        </w:rPr>
        <w:t>万元，分别</w:t>
      </w:r>
      <w:r>
        <w:rPr>
          <w:w w:val="100"/>
        </w:rPr>
        <w:t> </w:t>
      </w:r>
      <w:r>
        <w:rPr>
          <w:spacing w:val="-2"/>
        </w:rPr>
        <w:t>占公司总资产的比例为</w:t>
      </w:r>
      <w:r>
        <w:rPr>
          <w:rFonts w:ascii="Times New Roman" w:hAnsi="Times New Roman" w:cs="Times New Roman" w:eastAsia="Times New Roman" w:hint="default"/>
          <w:spacing w:val="-2"/>
        </w:rPr>
        <w:t>19.24%</w:t>
      </w:r>
      <w:r>
        <w:rPr>
          <w:spacing w:val="-2"/>
        </w:rPr>
        <w:t>、</w:t>
      </w:r>
      <w:r>
        <w:rPr>
          <w:rFonts w:ascii="Times New Roman" w:hAnsi="Times New Roman" w:cs="Times New Roman" w:eastAsia="Times New Roman" w:hint="default"/>
          <w:spacing w:val="-2"/>
        </w:rPr>
        <w:t>10.43%</w:t>
      </w:r>
      <w:r>
        <w:rPr>
          <w:spacing w:val="-2"/>
        </w:rPr>
        <w:t>、</w:t>
      </w:r>
      <w:r>
        <w:rPr>
          <w:rFonts w:ascii="Times New Roman" w:hAnsi="Times New Roman" w:cs="Times New Roman" w:eastAsia="Times New Roman" w:hint="default"/>
          <w:spacing w:val="-2"/>
        </w:rPr>
        <w:t>14.55%</w:t>
      </w:r>
      <w:r>
        <w:rPr>
          <w:spacing w:val="-2"/>
        </w:rPr>
        <w:t>，是公司资产的重要组成部分。截止到</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spacing w:val="3"/>
        </w:rPr>
        <w:t> </w:t>
      </w:r>
      <w:r>
        <w:rPr/>
        <w:t>账龄在一年以内的应收账款占</w:t>
      </w:r>
      <w:r>
        <w:rPr>
          <w:rFonts w:ascii="Times New Roman" w:hAnsi="Times New Roman" w:cs="Times New Roman" w:eastAsia="Times New Roman" w:hint="default"/>
        </w:rPr>
        <w:t>79.12%</w:t>
      </w:r>
      <w:r>
        <w:rPr/>
        <w:t>，应收账款发生大额坏账的风险较小。</w:t>
      </w:r>
    </w:p>
    <w:p>
      <w:pPr>
        <w:pStyle w:val="BodyText"/>
        <w:spacing w:line="408" w:lineRule="auto" w:before="35"/>
        <w:ind w:left="152" w:right="206" w:firstLine="420"/>
        <w:jc w:val="both"/>
      </w:pPr>
      <w:r>
        <w:rPr>
          <w:spacing w:val="-2"/>
        </w:rPr>
        <w:t>公司主要客户为全国各级司法机关、行政执法部门等，这些客户的采购及付款审批周期较长，因而导</w:t>
      </w:r>
      <w:r>
        <w:rPr>
          <w:w w:val="100"/>
        </w:rPr>
        <w:t> </w:t>
      </w:r>
      <w:r>
        <w:rPr>
          <w:spacing w:val="-2"/>
        </w:rPr>
        <w:t>致公司应收账款较高。但客户资信状况良好，公司应收账款坏账计提准备政策也较为稳健，应收账款发生</w:t>
      </w:r>
      <w:r>
        <w:rPr>
          <w:spacing w:val="-44"/>
        </w:rPr>
        <w:t> </w:t>
      </w:r>
      <w:r>
        <w:rPr>
          <w:spacing w:val="-44"/>
        </w:rPr>
      </w:r>
      <w:r>
        <w:rPr/>
        <w:t>大额坏账的风险较小，报告期内应收账款未发生不正常情况。</w:t>
      </w:r>
    </w:p>
    <w:p>
      <w:pPr>
        <w:pStyle w:val="BodyText"/>
        <w:spacing w:line="408" w:lineRule="auto" w:before="46"/>
        <w:ind w:left="152" w:right="99" w:firstLine="420"/>
        <w:jc w:val="left"/>
      </w:pPr>
      <w:r>
        <w:rPr>
          <w:spacing w:val="-2"/>
        </w:rPr>
        <w:t>随着公司业务拓展至非政府市场，应收账款的风险可能会有所增加，同时随着公司销售收入的增长，</w:t>
      </w:r>
      <w:r>
        <w:rPr>
          <w:w w:val="100"/>
        </w:rPr>
        <w:t> </w:t>
      </w:r>
      <w:r>
        <w:rPr/>
        <w:t>应收账款金额也可能会相应上升，如果公司不能加强应收账款的高效管理，可能面临较高的坏账风险。</w:t>
      </w:r>
    </w:p>
    <w:p>
      <w:pPr>
        <w:pStyle w:val="BodyText"/>
        <w:spacing w:line="386" w:lineRule="auto" w:before="46"/>
        <w:ind w:left="573" w:right="99"/>
        <w:jc w:val="left"/>
      </w:pPr>
      <w:r>
        <w:rPr>
          <w:rFonts w:ascii="Times New Roman" w:hAnsi="Times New Roman" w:cs="Times New Roman" w:eastAsia="Times New Roman" w:hint="default"/>
        </w:rPr>
        <w:t>7</w:t>
      </w:r>
      <w:r>
        <w:rPr/>
        <w:t>、投资并购风险</w:t>
      </w:r>
      <w:r>
        <w:rPr>
          <w:w w:val="100"/>
        </w:rPr>
        <w:t> </w:t>
      </w:r>
      <w:r>
        <w:rPr>
          <w:spacing w:val="-5"/>
        </w:rPr>
        <w:t>投资并购有利于实现资源共享和优势互补，对于完善公司产品线，快速进行新行业拓展具有重要作用。</w:t>
      </w:r>
    </w:p>
    <w:p>
      <w:pPr>
        <w:pStyle w:val="BodyText"/>
        <w:spacing w:line="408" w:lineRule="auto" w:before="65"/>
        <w:ind w:left="152" w:right="103"/>
        <w:jc w:val="both"/>
      </w:pPr>
      <w:r>
        <w:rPr>
          <w:spacing w:val="-2"/>
        </w:rPr>
        <w:t>同时，随着投资并购项目的增加，公司控股子公司、参股公司逐渐增多，业务范围也不断扩大，吸收合并</w:t>
      </w:r>
      <w:r>
        <w:rPr>
          <w:spacing w:val="-42"/>
        </w:rPr>
        <w:t> </w:t>
      </w:r>
      <w:r>
        <w:rPr>
          <w:spacing w:val="-42"/>
        </w:rPr>
      </w:r>
      <w:r>
        <w:rPr>
          <w:spacing w:val="-2"/>
        </w:rPr>
        <w:t>后团队的稳定性、新业务领域的开拓风险都将给公司管理带来新的挑战。因此，公司在投资并购方面采取</w:t>
      </w:r>
      <w:r>
        <w:rPr>
          <w:spacing w:val="-44"/>
        </w:rPr>
        <w:t> </w:t>
      </w:r>
      <w:r>
        <w:rPr>
          <w:spacing w:val="-44"/>
        </w:rPr>
      </w:r>
      <w:r>
        <w:rPr>
          <w:spacing w:val="-2"/>
        </w:rPr>
        <w:t>较为稳健的投资策略，审慎选择投资标的，重点围绕与公司主营业务关联度较高、行业互补或者技术互补</w:t>
      </w:r>
      <w:r>
        <w:rPr>
          <w:spacing w:val="-45"/>
        </w:rPr>
        <w:t> </w:t>
      </w:r>
      <w:r>
        <w:rPr>
          <w:spacing w:val="-45"/>
        </w:rPr>
      </w:r>
      <w:r>
        <w:rPr>
          <w:spacing w:val="-5"/>
        </w:rPr>
        <w:t>的投资标的开展投资并购，并加强企业文化建设和人性化管理，引导新团队逐步融入美亚柏科这个大家庭。</w:t>
      </w:r>
    </w:p>
    <w:p>
      <w:pPr>
        <w:pStyle w:val="BodyText"/>
        <w:spacing w:line="386" w:lineRule="auto" w:before="46"/>
        <w:ind w:left="573" w:right="99"/>
        <w:jc w:val="left"/>
      </w:pPr>
      <w:r>
        <w:rPr>
          <w:rFonts w:ascii="Times New Roman" w:hAnsi="Times New Roman" w:cs="Times New Roman" w:eastAsia="Times New Roman" w:hint="default"/>
        </w:rPr>
        <w:t>8</w:t>
      </w:r>
      <w:r>
        <w:rPr/>
        <w:t>、季节性风险</w:t>
      </w:r>
      <w:r>
        <w:rPr>
          <w:w w:val="100"/>
        </w:rPr>
        <w:t> </w:t>
      </w:r>
      <w:r>
        <w:rPr>
          <w:spacing w:val="-2"/>
        </w:rPr>
        <w:t>公司产品销售收入在上、下半年具有不均衡的特点，因为公司产品主要销售于司法机关、行政执法部</w:t>
      </w:r>
    </w:p>
    <w:p>
      <w:pPr>
        <w:pStyle w:val="BodyText"/>
        <w:spacing w:line="408" w:lineRule="auto" w:before="65"/>
        <w:ind w:left="152" w:right="206"/>
        <w:jc w:val="both"/>
      </w:pPr>
      <w:r>
        <w:rPr>
          <w:spacing w:val="-2"/>
        </w:rPr>
        <w:t>门等，这些客户的普遍特点是，上半年制订计划、预算审批，下半年实施和验收。因此，公司产品销售收</w:t>
      </w:r>
      <w:r>
        <w:rPr>
          <w:spacing w:val="-41"/>
        </w:rPr>
        <w:t> </w:t>
      </w:r>
      <w:r>
        <w:rPr>
          <w:spacing w:val="-41"/>
        </w:rPr>
      </w:r>
      <w:r>
        <w:rPr>
          <w:spacing w:val="-2"/>
        </w:rPr>
        <w:t>入的实现主要集中在下半年尤其是第四季度，具有明显的季节性特征。公司业务的季节性特征不仅导致公</w:t>
      </w:r>
      <w:r>
        <w:rPr>
          <w:spacing w:val="-42"/>
        </w:rPr>
        <w:t> </w:t>
      </w:r>
      <w:r>
        <w:rPr>
          <w:spacing w:val="-42"/>
        </w:rPr>
      </w:r>
      <w:r>
        <w:rPr>
          <w:spacing w:val="-2"/>
        </w:rPr>
        <w:t>司季节性资金需求和现金流量不均衡，定期报告中各季度营业收入、营业成本、营业利润也均呈现出明显</w:t>
      </w:r>
      <w:r>
        <w:rPr>
          <w:spacing w:val="-43"/>
        </w:rPr>
        <w:t> </w:t>
      </w:r>
      <w:r>
        <w:rPr>
          <w:spacing w:val="-43"/>
        </w:rPr>
      </w:r>
      <w:r>
        <w:rPr/>
        <w:t>的不均衡，即是下半年明显高于上半年。</w:t>
      </w:r>
    </w:p>
    <w:p>
      <w:pPr>
        <w:pStyle w:val="BodyText"/>
        <w:spacing w:line="240" w:lineRule="auto" w:before="46"/>
        <w:ind w:left="573" w:right="99"/>
        <w:jc w:val="left"/>
      </w:pPr>
      <w:r>
        <w:rPr/>
        <w:t>因此，公司将不断加强生产计划和财务预算管理，尽可能降低季节性因素导致的资金需求和现金流量</w:t>
      </w:r>
    </w:p>
    <w:p>
      <w:pPr>
        <w:spacing w:after="0" w:line="240" w:lineRule="auto"/>
        <w:jc w:val="left"/>
        <w:sectPr>
          <w:pgSz w:w="11910" w:h="16840"/>
          <w:pgMar w:header="877" w:footer="1227" w:top="1100" w:bottom="1420" w:left="980" w:right="920"/>
        </w:sectPr>
      </w:pPr>
    </w:p>
    <w:p>
      <w:pPr>
        <w:spacing w:line="240" w:lineRule="auto" w:before="9"/>
        <w:rPr>
          <w:rFonts w:ascii="宋体" w:hAnsi="宋体" w:cs="宋体" w:eastAsia="宋体" w:hint="default"/>
          <w:sz w:val="26"/>
          <w:szCs w:val="26"/>
        </w:rPr>
      </w:pPr>
    </w:p>
    <w:p>
      <w:pPr>
        <w:pStyle w:val="BodyText"/>
        <w:spacing w:line="408" w:lineRule="auto" w:before="36"/>
        <w:ind w:left="152" w:right="0"/>
        <w:jc w:val="left"/>
      </w:pPr>
      <w:r>
        <w:rPr>
          <w:spacing w:val="-2"/>
        </w:rPr>
        <w:t>不均衡问题的影响。同时，要加强投资者关系管理，保持与投资者的充分沟通，以便投资者能及时、正确</w:t>
      </w:r>
      <w:r>
        <w:rPr>
          <w:spacing w:val="-43"/>
        </w:rPr>
        <w:t> </w:t>
      </w:r>
      <w:r>
        <w:rPr>
          <w:spacing w:val="-43"/>
        </w:rPr>
      </w:r>
      <w:r>
        <w:rPr/>
        <w:t>的了解公司的运营情况。</w:t>
      </w:r>
    </w:p>
    <w:p>
      <w:pPr>
        <w:spacing w:after="0" w:line="408" w:lineRule="auto"/>
        <w:jc w:val="left"/>
        <w:sectPr>
          <w:pgSz w:w="11910" w:h="16840"/>
          <w:pgMar w:header="877" w:footer="1227" w:top="1100" w:bottom="14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3590" w:right="3651"/>
        <w:jc w:val="center"/>
        <w:rPr>
          <w:b w:val="0"/>
          <w:bCs w:val="0"/>
        </w:rPr>
      </w:pPr>
      <w:bookmarkStart w:name="_TOC_250006" w:id="3"/>
      <w:r>
        <w:rPr/>
        <w:t>第四节</w:t>
      </w:r>
      <w:r>
        <w:rPr>
          <w:spacing w:val="-6"/>
        </w:rPr>
        <w:t> </w:t>
      </w:r>
      <w:r>
        <w:rPr/>
        <w:t>董事会报告</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一、管理层讨论与分析</w:t>
      </w:r>
      <w:r>
        <w:rPr>
          <w:b w:val="0"/>
          <w:bCs w:val="0"/>
        </w:rPr>
      </w:r>
    </w:p>
    <w:p>
      <w:pPr>
        <w:spacing w:line="240" w:lineRule="auto" w:before="10"/>
        <w:rPr>
          <w:rFonts w:ascii="宋体" w:hAnsi="宋体" w:cs="宋体" w:eastAsia="宋体" w:hint="default"/>
          <w:b/>
          <w:bCs/>
          <w:sz w:val="30"/>
          <w:szCs w:val="30"/>
        </w:rPr>
      </w:pPr>
    </w:p>
    <w:p>
      <w:pPr>
        <w:pStyle w:val="BodyText"/>
        <w:spacing w:line="398" w:lineRule="auto"/>
        <w:ind w:left="152" w:right="206" w:firstLine="420"/>
        <w:jc w:val="both"/>
      </w:pPr>
      <w:r>
        <w:rPr>
          <w:spacing w:val="-2"/>
        </w:rPr>
        <w:t>报告期内，公司继续专注于主营业务，提倡“合作共赢”的企业理念，按照年度经营计划有条不紊地</w:t>
      </w:r>
      <w:r>
        <w:rPr>
          <w:w w:val="100"/>
        </w:rPr>
        <w:t> </w:t>
      </w:r>
      <w:r>
        <w:rPr>
          <w:spacing w:val="-2"/>
        </w:rPr>
        <w:t>开展各项工作。</w:t>
      </w:r>
      <w:r>
        <w:rPr>
          <w:rFonts w:ascii="Times New Roman" w:hAnsi="Times New Roman" w:cs="Times New Roman" w:eastAsia="Times New Roman" w:hint="default"/>
          <w:spacing w:val="-2"/>
        </w:rPr>
        <w:t>2012</w:t>
      </w:r>
      <w:r>
        <w:rPr>
          <w:spacing w:val="-2"/>
        </w:rPr>
        <w:t>年度公司实现营业总收入</w:t>
      </w:r>
      <w:r>
        <w:rPr>
          <w:rFonts w:ascii="Times New Roman" w:hAnsi="Times New Roman" w:cs="Times New Roman" w:eastAsia="Times New Roman" w:hint="default"/>
          <w:spacing w:val="-2"/>
        </w:rPr>
        <w:t>34,999.75</w:t>
      </w:r>
      <w:r>
        <w:rPr>
          <w:spacing w:val="-2"/>
        </w:rPr>
        <w:t>万元，同比增长</w:t>
      </w:r>
      <w:r>
        <w:rPr>
          <w:rFonts w:ascii="Times New Roman" w:hAnsi="Times New Roman" w:cs="Times New Roman" w:eastAsia="Times New Roman" w:hint="default"/>
          <w:spacing w:val="-2"/>
        </w:rPr>
        <w:t>30.35%</w:t>
      </w:r>
      <w:r>
        <w:rPr>
          <w:spacing w:val="-2"/>
        </w:rPr>
        <w:t>，实现归属于母公司所有者</w:t>
      </w:r>
      <w:r>
        <w:rPr>
          <w:spacing w:val="-49"/>
        </w:rPr>
        <w:t> </w:t>
      </w:r>
      <w:r>
        <w:rPr>
          <w:spacing w:val="-49"/>
        </w:rPr>
      </w:r>
      <w:r>
        <w:rPr/>
        <w:t>净利润</w:t>
      </w:r>
      <w:r>
        <w:rPr>
          <w:rFonts w:ascii="Times New Roman" w:hAnsi="Times New Roman" w:cs="Times New Roman" w:eastAsia="Times New Roman" w:hint="default"/>
        </w:rPr>
        <w:t>7,843.16</w:t>
      </w:r>
      <w:r>
        <w:rPr/>
        <w:t>万元，同比增长</w:t>
      </w:r>
      <w:r>
        <w:rPr>
          <w:rFonts w:ascii="Times New Roman" w:hAnsi="Times New Roman" w:cs="Times New Roman" w:eastAsia="Times New Roman" w:hint="default"/>
        </w:rPr>
        <w:t>27.52%</w:t>
      </w:r>
      <w:r>
        <w:rPr/>
        <w:t>，基本完成了年度经营目标。</w:t>
      </w:r>
    </w:p>
    <w:p>
      <w:pPr>
        <w:pStyle w:val="BodyText"/>
        <w:spacing w:line="398" w:lineRule="auto" w:before="24"/>
        <w:ind w:left="152" w:right="206" w:firstLine="420"/>
        <w:jc w:val="both"/>
      </w:pPr>
      <w:r>
        <w:rPr>
          <w:rFonts w:ascii="Times New Roman" w:hAnsi="Times New Roman" w:cs="Times New Roman" w:eastAsia="Times New Roman" w:hint="default"/>
          <w:spacing w:val="-2"/>
        </w:rPr>
        <w:t>2012</w:t>
      </w:r>
      <w:r>
        <w:rPr>
          <w:spacing w:val="-2"/>
        </w:rPr>
        <w:t>年公司获得计算机信息系统集成贰级资质和国家规划布局重点软件企业。信息系统集成贰级资质</w:t>
      </w:r>
      <w:r>
        <w:rPr>
          <w:w w:val="100"/>
        </w:rPr>
        <w:t> </w:t>
      </w:r>
      <w:r>
        <w:rPr>
          <w:spacing w:val="-2"/>
        </w:rPr>
        <w:t>对公司今后承接更大型的集成项目，奠定了资质方面的基础。国家规划布局重点软件企业资质，证明公司</w:t>
      </w:r>
      <w:r>
        <w:rPr>
          <w:spacing w:val="-44"/>
        </w:rPr>
        <w:t> </w:t>
      </w:r>
      <w:r>
        <w:rPr>
          <w:spacing w:val="-44"/>
        </w:rPr>
      </w:r>
      <w:r>
        <w:rPr>
          <w:spacing w:val="-2"/>
        </w:rPr>
        <w:t>软件研发能力进入国家队行列。</w:t>
      </w:r>
      <w:r>
        <w:rPr>
          <w:rFonts w:ascii="Times New Roman" w:hAnsi="Times New Roman" w:cs="Times New Roman" w:eastAsia="Times New Roman" w:hint="default"/>
          <w:spacing w:val="-2"/>
        </w:rPr>
        <w:t>2012</w:t>
      </w:r>
      <w:r>
        <w:rPr>
          <w:spacing w:val="-2"/>
        </w:rPr>
        <w:t>年公司还获得国家火炬计划软件产业基地骨干企业、</w:t>
      </w:r>
      <w:r>
        <w:rPr>
          <w:rFonts w:ascii="Times New Roman" w:hAnsi="Times New Roman" w:cs="Times New Roman" w:eastAsia="Times New Roman" w:hint="default"/>
          <w:spacing w:val="-2"/>
        </w:rPr>
        <w:t>2012</w:t>
      </w:r>
      <w:r>
        <w:rPr>
          <w:spacing w:val="-2"/>
        </w:rPr>
        <w:t>福布斯中国</w:t>
      </w:r>
      <w:r>
        <w:rPr>
          <w:spacing w:val="-35"/>
        </w:rPr>
        <w:t> </w:t>
      </w:r>
      <w:r>
        <w:rPr>
          <w:spacing w:val="-35"/>
        </w:rPr>
      </w:r>
      <w:r>
        <w:rPr>
          <w:spacing w:val="-2"/>
        </w:rPr>
        <w:t>最佳潜力企业、中国上市公司竞争力公信力调查组委会最佳创业板企业奖、厦门市优秀创新型企业等荣誉</w:t>
      </w:r>
      <w:r>
        <w:rPr>
          <w:spacing w:val="-42"/>
        </w:rPr>
        <w:t> </w:t>
      </w:r>
      <w:r>
        <w:rPr>
          <w:spacing w:val="-42"/>
        </w:rPr>
      </w:r>
      <w:r>
        <w:rPr/>
        <w:t>称号。</w:t>
      </w:r>
    </w:p>
    <w:p>
      <w:pPr>
        <w:pStyle w:val="BodyText"/>
        <w:spacing w:line="240" w:lineRule="auto" w:before="54"/>
        <w:ind w:left="573" w:right="99"/>
        <w:jc w:val="left"/>
      </w:pPr>
      <w:r>
        <w:rPr/>
        <w:t>报告期内公司主要经营情况如下：</w:t>
      </w:r>
    </w:p>
    <w:p>
      <w:pPr>
        <w:spacing w:line="240" w:lineRule="auto" w:before="10"/>
        <w:rPr>
          <w:rFonts w:ascii="宋体" w:hAnsi="宋体" w:cs="宋体" w:eastAsia="宋体" w:hint="default"/>
          <w:sz w:val="14"/>
          <w:szCs w:val="14"/>
        </w:rPr>
      </w:pPr>
    </w:p>
    <w:p>
      <w:pPr>
        <w:pStyle w:val="BodyText"/>
        <w:spacing w:line="408" w:lineRule="auto"/>
        <w:ind w:left="573" w:right="99"/>
        <w:jc w:val="left"/>
      </w:pPr>
      <w:r>
        <w:rPr/>
        <w:t>（一）募集资金使用及投资并购情况</w:t>
      </w:r>
      <w:r>
        <w:rPr>
          <w:w w:val="100"/>
        </w:rPr>
        <w:t> </w:t>
      </w:r>
      <w:r>
        <w:rPr>
          <w:spacing w:val="-5"/>
          <w:w w:val="100"/>
        </w:rPr>
        <w:t>报告期内，公司投入电子数据取证产品项目金额为</w:t>
      </w:r>
      <w:r>
        <w:rPr>
          <w:rFonts w:ascii="Times New Roman" w:hAnsi="Times New Roman" w:cs="Times New Roman" w:eastAsia="Times New Roman" w:hint="default"/>
          <w:spacing w:val="-5"/>
          <w:w w:val="100"/>
        </w:rPr>
        <w:t>660.69</w:t>
      </w:r>
      <w:r>
        <w:rPr>
          <w:spacing w:val="-5"/>
          <w:w w:val="100"/>
        </w:rPr>
        <w:t>万元，截止报告期末投资总额为</w:t>
      </w:r>
      <w:r>
        <w:rPr>
          <w:rFonts w:ascii="Times New Roman" w:hAnsi="Times New Roman" w:cs="Times New Roman" w:eastAsia="Times New Roman" w:hint="default"/>
          <w:spacing w:val="-5"/>
          <w:w w:val="100"/>
        </w:rPr>
        <w:t>5,843.70</w:t>
      </w:r>
      <w:r>
        <w:rPr>
          <w:spacing w:val="-5"/>
          <w:w w:val="100"/>
        </w:rPr>
        <w:t>万元，</w:t>
      </w:r>
    </w:p>
    <w:p>
      <w:pPr>
        <w:pStyle w:val="BodyText"/>
        <w:spacing w:line="386" w:lineRule="auto" w:before="15"/>
        <w:ind w:left="152" w:right="103"/>
        <w:jc w:val="both"/>
      </w:pPr>
      <w:r>
        <w:rPr>
          <w:spacing w:val="-2"/>
        </w:rPr>
        <w:t>投资进度达到</w:t>
      </w:r>
      <w:r>
        <w:rPr>
          <w:rFonts w:ascii="Times New Roman" w:hAnsi="Times New Roman" w:cs="Times New Roman" w:eastAsia="Times New Roman" w:hint="default"/>
          <w:spacing w:val="-2"/>
        </w:rPr>
        <w:t>83.56%</w:t>
      </w:r>
      <w:r>
        <w:rPr>
          <w:spacing w:val="-2"/>
        </w:rPr>
        <w:t>；投入网络信息安全产品项目金额为</w:t>
      </w:r>
      <w:r>
        <w:rPr>
          <w:rFonts w:ascii="Times New Roman" w:hAnsi="Times New Roman" w:cs="Times New Roman" w:eastAsia="Times New Roman" w:hint="default"/>
          <w:spacing w:val="-2"/>
        </w:rPr>
        <w:t>1,542.40</w:t>
      </w:r>
      <w:r>
        <w:rPr>
          <w:spacing w:val="-2"/>
        </w:rPr>
        <w:t>万元，截止报告期末投资总额为</w:t>
      </w:r>
      <w:r>
        <w:rPr>
          <w:rFonts w:ascii="Times New Roman" w:hAnsi="Times New Roman" w:cs="Times New Roman" w:eastAsia="Times New Roman" w:hint="default"/>
          <w:spacing w:val="-2"/>
        </w:rPr>
        <w:t>5,228.28</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t>万元，投资进度达到</w:t>
      </w:r>
      <w:r>
        <w:rPr>
          <w:rFonts w:ascii="Times New Roman" w:hAnsi="Times New Roman" w:cs="Times New Roman" w:eastAsia="Times New Roman" w:hint="default"/>
        </w:rPr>
        <w:t>83.10%</w:t>
      </w:r>
      <w:r>
        <w:rPr/>
        <w:t>；投入电子数据鉴定及知识产权保护服务项目金额为</w:t>
      </w:r>
      <w:r>
        <w:rPr>
          <w:rFonts w:ascii="Times New Roman" w:hAnsi="Times New Roman" w:cs="Times New Roman" w:eastAsia="Times New Roman" w:hint="default"/>
        </w:rPr>
        <w:t>727.76</w:t>
      </w:r>
      <w:r>
        <w:rPr/>
        <w:t>万元，截止报告期</w:t>
      </w:r>
      <w:r>
        <w:rPr>
          <w:w w:val="100"/>
        </w:rPr>
        <w:t> </w:t>
      </w:r>
      <w:r>
        <w:rPr>
          <w:spacing w:val="-2"/>
        </w:rPr>
        <w:t>末投资总额为</w:t>
      </w:r>
      <w:r>
        <w:rPr>
          <w:rFonts w:ascii="Times New Roman" w:hAnsi="Times New Roman" w:cs="Times New Roman" w:eastAsia="Times New Roman" w:hint="default"/>
          <w:spacing w:val="-2"/>
        </w:rPr>
        <w:t>2,109.30</w:t>
      </w:r>
      <w:r>
        <w:rPr>
          <w:spacing w:val="-2"/>
        </w:rPr>
        <w:t>万元，投资进度达到</w:t>
      </w:r>
      <w:r>
        <w:rPr>
          <w:rFonts w:ascii="Times New Roman" w:hAnsi="Times New Roman" w:cs="Times New Roman" w:eastAsia="Times New Roman" w:hint="default"/>
          <w:spacing w:val="-2"/>
        </w:rPr>
        <w:t>60.96%</w:t>
      </w:r>
      <w:r>
        <w:rPr>
          <w:spacing w:val="-2"/>
        </w:rPr>
        <w:t>；报告期内，公司不存在募集资金投资项目变更的情况。</w:t>
      </w:r>
    </w:p>
    <w:p>
      <w:pPr>
        <w:pStyle w:val="BodyText"/>
        <w:spacing w:line="408" w:lineRule="auto" w:before="35"/>
        <w:ind w:left="152" w:right="99" w:firstLine="420"/>
        <w:jc w:val="left"/>
      </w:pPr>
      <w:r>
        <w:rPr>
          <w:spacing w:val="-5"/>
        </w:rPr>
        <w:t>为进一步扩大公司的生产经营规模，提高产品市场占有率，拓展产品应用领域，增强公司综合竞争力，</w:t>
      </w:r>
      <w:r>
        <w:rPr>
          <w:w w:val="100"/>
        </w:rPr>
        <w:t> </w:t>
      </w:r>
      <w:r>
        <w:rPr>
          <w:spacing w:val="-2"/>
        </w:rPr>
        <w:t>结合公司发展规划及自身实际经营情况，公司审议制定了如下超募资金使用规划：①使用超募资金人民币</w:t>
      </w:r>
      <w:r>
        <w:rPr>
          <w:spacing w:val="-42"/>
        </w:rPr>
        <w:t> </w:t>
      </w:r>
      <w:r>
        <w:rPr>
          <w:spacing w:val="-42"/>
        </w:rPr>
      </w:r>
      <w:r>
        <w:rPr>
          <w:rFonts w:ascii="Times New Roman" w:hAnsi="Times New Roman" w:cs="Times New Roman" w:eastAsia="Times New Roman" w:hint="default"/>
        </w:rPr>
        <w:t>1,363.15</w:t>
      </w:r>
      <w:r>
        <w:rPr/>
        <w:t>万元投资建设电子数据公证云项目；②使用超募资金人民币</w:t>
      </w:r>
      <w:r>
        <w:rPr>
          <w:rFonts w:ascii="Times New Roman" w:hAnsi="Times New Roman" w:cs="Times New Roman" w:eastAsia="Times New Roman" w:hint="default"/>
        </w:rPr>
        <w:t>3,012.49</w:t>
      </w:r>
      <w:r>
        <w:rPr/>
        <w:t>万元追加投资建设超算中心</w:t>
      </w:r>
    </w:p>
    <w:p>
      <w:pPr>
        <w:pStyle w:val="BodyText"/>
        <w:spacing w:line="386" w:lineRule="auto" w:before="14"/>
        <w:ind w:left="152" w:right="99"/>
        <w:jc w:val="left"/>
      </w:pPr>
      <w:r>
        <w:rPr>
          <w:spacing w:val="-2"/>
        </w:rPr>
        <w:t>（云计算中心）项目；③使用超募资金人民币</w:t>
      </w:r>
      <w:r>
        <w:rPr>
          <w:rFonts w:ascii="Times New Roman" w:hAnsi="Times New Roman" w:cs="Times New Roman" w:eastAsia="Times New Roman" w:hint="default"/>
          <w:spacing w:val="-2"/>
        </w:rPr>
        <w:t>16,468.61</w:t>
      </w:r>
      <w:r>
        <w:rPr>
          <w:spacing w:val="-2"/>
        </w:rPr>
        <w:t>万元购买大楼用于建设研发生产中心项目，目前大</w:t>
      </w:r>
      <w:r>
        <w:rPr>
          <w:spacing w:val="-38"/>
        </w:rPr>
        <w:t> </w:t>
      </w:r>
      <w:r>
        <w:rPr>
          <w:spacing w:val="-38"/>
        </w:rPr>
      </w:r>
      <w:r>
        <w:rPr/>
        <w:t>楼主体已经交付，正在进行装修设计。</w:t>
      </w:r>
    </w:p>
    <w:p>
      <w:pPr>
        <w:pStyle w:val="BodyText"/>
        <w:spacing w:line="386" w:lineRule="auto" w:before="65"/>
        <w:ind w:left="152" w:right="206" w:firstLine="420"/>
        <w:jc w:val="both"/>
      </w:pPr>
      <w:r>
        <w:rPr/>
        <w:t>报告期内，公司启动</w:t>
      </w:r>
      <w:r>
        <w:rPr>
          <w:rFonts w:ascii="Times New Roman" w:hAnsi="Times New Roman" w:cs="Times New Roman" w:eastAsia="Times New Roman" w:hint="default"/>
        </w:rPr>
        <w:t>4</w:t>
      </w:r>
      <w:r>
        <w:rPr/>
        <w:t>个对外投资项目，其中“关于使用自有资金投资设立厦门市美亚鹭江公证云信</w:t>
      </w:r>
      <w:r>
        <w:rPr>
          <w:w w:val="100"/>
        </w:rPr>
        <w:t> </w:t>
      </w:r>
      <w:r>
        <w:rPr>
          <w:spacing w:val="-2"/>
        </w:rPr>
        <w:t>息服务有限公司”的合作事项尚在进一步商榷中，其他</w:t>
      </w:r>
      <w:r>
        <w:rPr>
          <w:rFonts w:ascii="Times New Roman" w:hAnsi="Times New Roman" w:cs="Times New Roman" w:eastAsia="Times New Roman" w:hint="default"/>
          <w:spacing w:val="-2"/>
        </w:rPr>
        <w:t>3</w:t>
      </w:r>
      <w:r>
        <w:rPr>
          <w:spacing w:val="-2"/>
        </w:rPr>
        <w:t>个对外投资项目已基本完成，累计对外投资</w:t>
      </w:r>
      <w:r>
        <w:rPr>
          <w:rFonts w:ascii="Times New Roman" w:hAnsi="Times New Roman" w:cs="Times New Roman" w:eastAsia="Times New Roman" w:hint="default"/>
          <w:spacing w:val="-2"/>
        </w:rPr>
        <w:t>1,027</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t>万元，包括：①使用自有资金</w:t>
      </w:r>
      <w:r>
        <w:rPr>
          <w:rFonts w:ascii="Times New Roman" w:hAnsi="Times New Roman" w:cs="Times New Roman" w:eastAsia="Times New Roman" w:hint="default"/>
        </w:rPr>
        <w:t>100</w:t>
      </w:r>
      <w:r>
        <w:rPr/>
        <w:t>万元对杭州攀克网络技术有限公司进行了增资，增资后公司持有杭州攀</w:t>
      </w:r>
      <w:r>
        <w:rPr>
          <w:w w:val="100"/>
        </w:rPr>
        <w:t> </w:t>
      </w:r>
      <w:r>
        <w:rPr>
          <w:spacing w:val="-2"/>
        </w:rPr>
        <w:t>克</w:t>
      </w:r>
      <w:r>
        <w:rPr>
          <w:rFonts w:ascii="Times New Roman" w:hAnsi="Times New Roman" w:cs="Times New Roman" w:eastAsia="Times New Roman" w:hint="default"/>
          <w:spacing w:val="-2"/>
        </w:rPr>
        <w:t>10.71%</w:t>
      </w:r>
      <w:r>
        <w:rPr>
          <w:spacing w:val="-2"/>
        </w:rPr>
        <w:t>的股权；②使用自有资金</w:t>
      </w:r>
      <w:r>
        <w:rPr>
          <w:rFonts w:ascii="Times New Roman" w:hAnsi="Times New Roman" w:cs="Times New Roman" w:eastAsia="Times New Roman" w:hint="default"/>
          <w:spacing w:val="-2"/>
        </w:rPr>
        <w:t>447</w:t>
      </w:r>
      <w:r>
        <w:rPr>
          <w:spacing w:val="-2"/>
        </w:rPr>
        <w:t>万元对厦门美亚中敏电子科技有限公司进行增资，增资后公司持有</w:t>
      </w:r>
      <w:r>
        <w:rPr>
          <w:spacing w:val="-15"/>
        </w:rPr>
        <w:t> </w:t>
      </w:r>
      <w:r>
        <w:rPr>
          <w:spacing w:val="-15"/>
        </w:rPr>
      </w:r>
      <w:r>
        <w:rPr>
          <w:spacing w:val="-2"/>
        </w:rPr>
        <w:t>美亚中敏</w:t>
      </w:r>
      <w:r>
        <w:rPr>
          <w:rFonts w:ascii="Times New Roman" w:hAnsi="Times New Roman" w:cs="Times New Roman" w:eastAsia="Times New Roman" w:hint="default"/>
          <w:spacing w:val="-2"/>
        </w:rPr>
        <w:t>67.73%</w:t>
      </w:r>
      <w:r>
        <w:rPr>
          <w:spacing w:val="-2"/>
        </w:rPr>
        <w:t>股权；③使用自有资金</w:t>
      </w:r>
      <w:r>
        <w:rPr>
          <w:rFonts w:ascii="Times New Roman" w:hAnsi="Times New Roman" w:cs="Times New Roman" w:eastAsia="Times New Roman" w:hint="default"/>
          <w:spacing w:val="-2"/>
        </w:rPr>
        <w:t>480</w:t>
      </w:r>
      <w:r>
        <w:rPr>
          <w:spacing w:val="-2"/>
        </w:rPr>
        <w:t>万元对厦门市巨龙信息科技有限公司进行增资，增资后公司持</w:t>
      </w:r>
      <w:r>
        <w:rPr>
          <w:spacing w:val="-15"/>
        </w:rPr>
        <w:t> </w:t>
      </w:r>
      <w:r>
        <w:rPr>
          <w:spacing w:val="-15"/>
        </w:rPr>
      </w:r>
      <w:r>
        <w:rPr>
          <w:spacing w:val="-4"/>
        </w:rPr>
        <w:t>有巨龙信息</w:t>
      </w:r>
      <w:r>
        <w:rPr>
          <w:rFonts w:ascii="Times New Roman" w:hAnsi="Times New Roman" w:cs="Times New Roman" w:eastAsia="Times New Roman" w:hint="default"/>
          <w:spacing w:val="-4"/>
        </w:rPr>
        <w:t>8%</w:t>
      </w:r>
      <w:r>
        <w:rPr>
          <w:spacing w:val="-4"/>
        </w:rPr>
        <w:t>的股权。这几项投资提升了公司的硬件层面高速处理能力、装备制造能力及警用信息化产品</w:t>
      </w:r>
    </w:p>
    <w:p>
      <w:pPr>
        <w:spacing w:after="0" w:line="386" w:lineRule="auto"/>
        <w:jc w:val="both"/>
        <w:sectPr>
          <w:pgSz w:w="11910" w:h="16840"/>
          <w:pgMar w:header="877" w:footer="1227" w:top="1100" w:bottom="1420" w:left="980" w:right="920"/>
        </w:sectPr>
      </w:pPr>
    </w:p>
    <w:p>
      <w:pPr>
        <w:spacing w:line="240" w:lineRule="auto" w:before="9"/>
        <w:rPr>
          <w:rFonts w:ascii="宋体" w:hAnsi="宋体" w:cs="宋体" w:eastAsia="宋体" w:hint="default"/>
          <w:sz w:val="26"/>
          <w:szCs w:val="26"/>
        </w:rPr>
      </w:pPr>
    </w:p>
    <w:p>
      <w:pPr>
        <w:pStyle w:val="BodyText"/>
        <w:spacing w:line="240" w:lineRule="auto" w:before="36"/>
        <w:ind w:left="152" w:right="0"/>
        <w:jc w:val="both"/>
      </w:pPr>
      <w:r>
        <w:rPr/>
        <w:t>的研发能力。</w:t>
      </w:r>
    </w:p>
    <w:p>
      <w:pPr>
        <w:spacing w:line="240" w:lineRule="auto" w:before="10"/>
        <w:rPr>
          <w:rFonts w:ascii="宋体" w:hAnsi="宋体" w:cs="宋体" w:eastAsia="宋体" w:hint="default"/>
          <w:sz w:val="14"/>
          <w:szCs w:val="14"/>
        </w:rPr>
      </w:pPr>
    </w:p>
    <w:p>
      <w:pPr>
        <w:pStyle w:val="BodyText"/>
        <w:spacing w:line="408" w:lineRule="auto"/>
        <w:ind w:left="573" w:right="0"/>
        <w:jc w:val="left"/>
      </w:pPr>
      <w:r>
        <w:rPr/>
        <w:t>（二）市场营销方面</w:t>
      </w:r>
      <w:r>
        <w:rPr>
          <w:w w:val="100"/>
        </w:rPr>
        <w:t> </w:t>
      </w:r>
      <w:r>
        <w:rPr>
          <w:spacing w:val="-2"/>
        </w:rPr>
        <w:t>报告期内，公司继续围绕“小产品</w:t>
      </w:r>
      <w:r>
        <w:rPr>
          <w:rFonts w:ascii="Times New Roman" w:hAnsi="Times New Roman" w:cs="Times New Roman" w:eastAsia="Times New Roman" w:hint="default"/>
          <w:spacing w:val="-2"/>
        </w:rPr>
        <w:t>+</w:t>
      </w:r>
      <w:r>
        <w:rPr>
          <w:spacing w:val="-2"/>
        </w:rPr>
        <w:t>大服务”的模式展开营销和市场活动，着力向纵深和横向两个维</w:t>
      </w:r>
    </w:p>
    <w:p>
      <w:pPr>
        <w:pStyle w:val="BodyText"/>
        <w:spacing w:line="400" w:lineRule="auto" w:before="14"/>
        <w:ind w:left="152" w:right="147"/>
        <w:jc w:val="both"/>
      </w:pPr>
      <w:r>
        <w:rPr>
          <w:spacing w:val="-2"/>
        </w:rPr>
        <w:t>度拓展。两大产品（电子数据取证产品及网络信息安全产品）依然是公司的主要收入来源，同时也继续巩</w:t>
      </w:r>
      <w:r>
        <w:rPr>
          <w:spacing w:val="-47"/>
        </w:rPr>
        <w:t> </w:t>
      </w:r>
      <w:r>
        <w:rPr>
          <w:spacing w:val="-47"/>
        </w:rPr>
      </w:r>
      <w:r>
        <w:rPr>
          <w:spacing w:val="-2"/>
        </w:rPr>
        <w:t>固在行业中的领先地位，</w:t>
      </w:r>
      <w:r>
        <w:rPr>
          <w:rFonts w:ascii="Times New Roman" w:hAnsi="Times New Roman" w:cs="Times New Roman" w:eastAsia="Times New Roman" w:hint="default"/>
          <w:spacing w:val="-2"/>
        </w:rPr>
        <w:t>2012</w:t>
      </w:r>
      <w:r>
        <w:rPr>
          <w:spacing w:val="-2"/>
        </w:rPr>
        <w:t>年原有两大服务（电子数据鉴定服务及数字知识产权保护服务）持续稳步发</w:t>
      </w:r>
      <w:r>
        <w:rPr>
          <w:spacing w:val="-42"/>
        </w:rPr>
        <w:t> </w:t>
      </w:r>
      <w:r>
        <w:rPr>
          <w:spacing w:val="-42"/>
        </w:rPr>
      </w:r>
      <w:r>
        <w:rPr>
          <w:spacing w:val="-2"/>
        </w:rPr>
        <w:t>展，新增取证云、搜索云、公证云三朵云的服务，充分发挥公司在计算资源和核心技术方面的优势，针对</w:t>
      </w:r>
      <w:r>
        <w:rPr>
          <w:spacing w:val="-43"/>
        </w:rPr>
        <w:t> </w:t>
      </w:r>
      <w:r>
        <w:rPr>
          <w:spacing w:val="-43"/>
        </w:rPr>
      </w:r>
      <w:r>
        <w:rPr/>
        <w:t>民用及服务市场进行拓展，用户数稳定增长，并已经取得一定的收入。</w:t>
      </w:r>
    </w:p>
    <w:p>
      <w:pPr>
        <w:pStyle w:val="BodyText"/>
        <w:spacing w:line="405" w:lineRule="auto" w:before="52"/>
        <w:ind w:left="152" w:right="146" w:firstLine="420"/>
        <w:jc w:val="both"/>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月第十一届全国人大常务委员会第五次会议通过的《刑事诉讼法修正案》及</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月第十一</w:t>
      </w:r>
      <w:r>
        <w:rPr>
          <w:w w:val="100"/>
        </w:rPr>
        <w:t> </w:t>
      </w:r>
      <w:r>
        <w:rPr>
          <w:spacing w:val="-2"/>
        </w:rPr>
        <w:t>届全国人大常务委员会第二十八次会议通过的《民事诉讼法修正案》，均首次明确将电子数据列为新的法</w:t>
      </w:r>
      <w:r>
        <w:rPr>
          <w:spacing w:val="-43"/>
        </w:rPr>
        <w:t> </w:t>
      </w:r>
      <w:r>
        <w:rPr>
          <w:spacing w:val="-43"/>
        </w:rPr>
      </w:r>
      <w:r>
        <w:rPr>
          <w:spacing w:val="-2"/>
        </w:rPr>
        <w:t>定证据类型，从法律层面上确认了电子数据的证据地位。因此对涉及电子数据取证技术的多个司法机关及</w:t>
      </w:r>
      <w:r>
        <w:rPr>
          <w:spacing w:val="-43"/>
        </w:rPr>
        <w:t> </w:t>
      </w:r>
      <w:r>
        <w:rPr>
          <w:spacing w:val="-43"/>
        </w:rPr>
      </w:r>
      <w:r>
        <w:rPr>
          <w:spacing w:val="-2"/>
        </w:rPr>
        <w:t>行政执法部门有较大的影响和促进，应用需求不断增加，并纷纷出台相关的建设要求和标准。因此报告期</w:t>
      </w:r>
      <w:r>
        <w:rPr>
          <w:spacing w:val="-48"/>
        </w:rPr>
        <w:t> </w:t>
      </w:r>
      <w:r>
        <w:rPr>
          <w:spacing w:val="-48"/>
        </w:rPr>
      </w:r>
      <w:r>
        <w:rPr>
          <w:spacing w:val="-2"/>
        </w:rPr>
        <w:t>内，公司加大了在公安、检察院和工商等行业的市场投入，举办了多次全国性的培训班和市场活动，获得</w:t>
      </w:r>
      <w:r>
        <w:rPr>
          <w:spacing w:val="-48"/>
        </w:rPr>
        <w:t> </w:t>
      </w:r>
      <w:r>
        <w:rPr>
          <w:spacing w:val="-48"/>
        </w:rPr>
      </w:r>
      <w:r>
        <w:rPr>
          <w:spacing w:val="-2"/>
        </w:rPr>
        <w:t>较好的宣传及培育市场的效果。销售管理实行大区制并初见成效，适应公司销售渠道下沉及行业横向拓展</w:t>
      </w:r>
      <w:r>
        <w:rPr>
          <w:spacing w:val="-42"/>
        </w:rPr>
        <w:t> </w:t>
      </w:r>
      <w:r>
        <w:rPr>
          <w:spacing w:val="-42"/>
        </w:rPr>
      </w:r>
      <w:r>
        <w:rPr/>
        <w:t>的要求，区县客户增长数量较多，业绩持续稳定增长。</w:t>
      </w:r>
    </w:p>
    <w:p>
      <w:pPr>
        <w:pStyle w:val="BodyText"/>
        <w:spacing w:line="398" w:lineRule="auto" w:before="48"/>
        <w:ind w:left="152" w:right="146" w:firstLine="420"/>
        <w:jc w:val="both"/>
      </w:pPr>
      <w:r>
        <w:rPr>
          <w:spacing w:val="-2"/>
        </w:rPr>
        <w:t>此外，在保障公司营销工作有序展开的基础上，公司继续完善涵盖全国的区域市场营销体系和技术支</w:t>
      </w:r>
      <w:r>
        <w:rPr>
          <w:w w:val="100"/>
        </w:rPr>
        <w:t> </w:t>
      </w:r>
      <w:r>
        <w:rPr>
          <w:spacing w:val="-2"/>
        </w:rPr>
        <w:t>持体系，截至报告期末，公司共拥有</w:t>
      </w:r>
      <w:r>
        <w:rPr>
          <w:rFonts w:ascii="Times New Roman" w:hAnsi="Times New Roman" w:cs="Times New Roman" w:eastAsia="Times New Roman" w:hint="default"/>
          <w:spacing w:val="-2"/>
        </w:rPr>
        <w:t>2</w:t>
      </w:r>
      <w:r>
        <w:rPr>
          <w:spacing w:val="-2"/>
        </w:rPr>
        <w:t>家全资子公司、</w:t>
      </w:r>
      <w:r>
        <w:rPr>
          <w:rFonts w:ascii="Times New Roman" w:hAnsi="Times New Roman" w:cs="Times New Roman" w:eastAsia="Times New Roman" w:hint="default"/>
          <w:spacing w:val="-2"/>
        </w:rPr>
        <w:t>1</w:t>
      </w:r>
      <w:r>
        <w:rPr>
          <w:spacing w:val="-2"/>
        </w:rPr>
        <w:t>家控股公司，</w:t>
      </w:r>
      <w:r>
        <w:rPr>
          <w:rFonts w:ascii="Times New Roman" w:hAnsi="Times New Roman" w:cs="Times New Roman" w:eastAsia="Times New Roman" w:hint="default"/>
          <w:spacing w:val="-2"/>
        </w:rPr>
        <w:t>1</w:t>
      </w:r>
      <w:r>
        <w:rPr>
          <w:spacing w:val="-2"/>
        </w:rPr>
        <w:t>家参股公司、</w:t>
      </w:r>
      <w:r>
        <w:rPr>
          <w:rFonts w:ascii="Times New Roman" w:hAnsi="Times New Roman" w:cs="Times New Roman" w:eastAsia="Times New Roman" w:hint="default"/>
          <w:spacing w:val="-2"/>
        </w:rPr>
        <w:t>1</w:t>
      </w:r>
      <w:r>
        <w:rPr>
          <w:spacing w:val="-2"/>
        </w:rPr>
        <w:t>家分公司、</w:t>
      </w:r>
      <w:r>
        <w:rPr>
          <w:rFonts w:ascii="Times New Roman" w:hAnsi="Times New Roman" w:cs="Times New Roman" w:eastAsia="Times New Roman" w:hint="default"/>
          <w:spacing w:val="-2"/>
        </w:rPr>
        <w:t>20</w:t>
      </w:r>
      <w:r>
        <w:rPr>
          <w:spacing w:val="-2"/>
        </w:rPr>
        <w:t>个办事</w:t>
      </w:r>
      <w:r>
        <w:rPr>
          <w:spacing w:val="-41"/>
        </w:rPr>
        <w:t> </w:t>
      </w:r>
      <w:r>
        <w:rPr/>
        <w:t>处。</w:t>
      </w:r>
    </w:p>
    <w:p>
      <w:pPr>
        <w:pStyle w:val="BodyText"/>
        <w:spacing w:line="240" w:lineRule="auto" w:before="54"/>
        <w:ind w:left="573" w:right="0"/>
        <w:jc w:val="left"/>
      </w:pPr>
      <w:r>
        <w:rPr/>
        <w:t>（三）核心产品及技术研发方面</w:t>
      </w:r>
    </w:p>
    <w:p>
      <w:pPr>
        <w:spacing w:line="240" w:lineRule="auto" w:before="10"/>
        <w:rPr>
          <w:rFonts w:ascii="宋体" w:hAnsi="宋体" w:cs="宋体" w:eastAsia="宋体" w:hint="default"/>
          <w:sz w:val="14"/>
          <w:szCs w:val="14"/>
        </w:rPr>
      </w:pPr>
    </w:p>
    <w:p>
      <w:pPr>
        <w:pStyle w:val="BodyText"/>
        <w:spacing w:line="398" w:lineRule="auto"/>
        <w:ind w:left="152" w:right="148" w:firstLine="420"/>
        <w:jc w:val="both"/>
      </w:pPr>
      <w:r>
        <w:rPr>
          <w:rFonts w:ascii="Times New Roman" w:hAnsi="Times New Roman" w:cs="Times New Roman" w:eastAsia="Times New Roman" w:hint="default"/>
          <w:spacing w:val="-2"/>
        </w:rPr>
        <w:t>2012</w:t>
      </w:r>
      <w:r>
        <w:rPr>
          <w:spacing w:val="-2"/>
        </w:rPr>
        <w:t>年公司产品及技术研发策略是在</w:t>
      </w:r>
      <w:r>
        <w:rPr>
          <w:rFonts w:ascii="Times New Roman" w:hAnsi="Times New Roman" w:cs="Times New Roman" w:eastAsia="Times New Roman" w:hint="default"/>
          <w:spacing w:val="-2"/>
        </w:rPr>
        <w:t>2011</w:t>
      </w:r>
      <w:r>
        <w:rPr>
          <w:spacing w:val="-2"/>
        </w:rPr>
        <w:t>年的“硬件产品装备化，软件产品平台化”的基础上，增加</w:t>
      </w:r>
      <w:r>
        <w:rPr>
          <w:w w:val="100"/>
        </w:rPr>
        <w:t> </w:t>
      </w:r>
      <w:r>
        <w:rPr>
          <w:spacing w:val="-2"/>
        </w:rPr>
        <w:t>“服务产品资源化”，充分发挥公司多年来积累的各种资源，核心技术在行业持续领先。同时将公司的产</w:t>
      </w:r>
      <w:r>
        <w:rPr>
          <w:spacing w:val="-46"/>
        </w:rPr>
        <w:t> </w:t>
      </w:r>
      <w:r>
        <w:rPr>
          <w:spacing w:val="-46"/>
        </w:rPr>
      </w:r>
      <w:r>
        <w:rPr/>
        <w:t>品和服务高效整合，进一步提升产品的市场竞争力及用户的使用黏性，获得良好的效果。</w:t>
      </w:r>
    </w:p>
    <w:p>
      <w:pPr>
        <w:pStyle w:val="BodyText"/>
        <w:spacing w:line="386" w:lineRule="auto" w:before="54"/>
        <w:ind w:left="152" w:right="148" w:firstLine="420"/>
        <w:jc w:val="both"/>
      </w:pPr>
      <w:r>
        <w:rPr>
          <w:spacing w:val="-3"/>
        </w:rPr>
        <w:t>公司重视在研发方面的投入，费用不断加大已占公司营业收入的</w:t>
      </w:r>
      <w:r>
        <w:rPr>
          <w:rFonts w:ascii="Times New Roman" w:hAnsi="Times New Roman" w:cs="Times New Roman" w:eastAsia="Times New Roman" w:hint="default"/>
          <w:spacing w:val="-3"/>
        </w:rPr>
        <w:t>14.03%</w:t>
      </w:r>
      <w:r>
        <w:rPr>
          <w:spacing w:val="-3"/>
        </w:rPr>
        <w:t>，组织架构进行调整，将原来</w:t>
      </w:r>
      <w:r>
        <w:rPr>
          <w:w w:val="100"/>
        </w:rPr>
        <w:t> </w:t>
      </w:r>
      <w:r>
        <w:rPr/>
        <w:t>软件研发中心改建为平台技术研究院，将原来硬件研发中心改建为装备技术研究院，研究院下设中心。</w:t>
      </w:r>
    </w:p>
    <w:p>
      <w:pPr>
        <w:pStyle w:val="BodyText"/>
        <w:spacing w:line="403" w:lineRule="auto" w:before="65"/>
        <w:ind w:left="152" w:right="146" w:firstLine="420"/>
        <w:jc w:val="both"/>
      </w:pPr>
      <w:r>
        <w:rPr>
          <w:spacing w:val="-2"/>
        </w:rPr>
        <w:t>平台技术研究院为了适应移动互联网技术的发展，专门成立大数据的研发团队，推出自己的大数据技</w:t>
      </w:r>
      <w:r>
        <w:rPr>
          <w:w w:val="100"/>
        </w:rPr>
        <w:t> </w:t>
      </w:r>
      <w:r>
        <w:rPr>
          <w:spacing w:val="-2"/>
        </w:rPr>
        <w:t>术架构平台，使得公司在海量数据的处理能力有明显提高，报告期内，该研究院围绕执法部门建立“综合</w:t>
      </w:r>
      <w:r>
        <w:rPr>
          <w:spacing w:val="-46"/>
        </w:rPr>
        <w:t> </w:t>
      </w:r>
      <w:r>
        <w:rPr>
          <w:spacing w:val="-46"/>
        </w:rPr>
      </w:r>
      <w:r>
        <w:rPr>
          <w:spacing w:val="-2"/>
        </w:rPr>
        <w:t>平台”的需要，取证产品由原来单纯的“取而证之”扩展为“采而集之</w:t>
      </w:r>
      <w:r>
        <w:rPr>
          <w:rFonts w:ascii="Times New Roman" w:hAnsi="Times New Roman" w:cs="Times New Roman" w:eastAsia="Times New Roman" w:hint="default"/>
          <w:spacing w:val="-2"/>
        </w:rPr>
        <w:t>+</w:t>
      </w:r>
      <w:r>
        <w:rPr>
          <w:spacing w:val="-2"/>
        </w:rPr>
        <w:t>取而证之”，前端取证设备增加</w:t>
      </w:r>
      <w:r>
        <w:rPr>
          <w:spacing w:val="-20"/>
        </w:rPr>
        <w:t> </w:t>
      </w:r>
      <w:r>
        <w:rPr>
          <w:spacing w:val="-20"/>
        </w:rPr>
      </w:r>
      <w:r>
        <w:rPr>
          <w:spacing w:val="-2"/>
        </w:rPr>
        <w:t>信息采集的功能，后端的平台化系统对采集数据集中分析，充分帮助用户挖掘各种信息资源。同时也借助</w:t>
      </w:r>
      <w:r>
        <w:rPr>
          <w:spacing w:val="-44"/>
        </w:rPr>
        <w:t> </w:t>
      </w:r>
      <w:r>
        <w:rPr>
          <w:spacing w:val="-44"/>
        </w:rPr>
      </w:r>
      <w:r>
        <w:rPr>
          <w:spacing w:val="-2"/>
        </w:rPr>
        <w:t>公司参股的厦门市巨龙信息科技有限公司在公安系统信息化方面的技术优势，将公司资源整合的优势及综</w:t>
      </w:r>
      <w:r>
        <w:rPr>
          <w:spacing w:val="-43"/>
        </w:rPr>
        <w:t> </w:t>
      </w:r>
      <w:r>
        <w:rPr>
          <w:spacing w:val="-43"/>
        </w:rPr>
      </w:r>
      <w:r>
        <w:rPr/>
        <w:t>合竞争力提升到新的高度。</w:t>
      </w:r>
    </w:p>
    <w:p>
      <w:pPr>
        <w:spacing w:after="0" w:line="403" w:lineRule="auto"/>
        <w:jc w:val="both"/>
        <w:sectPr>
          <w:footerReference w:type="default" r:id="rId11"/>
          <w:pgSz w:w="11910" w:h="16840"/>
          <w:pgMar w:footer="1227" w:header="877" w:top="1100" w:bottom="1420" w:left="980" w:right="980"/>
          <w:pgNumType w:start="12"/>
        </w:sectPr>
      </w:pPr>
    </w:p>
    <w:p>
      <w:pPr>
        <w:spacing w:line="240" w:lineRule="auto" w:before="9"/>
        <w:rPr>
          <w:rFonts w:ascii="宋体" w:hAnsi="宋体" w:cs="宋体" w:eastAsia="宋体" w:hint="default"/>
          <w:sz w:val="26"/>
          <w:szCs w:val="26"/>
        </w:rPr>
      </w:pPr>
    </w:p>
    <w:p>
      <w:pPr>
        <w:pStyle w:val="BodyText"/>
        <w:spacing w:line="408" w:lineRule="auto" w:before="36"/>
        <w:ind w:left="152" w:right="125" w:firstLine="420"/>
        <w:jc w:val="both"/>
      </w:pPr>
      <w:r>
        <w:rPr>
          <w:spacing w:val="-2"/>
        </w:rPr>
        <w:t>装备技术研究院也加大研发力量投入，研发人员及研发设备投入增长较快，推出了一系列针对移动互</w:t>
      </w:r>
      <w:r>
        <w:rPr>
          <w:w w:val="100"/>
        </w:rPr>
        <w:t> </w:t>
      </w:r>
      <w:r>
        <w:rPr>
          <w:spacing w:val="-2"/>
        </w:rPr>
        <w:t>联网智能终端的取证设备，以及适合基层单位使用的设备，同时结合“取证云”平台实现设备统一管理、</w:t>
      </w:r>
      <w:r>
        <w:rPr>
          <w:spacing w:val="-21"/>
        </w:rPr>
        <w:t> </w:t>
      </w:r>
      <w:r>
        <w:rPr>
          <w:spacing w:val="-21"/>
        </w:rPr>
      </w:r>
      <w:r>
        <w:rPr/>
        <w:t>数据的统一联网分析，极大的强化产品竞争力和排它性。</w:t>
      </w:r>
    </w:p>
    <w:p>
      <w:pPr>
        <w:pStyle w:val="BodyText"/>
        <w:spacing w:line="408" w:lineRule="auto" w:before="46"/>
        <w:ind w:left="152" w:right="127" w:firstLine="420"/>
        <w:jc w:val="both"/>
      </w:pPr>
      <w:r>
        <w:rPr>
          <w:spacing w:val="-2"/>
        </w:rPr>
        <w:t>在各类网络信息安全问题中，服务器和网站的安全尤为突出。报告期内，公司在原有技术的基础上设</w:t>
      </w:r>
      <w:r>
        <w:rPr>
          <w:w w:val="100"/>
        </w:rPr>
        <w:t> </w:t>
      </w:r>
      <w:r>
        <w:rPr>
          <w:spacing w:val="-2"/>
        </w:rPr>
        <w:t>立了专门的研发队伍开发服务器安全系列产品，为服务器管理员提供专业的服务器安全软件与解决方案。</w:t>
      </w:r>
    </w:p>
    <w:p>
      <w:pPr>
        <w:pStyle w:val="BodyText"/>
        <w:spacing w:line="240" w:lineRule="auto" w:before="46"/>
        <w:ind w:left="573" w:right="0"/>
        <w:jc w:val="left"/>
      </w:pPr>
      <w:r>
        <w:rPr/>
        <w:t>重要研发项目进展情况：</w:t>
      </w:r>
    </w:p>
    <w:p>
      <w:pPr>
        <w:spacing w:line="240" w:lineRule="auto" w:before="3"/>
        <w:rPr>
          <w:rFonts w:ascii="宋体" w:hAnsi="宋体" w:cs="宋体" w:eastAsia="宋体" w:hint="default"/>
          <w:sz w:val="10"/>
          <w:szCs w:val="10"/>
        </w:rPr>
      </w:pPr>
    </w:p>
    <w:tbl>
      <w:tblPr>
        <w:tblW w:w="0" w:type="auto"/>
        <w:jc w:val="left"/>
        <w:tblInd w:w="136" w:type="dxa"/>
        <w:tblLayout w:type="fixed"/>
        <w:tblCellMar>
          <w:top w:w="0" w:type="dxa"/>
          <w:left w:w="0" w:type="dxa"/>
          <w:bottom w:w="0" w:type="dxa"/>
          <w:right w:w="0" w:type="dxa"/>
        </w:tblCellMar>
        <w:tblLook w:val="01E0"/>
      </w:tblPr>
      <w:tblGrid>
        <w:gridCol w:w="466"/>
        <w:gridCol w:w="2095"/>
        <w:gridCol w:w="3546"/>
        <w:gridCol w:w="850"/>
        <w:gridCol w:w="2703"/>
      </w:tblGrid>
      <w:tr>
        <w:trPr>
          <w:trHeight w:val="466" w:hRule="exact"/>
        </w:trPr>
        <w:tc>
          <w:tcPr>
            <w:tcW w:w="4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0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3"/>
              <w:ind w:left="68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功能简介</w:t>
            </w:r>
          </w:p>
        </w:tc>
        <w:tc>
          <w:tcPr>
            <w:tcW w:w="8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27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当前进展</w:t>
            </w:r>
          </w:p>
        </w:tc>
      </w:tr>
      <w:tr>
        <w:trPr>
          <w:trHeight w:val="427"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w:t>
            </w:r>
          </w:p>
        </w:tc>
        <w:tc>
          <w:tcPr>
            <w:tcW w:w="2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电子数据取证实训设备</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专门用于电子取证技术的教学设备</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新项目</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pacing w:val="-2"/>
                <w:sz w:val="18"/>
                <w:szCs w:val="18"/>
              </w:rPr>
              <w:t>形成阶段性成果，并进入市场销售</w:t>
            </w:r>
          </w:p>
        </w:tc>
      </w:tr>
      <w:tr>
        <w:trPr>
          <w:trHeight w:val="740"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2</w:t>
            </w:r>
          </w:p>
        </w:tc>
        <w:tc>
          <w:tcPr>
            <w:tcW w:w="2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电子介质预检工作站</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9"/>
              <w:ind w:left="4" w:right="-1"/>
              <w:jc w:val="left"/>
              <w:rPr>
                <w:rFonts w:ascii="宋体" w:hAnsi="宋体" w:cs="宋体" w:eastAsia="宋体" w:hint="default"/>
                <w:sz w:val="18"/>
                <w:szCs w:val="18"/>
              </w:rPr>
            </w:pPr>
            <w:r>
              <w:rPr>
                <w:rFonts w:ascii="宋体" w:hAnsi="宋体" w:cs="宋体" w:eastAsia="宋体" w:hint="default"/>
                <w:spacing w:val="5"/>
                <w:sz w:val="18"/>
                <w:szCs w:val="18"/>
              </w:rPr>
              <w:t>对各种电子数据存储介质进行预检的专业一</w:t>
            </w:r>
            <w:r>
              <w:rPr>
                <w:rFonts w:ascii="宋体" w:hAnsi="宋体" w:cs="宋体" w:eastAsia="宋体" w:hint="default"/>
                <w:spacing w:val="4"/>
                <w:sz w:val="18"/>
                <w:szCs w:val="18"/>
              </w:rPr>
              <w:t> </w:t>
            </w:r>
            <w:r>
              <w:rPr>
                <w:rFonts w:ascii="宋体" w:hAnsi="宋体" w:cs="宋体" w:eastAsia="宋体" w:hint="default"/>
                <w:sz w:val="18"/>
                <w:szCs w:val="18"/>
              </w:rPr>
              <w:t>体化设备</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center"/>
              <w:rPr>
                <w:rFonts w:ascii="宋体" w:hAnsi="宋体" w:cs="宋体" w:eastAsia="宋体" w:hint="default"/>
                <w:sz w:val="18"/>
                <w:szCs w:val="18"/>
              </w:rPr>
            </w:pPr>
            <w:r>
              <w:rPr>
                <w:rFonts w:ascii="宋体" w:hAnsi="宋体" w:cs="宋体" w:eastAsia="宋体" w:hint="default"/>
                <w:sz w:val="18"/>
                <w:szCs w:val="18"/>
              </w:rPr>
              <w:t>新项目</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pacing w:val="-2"/>
                <w:sz w:val="18"/>
                <w:szCs w:val="18"/>
              </w:rPr>
              <w:t>形成阶段性成果，并进入市场销售</w:t>
            </w:r>
          </w:p>
        </w:tc>
      </w:tr>
      <w:tr>
        <w:trPr>
          <w:trHeight w:val="739"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w:t>
            </w:r>
          </w:p>
        </w:tc>
        <w:tc>
          <w:tcPr>
            <w:tcW w:w="2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网络商品交易监管系统</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4"/>
              <w:jc w:val="left"/>
              <w:rPr>
                <w:rFonts w:ascii="宋体" w:hAnsi="宋体" w:cs="宋体" w:eastAsia="宋体" w:hint="default"/>
                <w:sz w:val="18"/>
                <w:szCs w:val="18"/>
              </w:rPr>
            </w:pPr>
            <w:r>
              <w:rPr>
                <w:rFonts w:ascii="宋体" w:hAnsi="宋体" w:cs="宋体" w:eastAsia="宋体" w:hint="default"/>
                <w:spacing w:val="4"/>
                <w:sz w:val="18"/>
                <w:szCs w:val="18"/>
              </w:rPr>
              <w:t>用于各省市级工商单位实现电子商务监管的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业务系统</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新项目</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研发中，并已形成阶段性成果</w:t>
            </w:r>
          </w:p>
        </w:tc>
      </w:tr>
      <w:tr>
        <w:trPr>
          <w:trHeight w:val="425"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w:t>
            </w:r>
          </w:p>
        </w:tc>
        <w:tc>
          <w:tcPr>
            <w:tcW w:w="2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可视化数据分析系统</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提供多种方式展示和分析数据的系统</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新项目</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研发中，并已形成阶段性成果</w:t>
            </w:r>
          </w:p>
        </w:tc>
      </w:tr>
      <w:tr>
        <w:trPr>
          <w:trHeight w:val="427"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5</w:t>
            </w:r>
          </w:p>
        </w:tc>
        <w:tc>
          <w:tcPr>
            <w:tcW w:w="2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视频取证系统</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对视频进行取证分析的系统</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新项目</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研发中</w:t>
            </w:r>
          </w:p>
        </w:tc>
      </w:tr>
      <w:tr>
        <w:trPr>
          <w:trHeight w:val="427"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6</w:t>
            </w:r>
          </w:p>
        </w:tc>
        <w:tc>
          <w:tcPr>
            <w:tcW w:w="2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恢复大师</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对常见文件提供修复功能的恢复软件</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新项目</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研发中，并已形成阶段性成果</w:t>
            </w:r>
          </w:p>
        </w:tc>
      </w:tr>
      <w:tr>
        <w:trPr>
          <w:trHeight w:val="427"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7</w:t>
            </w:r>
          </w:p>
        </w:tc>
        <w:tc>
          <w:tcPr>
            <w:tcW w:w="2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MT-CAP</w:t>
            </w:r>
            <w:r>
              <w:rPr>
                <w:rFonts w:ascii="宋体" w:hAnsi="宋体" w:cs="宋体" w:eastAsia="宋体" w:hint="default"/>
                <w:sz w:val="18"/>
                <w:szCs w:val="18"/>
              </w:rPr>
              <w:t>综合应用平台</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实现数据综合利用和线索挖掘的综合平台</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新项目</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研发中，并已形成阶段性成果</w:t>
            </w:r>
          </w:p>
        </w:tc>
      </w:tr>
      <w:tr>
        <w:trPr>
          <w:trHeight w:val="427"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8</w:t>
            </w:r>
          </w:p>
        </w:tc>
        <w:tc>
          <w:tcPr>
            <w:tcW w:w="2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互联网行业舆情分析平台</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针对行业用户开发的舆情监测系统</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新项目</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pacing w:val="-2"/>
                <w:sz w:val="18"/>
                <w:szCs w:val="18"/>
              </w:rPr>
              <w:t>形成阶段性成果，并进入市场销售</w:t>
            </w:r>
          </w:p>
        </w:tc>
      </w:tr>
      <w:tr>
        <w:trPr>
          <w:trHeight w:val="428"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9</w:t>
            </w:r>
          </w:p>
        </w:tc>
        <w:tc>
          <w:tcPr>
            <w:tcW w:w="2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公证云</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对电子数据进行存证</w:t>
            </w:r>
            <w:r>
              <w:rPr>
                <w:rFonts w:ascii="宋体" w:hAnsi="宋体" w:cs="宋体" w:eastAsia="宋体" w:hint="default"/>
                <w:spacing w:val="-77"/>
                <w:sz w:val="18"/>
                <w:szCs w:val="18"/>
              </w:rPr>
              <w:t>、</w:t>
            </w:r>
            <w:r>
              <w:rPr>
                <w:rFonts w:ascii="宋体" w:hAnsi="宋体" w:cs="宋体" w:eastAsia="宋体" w:hint="default"/>
                <w:sz w:val="18"/>
                <w:szCs w:val="18"/>
              </w:rPr>
              <w:t>公证的一站式服务平台</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新项目</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pacing w:val="-2"/>
                <w:sz w:val="18"/>
                <w:szCs w:val="18"/>
              </w:rPr>
              <w:t>形成阶段性成果，并进入市场推广</w:t>
            </w:r>
          </w:p>
        </w:tc>
      </w:tr>
      <w:tr>
        <w:trPr>
          <w:trHeight w:val="739"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10</w:t>
            </w:r>
          </w:p>
        </w:tc>
        <w:tc>
          <w:tcPr>
            <w:tcW w:w="2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服务器安全产品</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6"/>
              <w:jc w:val="left"/>
              <w:rPr>
                <w:rFonts w:ascii="宋体" w:hAnsi="宋体" w:cs="宋体" w:eastAsia="宋体" w:hint="default"/>
                <w:sz w:val="18"/>
                <w:szCs w:val="18"/>
              </w:rPr>
            </w:pPr>
            <w:r>
              <w:rPr>
                <w:rFonts w:ascii="宋体" w:hAnsi="宋体" w:cs="宋体" w:eastAsia="宋体" w:hint="default"/>
                <w:spacing w:val="4"/>
                <w:sz w:val="18"/>
                <w:szCs w:val="18"/>
              </w:rPr>
              <w:t>为服务器管理员提供专业的服务器安全软件</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与解决方案</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新项目</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pacing w:val="-2"/>
                <w:sz w:val="18"/>
                <w:szCs w:val="18"/>
              </w:rPr>
              <w:t>形成阶段性成果，并进入市场推广</w:t>
            </w:r>
          </w:p>
        </w:tc>
      </w:tr>
      <w:tr>
        <w:trPr>
          <w:trHeight w:val="427"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11</w:t>
            </w:r>
          </w:p>
        </w:tc>
        <w:tc>
          <w:tcPr>
            <w:tcW w:w="2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手机取证系列产品</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对手机数据进行采集、分析的设备</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升级研发</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部分成果已进入市场销售</w:t>
            </w:r>
          </w:p>
        </w:tc>
      </w:tr>
      <w:tr>
        <w:trPr>
          <w:trHeight w:val="739"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12</w:t>
            </w:r>
          </w:p>
        </w:tc>
        <w:tc>
          <w:tcPr>
            <w:tcW w:w="2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电子数据取证专用机</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6"/>
              <w:jc w:val="left"/>
              <w:rPr>
                <w:rFonts w:ascii="宋体" w:hAnsi="宋体" w:cs="宋体" w:eastAsia="宋体" w:hint="default"/>
                <w:sz w:val="18"/>
                <w:szCs w:val="18"/>
              </w:rPr>
            </w:pPr>
            <w:r>
              <w:rPr>
                <w:rFonts w:ascii="宋体" w:hAnsi="宋体" w:cs="宋体" w:eastAsia="宋体" w:hint="default"/>
                <w:spacing w:val="4"/>
                <w:sz w:val="18"/>
                <w:szCs w:val="18"/>
              </w:rPr>
              <w:t>适用于现场勘查中进行实时分析的取证分析</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设备</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升级研发</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完成研发，进入市场销售</w:t>
            </w:r>
          </w:p>
        </w:tc>
      </w:tr>
      <w:tr>
        <w:trPr>
          <w:trHeight w:val="427"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13</w:t>
            </w:r>
          </w:p>
        </w:tc>
        <w:tc>
          <w:tcPr>
            <w:tcW w:w="2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取证塔</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基于并行超算技术的取证分析一体化设备</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升级研发</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完成研发，进入市场销售</w:t>
            </w:r>
          </w:p>
        </w:tc>
      </w:tr>
      <w:tr>
        <w:trPr>
          <w:trHeight w:val="739"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14</w:t>
            </w:r>
          </w:p>
        </w:tc>
        <w:tc>
          <w:tcPr>
            <w:tcW w:w="2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取证魔方</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6"/>
              <w:jc w:val="left"/>
              <w:rPr>
                <w:rFonts w:ascii="宋体" w:hAnsi="宋体" w:cs="宋体" w:eastAsia="宋体" w:hint="default"/>
                <w:sz w:val="18"/>
                <w:szCs w:val="18"/>
              </w:rPr>
            </w:pPr>
            <w:r>
              <w:rPr>
                <w:rFonts w:ascii="宋体" w:hAnsi="宋体" w:cs="宋体" w:eastAsia="宋体" w:hint="default"/>
                <w:spacing w:val="4"/>
                <w:sz w:val="18"/>
                <w:szCs w:val="18"/>
              </w:rPr>
              <w:t>适合执法部门进行现场勘查取证的综合取证</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一体化设备</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升级研发</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完成研发，进入市场销售</w:t>
            </w:r>
          </w:p>
        </w:tc>
      </w:tr>
      <w:tr>
        <w:trPr>
          <w:trHeight w:val="428"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15</w:t>
            </w:r>
          </w:p>
        </w:tc>
        <w:tc>
          <w:tcPr>
            <w:tcW w:w="2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仿真取证系统</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对电子数据进行仿真取证的分析系统</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升级研发</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完成研发，进入市场销售</w:t>
            </w:r>
          </w:p>
        </w:tc>
      </w:tr>
      <w:tr>
        <w:trPr>
          <w:trHeight w:val="425"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16</w:t>
            </w:r>
          </w:p>
        </w:tc>
        <w:tc>
          <w:tcPr>
            <w:tcW w:w="2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电子数据擦除塔</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针对大批量存储介质的数据擦除设备</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升级研发</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完成研发，进入市场销售</w:t>
            </w:r>
          </w:p>
        </w:tc>
      </w:tr>
      <w:tr>
        <w:trPr>
          <w:trHeight w:val="739"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17</w:t>
            </w:r>
          </w:p>
        </w:tc>
        <w:tc>
          <w:tcPr>
            <w:tcW w:w="2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实验室管理系统</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1"/>
              <w:jc w:val="left"/>
              <w:rPr>
                <w:rFonts w:ascii="宋体" w:hAnsi="宋体" w:cs="宋体" w:eastAsia="宋体" w:hint="default"/>
                <w:sz w:val="18"/>
                <w:szCs w:val="18"/>
              </w:rPr>
            </w:pPr>
            <w:r>
              <w:rPr>
                <w:rFonts w:ascii="宋体" w:hAnsi="宋体" w:cs="宋体" w:eastAsia="宋体" w:hint="default"/>
                <w:spacing w:val="5"/>
                <w:sz w:val="18"/>
                <w:szCs w:val="18"/>
              </w:rPr>
              <w:t>对电子数据取证实验室进行统一管理的专业</w:t>
            </w:r>
            <w:r>
              <w:rPr>
                <w:rFonts w:ascii="宋体" w:hAnsi="宋体" w:cs="宋体" w:eastAsia="宋体" w:hint="default"/>
                <w:spacing w:val="4"/>
                <w:sz w:val="18"/>
                <w:szCs w:val="18"/>
              </w:rPr>
              <w:t> </w:t>
            </w:r>
            <w:r>
              <w:rPr>
                <w:rFonts w:ascii="宋体" w:hAnsi="宋体" w:cs="宋体" w:eastAsia="宋体" w:hint="default"/>
                <w:sz w:val="18"/>
                <w:szCs w:val="18"/>
              </w:rPr>
              <w:t>管理系统</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升级研发</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完成研发，进入市场销售</w:t>
            </w:r>
          </w:p>
        </w:tc>
      </w:tr>
      <w:tr>
        <w:trPr>
          <w:trHeight w:val="427"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18</w:t>
            </w:r>
          </w:p>
        </w:tc>
        <w:tc>
          <w:tcPr>
            <w:tcW w:w="2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极光系统</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Times New Roman" w:hAnsi="Times New Roman" w:cs="Times New Roman" w:eastAsia="Times New Roman" w:hint="default"/>
                <w:sz w:val="18"/>
                <w:szCs w:val="18"/>
              </w:rPr>
              <w:t>GPU</w:t>
            </w:r>
            <w:r>
              <w:rPr>
                <w:rFonts w:ascii="宋体" w:hAnsi="宋体" w:cs="宋体" w:eastAsia="宋体" w:hint="default"/>
                <w:sz w:val="18"/>
                <w:szCs w:val="18"/>
              </w:rPr>
              <w:t>的高速并行计算系统</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升级研发</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研发中，并已形成阶段性成果</w:t>
            </w:r>
          </w:p>
        </w:tc>
      </w:tr>
      <w:tr>
        <w:trPr>
          <w:trHeight w:val="427"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19</w:t>
            </w:r>
          </w:p>
        </w:tc>
        <w:tc>
          <w:tcPr>
            <w:tcW w:w="2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取证云</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为用户提供在线取证分析服务的服务平台</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升级研发</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pacing w:val="-2"/>
                <w:sz w:val="18"/>
                <w:szCs w:val="18"/>
              </w:rPr>
              <w:t>形成阶段性成果，并进入市场销售</w:t>
            </w:r>
          </w:p>
        </w:tc>
      </w:tr>
      <w:tr>
        <w:trPr>
          <w:trHeight w:val="427"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w:t>
            </w:r>
          </w:p>
        </w:tc>
        <w:tc>
          <w:tcPr>
            <w:tcW w:w="2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搜索云（网络信息搜索系</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针对互联网信息进行综合搜索</w:t>
            </w:r>
            <w:r>
              <w:rPr>
                <w:rFonts w:ascii="宋体" w:hAnsi="宋体" w:cs="宋体" w:eastAsia="宋体" w:hint="default"/>
                <w:spacing w:val="-77"/>
                <w:sz w:val="18"/>
                <w:szCs w:val="18"/>
              </w:rPr>
              <w:t>、</w:t>
            </w:r>
            <w:r>
              <w:rPr>
                <w:rFonts w:ascii="宋体" w:hAnsi="宋体" w:cs="宋体" w:eastAsia="宋体" w:hint="default"/>
                <w:sz w:val="18"/>
                <w:szCs w:val="18"/>
              </w:rPr>
              <w:t>分析的服务平</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升级研发</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pacing w:val="-2"/>
                <w:sz w:val="18"/>
                <w:szCs w:val="18"/>
              </w:rPr>
              <w:t>形成阶段性成果，并进入市场推广</w:t>
            </w:r>
          </w:p>
        </w:tc>
      </w:tr>
    </w:tbl>
    <w:p>
      <w:pPr>
        <w:spacing w:after="0" w:line="240" w:lineRule="auto"/>
        <w:jc w:val="left"/>
        <w:rPr>
          <w:rFonts w:ascii="宋体" w:hAnsi="宋体" w:cs="宋体" w:eastAsia="宋体" w:hint="default"/>
          <w:sz w:val="18"/>
          <w:szCs w:val="18"/>
        </w:rPr>
        <w:sectPr>
          <w:pgSz w:w="11910" w:h="16840"/>
          <w:pgMar w:header="877"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36" w:type="dxa"/>
        <w:tblLayout w:type="fixed"/>
        <w:tblCellMar>
          <w:top w:w="0" w:type="dxa"/>
          <w:left w:w="0" w:type="dxa"/>
          <w:bottom w:w="0" w:type="dxa"/>
          <w:right w:w="0" w:type="dxa"/>
        </w:tblCellMar>
        <w:tblLook w:val="01E0"/>
      </w:tblPr>
      <w:tblGrid>
        <w:gridCol w:w="466"/>
        <w:gridCol w:w="2095"/>
        <w:gridCol w:w="3546"/>
        <w:gridCol w:w="850"/>
        <w:gridCol w:w="2703"/>
      </w:tblGrid>
      <w:tr>
        <w:trPr>
          <w:trHeight w:val="387" w:hRule="exact"/>
        </w:trPr>
        <w:tc>
          <w:tcPr>
            <w:tcW w:w="466" w:type="dxa"/>
            <w:tcBorders>
              <w:top w:val="single" w:sz="6" w:space="0" w:color="000000"/>
              <w:left w:val="single" w:sz="6" w:space="0" w:color="000000"/>
              <w:bottom w:val="single" w:sz="6" w:space="0" w:color="000000"/>
              <w:right w:val="single" w:sz="6" w:space="0" w:color="000000"/>
            </w:tcBorders>
          </w:tcPr>
          <w:p>
            <w:pPr/>
          </w:p>
        </w:tc>
        <w:tc>
          <w:tcPr>
            <w:tcW w:w="2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统）</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台</w:t>
            </w:r>
          </w:p>
        </w:tc>
        <w:tc>
          <w:tcPr>
            <w:tcW w:w="850" w:type="dxa"/>
            <w:tcBorders>
              <w:top w:val="single" w:sz="6" w:space="0" w:color="000000"/>
              <w:left w:val="single" w:sz="6" w:space="0" w:color="000000"/>
              <w:bottom w:val="single" w:sz="6" w:space="0" w:color="000000"/>
              <w:right w:val="single" w:sz="6" w:space="0" w:color="000000"/>
            </w:tcBorders>
          </w:tcPr>
          <w:p>
            <w:pPr/>
          </w:p>
        </w:tc>
        <w:tc>
          <w:tcPr>
            <w:tcW w:w="2703"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34" w:right="0"/>
              <w:jc w:val="left"/>
              <w:rPr>
                <w:rFonts w:ascii="Times New Roman" w:hAnsi="Times New Roman" w:cs="Times New Roman" w:eastAsia="Times New Roman" w:hint="default"/>
                <w:sz w:val="18"/>
                <w:szCs w:val="18"/>
              </w:rPr>
            </w:pPr>
            <w:r>
              <w:rPr>
                <w:rFonts w:ascii="Times New Roman"/>
                <w:sz w:val="18"/>
              </w:rPr>
              <w:t>21</w:t>
            </w:r>
          </w:p>
        </w:tc>
        <w:tc>
          <w:tcPr>
            <w:tcW w:w="209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4" w:right="93"/>
              <w:jc w:val="left"/>
              <w:rPr>
                <w:rFonts w:ascii="宋体" w:hAnsi="宋体" w:cs="宋体" w:eastAsia="宋体" w:hint="default"/>
                <w:sz w:val="18"/>
                <w:szCs w:val="18"/>
              </w:rPr>
            </w:pPr>
            <w:r>
              <w:rPr>
                <w:rFonts w:ascii="宋体" w:hAnsi="宋体" w:cs="宋体" w:eastAsia="宋体" w:hint="default"/>
                <w:sz w:val="18"/>
                <w:szCs w:val="18"/>
              </w:rPr>
              <w:t>取证大师电子数据分析系 统</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4" w:right="0"/>
              <w:jc w:val="left"/>
              <w:rPr>
                <w:rFonts w:ascii="宋体" w:hAnsi="宋体" w:cs="宋体" w:eastAsia="宋体" w:hint="default"/>
                <w:sz w:val="18"/>
                <w:szCs w:val="18"/>
              </w:rPr>
            </w:pPr>
            <w:r>
              <w:rPr>
                <w:rFonts w:ascii="宋体" w:hAnsi="宋体" w:cs="宋体" w:eastAsia="宋体" w:hint="default"/>
                <w:spacing w:val="-4"/>
                <w:sz w:val="18"/>
                <w:szCs w:val="18"/>
              </w:rPr>
              <w:t>集静态取证、自动取证、动态取证等功能集成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于一体的取证分析系统</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0" w:right="0"/>
              <w:jc w:val="left"/>
              <w:rPr>
                <w:rFonts w:ascii="宋体" w:hAnsi="宋体" w:cs="宋体" w:eastAsia="宋体" w:hint="default"/>
                <w:sz w:val="18"/>
                <w:szCs w:val="18"/>
              </w:rPr>
            </w:pPr>
            <w:r>
              <w:rPr>
                <w:rFonts w:ascii="宋体" w:hAnsi="宋体" w:cs="宋体" w:eastAsia="宋体" w:hint="default"/>
                <w:sz w:val="18"/>
                <w:szCs w:val="18"/>
              </w:rPr>
              <w:t>升级研发</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研发中，并已形成阶段性成果</w:t>
            </w:r>
          </w:p>
        </w:tc>
      </w:tr>
    </w:tbl>
    <w:p>
      <w:pPr>
        <w:pStyle w:val="BodyText"/>
        <w:spacing w:line="408" w:lineRule="auto" w:before="64"/>
        <w:ind w:left="573" w:right="99"/>
        <w:jc w:val="left"/>
      </w:pPr>
      <w:r>
        <w:rPr/>
        <w:t>（四）技术支持及服务方面</w:t>
      </w:r>
      <w:r>
        <w:rPr>
          <w:w w:val="100"/>
        </w:rPr>
        <w:t> </w:t>
      </w:r>
      <w:r>
        <w:rPr>
          <w:spacing w:val="-2"/>
        </w:rPr>
        <w:t>报告期内，公司将原技术支持及运营中心拆分为技术支持中心和云计算运营中心，重点提升现有舆情</w:t>
      </w:r>
    </w:p>
    <w:p>
      <w:pPr>
        <w:pStyle w:val="BodyText"/>
        <w:spacing w:line="408" w:lineRule="auto" w:before="46"/>
        <w:ind w:left="152" w:right="206"/>
        <w:jc w:val="both"/>
      </w:pPr>
      <w:r>
        <w:rPr>
          <w:spacing w:val="-2"/>
        </w:rPr>
        <w:t>产品技术支持队伍的工作技能，增加舆情产品的运营支持及服务，优化工作流程，通过运营服务提高客户</w:t>
      </w:r>
      <w:r>
        <w:rPr>
          <w:spacing w:val="-45"/>
        </w:rPr>
        <w:t> </w:t>
      </w:r>
      <w:r>
        <w:rPr>
          <w:spacing w:val="-45"/>
        </w:rPr>
      </w:r>
      <w:r>
        <w:rPr/>
        <w:t>满意度。</w:t>
      </w:r>
    </w:p>
    <w:p>
      <w:pPr>
        <w:pStyle w:val="BodyText"/>
        <w:spacing w:line="391" w:lineRule="auto" w:before="46"/>
        <w:ind w:left="152" w:right="206" w:firstLine="420"/>
        <w:jc w:val="both"/>
      </w:pPr>
      <w:r>
        <w:rPr>
          <w:spacing w:val="-2"/>
        </w:rPr>
        <w:t>报告期内，培训中心围绕“敏学慎教、细水深流”的文化，完善培训体系，提高服务质量。</w:t>
      </w:r>
      <w:r>
        <w:rPr>
          <w:rFonts w:ascii="Times New Roman" w:hAnsi="Times New Roman" w:cs="Times New Roman" w:eastAsia="Times New Roman" w:hint="default"/>
          <w:spacing w:val="-2"/>
        </w:rPr>
        <w:t>2012</w:t>
      </w:r>
      <w:r>
        <w:rPr>
          <w:spacing w:val="-2"/>
        </w:rPr>
        <w:t>年培</w:t>
      </w:r>
      <w:r>
        <w:rPr>
          <w:spacing w:val="-3"/>
          <w:w w:val="100"/>
        </w:rPr>
        <w:t> </w:t>
      </w:r>
      <w:r>
        <w:rPr>
          <w:spacing w:val="-2"/>
        </w:rPr>
        <w:t>训总人数比</w:t>
      </w:r>
      <w:r>
        <w:rPr>
          <w:rFonts w:ascii="Times New Roman" w:hAnsi="Times New Roman" w:cs="Times New Roman" w:eastAsia="Times New Roman" w:hint="default"/>
          <w:spacing w:val="-2"/>
        </w:rPr>
        <w:t>2011</w:t>
      </w:r>
      <w:r>
        <w:rPr>
          <w:spacing w:val="-2"/>
        </w:rPr>
        <w:t>年度增长超过</w:t>
      </w:r>
      <w:r>
        <w:rPr>
          <w:rFonts w:ascii="Times New Roman" w:hAnsi="Times New Roman" w:cs="Times New Roman" w:eastAsia="Times New Roman" w:hint="default"/>
          <w:spacing w:val="-2"/>
        </w:rPr>
        <w:t>20%</w:t>
      </w:r>
      <w:r>
        <w:rPr>
          <w:spacing w:val="-2"/>
        </w:rPr>
        <w:t>。课程开发方面，</w:t>
      </w:r>
      <w:r>
        <w:rPr>
          <w:rFonts w:ascii="Times New Roman" w:hAnsi="Times New Roman" w:cs="Times New Roman" w:eastAsia="Times New Roman" w:hint="default"/>
          <w:spacing w:val="-2"/>
        </w:rPr>
        <w:t>2012</w:t>
      </w:r>
      <w:r>
        <w:rPr>
          <w:spacing w:val="-2"/>
        </w:rPr>
        <w:t>年与中国公安大学合作出版</w:t>
      </w:r>
      <w:r>
        <w:rPr>
          <w:rFonts w:ascii="Times New Roman" w:hAnsi="Times New Roman" w:cs="Times New Roman" w:eastAsia="Times New Roman" w:hint="default"/>
          <w:spacing w:val="-2"/>
        </w:rPr>
        <w:t>10</w:t>
      </w:r>
      <w:r>
        <w:rPr>
          <w:spacing w:val="-2"/>
        </w:rPr>
        <w:t>本系列教材，编写</w:t>
      </w:r>
      <w:r>
        <w:rPr>
          <w:spacing w:val="-7"/>
        </w:rPr>
        <w:t> </w:t>
      </w:r>
      <w:r>
        <w:rPr>
          <w:spacing w:val="-7"/>
        </w:rPr>
      </w:r>
      <w:r>
        <w:rPr>
          <w:spacing w:val="-3"/>
        </w:rPr>
        <w:t>对应的课程课件并开发完善了</w:t>
      </w:r>
      <w:r>
        <w:rPr>
          <w:rFonts w:ascii="Times New Roman" w:hAnsi="Times New Roman" w:cs="Times New Roman" w:eastAsia="Times New Roman" w:hint="default"/>
          <w:spacing w:val="-3"/>
        </w:rPr>
        <w:t>MCE</w:t>
      </w:r>
      <w:r>
        <w:rPr>
          <w:spacing w:val="-3"/>
        </w:rPr>
        <w:t>认证题库。建设“产、学、研”三位一体的人才培养模式，致力于为信</w:t>
      </w:r>
      <w:r>
        <w:rPr>
          <w:spacing w:val="-31"/>
        </w:rPr>
        <w:t> </w:t>
      </w:r>
      <w:r>
        <w:rPr>
          <w:spacing w:val="-31"/>
        </w:rPr>
      </w:r>
      <w:r>
        <w:rPr>
          <w:spacing w:val="-2"/>
        </w:rPr>
        <w:t>息安全行业培养技能型、实用型、工程型人才。报告期内，学院与全国多个高校，签订人才定制培养及专</w:t>
      </w:r>
      <w:r>
        <w:rPr>
          <w:spacing w:val="-43"/>
        </w:rPr>
        <w:t> </w:t>
      </w:r>
      <w:r>
        <w:rPr>
          <w:spacing w:val="-43"/>
        </w:rPr>
      </w:r>
      <w:r>
        <w:rPr/>
        <w:t>业共建等项目合作。</w:t>
      </w:r>
    </w:p>
    <w:p>
      <w:pPr>
        <w:pStyle w:val="BodyText"/>
        <w:spacing w:line="408" w:lineRule="auto" w:before="61"/>
        <w:ind w:left="573" w:right="99"/>
        <w:jc w:val="left"/>
      </w:pPr>
      <w:r>
        <w:rPr/>
        <w:t>报告期内，公司坚持“小产品、大服务”的路线。</w:t>
      </w:r>
      <w:r>
        <w:rPr>
          <w:w w:val="100"/>
        </w:rPr>
        <w:t> </w:t>
      </w:r>
      <w:r>
        <w:rPr>
          <w:spacing w:val="-2"/>
        </w:rPr>
        <w:t>“取证云”服务的主要用户群体为司法机关及行政执法人员，用户数增长较快，推出手机客户端，提</w:t>
      </w:r>
    </w:p>
    <w:p>
      <w:pPr>
        <w:pStyle w:val="BodyText"/>
        <w:spacing w:line="408" w:lineRule="auto" w:before="46"/>
        <w:ind w:left="152" w:right="99"/>
        <w:jc w:val="left"/>
      </w:pPr>
      <w:r>
        <w:rPr>
          <w:spacing w:val="-5"/>
        </w:rPr>
        <w:t>高客户使用的便捷性。“搜索云”运营平台完成了南北两个中心的系统建设。推出了针对包括政府、经济、</w:t>
      </w:r>
      <w:r>
        <w:rPr>
          <w:spacing w:val="-7"/>
        </w:rPr>
        <w:t> </w:t>
      </w:r>
      <w:r>
        <w:rPr>
          <w:spacing w:val="-7"/>
        </w:rPr>
      </w:r>
      <w:r>
        <w:rPr/>
        <w:t>金融、企业等</w:t>
      </w:r>
      <w:r>
        <w:rPr>
          <w:rFonts w:ascii="Times New Roman" w:hAnsi="Times New Roman" w:cs="Times New Roman" w:eastAsia="Times New Roman" w:hint="default"/>
        </w:rPr>
        <w:t>10</w:t>
      </w:r>
      <w:r>
        <w:rPr/>
        <w:t>余类行业用户舆情服务。</w:t>
      </w:r>
    </w:p>
    <w:p>
      <w:pPr>
        <w:pStyle w:val="BodyText"/>
        <w:spacing w:line="393" w:lineRule="auto" w:before="15"/>
        <w:ind w:left="152" w:right="99" w:firstLine="420"/>
        <w:jc w:val="left"/>
      </w:pPr>
      <w:r>
        <w:rPr/>
        <w:t>“公证云</w:t>
      </w:r>
      <w:r>
        <w:rPr>
          <w:spacing w:val="-5"/>
        </w:rPr>
        <w:t> </w:t>
      </w:r>
      <w:r>
        <w:rPr/>
        <w:t>”服务是公司两大产品体系在民用市场的映射与延伸，是一个自助式电子数据取证存证服</w:t>
      </w:r>
      <w:r>
        <w:rPr>
          <w:w w:val="100"/>
        </w:rPr>
        <w:t> </w:t>
      </w:r>
      <w:r>
        <w:rPr>
          <w:spacing w:val="-2"/>
        </w:rPr>
        <w:t>务平台，用户可以在公证云平台获得电子数据取证、存证、公证的一站式专业证据服务。公证云于</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9"/>
        </w:rPr>
        <w:t> </w:t>
      </w:r>
      <w:r>
        <w:rPr>
          <w:spacing w:val="-2"/>
        </w:rPr>
        <w:t>日正式上线后，获得广大用户的认可，用户数增长较快，截至报告期末，公证云的下载安装量已达</w:t>
      </w:r>
      <w:r>
        <w:rPr>
          <w:rFonts w:ascii="Times New Roman" w:hAnsi="Times New Roman" w:cs="Times New Roman" w:eastAsia="Times New Roman" w:hint="default"/>
          <w:spacing w:val="-2"/>
        </w:rPr>
        <w:t>20</w:t>
      </w:r>
      <w:r>
        <w:rPr>
          <w:spacing w:val="-2"/>
        </w:rPr>
        <w:t>万。</w:t>
      </w:r>
      <w:r>
        <w:rPr>
          <w:spacing w:val="-22"/>
        </w:rPr>
        <w:t> </w:t>
      </w:r>
      <w:r>
        <w:rPr/>
        <w:t>进入平稳推广阶段。</w:t>
      </w:r>
    </w:p>
    <w:p>
      <w:pPr>
        <w:pStyle w:val="BodyText"/>
        <w:spacing w:line="408" w:lineRule="auto" w:before="58"/>
        <w:ind w:left="152" w:right="208" w:firstLine="420"/>
        <w:jc w:val="both"/>
      </w:pPr>
      <w:r>
        <w:rPr>
          <w:spacing w:val="-2"/>
        </w:rPr>
        <w:t>“企业调查”服务主要面向国内大型企业（特别是金融行业、大型国企）以及在华的跨国企业提供一</w:t>
      </w:r>
      <w:r>
        <w:rPr>
          <w:w w:val="100"/>
        </w:rPr>
        <w:t> </w:t>
      </w:r>
      <w:r>
        <w:rPr/>
        <w:t>站式的企业内部调查服务，目前已经成功地为多家大型企业提供相关服务。</w:t>
      </w:r>
    </w:p>
    <w:p>
      <w:pPr>
        <w:pStyle w:val="BodyText"/>
        <w:spacing w:line="408" w:lineRule="auto" w:before="46"/>
        <w:ind w:left="152" w:right="184" w:firstLine="420"/>
        <w:jc w:val="both"/>
      </w:pPr>
      <w:r>
        <w:rPr>
          <w:spacing w:val="-2"/>
        </w:rPr>
        <w:t>“数字知识产权保护”服务保持稳定发展，除了继续为《金陵十三钗》、《听风者》、《一代宗师》</w:t>
      </w:r>
      <w:r>
        <w:rPr>
          <w:w w:val="100"/>
        </w:rPr>
        <w:t> </w:t>
      </w:r>
      <w:r>
        <w:rPr>
          <w:spacing w:val="-2"/>
        </w:rPr>
        <w:t>等多部知名大片提供网络维权服务以外，还成功为奥运正版直播保驾护航，网络维权效果获得权利人的高</w:t>
      </w:r>
      <w:r>
        <w:rPr>
          <w:spacing w:val="-42"/>
        </w:rPr>
        <w:t> </w:t>
      </w:r>
      <w:r>
        <w:rPr>
          <w:spacing w:val="-42"/>
        </w:rPr>
      </w:r>
      <w:r>
        <w:rPr/>
        <w:t>度认可。规划的“自助式监测</w:t>
      </w:r>
      <w:r>
        <w:rPr>
          <w:rFonts w:ascii="Times New Roman" w:hAnsi="Times New Roman" w:cs="Times New Roman" w:eastAsia="Times New Roman" w:hint="default"/>
        </w:rPr>
        <w:t>--</w:t>
      </w:r>
      <w:r>
        <w:rPr/>
        <w:t>互动式维权</w:t>
      </w:r>
      <w:r>
        <w:rPr>
          <w:rFonts w:ascii="Times New Roman" w:hAnsi="Times New Roman" w:cs="Times New Roman" w:eastAsia="Times New Roman" w:hint="default"/>
        </w:rPr>
        <w:t>--</w:t>
      </w:r>
      <w:r>
        <w:rPr/>
        <w:t>平台化操作”服务平台已经开始内测。</w:t>
      </w:r>
    </w:p>
    <w:p>
      <w:pPr>
        <w:pStyle w:val="BodyText"/>
        <w:spacing w:line="240" w:lineRule="auto" w:before="14"/>
        <w:ind w:left="573" w:right="99"/>
        <w:jc w:val="left"/>
      </w:pPr>
      <w:r>
        <w:rPr/>
        <w:t>“电子数据司法鉴定”服务分别在上海、湖北和成都合作共建了鉴定服务点，在行业标准方面参与了</w:t>
      </w:r>
    </w:p>
    <w:p>
      <w:pPr>
        <w:spacing w:line="240" w:lineRule="auto" w:before="10"/>
        <w:rPr>
          <w:rFonts w:ascii="宋体" w:hAnsi="宋体" w:cs="宋体" w:eastAsia="宋体" w:hint="default"/>
          <w:sz w:val="14"/>
          <w:szCs w:val="14"/>
        </w:rPr>
      </w:pPr>
    </w:p>
    <w:p>
      <w:pPr>
        <w:pStyle w:val="BodyText"/>
        <w:spacing w:line="408" w:lineRule="auto"/>
        <w:ind w:left="152" w:right="206"/>
        <w:jc w:val="both"/>
      </w:pPr>
      <w:r>
        <w:rPr>
          <w:spacing w:val="-2"/>
        </w:rPr>
        <w:t>《电子数据复制设备鉴定实施规范》的制定，优质的服务赢得厦门市司法局授予的司法鉴定工作先进集体</w:t>
      </w:r>
      <w:r>
        <w:rPr>
          <w:spacing w:val="-42"/>
        </w:rPr>
        <w:t> </w:t>
      </w:r>
      <w:r>
        <w:rPr>
          <w:spacing w:val="-42"/>
        </w:rPr>
      </w:r>
      <w:r>
        <w:rPr>
          <w:spacing w:val="-2"/>
        </w:rPr>
        <w:t>称号。伴随着电子数据公证云的上线，电子数据司法鉴定在网络证据保全的服务新模式开始获得了司法实</w:t>
      </w:r>
      <w:r>
        <w:rPr>
          <w:spacing w:val="-43"/>
        </w:rPr>
        <w:t> </w:t>
      </w:r>
      <w:r>
        <w:rPr>
          <w:spacing w:val="-43"/>
        </w:rPr>
      </w:r>
      <w:r>
        <w:rPr/>
        <w:t>践和社会各界的认可。</w:t>
      </w:r>
    </w:p>
    <w:p>
      <w:pPr>
        <w:pStyle w:val="BodyText"/>
        <w:spacing w:line="240" w:lineRule="auto" w:before="46"/>
        <w:ind w:left="573" w:right="99"/>
        <w:jc w:val="left"/>
      </w:pPr>
      <w:r>
        <w:rPr/>
        <w:t>（五）公司管理方面</w:t>
      </w:r>
    </w:p>
    <w:p>
      <w:pPr>
        <w:spacing w:after="0" w:line="240" w:lineRule="auto"/>
        <w:jc w:val="left"/>
        <w:sectPr>
          <w:pgSz w:w="11910" w:h="16840"/>
          <w:pgMar w:header="877" w:footer="1227" w:top="1100" w:bottom="1420" w:left="980" w:right="920"/>
        </w:sectPr>
      </w:pPr>
    </w:p>
    <w:p>
      <w:pPr>
        <w:spacing w:line="240" w:lineRule="auto" w:before="9"/>
        <w:rPr>
          <w:rFonts w:ascii="宋体" w:hAnsi="宋体" w:cs="宋体" w:eastAsia="宋体" w:hint="default"/>
          <w:sz w:val="26"/>
          <w:szCs w:val="26"/>
        </w:rPr>
      </w:pPr>
    </w:p>
    <w:p>
      <w:pPr>
        <w:pStyle w:val="BodyText"/>
        <w:spacing w:line="408" w:lineRule="auto" w:before="36"/>
        <w:ind w:left="152" w:right="206" w:firstLine="420"/>
        <w:jc w:val="both"/>
      </w:pPr>
      <w:r>
        <w:rPr>
          <w:spacing w:val="-2"/>
        </w:rPr>
        <w:t>为有效应对公司规模快速扩张可能导致的内部控制和管理风险，报告期内，公司把完善内控制度和业</w:t>
      </w:r>
      <w:r>
        <w:rPr>
          <w:w w:val="100"/>
        </w:rPr>
        <w:t> </w:t>
      </w:r>
      <w:r>
        <w:rPr>
          <w:spacing w:val="-2"/>
        </w:rPr>
        <w:t>务流程做为管理工作的重点，启动了内控体系优化项目，聘请了外部专家咨询团队针对公司内控情况进行</w:t>
      </w:r>
      <w:r>
        <w:rPr>
          <w:spacing w:val="-43"/>
        </w:rPr>
        <w:t> </w:t>
      </w:r>
      <w:r>
        <w:rPr>
          <w:spacing w:val="-43"/>
        </w:rPr>
      </w:r>
      <w:r>
        <w:rPr>
          <w:spacing w:val="-2"/>
        </w:rPr>
        <w:t>全面诊断分析，形成内控优化方案和内控手册，由公司内审部门配合督促各相关部门逐项落实内控优化建</w:t>
      </w:r>
      <w:r>
        <w:rPr>
          <w:spacing w:val="-43"/>
        </w:rPr>
        <w:t> </w:t>
      </w:r>
      <w:r>
        <w:rPr>
          <w:spacing w:val="-43"/>
        </w:rPr>
      </w:r>
      <w:r>
        <w:rPr/>
        <w:t>议。</w:t>
      </w:r>
    </w:p>
    <w:p>
      <w:pPr>
        <w:pStyle w:val="BodyText"/>
        <w:spacing w:line="240" w:lineRule="auto" w:before="46"/>
        <w:ind w:left="573" w:right="99"/>
        <w:jc w:val="left"/>
      </w:pPr>
      <w:r>
        <w:rPr>
          <w:spacing w:val="-5"/>
        </w:rPr>
        <w:t>报告期内，公司董事会根据最新法律法规的要求，结合公司实际情况，新增制定了《筹资管理制度》、</w:t>
      </w:r>
    </w:p>
    <w:p>
      <w:pPr>
        <w:spacing w:line="240" w:lineRule="auto" w:before="10"/>
        <w:rPr>
          <w:rFonts w:ascii="宋体" w:hAnsi="宋体" w:cs="宋体" w:eastAsia="宋体" w:hint="default"/>
          <w:sz w:val="14"/>
          <w:szCs w:val="14"/>
        </w:rPr>
      </w:pPr>
    </w:p>
    <w:p>
      <w:pPr>
        <w:pStyle w:val="BodyText"/>
        <w:spacing w:line="396" w:lineRule="auto"/>
        <w:ind w:left="152" w:right="99"/>
        <w:jc w:val="left"/>
      </w:pPr>
      <w:r>
        <w:rPr/>
        <w:t>《反舞弊及投诉举报工作制度》、《利润分配政策及未来三年股东回报规划（</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-2014</w:t>
      </w:r>
      <w:r>
        <w:rPr/>
        <w:t>年）》等</w:t>
      </w:r>
      <w:r>
        <w:rPr>
          <w:rFonts w:ascii="Times New Roman" w:hAnsi="Times New Roman" w:cs="Times New Roman" w:eastAsia="Times New Roman" w:hint="default"/>
        </w:rPr>
        <w:t>3</w:t>
      </w:r>
      <w:r>
        <w:rPr/>
        <w:t>项重</w:t>
      </w:r>
      <w:r>
        <w:rPr>
          <w:w w:val="100"/>
        </w:rPr>
        <w:t> </w:t>
      </w:r>
      <w:r>
        <w:rPr>
          <w:spacing w:val="-2"/>
        </w:rPr>
        <w:t>要制度，并对《公司章程》、《对外投资管理制度》、《内幕信息知情人管理制度》等</w:t>
      </w:r>
      <w:r>
        <w:rPr>
          <w:rFonts w:ascii="Times New Roman" w:hAnsi="Times New Roman" w:cs="Times New Roman" w:eastAsia="Times New Roman" w:hint="default"/>
          <w:spacing w:val="-2"/>
        </w:rPr>
        <w:t>12</w:t>
      </w:r>
      <w:r>
        <w:rPr>
          <w:spacing w:val="-2"/>
        </w:rPr>
        <w:t>项内控制度进行</w:t>
      </w:r>
      <w:r>
        <w:rPr>
          <w:spacing w:val="-43"/>
        </w:rPr>
        <w:t> </w:t>
      </w:r>
      <w:r>
        <w:rPr>
          <w:spacing w:val="-43"/>
        </w:rPr>
      </w:r>
      <w:r>
        <w:rPr>
          <w:spacing w:val="-5"/>
        </w:rPr>
        <w:t>了修订、完善。在研发管理中继续贯彻</w:t>
      </w:r>
      <w:r>
        <w:rPr>
          <w:rFonts w:ascii="Times New Roman" w:hAnsi="Times New Roman" w:cs="Times New Roman" w:eastAsia="Times New Roman" w:hint="default"/>
          <w:spacing w:val="-5"/>
        </w:rPr>
        <w:t>NPI</w:t>
      </w:r>
      <w:r>
        <w:rPr>
          <w:spacing w:val="-5"/>
        </w:rPr>
        <w:t>工作流程，进一步完善</w:t>
      </w:r>
      <w:r>
        <w:rPr>
          <w:rFonts w:ascii="Times New Roman" w:hAnsi="Times New Roman" w:cs="Times New Roman" w:eastAsia="Times New Roman" w:hint="default"/>
          <w:spacing w:val="-5"/>
        </w:rPr>
        <w:t>NPI</w:t>
      </w:r>
      <w:r>
        <w:rPr>
          <w:spacing w:val="-5"/>
        </w:rPr>
        <w:t>制度体系，新增了多个衍生工作规范。</w:t>
      </w:r>
      <w:r>
        <w:rPr>
          <w:spacing w:val="-40"/>
        </w:rPr>
        <w:t> </w:t>
      </w:r>
      <w:r>
        <w:rPr>
          <w:spacing w:val="-40"/>
        </w:rPr>
      </w:r>
      <w:r>
        <w:rPr>
          <w:spacing w:val="-2"/>
        </w:rPr>
        <w:t>目前，公司已结合自身生产经营的需要，建立了一套较为健全的内部控制体系。公司内部控制制度基本得</w:t>
      </w:r>
      <w:r>
        <w:rPr>
          <w:spacing w:val="-44"/>
        </w:rPr>
        <w:t> </w:t>
      </w:r>
      <w:r>
        <w:rPr>
          <w:spacing w:val="-44"/>
        </w:rPr>
      </w:r>
      <w:r>
        <w:rPr/>
        <w:t>到了有效执行，控制了公司经营风险和财务风险，保证了公司资产的安全完整、财务数据的真实、完整、</w:t>
      </w:r>
      <w:r>
        <w:rPr>
          <w:w w:val="100"/>
        </w:rPr>
        <w:t> </w:t>
      </w:r>
      <w:r>
        <w:rPr/>
        <w:t>准确。</w:t>
      </w:r>
    </w:p>
    <w:p>
      <w:pPr>
        <w:pStyle w:val="BodyText"/>
        <w:spacing w:line="403" w:lineRule="auto" w:before="56"/>
        <w:ind w:left="152" w:right="99" w:firstLine="420"/>
        <w:jc w:val="left"/>
      </w:pPr>
      <w:r>
        <w:rPr>
          <w:spacing w:val="-3"/>
        </w:rPr>
        <w:t>此外，为满足公司规模快速扩大的需要，提高工作效率和规范性，报告期内，公司大力推进办公信息</w:t>
      </w:r>
      <w:r>
        <w:rPr>
          <w:w w:val="100"/>
        </w:rPr>
        <w:t> </w:t>
      </w:r>
      <w:r>
        <w:rPr>
          <w:spacing w:val="-5"/>
        </w:rPr>
        <w:t>系统的建设，单独成立信息中心，统筹公司的信息化建设。已经完成了公司物流系统、研发报表管理系统、</w:t>
      </w:r>
      <w:r>
        <w:rPr>
          <w:spacing w:val="-11"/>
        </w:rPr>
        <w:t> </w:t>
      </w:r>
      <w:r>
        <w:rPr>
          <w:spacing w:val="-11"/>
        </w:rPr>
      </w:r>
      <w:r>
        <w:rPr>
          <w:spacing w:val="-5"/>
        </w:rPr>
        <w:t>客户关系管理系统等多项信息系统建设规划，并按规划进行信息系统的建设工作。建立了信息中心服务台，</w:t>
      </w:r>
      <w:r>
        <w:rPr>
          <w:spacing w:val="-6"/>
        </w:rPr>
        <w:t> </w:t>
      </w:r>
      <w:r>
        <w:rPr>
          <w:spacing w:val="-6"/>
        </w:rPr>
      </w:r>
      <w:r>
        <w:rPr/>
        <w:t>对现有的信息系统按信息技术服务管理的国际标准（</w:t>
      </w:r>
      <w:r>
        <w:rPr>
          <w:rFonts w:ascii="Times New Roman" w:hAnsi="Times New Roman" w:cs="Times New Roman" w:eastAsia="Times New Roman" w:hint="default"/>
        </w:rPr>
        <w:t>ITIL</w:t>
      </w:r>
      <w:r>
        <w:rPr/>
        <w:t>）进行运维。同时，按内部控制标准的要求，完</w:t>
      </w:r>
      <w:r>
        <w:rPr>
          <w:w w:val="100"/>
        </w:rPr>
        <w:t> </w:t>
      </w:r>
      <w:r>
        <w:rPr/>
        <w:t>善了信息化建设和运维的相关制度和流程。</w:t>
      </w:r>
    </w:p>
    <w:p>
      <w:pPr>
        <w:pStyle w:val="BodyText"/>
        <w:spacing w:line="408" w:lineRule="auto" w:before="50"/>
        <w:ind w:left="573" w:right="99"/>
        <w:jc w:val="left"/>
      </w:pPr>
      <w:r>
        <w:rPr/>
        <w:t>（六）人力资源方面</w:t>
      </w:r>
      <w:r>
        <w:rPr>
          <w:w w:val="100"/>
        </w:rPr>
        <w:t> </w:t>
      </w:r>
      <w:r>
        <w:rPr>
          <w:spacing w:val="-2"/>
        </w:rPr>
        <w:t>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日，公司正式员工比</w:t>
      </w:r>
      <w:r>
        <w:rPr>
          <w:rFonts w:ascii="Times New Roman" w:hAnsi="Times New Roman" w:cs="Times New Roman" w:eastAsia="Times New Roman" w:hint="default"/>
          <w:spacing w:val="-2"/>
        </w:rPr>
        <w:t>2011</w:t>
      </w:r>
      <w:r>
        <w:rPr>
          <w:spacing w:val="-2"/>
        </w:rPr>
        <w:t>年增长</w:t>
      </w:r>
      <w:r>
        <w:rPr>
          <w:rFonts w:ascii="Times New Roman" w:hAnsi="Times New Roman" w:cs="Times New Roman" w:eastAsia="Times New Roman" w:hint="default"/>
          <w:spacing w:val="-2"/>
        </w:rPr>
        <w:t>35.4%</w:t>
      </w:r>
      <w:r>
        <w:rPr>
          <w:spacing w:val="-2"/>
        </w:rPr>
        <w:t>。为适应公司快速发展的需要，公司不断完</w:t>
      </w:r>
    </w:p>
    <w:p>
      <w:pPr>
        <w:pStyle w:val="BodyText"/>
        <w:spacing w:line="408" w:lineRule="auto" w:before="14"/>
        <w:ind w:left="152" w:right="206"/>
        <w:jc w:val="both"/>
      </w:pPr>
      <w:r>
        <w:rPr>
          <w:spacing w:val="-2"/>
        </w:rPr>
        <w:t>善人力资源方面的各项规章制度，并加强各类制度的执行、监督与核查力度。为充分挖掘并发挥高端人才</w:t>
      </w:r>
      <w:r>
        <w:rPr>
          <w:spacing w:val="-43"/>
        </w:rPr>
        <w:t> </w:t>
      </w:r>
      <w:r>
        <w:rPr>
          <w:spacing w:val="-43"/>
        </w:rPr>
      </w:r>
      <w:r>
        <w:rPr>
          <w:spacing w:val="-2"/>
        </w:rPr>
        <w:t>对公司重大决策的作用，提高公司的决策水平，整合公司专家资源，公司重组美亚专家委员会（包含技术</w:t>
      </w:r>
      <w:r>
        <w:rPr>
          <w:spacing w:val="-50"/>
        </w:rPr>
        <w:t> </w:t>
      </w:r>
      <w:r>
        <w:rPr>
          <w:spacing w:val="-50"/>
        </w:rPr>
      </w:r>
      <w:r>
        <w:rPr>
          <w:spacing w:val="-2"/>
        </w:rPr>
        <w:t>专家委员会、运营专家委员会），积极发挥委员会对公司重要决策的参谋作用，以保证公司的正确发展方</w:t>
      </w:r>
      <w:r>
        <w:rPr>
          <w:spacing w:val="-47"/>
        </w:rPr>
        <w:t> </w:t>
      </w:r>
      <w:r>
        <w:rPr>
          <w:spacing w:val="-47"/>
        </w:rPr>
      </w:r>
      <w:r>
        <w:rPr/>
        <w:t>向。</w:t>
      </w:r>
    </w:p>
    <w:p>
      <w:pPr>
        <w:pStyle w:val="BodyText"/>
        <w:spacing w:line="408" w:lineRule="auto" w:before="46"/>
        <w:ind w:left="152" w:right="206" w:firstLine="420"/>
        <w:jc w:val="both"/>
      </w:pPr>
      <w:r>
        <w:rPr>
          <w:spacing w:val="-2"/>
        </w:rPr>
        <w:t>绩效考核方面，引入目标管理的理念，结合公司经营目标，与管理层、骨干员工签订目标责任书，形</w:t>
      </w:r>
      <w:r>
        <w:rPr>
          <w:w w:val="100"/>
        </w:rPr>
        <w:t> </w:t>
      </w:r>
      <w:r>
        <w:rPr>
          <w:spacing w:val="-2"/>
        </w:rPr>
        <w:t>成短期与长期、过程与结果相结合的考核体系，使得各级管理者充分了解员工的工作绩效，促进上下级的</w:t>
      </w:r>
      <w:r>
        <w:rPr>
          <w:spacing w:val="-45"/>
        </w:rPr>
        <w:t> </w:t>
      </w:r>
      <w:r>
        <w:rPr>
          <w:spacing w:val="-45"/>
        </w:rPr>
      </w:r>
      <w:r>
        <w:rPr/>
        <w:t>沟通，达到共赢。</w:t>
      </w:r>
    </w:p>
    <w:p>
      <w:pPr>
        <w:pStyle w:val="BodyText"/>
        <w:spacing w:line="393" w:lineRule="auto" w:before="46"/>
        <w:ind w:left="152" w:right="206" w:firstLine="420"/>
        <w:jc w:val="both"/>
      </w:pPr>
      <w:r>
        <w:rPr>
          <w:spacing w:val="-7"/>
        </w:rPr>
        <w:t>薪酬福利方面，在薪酬与考核项目小组成员的努力下，报告期内公司正式启动了股权激励计划，于</w:t>
      </w:r>
      <w:r>
        <w:rPr>
          <w:rFonts w:ascii="Times New Roman" w:hAnsi="Times New Roman" w:cs="Times New Roman" w:eastAsia="Times New Roman" w:hint="default"/>
          <w:spacing w:val="-7"/>
        </w:rPr>
        <w:t>2012</w:t>
      </w:r>
      <w:r>
        <w:rPr>
          <w:rFonts w:ascii="Times New Roman" w:hAnsi="Times New Roman" w:cs="Times New Roman" w:eastAsia="Times New Roman" w:hint="default"/>
          <w:w w:val="100"/>
        </w:rPr>
        <w:t> </w:t>
      </w:r>
      <w:r>
        <w:rPr>
          <w:spacing w:val="-2"/>
        </w:rPr>
        <w:t>年</w:t>
      </w:r>
      <w:r>
        <w:rPr>
          <w:rFonts w:ascii="Times New Roman" w:hAnsi="Times New Roman" w:cs="Times New Roman" w:eastAsia="Times New Roman" w:hint="default"/>
          <w:spacing w:val="-2"/>
        </w:rPr>
        <w:t>7</w:t>
      </w:r>
      <w:r>
        <w:rPr>
          <w:spacing w:val="-2"/>
        </w:rPr>
        <w:t>月份完成了首批激励对象</w:t>
      </w:r>
      <w:r>
        <w:rPr>
          <w:rFonts w:ascii="Times New Roman" w:hAnsi="Times New Roman" w:cs="Times New Roman" w:eastAsia="Times New Roman" w:hint="default"/>
          <w:spacing w:val="-2"/>
        </w:rPr>
        <w:t>201</w:t>
      </w:r>
      <w:r>
        <w:rPr>
          <w:spacing w:val="-2"/>
        </w:rPr>
        <w:t>人限制性股票的授予工作，对稳定核心团队起到了积极的作用。规范了职</w:t>
      </w:r>
      <w:r>
        <w:rPr>
          <w:spacing w:val="-45"/>
        </w:rPr>
        <w:t> </w:t>
      </w:r>
      <w:r>
        <w:rPr>
          <w:spacing w:val="-45"/>
        </w:rPr>
      </w:r>
      <w:r>
        <w:rPr>
          <w:spacing w:val="-2"/>
        </w:rPr>
        <w:t>务管理体系，员工通过技术、专业通道可以达到与管理者同样的待遇，拓宽员工的职业发展通道，吸引保</w:t>
      </w:r>
      <w:r>
        <w:rPr>
          <w:spacing w:val="-50"/>
        </w:rPr>
        <w:t> </w:t>
      </w:r>
      <w:r>
        <w:rPr>
          <w:spacing w:val="-50"/>
        </w:rPr>
      </w:r>
      <w:r>
        <w:rPr/>
        <w:t>留核心技术人才。</w:t>
      </w:r>
    </w:p>
    <w:p>
      <w:pPr>
        <w:spacing w:after="0" w:line="393" w:lineRule="auto"/>
        <w:jc w:val="both"/>
        <w:sectPr>
          <w:pgSz w:w="11910" w:h="16840"/>
          <w:pgMar w:header="877" w:footer="1227" w:top="1100" w:bottom="1420" w:left="980" w:right="920"/>
        </w:sectPr>
      </w:pPr>
    </w:p>
    <w:p>
      <w:pPr>
        <w:spacing w:line="240" w:lineRule="auto" w:before="9"/>
        <w:rPr>
          <w:rFonts w:ascii="宋体" w:hAnsi="宋体" w:cs="宋体" w:eastAsia="宋体" w:hint="default"/>
          <w:sz w:val="26"/>
          <w:szCs w:val="26"/>
        </w:rPr>
      </w:pPr>
    </w:p>
    <w:p>
      <w:pPr>
        <w:pStyle w:val="BodyText"/>
        <w:spacing w:line="408" w:lineRule="auto" w:before="36"/>
        <w:ind w:left="573" w:right="99"/>
        <w:jc w:val="left"/>
      </w:pPr>
      <w:r>
        <w:rPr/>
        <w:t>（七）企业文化建设方面</w:t>
      </w:r>
      <w:r>
        <w:rPr>
          <w:w w:val="100"/>
        </w:rPr>
        <w:t> </w:t>
      </w:r>
      <w:r>
        <w:rPr>
          <w:spacing w:val="-2"/>
        </w:rPr>
        <w:t>报告期内，公司提出“创新美亚、高效美亚、幸福美亚”三个美亚的企业文化目标，秉承注重企业文</w:t>
      </w:r>
    </w:p>
    <w:p>
      <w:pPr>
        <w:pStyle w:val="BodyText"/>
        <w:spacing w:line="408" w:lineRule="auto" w:before="46"/>
        <w:ind w:left="573" w:right="99" w:hanging="421"/>
        <w:jc w:val="left"/>
      </w:pPr>
      <w:r>
        <w:rPr/>
        <w:t>化建设的传统，为员工提供更好的工作环境，更加和谐的工作氛围，更加多样的成长机会。</w:t>
      </w:r>
      <w:r>
        <w:rPr>
          <w:w w:val="100"/>
        </w:rPr>
        <w:t> </w:t>
      </w:r>
      <w:r>
        <w:rPr>
          <w:spacing w:val="-2"/>
        </w:rPr>
        <w:t>报告期内，公司党支部成立了</w:t>
      </w:r>
      <w:r>
        <w:rPr>
          <w:rFonts w:ascii="Times New Roman" w:hAnsi="Times New Roman" w:cs="Times New Roman" w:eastAsia="Times New Roman" w:hint="default"/>
          <w:spacing w:val="-2"/>
        </w:rPr>
        <w:t>5</w:t>
      </w:r>
      <w:r>
        <w:rPr>
          <w:spacing w:val="-2"/>
        </w:rPr>
        <w:t>个党小组；支部荣获“福建省非公企业创先争优先进基层党组织”称</w:t>
      </w:r>
    </w:p>
    <w:p>
      <w:pPr>
        <w:pStyle w:val="BodyText"/>
        <w:spacing w:line="408" w:lineRule="auto" w:before="14"/>
        <w:ind w:left="0" w:right="187"/>
        <w:jc w:val="right"/>
      </w:pPr>
      <w:r>
        <w:rPr>
          <w:spacing w:val="-2"/>
        </w:rPr>
        <w:t>号、“全国非公有制企业防治腐败联系点候选单位”、“厦门市直机关年度先进基层党组织”光荣称号。</w:t>
      </w:r>
      <w:r>
        <w:rPr>
          <w:spacing w:val="-46"/>
        </w:rPr>
        <w:t> </w:t>
      </w:r>
      <w:r>
        <w:rPr>
          <w:spacing w:val="-46"/>
        </w:rPr>
      </w:r>
      <w:r>
        <w:rPr>
          <w:spacing w:val="-2"/>
        </w:rPr>
        <w:t>报告期内，工会完成工资集体协商合同的签订工作，并成立了劳动关系协调委员会，以维护和谐的劳</w:t>
      </w:r>
      <w:r>
        <w:rPr>
          <w:w w:val="100"/>
        </w:rPr>
        <w:t> </w:t>
      </w:r>
      <w:r>
        <w:rPr>
          <w:spacing w:val="-2"/>
        </w:rPr>
        <w:t>动关系。为丰富职工文化生活，工会组织员工开展多项文体活动。公司工会先后获得“福建省模范职工小</w:t>
      </w:r>
      <w:r>
        <w:rPr>
          <w:spacing w:val="-98"/>
        </w:rPr>
        <w:t> </w:t>
      </w:r>
      <w:r>
        <w:rPr>
          <w:spacing w:val="-98"/>
        </w:rPr>
      </w:r>
      <w:r>
        <w:rPr>
          <w:spacing w:val="-2"/>
        </w:rPr>
        <w:t>家”、“福建省工人先锋号”、“厦门市女职工保健达标单位”、“厦门市工会工作先进集体”、董事长</w:t>
      </w:r>
      <w:r>
        <w:rPr>
          <w:spacing w:val="-92"/>
        </w:rPr>
        <w:t> </w:t>
      </w:r>
      <w:r>
        <w:rPr>
          <w:spacing w:val="-92"/>
        </w:rPr>
      </w:r>
      <w:r>
        <w:rPr>
          <w:spacing w:val="-2"/>
        </w:rPr>
        <w:t>刘祥南获得</w:t>
      </w:r>
      <w:r>
        <w:rPr>
          <w:rFonts w:ascii="Times New Roman" w:hAnsi="Times New Roman" w:cs="Times New Roman" w:eastAsia="Times New Roman" w:hint="default"/>
          <w:spacing w:val="-2"/>
        </w:rPr>
        <w:t>2012</w:t>
      </w:r>
      <w:r>
        <w:rPr>
          <w:spacing w:val="-2"/>
        </w:rPr>
        <w:t>年双爱双评“爱员工优秀董事长”、工会主席丛艳芬获得市总工会颁发的“女职工建功立</w:t>
      </w:r>
    </w:p>
    <w:p>
      <w:pPr>
        <w:pStyle w:val="BodyText"/>
        <w:spacing w:line="240" w:lineRule="auto" w:before="14"/>
        <w:ind w:left="152" w:right="0"/>
        <w:jc w:val="both"/>
      </w:pPr>
      <w:r>
        <w:rPr/>
        <w:t>业标兵”。</w:t>
      </w:r>
    </w:p>
    <w:p>
      <w:pPr>
        <w:spacing w:line="240" w:lineRule="auto" w:before="10"/>
        <w:rPr>
          <w:rFonts w:ascii="宋体" w:hAnsi="宋体" w:cs="宋体" w:eastAsia="宋体" w:hint="default"/>
          <w:sz w:val="14"/>
          <w:szCs w:val="14"/>
        </w:rPr>
      </w:pPr>
    </w:p>
    <w:p>
      <w:pPr>
        <w:pStyle w:val="BodyText"/>
        <w:spacing w:line="386" w:lineRule="auto"/>
        <w:ind w:left="152" w:right="99" w:firstLine="420"/>
        <w:jc w:val="left"/>
      </w:pPr>
      <w:r>
        <w:rPr>
          <w:spacing w:val="-6"/>
          <w:w w:val="100"/>
        </w:rPr>
        <w:t>报告期内，公司团总支荣获“</w:t>
      </w:r>
      <w:r>
        <w:rPr>
          <w:rFonts w:ascii="Times New Roman" w:hAnsi="Times New Roman" w:cs="Times New Roman" w:eastAsia="Times New Roman" w:hint="default"/>
          <w:spacing w:val="-6"/>
          <w:w w:val="100"/>
        </w:rPr>
        <w:t>2012-2014</w:t>
      </w:r>
      <w:r>
        <w:rPr>
          <w:spacing w:val="-6"/>
          <w:w w:val="100"/>
        </w:rPr>
        <w:t>年市级青年文明号”、“</w:t>
      </w:r>
      <w:r>
        <w:rPr>
          <w:rFonts w:ascii="Times New Roman" w:hAnsi="Times New Roman" w:cs="Times New Roman" w:eastAsia="Times New Roman" w:hint="default"/>
          <w:spacing w:val="-6"/>
          <w:w w:val="100"/>
        </w:rPr>
        <w:t>2010-2011</w:t>
      </w:r>
      <w:r>
        <w:rPr>
          <w:spacing w:val="-6"/>
          <w:w w:val="100"/>
        </w:rPr>
        <w:t>年度福建省五四红旗团（总）</w:t>
      </w:r>
      <w:r>
        <w:rPr>
          <w:w w:val="100"/>
        </w:rPr>
        <w:t> </w:t>
      </w:r>
      <w:r>
        <w:rPr/>
        <w:t>支称号”，以及“厦门市青年突击队”荣誉称号。</w:t>
      </w:r>
    </w:p>
    <w:p>
      <w:pPr>
        <w:pStyle w:val="BodyText"/>
        <w:spacing w:line="386" w:lineRule="auto" w:before="65"/>
        <w:ind w:left="152" w:right="99" w:firstLine="420"/>
        <w:jc w:val="left"/>
      </w:pPr>
      <w:r>
        <w:rPr>
          <w:spacing w:val="-2"/>
        </w:rPr>
        <w:t>报告期内，“美亚柏科爱心基金”共定向捐助了</w:t>
      </w:r>
      <w:r>
        <w:rPr>
          <w:rFonts w:ascii="Times New Roman" w:hAnsi="Times New Roman" w:cs="Times New Roman" w:eastAsia="Times New Roman" w:hint="default"/>
          <w:spacing w:val="-2"/>
        </w:rPr>
        <w:t>12</w:t>
      </w:r>
      <w:r>
        <w:rPr>
          <w:spacing w:val="-2"/>
        </w:rPr>
        <w:t>笔善款。公司设立了“心晴姐姐”专线，帮助员工</w:t>
      </w:r>
      <w:r>
        <w:rPr>
          <w:w w:val="100"/>
        </w:rPr>
        <w:t> </w:t>
      </w:r>
      <w:r>
        <w:rPr/>
        <w:t>解决生活、工作中遇到的难题及员工心理问题，引导员工往健康、积极的心态发展。</w:t>
      </w:r>
    </w:p>
    <w:p>
      <w:pPr>
        <w:pStyle w:val="BodyText"/>
        <w:spacing w:line="386" w:lineRule="auto" w:before="65"/>
        <w:ind w:left="573" w:right="99" w:firstLine="105"/>
        <w:jc w:val="left"/>
      </w:pPr>
      <w:r>
        <w:rPr>
          <w:rFonts w:ascii="Times New Roman" w:hAnsi="Times New Roman" w:cs="Times New Roman" w:eastAsia="Times New Roman" w:hint="default"/>
        </w:rPr>
        <w:t>(</w:t>
      </w:r>
      <w:r>
        <w:rPr/>
        <w:t>八）知识产权方面</w:t>
      </w:r>
      <w:r>
        <w:rPr>
          <w:w w:val="100"/>
        </w:rPr>
        <w:t> </w:t>
      </w:r>
      <w:r>
        <w:rPr>
          <w:spacing w:val="-2"/>
        </w:rPr>
        <w:t>公司坚持鼓励自主创新，并重视知识产权保护工作，完善了专利奖励制度对提出专利的员工给予奖励</w:t>
      </w:r>
    </w:p>
    <w:p>
      <w:pPr>
        <w:pStyle w:val="BodyText"/>
        <w:spacing w:line="386" w:lineRule="auto" w:before="65"/>
        <w:ind w:left="152" w:right="187"/>
        <w:jc w:val="both"/>
      </w:pPr>
      <w:r>
        <w:rPr>
          <w:spacing w:val="-2"/>
        </w:rPr>
        <w:t>和表扬。报告期内，公司知识产权申报情况如下：新提交专利申请</w:t>
      </w:r>
      <w:r>
        <w:rPr>
          <w:rFonts w:ascii="Times New Roman" w:hAnsi="Times New Roman" w:cs="Times New Roman" w:eastAsia="Times New Roman" w:hint="default"/>
          <w:spacing w:val="-2"/>
        </w:rPr>
        <w:t>54</w:t>
      </w:r>
      <w:r>
        <w:rPr>
          <w:spacing w:val="-2"/>
        </w:rPr>
        <w:t>项（发明专利</w:t>
      </w:r>
      <w:r>
        <w:rPr>
          <w:rFonts w:ascii="Times New Roman" w:hAnsi="Times New Roman" w:cs="Times New Roman" w:eastAsia="Times New Roman" w:hint="default"/>
          <w:spacing w:val="-2"/>
        </w:rPr>
        <w:t>32</w:t>
      </w:r>
      <w:r>
        <w:rPr>
          <w:spacing w:val="-2"/>
        </w:rPr>
        <w:t>项，实用新型专利</w:t>
      </w:r>
      <w:r>
        <w:rPr>
          <w:rFonts w:ascii="Times New Roman" w:hAnsi="Times New Roman" w:cs="Times New Roman" w:eastAsia="Times New Roman" w:hint="default"/>
          <w:spacing w:val="-2"/>
        </w:rPr>
        <w:t>14</w:t>
      </w:r>
      <w:r>
        <w:rPr>
          <w:rFonts w:ascii="Times New Roman" w:hAnsi="Times New Roman" w:cs="Times New Roman" w:eastAsia="Times New Roman" w:hint="default"/>
          <w:spacing w:val="13"/>
        </w:rPr>
        <w:t> </w:t>
      </w:r>
      <w:r>
        <w:rPr>
          <w:spacing w:val="-2"/>
        </w:rPr>
        <w:t>项，外观设计专利</w:t>
      </w:r>
      <w:r>
        <w:rPr>
          <w:rFonts w:ascii="Times New Roman" w:hAnsi="Times New Roman" w:cs="Times New Roman" w:eastAsia="Times New Roman" w:hint="default"/>
          <w:spacing w:val="-2"/>
        </w:rPr>
        <w:t>8</w:t>
      </w:r>
      <w:r>
        <w:rPr>
          <w:spacing w:val="-2"/>
        </w:rPr>
        <w:t>项），新取得授权专利</w:t>
      </w:r>
      <w:r>
        <w:rPr>
          <w:rFonts w:ascii="Times New Roman" w:hAnsi="Times New Roman" w:cs="Times New Roman" w:eastAsia="Times New Roman" w:hint="default"/>
          <w:spacing w:val="-2"/>
        </w:rPr>
        <w:t>14</w:t>
      </w:r>
      <w:r>
        <w:rPr>
          <w:spacing w:val="-2"/>
        </w:rPr>
        <w:t>项（发明专利</w:t>
      </w:r>
      <w:r>
        <w:rPr>
          <w:rFonts w:ascii="Times New Roman" w:hAnsi="Times New Roman" w:cs="Times New Roman" w:eastAsia="Times New Roman" w:hint="default"/>
          <w:spacing w:val="-2"/>
        </w:rPr>
        <w:t>8</w:t>
      </w:r>
      <w:r>
        <w:rPr>
          <w:spacing w:val="-2"/>
        </w:rPr>
        <w:t>项，实用新型专利</w:t>
      </w:r>
      <w:r>
        <w:rPr>
          <w:rFonts w:ascii="Times New Roman" w:hAnsi="Times New Roman" w:cs="Times New Roman" w:eastAsia="Times New Roman" w:hint="default"/>
          <w:spacing w:val="-2"/>
        </w:rPr>
        <w:t>4</w:t>
      </w:r>
      <w:r>
        <w:rPr>
          <w:spacing w:val="-2"/>
        </w:rPr>
        <w:t>项，外观设计专利</w:t>
      </w:r>
      <w:r>
        <w:rPr>
          <w:rFonts w:ascii="Times New Roman" w:hAnsi="Times New Roman" w:cs="Times New Roman" w:eastAsia="Times New Roman" w:hint="default"/>
          <w:spacing w:val="-2"/>
        </w:rPr>
        <w:t>2</w:t>
      </w:r>
      <w:r>
        <w:rPr>
          <w:spacing w:val="-2"/>
        </w:rPr>
        <w:t>项）；</w:t>
      </w:r>
      <w:r>
        <w:rPr>
          <w:spacing w:val="-17"/>
        </w:rPr>
        <w:t> </w:t>
      </w:r>
      <w:r>
        <w:rPr>
          <w:spacing w:val="-17"/>
        </w:rPr>
      </w:r>
      <w:r>
        <w:rPr/>
        <w:t>新增软件著作权</w:t>
      </w:r>
      <w:r>
        <w:rPr>
          <w:rFonts w:ascii="Times New Roman" w:hAnsi="Times New Roman" w:cs="Times New Roman" w:eastAsia="Times New Roman" w:hint="default"/>
        </w:rPr>
        <w:t>10</w:t>
      </w:r>
      <w:r>
        <w:rPr/>
        <w:t>项；新增计算机软件产品登记证书</w:t>
      </w:r>
      <w:r>
        <w:rPr>
          <w:rFonts w:ascii="Times New Roman" w:hAnsi="Times New Roman" w:cs="Times New Roman" w:eastAsia="Times New Roman" w:hint="default"/>
        </w:rPr>
        <w:t>11</w:t>
      </w:r>
      <w:r>
        <w:rPr/>
        <w:t>项；新提交商标申请</w:t>
      </w:r>
      <w:r>
        <w:rPr>
          <w:rFonts w:ascii="Times New Roman" w:hAnsi="Times New Roman" w:cs="Times New Roman" w:eastAsia="Times New Roman" w:hint="default"/>
        </w:rPr>
        <w:t>13</w:t>
      </w:r>
      <w:r>
        <w:rPr/>
        <w:t>项。</w:t>
      </w:r>
    </w:p>
    <w:p>
      <w:pPr>
        <w:pStyle w:val="BodyText"/>
        <w:spacing w:line="386" w:lineRule="auto" w:before="35"/>
        <w:ind w:left="152" w:right="99" w:firstLine="420"/>
        <w:jc w:val="left"/>
      </w:pPr>
      <w:r>
        <w:rPr>
          <w:spacing w:val="-8"/>
        </w:rPr>
        <w:t>截至</w:t>
      </w:r>
      <w:r>
        <w:rPr>
          <w:rFonts w:ascii="Times New Roman" w:hAnsi="Times New Roman" w:cs="Times New Roman" w:eastAsia="Times New Roman" w:hint="default"/>
          <w:spacing w:val="-8"/>
        </w:rPr>
        <w:t>2012</w:t>
      </w:r>
      <w:r>
        <w:rPr>
          <w:spacing w:val="-8"/>
        </w:rPr>
        <w:t>年</w:t>
      </w:r>
      <w:r>
        <w:rPr>
          <w:rFonts w:ascii="Times New Roman" w:hAnsi="Times New Roman" w:cs="Times New Roman" w:eastAsia="Times New Roman" w:hint="default"/>
          <w:spacing w:val="-8"/>
        </w:rPr>
        <w:t>12</w:t>
      </w:r>
      <w:r>
        <w:rPr>
          <w:spacing w:val="-8"/>
        </w:rPr>
        <w:t>月</w:t>
      </w:r>
      <w:r>
        <w:rPr>
          <w:rFonts w:ascii="Times New Roman" w:hAnsi="Times New Roman" w:cs="Times New Roman" w:eastAsia="Times New Roman" w:hint="default"/>
          <w:spacing w:val="-8"/>
        </w:rPr>
        <w:t>31</w:t>
      </w:r>
      <w:r>
        <w:rPr>
          <w:spacing w:val="-8"/>
        </w:rPr>
        <w:t>日，公司共申请专利</w:t>
      </w:r>
      <w:r>
        <w:rPr>
          <w:rFonts w:ascii="Times New Roman" w:hAnsi="Times New Roman" w:cs="Times New Roman" w:eastAsia="Times New Roman" w:hint="default"/>
          <w:spacing w:val="-8"/>
        </w:rPr>
        <w:t>116</w:t>
      </w:r>
      <w:r>
        <w:rPr>
          <w:spacing w:val="-8"/>
        </w:rPr>
        <w:t>项（发明专利</w:t>
      </w:r>
      <w:r>
        <w:rPr>
          <w:rFonts w:ascii="Times New Roman" w:hAnsi="Times New Roman" w:cs="Times New Roman" w:eastAsia="Times New Roman" w:hint="default"/>
          <w:spacing w:val="-8"/>
        </w:rPr>
        <w:t>75</w:t>
      </w:r>
      <w:r>
        <w:rPr>
          <w:spacing w:val="-8"/>
        </w:rPr>
        <w:t>项，实用新型专利</w:t>
      </w:r>
      <w:r>
        <w:rPr>
          <w:rFonts w:ascii="Times New Roman" w:hAnsi="Times New Roman" w:cs="Times New Roman" w:eastAsia="Times New Roman" w:hint="default"/>
          <w:spacing w:val="-8"/>
        </w:rPr>
        <w:t>33</w:t>
      </w:r>
      <w:r>
        <w:rPr>
          <w:spacing w:val="-8"/>
        </w:rPr>
        <w:t>项，外观设计专利</w:t>
      </w:r>
      <w:r>
        <w:rPr>
          <w:rFonts w:ascii="Times New Roman" w:hAnsi="Times New Roman" w:cs="Times New Roman" w:eastAsia="Times New Roman" w:hint="default"/>
          <w:spacing w:val="-8"/>
        </w:rPr>
        <w:t>8</w:t>
      </w:r>
      <w:r>
        <w:rPr>
          <w:spacing w:val="-8"/>
        </w:rPr>
        <w:t>项），</w:t>
      </w:r>
      <w:r>
        <w:rPr>
          <w:w w:val="100"/>
        </w:rPr>
        <w:t> </w:t>
      </w:r>
      <w:r>
        <w:rPr/>
        <w:t>其中已取得授权专利</w:t>
      </w:r>
      <w:r>
        <w:rPr>
          <w:rFonts w:ascii="Times New Roman" w:hAnsi="Times New Roman" w:cs="Times New Roman" w:eastAsia="Times New Roman" w:hint="default"/>
        </w:rPr>
        <w:t>31</w:t>
      </w:r>
      <w:r>
        <w:rPr/>
        <w:t>项（发明专利</w:t>
      </w:r>
      <w:r>
        <w:rPr>
          <w:rFonts w:ascii="Times New Roman" w:hAnsi="Times New Roman" w:cs="Times New Roman" w:eastAsia="Times New Roman" w:hint="default"/>
        </w:rPr>
        <w:t>12</w:t>
      </w:r>
      <w:r>
        <w:rPr/>
        <w:t>项，实用新型专利</w:t>
      </w:r>
      <w:r>
        <w:rPr>
          <w:rFonts w:ascii="Times New Roman" w:hAnsi="Times New Roman" w:cs="Times New Roman" w:eastAsia="Times New Roman" w:hint="default"/>
        </w:rPr>
        <w:t>17</w:t>
      </w:r>
      <w:r>
        <w:rPr/>
        <w:t>项，外观设计专利</w:t>
      </w:r>
      <w:r>
        <w:rPr>
          <w:rFonts w:ascii="Times New Roman" w:hAnsi="Times New Roman" w:cs="Times New Roman" w:eastAsia="Times New Roman" w:hint="default"/>
        </w:rPr>
        <w:t>2</w:t>
      </w:r>
      <w:r>
        <w:rPr/>
        <w:t>项）；共取得软件著作权</w:t>
      </w:r>
      <w:r>
        <w:rPr>
          <w:w w:val="100"/>
        </w:rPr>
        <w:t> </w:t>
      </w:r>
      <w:r>
        <w:rPr>
          <w:rFonts w:ascii="Times New Roman" w:hAnsi="Times New Roman" w:cs="Times New Roman" w:eastAsia="Times New Roman" w:hint="default"/>
        </w:rPr>
        <w:t>81</w:t>
      </w:r>
      <w:r>
        <w:rPr/>
        <w:t>项；共取得注册商标</w:t>
      </w:r>
      <w:r>
        <w:rPr>
          <w:rFonts w:ascii="Times New Roman" w:hAnsi="Times New Roman" w:cs="Times New Roman" w:eastAsia="Times New Roman" w:hint="default"/>
        </w:rPr>
        <w:t>23</w:t>
      </w:r>
      <w:r>
        <w:rPr/>
        <w:t>项，正在审核过程中的商标注册申请</w:t>
      </w:r>
      <w:r>
        <w:rPr>
          <w:rFonts w:ascii="Times New Roman" w:hAnsi="Times New Roman" w:cs="Times New Roman" w:eastAsia="Times New Roman" w:hint="default"/>
        </w:rPr>
        <w:t>14</w:t>
      </w:r>
      <w:r>
        <w:rPr/>
        <w:t>项。</w:t>
      </w:r>
    </w:p>
    <w:p>
      <w:pPr>
        <w:pStyle w:val="BodyText"/>
        <w:spacing w:line="240" w:lineRule="auto" w:before="35"/>
        <w:ind w:left="573" w:right="99"/>
        <w:jc w:val="left"/>
      </w:pPr>
      <w:r>
        <w:rPr/>
        <w:t>报告期内各项无形资产的具体变化情况如下：</w:t>
      </w:r>
    </w:p>
    <w:p>
      <w:pPr>
        <w:spacing w:line="240" w:lineRule="auto" w:before="11"/>
        <w:rPr>
          <w:rFonts w:ascii="宋体" w:hAnsi="宋体" w:cs="宋体" w:eastAsia="宋体" w:hint="default"/>
          <w:sz w:val="14"/>
          <w:szCs w:val="14"/>
        </w:rPr>
      </w:pPr>
    </w:p>
    <w:p>
      <w:pPr>
        <w:pStyle w:val="BodyText"/>
        <w:spacing w:line="240" w:lineRule="auto"/>
        <w:ind w:left="573" w:right="99"/>
        <w:jc w:val="left"/>
      </w:pPr>
      <w:r>
        <w:rPr>
          <w:rFonts w:ascii="Times New Roman" w:hAnsi="Times New Roman" w:cs="Times New Roman" w:eastAsia="Times New Roman" w:hint="default"/>
        </w:rPr>
        <w:t>1</w:t>
      </w:r>
      <w:r>
        <w:rPr/>
        <w:t>）新增授权专利（</w:t>
      </w:r>
      <w:r>
        <w:rPr>
          <w:rFonts w:ascii="Times New Roman" w:hAnsi="Times New Roman" w:cs="Times New Roman" w:eastAsia="Times New Roman" w:hint="default"/>
        </w:rPr>
        <w:t>14</w:t>
      </w:r>
      <w:r>
        <w:rPr/>
        <w:t>项）</w:t>
      </w:r>
    </w:p>
    <w:p>
      <w:pPr>
        <w:spacing w:line="240" w:lineRule="auto" w:before="8"/>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567"/>
        <w:gridCol w:w="5276"/>
        <w:gridCol w:w="991"/>
        <w:gridCol w:w="1702"/>
        <w:gridCol w:w="1162"/>
      </w:tblGrid>
      <w:tr>
        <w:trPr>
          <w:trHeight w:val="439" w:hRule="exact"/>
        </w:trPr>
        <w:tc>
          <w:tcPr>
            <w:tcW w:w="5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5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专利名称</w:t>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31" w:right="0"/>
              <w:jc w:val="left"/>
              <w:rPr>
                <w:rFonts w:ascii="宋体" w:hAnsi="宋体" w:cs="宋体" w:eastAsia="宋体" w:hint="default"/>
                <w:sz w:val="18"/>
                <w:szCs w:val="18"/>
              </w:rPr>
            </w:pPr>
            <w:r>
              <w:rPr>
                <w:rFonts w:ascii="宋体" w:hAnsi="宋体" w:cs="宋体" w:eastAsia="宋体" w:hint="default"/>
                <w:sz w:val="18"/>
                <w:szCs w:val="18"/>
              </w:rPr>
              <w:t>专利类别</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专利号</w:t>
            </w:r>
          </w:p>
        </w:tc>
        <w:tc>
          <w:tcPr>
            <w:tcW w:w="11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24" w:right="0"/>
              <w:jc w:val="left"/>
              <w:rPr>
                <w:rFonts w:ascii="宋体" w:hAnsi="宋体" w:cs="宋体" w:eastAsia="宋体" w:hint="default"/>
                <w:sz w:val="18"/>
                <w:szCs w:val="18"/>
              </w:rPr>
            </w:pPr>
            <w:r>
              <w:rPr>
                <w:rFonts w:ascii="宋体" w:hAnsi="宋体" w:cs="宋体" w:eastAsia="宋体" w:hint="default"/>
                <w:sz w:val="18"/>
                <w:szCs w:val="18"/>
              </w:rPr>
              <w:t>专利申请日</w:t>
            </w:r>
          </w:p>
        </w:tc>
      </w:tr>
      <w:tr>
        <w:trPr>
          <w:trHeight w:val="403"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5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一种基于内容的人体上半身敏感图像识别方法及其装置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ZL200910173024.6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2009-8-26</w:t>
            </w:r>
          </w:p>
        </w:tc>
      </w:tr>
      <w:tr>
        <w:trPr>
          <w:trHeight w:val="598"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5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一种非可执行文件挂马检测方法及其装置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ZL200910113120.1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2009-12-30</w:t>
            </w:r>
          </w:p>
        </w:tc>
      </w:tr>
      <w:tr>
        <w:trPr>
          <w:trHeight w:val="403"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w:t>
            </w:r>
          </w:p>
        </w:tc>
        <w:tc>
          <w:tcPr>
            <w:tcW w:w="5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一种全息式企业服务总线</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ZL200910113112.7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2009-12-31</w:t>
            </w:r>
          </w:p>
        </w:tc>
      </w:tr>
      <w:tr>
        <w:trPr>
          <w:trHeight w:val="401"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5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一种提高搜索引擎搜索效率的方法及其系统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ZL201010250103.5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2010-8-10</w:t>
            </w:r>
          </w:p>
        </w:tc>
      </w:tr>
      <w:tr>
        <w:trPr>
          <w:trHeight w:val="403"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w:t>
            </w:r>
          </w:p>
        </w:tc>
        <w:tc>
          <w:tcPr>
            <w:tcW w:w="5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一种非可执行文件中包含恶意代码的检测方法及其装置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ZL201010531717.0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2010-11-3</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27" w:top="1100" w:bottom="1420" w:left="980" w:right="920"/>
        </w:sectPr>
      </w:pPr>
    </w:p>
    <w:p>
      <w:pPr>
        <w:spacing w:line="240" w:lineRule="auto" w:before="8"/>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567"/>
        <w:gridCol w:w="5276"/>
        <w:gridCol w:w="991"/>
        <w:gridCol w:w="1702"/>
        <w:gridCol w:w="1162"/>
      </w:tblGrid>
      <w:tr>
        <w:trPr>
          <w:trHeight w:val="401"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3" w:right="0"/>
              <w:jc w:val="left"/>
              <w:rPr>
                <w:rFonts w:ascii="Times New Roman" w:hAnsi="Times New Roman" w:cs="Times New Roman" w:eastAsia="Times New Roman" w:hint="default"/>
                <w:sz w:val="18"/>
                <w:szCs w:val="18"/>
              </w:rPr>
            </w:pPr>
            <w:r>
              <w:rPr>
                <w:rFonts w:ascii="Times New Roman"/>
                <w:sz w:val="18"/>
              </w:rPr>
              <w:t>6</w:t>
            </w:r>
          </w:p>
        </w:tc>
        <w:tc>
          <w:tcPr>
            <w:tcW w:w="5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一种网站信息分析系统及其方法</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ZL201010574349.8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2010-12-3</w:t>
            </w:r>
          </w:p>
        </w:tc>
      </w:tr>
      <w:tr>
        <w:trPr>
          <w:trHeight w:val="403"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3" w:right="0"/>
              <w:jc w:val="left"/>
              <w:rPr>
                <w:rFonts w:ascii="Times New Roman" w:hAnsi="Times New Roman" w:cs="Times New Roman" w:eastAsia="Times New Roman" w:hint="default"/>
                <w:sz w:val="18"/>
                <w:szCs w:val="18"/>
              </w:rPr>
            </w:pPr>
            <w:r>
              <w:rPr>
                <w:rFonts w:ascii="Times New Roman"/>
                <w:sz w:val="18"/>
              </w:rPr>
              <w:t>7</w:t>
            </w:r>
          </w:p>
        </w:tc>
        <w:tc>
          <w:tcPr>
            <w:tcW w:w="5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一种基于编码方式的文档数据恢复系统及其快速恢复方法</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ZL201010599551.6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2010-12-21</w:t>
            </w:r>
          </w:p>
        </w:tc>
      </w:tr>
      <w:tr>
        <w:trPr>
          <w:trHeight w:val="401"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3" w:right="0"/>
              <w:jc w:val="left"/>
              <w:rPr>
                <w:rFonts w:ascii="Times New Roman" w:hAnsi="Times New Roman" w:cs="Times New Roman" w:eastAsia="Times New Roman" w:hint="default"/>
                <w:sz w:val="18"/>
                <w:szCs w:val="18"/>
              </w:rPr>
            </w:pPr>
            <w:r>
              <w:rPr>
                <w:rFonts w:ascii="Times New Roman"/>
                <w:sz w:val="18"/>
              </w:rPr>
              <w:t>8</w:t>
            </w:r>
          </w:p>
        </w:tc>
        <w:tc>
          <w:tcPr>
            <w:tcW w:w="5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一种基于</w:t>
            </w:r>
            <w:r>
              <w:rPr>
                <w:rFonts w:ascii="Times New Roman" w:hAnsi="Times New Roman" w:cs="Times New Roman" w:eastAsia="Times New Roman" w:hint="default"/>
                <w:sz w:val="18"/>
                <w:szCs w:val="18"/>
              </w:rPr>
              <w:t>MapReduce</w:t>
            </w:r>
            <w:r>
              <w:rPr>
                <w:rFonts w:ascii="宋体" w:hAnsi="宋体" w:cs="宋体" w:eastAsia="宋体" w:hint="default"/>
                <w:sz w:val="18"/>
                <w:szCs w:val="18"/>
              </w:rPr>
              <w:t>编程架构的索引生成方法和装置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ZL201110446325.9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2011-12-28</w:t>
            </w:r>
          </w:p>
        </w:tc>
      </w:tr>
      <w:tr>
        <w:trPr>
          <w:trHeight w:val="403"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3" w:right="0"/>
              <w:jc w:val="left"/>
              <w:rPr>
                <w:rFonts w:ascii="Times New Roman" w:hAnsi="Times New Roman" w:cs="Times New Roman" w:eastAsia="Times New Roman" w:hint="default"/>
                <w:sz w:val="18"/>
                <w:szCs w:val="18"/>
              </w:rPr>
            </w:pPr>
            <w:r>
              <w:rPr>
                <w:rFonts w:ascii="Times New Roman"/>
                <w:sz w:val="18"/>
              </w:rPr>
              <w:t>9</w:t>
            </w:r>
          </w:p>
        </w:tc>
        <w:tc>
          <w:tcPr>
            <w:tcW w:w="5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一种手机数据采集装置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ZL201120348078.4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2011-9-16</w:t>
            </w:r>
          </w:p>
        </w:tc>
      </w:tr>
      <w:tr>
        <w:trPr>
          <w:trHeight w:val="401"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10</w:t>
            </w:r>
          </w:p>
        </w:tc>
        <w:tc>
          <w:tcPr>
            <w:tcW w:w="5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存储卡数据擦除装置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ZL201120501476.5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2011-12-2</w:t>
            </w:r>
          </w:p>
        </w:tc>
      </w:tr>
      <w:tr>
        <w:trPr>
          <w:trHeight w:val="403"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2"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5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一种多接口只读读卡器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ZL201220004341.2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2012-1-5</w:t>
            </w:r>
          </w:p>
        </w:tc>
      </w:tr>
      <w:tr>
        <w:trPr>
          <w:trHeight w:val="401"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12</w:t>
            </w:r>
          </w:p>
        </w:tc>
        <w:tc>
          <w:tcPr>
            <w:tcW w:w="5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一种安全移动电源装置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ZL201220347264.0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2012-7-17</w:t>
            </w:r>
          </w:p>
        </w:tc>
      </w:tr>
      <w:tr>
        <w:trPr>
          <w:trHeight w:val="403"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0" w:right="0"/>
              <w:jc w:val="left"/>
              <w:rPr>
                <w:rFonts w:ascii="Times New Roman" w:hAnsi="Times New Roman" w:cs="Times New Roman" w:eastAsia="Times New Roman" w:hint="default"/>
                <w:sz w:val="18"/>
                <w:szCs w:val="18"/>
              </w:rPr>
            </w:pPr>
            <w:r>
              <w:rPr>
                <w:rFonts w:ascii="Times New Roman"/>
                <w:sz w:val="18"/>
              </w:rPr>
              <w:t>13</w:t>
            </w:r>
          </w:p>
        </w:tc>
        <w:tc>
          <w:tcPr>
            <w:tcW w:w="5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便携式电子计算机（取证魔方）</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ZL201230324623.6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2012-7-18</w:t>
            </w:r>
          </w:p>
        </w:tc>
      </w:tr>
      <w:tr>
        <w:trPr>
          <w:trHeight w:val="403"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14</w:t>
            </w:r>
          </w:p>
        </w:tc>
        <w:tc>
          <w:tcPr>
            <w:tcW w:w="5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硬盘保护盒</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ZL201230357161.8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2012-8-1</w:t>
            </w:r>
          </w:p>
        </w:tc>
      </w:tr>
    </w:tbl>
    <w:p>
      <w:pPr>
        <w:pStyle w:val="BodyText"/>
        <w:spacing w:line="240" w:lineRule="auto" w:before="65"/>
        <w:ind w:left="573" w:right="0"/>
        <w:jc w:val="left"/>
      </w:pPr>
      <w:r>
        <w:rPr>
          <w:rFonts w:ascii="Times New Roman" w:hAnsi="Times New Roman" w:cs="Times New Roman" w:eastAsia="Times New Roman" w:hint="default"/>
        </w:rPr>
        <w:t>2</w:t>
      </w:r>
      <w:r>
        <w:rPr/>
        <w:t>）新增商标申请（</w:t>
      </w:r>
      <w:r>
        <w:rPr>
          <w:rFonts w:ascii="Times New Roman" w:hAnsi="Times New Roman" w:cs="Times New Roman" w:eastAsia="Times New Roman" w:hint="default"/>
        </w:rPr>
        <w:t>13</w:t>
      </w:r>
      <w:r>
        <w:rPr/>
        <w:t>项）</w:t>
      </w:r>
    </w:p>
    <w:p>
      <w:pPr>
        <w:spacing w:line="240" w:lineRule="auto" w:before="5"/>
        <w:rPr>
          <w:rFonts w:ascii="宋体" w:hAnsi="宋体" w:cs="宋体" w:eastAsia="宋体" w:hint="default"/>
          <w:sz w:val="9"/>
          <w:szCs w:val="9"/>
        </w:rPr>
      </w:pPr>
    </w:p>
    <w:tbl>
      <w:tblPr>
        <w:tblW w:w="0" w:type="auto"/>
        <w:jc w:val="left"/>
        <w:tblInd w:w="116" w:type="dxa"/>
        <w:tblLayout w:type="fixed"/>
        <w:tblCellMar>
          <w:top w:w="0" w:type="dxa"/>
          <w:left w:w="0" w:type="dxa"/>
          <w:bottom w:w="0" w:type="dxa"/>
          <w:right w:w="0" w:type="dxa"/>
        </w:tblCellMar>
        <w:tblLook w:val="01E0"/>
      </w:tblPr>
      <w:tblGrid>
        <w:gridCol w:w="701"/>
        <w:gridCol w:w="2134"/>
        <w:gridCol w:w="1418"/>
        <w:gridCol w:w="1772"/>
        <w:gridCol w:w="1777"/>
        <w:gridCol w:w="1896"/>
      </w:tblGrid>
      <w:tr>
        <w:trPr>
          <w:trHeight w:val="425" w:hRule="exact"/>
        </w:trPr>
        <w:tc>
          <w:tcPr>
            <w:tcW w:w="7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1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商标</w:t>
            </w:r>
          </w:p>
        </w:tc>
        <w:tc>
          <w:tcPr>
            <w:tcW w:w="14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7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申请号</w:t>
            </w:r>
          </w:p>
        </w:tc>
        <w:tc>
          <w:tcPr>
            <w:tcW w:w="17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申请日期</w:t>
            </w:r>
          </w:p>
        </w:tc>
        <w:tc>
          <w:tcPr>
            <w:tcW w:w="18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状态</w:t>
            </w:r>
          </w:p>
        </w:tc>
      </w:tr>
      <w:tr>
        <w:trPr>
          <w:trHeight w:val="1042"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w:t>
            </w:r>
          </w:p>
        </w:tc>
        <w:tc>
          <w:tcPr>
            <w:tcW w:w="2134" w:type="dxa"/>
            <w:tcBorders>
              <w:top w:val="single" w:sz="13" w:space="0" w:color="D9D9D9"/>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5"/>
                <w:szCs w:val="5"/>
              </w:rPr>
            </w:pPr>
          </w:p>
          <w:p>
            <w:pPr>
              <w:pStyle w:val="TableParagraph"/>
              <w:spacing w:line="856" w:lineRule="exact"/>
              <w:ind w:left="827" w:right="0"/>
              <w:jc w:val="left"/>
              <w:rPr>
                <w:rFonts w:ascii="宋体" w:hAnsi="宋体" w:cs="宋体" w:eastAsia="宋体" w:hint="default"/>
                <w:sz w:val="20"/>
                <w:szCs w:val="20"/>
              </w:rPr>
            </w:pPr>
            <w:r>
              <w:rPr>
                <w:rFonts w:ascii="宋体" w:hAnsi="宋体" w:cs="宋体" w:eastAsia="宋体" w:hint="default"/>
                <w:position w:val="-16"/>
                <w:sz w:val="20"/>
                <w:szCs w:val="20"/>
              </w:rPr>
              <w:drawing>
                <wp:inline distT="0" distB="0" distL="0" distR="0">
                  <wp:extent cx="292666" cy="544068"/>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2" cstate="print"/>
                          <a:stretch>
                            <a:fillRect/>
                          </a:stretch>
                        </pic:blipFill>
                        <pic:spPr>
                          <a:xfrm>
                            <a:off x="0" y="0"/>
                            <a:ext cx="292666" cy="544068"/>
                          </a:xfrm>
                          <a:prstGeom prst="rect">
                            <a:avLst/>
                          </a:prstGeom>
                        </pic:spPr>
                      </pic:pic>
                    </a:graphicData>
                  </a:graphic>
                </wp:inline>
              </w:drawing>
            </w:r>
            <w:r>
              <w:rPr>
                <w:rFonts w:ascii="宋体" w:hAnsi="宋体" w:cs="宋体" w:eastAsia="宋体" w:hint="default"/>
                <w:position w:val="-16"/>
                <w:sz w:val="20"/>
                <w:szCs w:val="20"/>
              </w:rPr>
            </w:r>
          </w:p>
        </w:tc>
        <w:tc>
          <w:tcPr>
            <w:tcW w:w="1418" w:type="dxa"/>
            <w:tcBorders>
              <w:top w:val="single" w:sz="13" w:space="0" w:color="D9D9D9"/>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w:t>
            </w:r>
          </w:p>
        </w:tc>
        <w:tc>
          <w:tcPr>
            <w:tcW w:w="1772" w:type="dxa"/>
            <w:tcBorders>
              <w:top w:val="single" w:sz="13" w:space="0" w:color="D9D9D9"/>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10455458</w:t>
            </w:r>
          </w:p>
        </w:tc>
        <w:tc>
          <w:tcPr>
            <w:tcW w:w="1777" w:type="dxa"/>
            <w:tcBorders>
              <w:top w:val="single" w:sz="13" w:space="0" w:color="D9D9D9"/>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2012-2-1</w:t>
            </w:r>
          </w:p>
        </w:tc>
        <w:tc>
          <w:tcPr>
            <w:tcW w:w="1896" w:type="dxa"/>
            <w:tcBorders>
              <w:top w:val="single" w:sz="13" w:space="0" w:color="D9D9D9"/>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初审公告：</w:t>
            </w:r>
            <w:r>
              <w:rPr>
                <w:rFonts w:ascii="Times New Roman" w:hAnsi="Times New Roman" w:cs="Times New Roman" w:eastAsia="Times New Roman" w:hint="default"/>
                <w:sz w:val="18"/>
                <w:szCs w:val="18"/>
              </w:rPr>
              <w:t>2012-12-27</w:t>
            </w:r>
          </w:p>
        </w:tc>
      </w:tr>
      <w:tr>
        <w:trPr>
          <w:trHeight w:val="1030"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5"/>
                <w:szCs w:val="5"/>
              </w:rPr>
            </w:pPr>
          </w:p>
          <w:p>
            <w:pPr>
              <w:pStyle w:val="TableParagraph"/>
              <w:spacing w:line="856" w:lineRule="exact"/>
              <w:ind w:left="827" w:right="0"/>
              <w:jc w:val="left"/>
              <w:rPr>
                <w:rFonts w:ascii="宋体" w:hAnsi="宋体" w:cs="宋体" w:eastAsia="宋体" w:hint="default"/>
                <w:sz w:val="20"/>
                <w:szCs w:val="20"/>
              </w:rPr>
            </w:pPr>
            <w:r>
              <w:rPr>
                <w:rFonts w:ascii="宋体" w:hAnsi="宋体" w:cs="宋体" w:eastAsia="宋体" w:hint="default"/>
                <w:position w:val="-16"/>
                <w:sz w:val="20"/>
                <w:szCs w:val="20"/>
              </w:rPr>
              <w:drawing>
                <wp:inline distT="0" distB="0" distL="0" distR="0">
                  <wp:extent cx="292666" cy="544068"/>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12" cstate="print"/>
                          <a:stretch>
                            <a:fillRect/>
                          </a:stretch>
                        </pic:blipFill>
                        <pic:spPr>
                          <a:xfrm>
                            <a:off x="0" y="0"/>
                            <a:ext cx="292666" cy="544068"/>
                          </a:xfrm>
                          <a:prstGeom prst="rect">
                            <a:avLst/>
                          </a:prstGeom>
                        </pic:spPr>
                      </pic:pic>
                    </a:graphicData>
                  </a:graphic>
                </wp:inline>
              </w:drawing>
            </w:r>
            <w:r>
              <w:rPr>
                <w:rFonts w:ascii="宋体" w:hAnsi="宋体" w:cs="宋体" w:eastAsia="宋体" w:hint="default"/>
                <w:position w:val="-16"/>
                <w:sz w:val="20"/>
                <w:szCs w:val="20"/>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42</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10455476</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2012-2-1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初审公告：</w:t>
            </w:r>
            <w:r>
              <w:rPr>
                <w:rFonts w:ascii="Times New Roman" w:hAnsi="Times New Roman" w:cs="Times New Roman" w:eastAsia="Times New Roman" w:hint="default"/>
                <w:sz w:val="18"/>
                <w:szCs w:val="18"/>
              </w:rPr>
              <w:t>2012-12-27</w:t>
            </w:r>
          </w:p>
        </w:tc>
      </w:tr>
      <w:tr>
        <w:trPr>
          <w:trHeight w:val="720"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3"/>
                <w:szCs w:val="3"/>
              </w:rPr>
            </w:pPr>
          </w:p>
          <w:p>
            <w:pPr>
              <w:pStyle w:val="TableParagraph"/>
              <w:spacing w:line="612" w:lineRule="exact"/>
              <w:ind w:left="793" w:right="0"/>
              <w:jc w:val="left"/>
              <w:rPr>
                <w:rFonts w:ascii="宋体" w:hAnsi="宋体" w:cs="宋体" w:eastAsia="宋体" w:hint="default"/>
                <w:sz w:val="20"/>
                <w:szCs w:val="20"/>
              </w:rPr>
            </w:pPr>
            <w:r>
              <w:rPr>
                <w:rFonts w:ascii="宋体" w:hAnsi="宋体" w:cs="宋体" w:eastAsia="宋体" w:hint="default"/>
                <w:position w:val="-11"/>
                <w:sz w:val="20"/>
                <w:szCs w:val="20"/>
              </w:rPr>
              <w:drawing>
                <wp:inline distT="0" distB="0" distL="0" distR="0">
                  <wp:extent cx="337184" cy="388620"/>
                  <wp:effectExtent l="0" t="0" r="0" b="0"/>
                  <wp:docPr id="7" name="image3.png" descr=""/>
                  <wp:cNvGraphicFramePr>
                    <a:graphicFrameLocks noChangeAspect="1"/>
                  </wp:cNvGraphicFramePr>
                  <a:graphic>
                    <a:graphicData uri="http://schemas.openxmlformats.org/drawingml/2006/picture">
                      <pic:pic>
                        <pic:nvPicPr>
                          <pic:cNvPr id="8" name="image3.png"/>
                          <pic:cNvPicPr/>
                        </pic:nvPicPr>
                        <pic:blipFill>
                          <a:blip r:embed="rId13" cstate="print"/>
                          <a:stretch>
                            <a:fillRect/>
                          </a:stretch>
                        </pic:blipFill>
                        <pic:spPr>
                          <a:xfrm>
                            <a:off x="0" y="0"/>
                            <a:ext cx="337184" cy="388620"/>
                          </a:xfrm>
                          <a:prstGeom prst="rect">
                            <a:avLst/>
                          </a:prstGeom>
                        </pic:spPr>
                      </pic:pic>
                    </a:graphicData>
                  </a:graphic>
                </wp:inline>
              </w:drawing>
            </w:r>
            <w:r>
              <w:rPr>
                <w:rFonts w:ascii="宋体" w:hAnsi="宋体" w:cs="宋体" w:eastAsia="宋体" w:hint="default"/>
                <w:position w:val="-11"/>
                <w:sz w:val="20"/>
                <w:szCs w:val="20"/>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10455461</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2012-2-1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初审公告：</w:t>
            </w:r>
            <w:r>
              <w:rPr>
                <w:rFonts w:ascii="Times New Roman" w:hAnsi="Times New Roman" w:cs="Times New Roman" w:eastAsia="Times New Roman" w:hint="default"/>
                <w:sz w:val="18"/>
                <w:szCs w:val="18"/>
              </w:rPr>
              <w:t>2012-12-27</w:t>
            </w:r>
          </w:p>
        </w:tc>
      </w:tr>
      <w:tr>
        <w:trPr>
          <w:trHeight w:val="718"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3"/>
                <w:szCs w:val="3"/>
              </w:rPr>
            </w:pPr>
          </w:p>
          <w:p>
            <w:pPr>
              <w:pStyle w:val="TableParagraph"/>
              <w:spacing w:line="612" w:lineRule="exact"/>
              <w:ind w:left="793" w:right="0"/>
              <w:jc w:val="left"/>
              <w:rPr>
                <w:rFonts w:ascii="宋体" w:hAnsi="宋体" w:cs="宋体" w:eastAsia="宋体" w:hint="default"/>
                <w:sz w:val="20"/>
                <w:szCs w:val="20"/>
              </w:rPr>
            </w:pPr>
            <w:r>
              <w:rPr>
                <w:rFonts w:ascii="宋体" w:hAnsi="宋体" w:cs="宋体" w:eastAsia="宋体" w:hint="default"/>
                <w:position w:val="-11"/>
                <w:sz w:val="20"/>
                <w:szCs w:val="20"/>
              </w:rPr>
              <w:drawing>
                <wp:inline distT="0" distB="0" distL="0" distR="0">
                  <wp:extent cx="337184" cy="388620"/>
                  <wp:effectExtent l="0" t="0" r="0" b="0"/>
                  <wp:docPr id="9" name="image3.png" descr=""/>
                  <wp:cNvGraphicFramePr>
                    <a:graphicFrameLocks noChangeAspect="1"/>
                  </wp:cNvGraphicFramePr>
                  <a:graphic>
                    <a:graphicData uri="http://schemas.openxmlformats.org/drawingml/2006/picture">
                      <pic:pic>
                        <pic:nvPicPr>
                          <pic:cNvPr id="10" name="image3.png"/>
                          <pic:cNvPicPr/>
                        </pic:nvPicPr>
                        <pic:blipFill>
                          <a:blip r:embed="rId13" cstate="print"/>
                          <a:stretch>
                            <a:fillRect/>
                          </a:stretch>
                        </pic:blipFill>
                        <pic:spPr>
                          <a:xfrm>
                            <a:off x="0" y="0"/>
                            <a:ext cx="337184" cy="388620"/>
                          </a:xfrm>
                          <a:prstGeom prst="rect">
                            <a:avLst/>
                          </a:prstGeom>
                        </pic:spPr>
                      </pic:pic>
                    </a:graphicData>
                  </a:graphic>
                </wp:inline>
              </w:drawing>
            </w:r>
            <w:r>
              <w:rPr>
                <w:rFonts w:ascii="宋体" w:hAnsi="宋体" w:cs="宋体" w:eastAsia="宋体" w:hint="default"/>
                <w:position w:val="-11"/>
                <w:sz w:val="20"/>
                <w:szCs w:val="20"/>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42</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10455472</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2012-2-1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初审公告：</w:t>
            </w:r>
            <w:r>
              <w:rPr>
                <w:rFonts w:ascii="Times New Roman" w:hAnsi="Times New Roman" w:cs="Times New Roman" w:eastAsia="Times New Roman" w:hint="default"/>
                <w:sz w:val="18"/>
                <w:szCs w:val="18"/>
              </w:rPr>
              <w:t>2012-12-27</w:t>
            </w:r>
          </w:p>
        </w:tc>
      </w:tr>
      <w:tr>
        <w:trPr>
          <w:trHeight w:val="1032"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7"/>
                <w:szCs w:val="7"/>
              </w:rPr>
            </w:pPr>
          </w:p>
          <w:p>
            <w:pPr>
              <w:pStyle w:val="TableParagraph"/>
              <w:spacing w:line="810" w:lineRule="exact"/>
              <w:ind w:left="671" w:right="0"/>
              <w:jc w:val="left"/>
              <w:rPr>
                <w:rFonts w:ascii="宋体" w:hAnsi="宋体" w:cs="宋体" w:eastAsia="宋体" w:hint="default"/>
                <w:sz w:val="20"/>
                <w:szCs w:val="20"/>
              </w:rPr>
            </w:pPr>
            <w:r>
              <w:rPr>
                <w:rFonts w:ascii="宋体" w:hAnsi="宋体" w:cs="宋体" w:eastAsia="宋体" w:hint="default"/>
                <w:position w:val="-15"/>
                <w:sz w:val="20"/>
                <w:szCs w:val="20"/>
              </w:rPr>
              <w:drawing>
                <wp:inline distT="0" distB="0" distL="0" distR="0">
                  <wp:extent cx="491518" cy="514350"/>
                  <wp:effectExtent l="0" t="0" r="0" b="0"/>
                  <wp:docPr id="11" name="image4.jpeg" descr=""/>
                  <wp:cNvGraphicFramePr>
                    <a:graphicFrameLocks noChangeAspect="1"/>
                  </wp:cNvGraphicFramePr>
                  <a:graphic>
                    <a:graphicData uri="http://schemas.openxmlformats.org/drawingml/2006/picture">
                      <pic:pic>
                        <pic:nvPicPr>
                          <pic:cNvPr id="12" name="image4.jpeg"/>
                          <pic:cNvPicPr/>
                        </pic:nvPicPr>
                        <pic:blipFill>
                          <a:blip r:embed="rId14" cstate="print"/>
                          <a:stretch>
                            <a:fillRect/>
                          </a:stretch>
                        </pic:blipFill>
                        <pic:spPr>
                          <a:xfrm>
                            <a:off x="0" y="0"/>
                            <a:ext cx="491518" cy="514350"/>
                          </a:xfrm>
                          <a:prstGeom prst="rect">
                            <a:avLst/>
                          </a:prstGeom>
                        </pic:spPr>
                      </pic:pic>
                    </a:graphicData>
                  </a:graphic>
                </wp:inline>
              </w:drawing>
            </w:r>
            <w:r>
              <w:rPr>
                <w:rFonts w:ascii="宋体" w:hAnsi="宋体" w:cs="宋体" w:eastAsia="宋体" w:hint="default"/>
                <w:position w:val="-15"/>
                <w:sz w:val="20"/>
                <w:szCs w:val="20"/>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42</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10529113</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2012-2-24</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申请待审中</w:t>
            </w:r>
          </w:p>
        </w:tc>
      </w:tr>
      <w:tr>
        <w:trPr>
          <w:trHeight w:val="1032"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6</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5"/>
                <w:szCs w:val="5"/>
              </w:rPr>
            </w:pPr>
          </w:p>
          <w:p>
            <w:pPr>
              <w:pStyle w:val="TableParagraph"/>
              <w:spacing w:line="876" w:lineRule="exact"/>
              <w:ind w:left="688" w:right="0"/>
              <w:jc w:val="left"/>
              <w:rPr>
                <w:rFonts w:ascii="宋体" w:hAnsi="宋体" w:cs="宋体" w:eastAsia="宋体" w:hint="default"/>
                <w:sz w:val="20"/>
                <w:szCs w:val="20"/>
              </w:rPr>
            </w:pPr>
            <w:r>
              <w:rPr>
                <w:rFonts w:ascii="宋体" w:hAnsi="宋体" w:cs="宋体" w:eastAsia="宋体" w:hint="default"/>
                <w:position w:val="-17"/>
                <w:sz w:val="20"/>
                <w:szCs w:val="20"/>
              </w:rPr>
              <w:drawing>
                <wp:inline distT="0" distB="0" distL="0" distR="0">
                  <wp:extent cx="469666" cy="556736"/>
                  <wp:effectExtent l="0" t="0" r="0" b="0"/>
                  <wp:docPr id="13" name="image5.png" descr=""/>
                  <wp:cNvGraphicFramePr>
                    <a:graphicFrameLocks noChangeAspect="1"/>
                  </wp:cNvGraphicFramePr>
                  <a:graphic>
                    <a:graphicData uri="http://schemas.openxmlformats.org/drawingml/2006/picture">
                      <pic:pic>
                        <pic:nvPicPr>
                          <pic:cNvPr id="14" name="image5.png"/>
                          <pic:cNvPicPr/>
                        </pic:nvPicPr>
                        <pic:blipFill>
                          <a:blip r:embed="rId15" cstate="print"/>
                          <a:stretch>
                            <a:fillRect/>
                          </a:stretch>
                        </pic:blipFill>
                        <pic:spPr>
                          <a:xfrm>
                            <a:off x="0" y="0"/>
                            <a:ext cx="469666" cy="556736"/>
                          </a:xfrm>
                          <a:prstGeom prst="rect">
                            <a:avLst/>
                          </a:prstGeom>
                        </pic:spPr>
                      </pic:pic>
                    </a:graphicData>
                  </a:graphic>
                </wp:inline>
              </w:drawing>
            </w:r>
            <w:r>
              <w:rPr>
                <w:rFonts w:ascii="宋体" w:hAnsi="宋体" w:cs="宋体" w:eastAsia="宋体" w:hint="default"/>
                <w:position w:val="-17"/>
                <w:sz w:val="20"/>
                <w:szCs w:val="20"/>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42</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10529195</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2012-2-24</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申请待审中</w:t>
            </w:r>
          </w:p>
        </w:tc>
      </w:tr>
      <w:tr>
        <w:trPr>
          <w:trHeight w:val="1030"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7</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9"/>
                <w:szCs w:val="9"/>
              </w:rPr>
            </w:pPr>
          </w:p>
          <w:p>
            <w:pPr>
              <w:pStyle w:val="TableParagraph"/>
              <w:spacing w:line="777" w:lineRule="exact"/>
              <w:ind w:left="565" w:right="0"/>
              <w:jc w:val="left"/>
              <w:rPr>
                <w:rFonts w:ascii="宋体" w:hAnsi="宋体" w:cs="宋体" w:eastAsia="宋体" w:hint="default"/>
                <w:sz w:val="20"/>
                <w:szCs w:val="20"/>
              </w:rPr>
            </w:pPr>
            <w:r>
              <w:rPr>
                <w:rFonts w:ascii="宋体" w:hAnsi="宋体" w:cs="宋体" w:eastAsia="宋体" w:hint="default"/>
                <w:position w:val="-15"/>
                <w:sz w:val="20"/>
                <w:szCs w:val="20"/>
              </w:rPr>
              <w:drawing>
                <wp:inline distT="0" distB="0" distL="0" distR="0">
                  <wp:extent cx="626422" cy="493775"/>
                  <wp:effectExtent l="0" t="0" r="0" b="0"/>
                  <wp:docPr id="15" name="image6.png" descr=""/>
                  <wp:cNvGraphicFramePr>
                    <a:graphicFrameLocks noChangeAspect="1"/>
                  </wp:cNvGraphicFramePr>
                  <a:graphic>
                    <a:graphicData uri="http://schemas.openxmlformats.org/drawingml/2006/picture">
                      <pic:pic>
                        <pic:nvPicPr>
                          <pic:cNvPr id="16" name="image6.png"/>
                          <pic:cNvPicPr/>
                        </pic:nvPicPr>
                        <pic:blipFill>
                          <a:blip r:embed="rId16" cstate="print"/>
                          <a:stretch>
                            <a:fillRect/>
                          </a:stretch>
                        </pic:blipFill>
                        <pic:spPr>
                          <a:xfrm>
                            <a:off x="0" y="0"/>
                            <a:ext cx="626422" cy="493775"/>
                          </a:xfrm>
                          <a:prstGeom prst="rect">
                            <a:avLst/>
                          </a:prstGeom>
                        </pic:spPr>
                      </pic:pic>
                    </a:graphicData>
                  </a:graphic>
                </wp:inline>
              </w:drawing>
            </w:r>
            <w:r>
              <w:rPr>
                <w:rFonts w:ascii="宋体" w:hAnsi="宋体" w:cs="宋体" w:eastAsia="宋体" w:hint="default"/>
                <w:position w:val="-15"/>
                <w:sz w:val="20"/>
                <w:szCs w:val="20"/>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11026695</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2012-6-5</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申请待审中</w:t>
            </w:r>
          </w:p>
        </w:tc>
      </w:tr>
      <w:tr>
        <w:trPr>
          <w:trHeight w:val="1032"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8</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9"/>
                <w:szCs w:val="9"/>
              </w:rPr>
            </w:pPr>
          </w:p>
          <w:p>
            <w:pPr>
              <w:pStyle w:val="TableParagraph"/>
              <w:spacing w:line="777" w:lineRule="exact"/>
              <w:ind w:left="565" w:right="0"/>
              <w:jc w:val="left"/>
              <w:rPr>
                <w:rFonts w:ascii="宋体" w:hAnsi="宋体" w:cs="宋体" w:eastAsia="宋体" w:hint="default"/>
                <w:sz w:val="20"/>
                <w:szCs w:val="20"/>
              </w:rPr>
            </w:pPr>
            <w:r>
              <w:rPr>
                <w:rFonts w:ascii="宋体" w:hAnsi="宋体" w:cs="宋体" w:eastAsia="宋体" w:hint="default"/>
                <w:position w:val="-15"/>
                <w:sz w:val="20"/>
                <w:szCs w:val="20"/>
              </w:rPr>
              <w:drawing>
                <wp:inline distT="0" distB="0" distL="0" distR="0">
                  <wp:extent cx="626422" cy="493775"/>
                  <wp:effectExtent l="0" t="0" r="0" b="0"/>
                  <wp:docPr id="17" name="image6.png" descr=""/>
                  <wp:cNvGraphicFramePr>
                    <a:graphicFrameLocks noChangeAspect="1"/>
                  </wp:cNvGraphicFramePr>
                  <a:graphic>
                    <a:graphicData uri="http://schemas.openxmlformats.org/drawingml/2006/picture">
                      <pic:pic>
                        <pic:nvPicPr>
                          <pic:cNvPr id="18" name="image6.png"/>
                          <pic:cNvPicPr/>
                        </pic:nvPicPr>
                        <pic:blipFill>
                          <a:blip r:embed="rId16" cstate="print"/>
                          <a:stretch>
                            <a:fillRect/>
                          </a:stretch>
                        </pic:blipFill>
                        <pic:spPr>
                          <a:xfrm>
                            <a:off x="0" y="0"/>
                            <a:ext cx="626422" cy="493775"/>
                          </a:xfrm>
                          <a:prstGeom prst="rect">
                            <a:avLst/>
                          </a:prstGeom>
                        </pic:spPr>
                      </pic:pic>
                    </a:graphicData>
                  </a:graphic>
                </wp:inline>
              </w:drawing>
            </w:r>
            <w:r>
              <w:rPr>
                <w:rFonts w:ascii="宋体" w:hAnsi="宋体" w:cs="宋体" w:eastAsia="宋体" w:hint="default"/>
                <w:position w:val="-15"/>
                <w:sz w:val="20"/>
                <w:szCs w:val="20"/>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42</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11026589</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2012-6-5</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申请待审中</w:t>
            </w:r>
          </w:p>
        </w:tc>
      </w:tr>
      <w:tr>
        <w:trPr>
          <w:trHeight w:val="718"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9</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360" w:lineRule="exact"/>
              <w:ind w:left="692" w:right="0"/>
              <w:jc w:val="left"/>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466953" cy="228600"/>
                  <wp:effectExtent l="0" t="0" r="0" b="0"/>
                  <wp:docPr id="19" name="image7.png" descr=""/>
                  <wp:cNvGraphicFramePr>
                    <a:graphicFrameLocks noChangeAspect="1"/>
                  </wp:cNvGraphicFramePr>
                  <a:graphic>
                    <a:graphicData uri="http://schemas.openxmlformats.org/drawingml/2006/picture">
                      <pic:pic>
                        <pic:nvPicPr>
                          <pic:cNvPr id="20" name="image7.png"/>
                          <pic:cNvPicPr/>
                        </pic:nvPicPr>
                        <pic:blipFill>
                          <a:blip r:embed="rId17" cstate="print"/>
                          <a:stretch>
                            <a:fillRect/>
                          </a:stretch>
                        </pic:blipFill>
                        <pic:spPr>
                          <a:xfrm>
                            <a:off x="0" y="0"/>
                            <a:ext cx="466953" cy="228600"/>
                          </a:xfrm>
                          <a:prstGeom prst="rect">
                            <a:avLst/>
                          </a:prstGeom>
                        </pic:spPr>
                      </pic:pic>
                    </a:graphicData>
                  </a:graphic>
                </wp:inline>
              </w:drawing>
            </w:r>
            <w:r>
              <w:rPr>
                <w:rFonts w:ascii="宋体" w:hAnsi="宋体" w:cs="宋体" w:eastAsia="宋体" w:hint="default"/>
                <w:position w:val="-6"/>
                <w:sz w:val="20"/>
                <w:szCs w:val="20"/>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42</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11158989</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2012-7-3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申请待审中</w:t>
            </w:r>
          </w:p>
        </w:tc>
      </w:tr>
      <w:tr>
        <w:trPr>
          <w:trHeight w:val="720"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10</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356" w:lineRule="exact"/>
              <w:ind w:left="732" w:right="0"/>
              <w:jc w:val="left"/>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416379" cy="226314"/>
                  <wp:effectExtent l="0" t="0" r="0" b="0"/>
                  <wp:docPr id="21" name="image8.png" descr=""/>
                  <wp:cNvGraphicFramePr>
                    <a:graphicFrameLocks noChangeAspect="1"/>
                  </wp:cNvGraphicFramePr>
                  <a:graphic>
                    <a:graphicData uri="http://schemas.openxmlformats.org/drawingml/2006/picture">
                      <pic:pic>
                        <pic:nvPicPr>
                          <pic:cNvPr id="22" name="image8.png"/>
                          <pic:cNvPicPr/>
                        </pic:nvPicPr>
                        <pic:blipFill>
                          <a:blip r:embed="rId18" cstate="print"/>
                          <a:stretch>
                            <a:fillRect/>
                          </a:stretch>
                        </pic:blipFill>
                        <pic:spPr>
                          <a:xfrm>
                            <a:off x="0" y="0"/>
                            <a:ext cx="416379" cy="226314"/>
                          </a:xfrm>
                          <a:prstGeom prst="rect">
                            <a:avLst/>
                          </a:prstGeom>
                        </pic:spPr>
                      </pic:pic>
                    </a:graphicData>
                  </a:graphic>
                </wp:inline>
              </w:drawing>
            </w:r>
            <w:r>
              <w:rPr>
                <w:rFonts w:ascii="宋体" w:hAnsi="宋体" w:cs="宋体" w:eastAsia="宋体" w:hint="default"/>
                <w:position w:val="-6"/>
                <w:sz w:val="20"/>
                <w:szCs w:val="20"/>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12</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11290149</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2012-8-1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申请待审中</w:t>
            </w:r>
          </w:p>
        </w:tc>
      </w:tr>
    </w:tbl>
    <w:p>
      <w:pPr>
        <w:spacing w:after="0" w:line="240" w:lineRule="auto"/>
        <w:jc w:val="center"/>
        <w:rPr>
          <w:rFonts w:ascii="宋体" w:hAnsi="宋体" w:cs="宋体" w:eastAsia="宋体" w:hint="default"/>
          <w:sz w:val="18"/>
          <w:szCs w:val="18"/>
        </w:rPr>
        <w:sectPr>
          <w:pgSz w:w="11910" w:h="16840"/>
          <w:pgMar w:header="877"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701"/>
        <w:gridCol w:w="2134"/>
        <w:gridCol w:w="1418"/>
        <w:gridCol w:w="1772"/>
        <w:gridCol w:w="1777"/>
        <w:gridCol w:w="1896"/>
      </w:tblGrid>
      <w:tr>
        <w:trPr>
          <w:trHeight w:val="1032"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669" w:lineRule="exact"/>
              <w:ind w:left="798" w:right="0"/>
              <w:jc w:val="left"/>
              <w:rPr>
                <w:rFonts w:ascii="宋体" w:hAnsi="宋体" w:cs="宋体" w:eastAsia="宋体" w:hint="default"/>
                <w:sz w:val="20"/>
                <w:szCs w:val="20"/>
              </w:rPr>
            </w:pPr>
            <w:r>
              <w:rPr>
                <w:rFonts w:ascii="宋体" w:hAnsi="宋体" w:cs="宋体" w:eastAsia="宋体" w:hint="default"/>
                <w:position w:val="-12"/>
                <w:sz w:val="20"/>
                <w:szCs w:val="20"/>
              </w:rPr>
              <w:drawing>
                <wp:inline distT="0" distB="0" distL="0" distR="0">
                  <wp:extent cx="329653" cy="425196"/>
                  <wp:effectExtent l="0" t="0" r="0" b="0"/>
                  <wp:docPr id="23" name="image9.png" descr=""/>
                  <wp:cNvGraphicFramePr>
                    <a:graphicFrameLocks noChangeAspect="1"/>
                  </wp:cNvGraphicFramePr>
                  <a:graphic>
                    <a:graphicData uri="http://schemas.openxmlformats.org/drawingml/2006/picture">
                      <pic:pic>
                        <pic:nvPicPr>
                          <pic:cNvPr id="24" name="image9.png"/>
                          <pic:cNvPicPr/>
                        </pic:nvPicPr>
                        <pic:blipFill>
                          <a:blip r:embed="rId19" cstate="print"/>
                          <a:stretch>
                            <a:fillRect/>
                          </a:stretch>
                        </pic:blipFill>
                        <pic:spPr>
                          <a:xfrm>
                            <a:off x="0" y="0"/>
                            <a:ext cx="329653" cy="425196"/>
                          </a:xfrm>
                          <a:prstGeom prst="rect">
                            <a:avLst/>
                          </a:prstGeom>
                        </pic:spPr>
                      </pic:pic>
                    </a:graphicData>
                  </a:graphic>
                </wp:inline>
              </w:drawing>
            </w:r>
            <w:r>
              <w:rPr>
                <w:rFonts w:ascii="宋体" w:hAnsi="宋体" w:cs="宋体" w:eastAsia="宋体" w:hint="default"/>
                <w:position w:val="-12"/>
                <w:sz w:val="20"/>
                <w:szCs w:val="20"/>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18"/>
              <w:jc w:val="right"/>
              <w:rPr>
                <w:rFonts w:ascii="Times New Roman" w:hAnsi="Times New Roman" w:cs="Times New Roman" w:eastAsia="Times New Roman" w:hint="default"/>
                <w:sz w:val="18"/>
                <w:szCs w:val="18"/>
              </w:rPr>
            </w:pPr>
            <w:r>
              <w:rPr>
                <w:rFonts w:ascii="Times New Roman"/>
                <w:spacing w:val="-2"/>
                <w:sz w:val="18"/>
              </w:rPr>
              <w:t>11636154</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2012-10-22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487"/>
              <w:jc w:val="right"/>
              <w:rPr>
                <w:rFonts w:ascii="宋体" w:hAnsi="宋体" w:cs="宋体" w:eastAsia="宋体" w:hint="default"/>
                <w:sz w:val="18"/>
                <w:szCs w:val="18"/>
              </w:rPr>
            </w:pPr>
            <w:r>
              <w:rPr>
                <w:rFonts w:ascii="宋体" w:hAnsi="宋体" w:cs="宋体" w:eastAsia="宋体" w:hint="default"/>
                <w:sz w:val="18"/>
                <w:szCs w:val="18"/>
              </w:rPr>
              <w:t>申请待审中</w:t>
            </w:r>
          </w:p>
        </w:tc>
      </w:tr>
      <w:tr>
        <w:trPr>
          <w:trHeight w:val="1030"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12</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669" w:lineRule="exact"/>
              <w:ind w:left="798" w:right="0"/>
              <w:jc w:val="left"/>
              <w:rPr>
                <w:rFonts w:ascii="宋体" w:hAnsi="宋体" w:cs="宋体" w:eastAsia="宋体" w:hint="default"/>
                <w:sz w:val="20"/>
                <w:szCs w:val="20"/>
              </w:rPr>
            </w:pPr>
            <w:r>
              <w:rPr>
                <w:rFonts w:ascii="宋体" w:hAnsi="宋体" w:cs="宋体" w:eastAsia="宋体" w:hint="default"/>
                <w:position w:val="-12"/>
                <w:sz w:val="20"/>
                <w:szCs w:val="20"/>
              </w:rPr>
              <w:drawing>
                <wp:inline distT="0" distB="0" distL="0" distR="0">
                  <wp:extent cx="329653" cy="425196"/>
                  <wp:effectExtent l="0" t="0" r="0" b="0"/>
                  <wp:docPr id="25" name="image9.png" descr=""/>
                  <wp:cNvGraphicFramePr>
                    <a:graphicFrameLocks noChangeAspect="1"/>
                  </wp:cNvGraphicFramePr>
                  <a:graphic>
                    <a:graphicData uri="http://schemas.openxmlformats.org/drawingml/2006/picture">
                      <pic:pic>
                        <pic:nvPicPr>
                          <pic:cNvPr id="26" name="image9.png"/>
                          <pic:cNvPicPr/>
                        </pic:nvPicPr>
                        <pic:blipFill>
                          <a:blip r:embed="rId19" cstate="print"/>
                          <a:stretch>
                            <a:fillRect/>
                          </a:stretch>
                        </pic:blipFill>
                        <pic:spPr>
                          <a:xfrm>
                            <a:off x="0" y="0"/>
                            <a:ext cx="329653" cy="425196"/>
                          </a:xfrm>
                          <a:prstGeom prst="rect">
                            <a:avLst/>
                          </a:prstGeom>
                        </pic:spPr>
                      </pic:pic>
                    </a:graphicData>
                  </a:graphic>
                </wp:inline>
              </w:drawing>
            </w:r>
            <w:r>
              <w:rPr>
                <w:rFonts w:ascii="宋体" w:hAnsi="宋体" w:cs="宋体" w:eastAsia="宋体" w:hint="default"/>
                <w:position w:val="-12"/>
                <w:sz w:val="20"/>
                <w:szCs w:val="20"/>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42</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18"/>
              <w:jc w:val="right"/>
              <w:rPr>
                <w:rFonts w:ascii="Times New Roman" w:hAnsi="Times New Roman" w:cs="Times New Roman" w:eastAsia="Times New Roman" w:hint="default"/>
                <w:sz w:val="18"/>
                <w:szCs w:val="18"/>
              </w:rPr>
            </w:pPr>
            <w:r>
              <w:rPr>
                <w:rFonts w:ascii="Times New Roman"/>
                <w:spacing w:val="-2"/>
                <w:sz w:val="18"/>
              </w:rPr>
              <w:t>11636465</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2012-10-22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87"/>
              <w:jc w:val="right"/>
              <w:rPr>
                <w:rFonts w:ascii="宋体" w:hAnsi="宋体" w:cs="宋体" w:eastAsia="宋体" w:hint="default"/>
                <w:sz w:val="18"/>
                <w:szCs w:val="18"/>
              </w:rPr>
            </w:pPr>
            <w:r>
              <w:rPr>
                <w:rFonts w:ascii="宋体" w:hAnsi="宋体" w:cs="宋体" w:eastAsia="宋体" w:hint="default"/>
                <w:sz w:val="18"/>
                <w:szCs w:val="18"/>
              </w:rPr>
              <w:t>申请待审中</w:t>
            </w:r>
          </w:p>
        </w:tc>
      </w:tr>
      <w:tr>
        <w:trPr>
          <w:trHeight w:val="1032"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13</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8"/>
                <w:szCs w:val="8"/>
              </w:rPr>
            </w:pPr>
          </w:p>
          <w:p>
            <w:pPr>
              <w:pStyle w:val="TableParagraph"/>
              <w:spacing w:line="783" w:lineRule="exact"/>
              <w:ind w:left="666" w:right="0"/>
              <w:jc w:val="left"/>
              <w:rPr>
                <w:rFonts w:ascii="宋体" w:hAnsi="宋体" w:cs="宋体" w:eastAsia="宋体" w:hint="default"/>
                <w:sz w:val="20"/>
                <w:szCs w:val="20"/>
              </w:rPr>
            </w:pPr>
            <w:r>
              <w:rPr>
                <w:rFonts w:ascii="宋体" w:hAnsi="宋体" w:cs="宋体" w:eastAsia="宋体" w:hint="default"/>
                <w:position w:val="-15"/>
                <w:sz w:val="20"/>
                <w:szCs w:val="20"/>
              </w:rPr>
              <w:drawing>
                <wp:inline distT="0" distB="0" distL="0" distR="0">
                  <wp:extent cx="497681" cy="497681"/>
                  <wp:effectExtent l="0" t="0" r="0" b="0"/>
                  <wp:docPr id="27" name="image10.png" descr=""/>
                  <wp:cNvGraphicFramePr>
                    <a:graphicFrameLocks noChangeAspect="1"/>
                  </wp:cNvGraphicFramePr>
                  <a:graphic>
                    <a:graphicData uri="http://schemas.openxmlformats.org/drawingml/2006/picture">
                      <pic:pic>
                        <pic:nvPicPr>
                          <pic:cNvPr id="28" name="image10.png"/>
                          <pic:cNvPicPr/>
                        </pic:nvPicPr>
                        <pic:blipFill>
                          <a:blip r:embed="rId20" cstate="print"/>
                          <a:stretch>
                            <a:fillRect/>
                          </a:stretch>
                        </pic:blipFill>
                        <pic:spPr>
                          <a:xfrm>
                            <a:off x="0" y="0"/>
                            <a:ext cx="497681" cy="497681"/>
                          </a:xfrm>
                          <a:prstGeom prst="rect">
                            <a:avLst/>
                          </a:prstGeom>
                        </pic:spPr>
                      </pic:pic>
                    </a:graphicData>
                  </a:graphic>
                </wp:inline>
              </w:drawing>
            </w:r>
            <w:r>
              <w:rPr>
                <w:rFonts w:ascii="宋体" w:hAnsi="宋体" w:cs="宋体" w:eastAsia="宋体" w:hint="default"/>
                <w:position w:val="-15"/>
                <w:sz w:val="20"/>
                <w:szCs w:val="20"/>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18"/>
              <w:jc w:val="right"/>
              <w:rPr>
                <w:rFonts w:ascii="Times New Roman" w:hAnsi="Times New Roman" w:cs="Times New Roman" w:eastAsia="Times New Roman" w:hint="default"/>
                <w:sz w:val="18"/>
                <w:szCs w:val="18"/>
              </w:rPr>
            </w:pPr>
            <w:r>
              <w:rPr>
                <w:rFonts w:ascii="Times New Roman"/>
                <w:spacing w:val="-2"/>
                <w:sz w:val="18"/>
              </w:rPr>
              <w:t>11786493</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2012-11-22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87"/>
              <w:jc w:val="right"/>
              <w:rPr>
                <w:rFonts w:ascii="宋体" w:hAnsi="宋体" w:cs="宋体" w:eastAsia="宋体" w:hint="default"/>
                <w:sz w:val="18"/>
                <w:szCs w:val="18"/>
              </w:rPr>
            </w:pPr>
            <w:r>
              <w:rPr>
                <w:rFonts w:ascii="宋体" w:hAnsi="宋体" w:cs="宋体" w:eastAsia="宋体" w:hint="default"/>
                <w:sz w:val="18"/>
                <w:szCs w:val="18"/>
              </w:rPr>
              <w:t>申请待审中</w:t>
            </w:r>
          </w:p>
        </w:tc>
      </w:tr>
    </w:tbl>
    <w:p>
      <w:pPr>
        <w:pStyle w:val="BodyText"/>
        <w:spacing w:line="240" w:lineRule="auto" w:before="64"/>
        <w:ind w:left="573" w:right="0"/>
        <w:jc w:val="left"/>
      </w:pPr>
      <w:r>
        <w:rPr>
          <w:rFonts w:ascii="Times New Roman" w:hAnsi="Times New Roman" w:cs="Times New Roman" w:eastAsia="Times New Roman" w:hint="default"/>
        </w:rPr>
        <w:t>3</w:t>
      </w:r>
      <w:r>
        <w:rPr/>
        <w:t>）新增著作权（</w:t>
      </w:r>
      <w:r>
        <w:rPr>
          <w:rFonts w:ascii="Times New Roman" w:hAnsi="Times New Roman" w:cs="Times New Roman" w:eastAsia="Times New Roman" w:hint="default"/>
        </w:rPr>
        <w:t>10</w:t>
      </w:r>
      <w:r>
        <w:rPr/>
        <w:t>项）</w:t>
      </w:r>
    </w:p>
    <w:p>
      <w:pPr>
        <w:spacing w:line="240" w:lineRule="auto" w:before="8"/>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605"/>
        <w:gridCol w:w="3433"/>
        <w:gridCol w:w="1882"/>
        <w:gridCol w:w="2045"/>
        <w:gridCol w:w="1733"/>
      </w:tblGrid>
      <w:tr>
        <w:trPr>
          <w:trHeight w:val="440" w:hRule="exact"/>
        </w:trPr>
        <w:tc>
          <w:tcPr>
            <w:tcW w:w="6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4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软件著作权名称</w:t>
            </w:r>
          </w:p>
        </w:tc>
        <w:tc>
          <w:tcPr>
            <w:tcW w:w="18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著作权编号</w:t>
            </w:r>
          </w:p>
        </w:tc>
        <w:tc>
          <w:tcPr>
            <w:tcW w:w="20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著作权证书登记号</w:t>
            </w:r>
          </w:p>
        </w:tc>
        <w:tc>
          <w:tcPr>
            <w:tcW w:w="17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著作权证书日期</w:t>
            </w:r>
          </w:p>
        </w:tc>
      </w:tr>
      <w:tr>
        <w:trPr>
          <w:trHeight w:val="403" w:hRule="exact"/>
        </w:trPr>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w:t>
            </w:r>
          </w:p>
        </w:tc>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虚拟专用网络管理系统</w:t>
            </w:r>
            <w:r>
              <w:rPr>
                <w:rFonts w:ascii="Times New Roman" w:hAnsi="Times New Roman" w:cs="Times New Roman" w:eastAsia="Times New Roman" w:hint="default"/>
                <w:sz w:val="18"/>
                <w:szCs w:val="18"/>
              </w:rPr>
              <w:t>V1.0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0468244</w:t>
            </w:r>
            <w:r>
              <w:rPr>
                <w:rFonts w:ascii="宋体" w:hAnsi="宋体" w:cs="宋体" w:eastAsia="宋体" w:hint="default"/>
                <w:sz w:val="18"/>
                <w:szCs w:val="18"/>
              </w:rPr>
              <w:t>号</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2012SR100208</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2012-10-24</w:t>
            </w:r>
          </w:p>
        </w:tc>
      </w:tr>
      <w:tr>
        <w:trPr>
          <w:trHeight w:val="401" w:hRule="exact"/>
        </w:trPr>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网站安全系统</w:t>
            </w:r>
            <w:r>
              <w:rPr>
                <w:rFonts w:ascii="Times New Roman" w:hAnsi="Times New Roman" w:cs="Times New Roman" w:eastAsia="Times New Roman" w:hint="default"/>
                <w:sz w:val="18"/>
                <w:szCs w:val="18"/>
              </w:rPr>
              <w:t>V2.2.1</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0454318</w:t>
            </w:r>
            <w:r>
              <w:rPr>
                <w:rFonts w:ascii="宋体" w:hAnsi="宋体" w:cs="宋体" w:eastAsia="宋体" w:hint="default"/>
                <w:sz w:val="18"/>
                <w:szCs w:val="18"/>
              </w:rPr>
              <w:t>号</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2012SR086282</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2012-9-12</w:t>
            </w:r>
          </w:p>
        </w:tc>
      </w:tr>
      <w:tr>
        <w:trPr>
          <w:trHeight w:val="403" w:hRule="exact"/>
        </w:trPr>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w:t>
            </w:r>
          </w:p>
        </w:tc>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服务器安全系统</w:t>
            </w:r>
            <w:r>
              <w:rPr>
                <w:rFonts w:ascii="Times New Roman" w:hAnsi="Times New Roman" w:cs="Times New Roman" w:eastAsia="Times New Roman" w:hint="default"/>
                <w:sz w:val="18"/>
                <w:szCs w:val="18"/>
              </w:rPr>
              <w:t>V3.1</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0453861</w:t>
            </w:r>
            <w:r>
              <w:rPr>
                <w:rFonts w:ascii="宋体" w:hAnsi="宋体" w:cs="宋体" w:eastAsia="宋体" w:hint="default"/>
                <w:sz w:val="18"/>
                <w:szCs w:val="18"/>
              </w:rPr>
              <w:t>号</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2012SR085825</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2012-9-11</w:t>
            </w:r>
          </w:p>
        </w:tc>
      </w:tr>
      <w:tr>
        <w:trPr>
          <w:trHeight w:val="401" w:hRule="exact"/>
        </w:trPr>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网络信息远程测试平台系统</w:t>
            </w:r>
            <w:r>
              <w:rPr>
                <w:rFonts w:ascii="Times New Roman" w:hAnsi="Times New Roman" w:cs="Times New Roman" w:eastAsia="Times New Roman" w:hint="default"/>
                <w:sz w:val="18"/>
                <w:szCs w:val="18"/>
              </w:rPr>
              <w:t>V1.0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0419403</w:t>
            </w:r>
            <w:r>
              <w:rPr>
                <w:rFonts w:ascii="宋体" w:hAnsi="宋体" w:cs="宋体" w:eastAsia="宋体" w:hint="default"/>
                <w:sz w:val="18"/>
                <w:szCs w:val="18"/>
              </w:rPr>
              <w:t>号</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2012SR051367</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2012-6-15</w:t>
            </w:r>
          </w:p>
        </w:tc>
      </w:tr>
      <w:tr>
        <w:trPr>
          <w:trHeight w:val="403" w:hRule="exact"/>
        </w:trPr>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w:t>
            </w:r>
          </w:p>
        </w:tc>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互联网信息引导系统</w:t>
            </w:r>
            <w:r>
              <w:rPr>
                <w:rFonts w:ascii="Times New Roman" w:hAnsi="Times New Roman" w:cs="Times New Roman" w:eastAsia="Times New Roman" w:hint="default"/>
                <w:sz w:val="18"/>
                <w:szCs w:val="18"/>
              </w:rPr>
              <w:t>V2.5</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0417050</w:t>
            </w:r>
            <w:r>
              <w:rPr>
                <w:rFonts w:ascii="宋体" w:hAnsi="宋体" w:cs="宋体" w:eastAsia="宋体" w:hint="default"/>
                <w:sz w:val="18"/>
                <w:szCs w:val="18"/>
              </w:rPr>
              <w:t>号</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2012SR049014</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2012-6-11</w:t>
            </w:r>
          </w:p>
        </w:tc>
      </w:tr>
      <w:tr>
        <w:trPr>
          <w:trHeight w:val="401" w:hRule="exact"/>
        </w:trPr>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w:t>
            </w:r>
          </w:p>
        </w:tc>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论坛管理系统</w:t>
            </w:r>
            <w:r>
              <w:rPr>
                <w:rFonts w:ascii="Times New Roman" w:hAnsi="Times New Roman" w:cs="Times New Roman" w:eastAsia="Times New Roman" w:hint="default"/>
                <w:sz w:val="18"/>
                <w:szCs w:val="18"/>
              </w:rPr>
              <w:t>V1.0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0419583</w:t>
            </w:r>
            <w:r>
              <w:rPr>
                <w:rFonts w:ascii="宋体" w:hAnsi="宋体" w:cs="宋体" w:eastAsia="宋体" w:hint="default"/>
                <w:sz w:val="18"/>
                <w:szCs w:val="18"/>
              </w:rPr>
              <w:t>号</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2012SR051547</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2012-6-16</w:t>
            </w:r>
          </w:p>
        </w:tc>
      </w:tr>
      <w:tr>
        <w:trPr>
          <w:trHeight w:val="403" w:hRule="exact"/>
        </w:trPr>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7</w:t>
            </w:r>
          </w:p>
        </w:tc>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互联网信息采集系统</w:t>
            </w:r>
            <w:r>
              <w:rPr>
                <w:rFonts w:ascii="Times New Roman" w:hAnsi="Times New Roman" w:cs="Times New Roman" w:eastAsia="Times New Roman" w:hint="default"/>
                <w:sz w:val="18"/>
                <w:szCs w:val="18"/>
              </w:rPr>
              <w:t>V3.2.6</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0370523</w:t>
            </w:r>
            <w:r>
              <w:rPr>
                <w:rFonts w:ascii="宋体" w:hAnsi="宋体" w:cs="宋体" w:eastAsia="宋体" w:hint="default"/>
                <w:sz w:val="18"/>
                <w:szCs w:val="18"/>
              </w:rPr>
              <w:t>号</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2012SR002487</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2012-1-12</w:t>
            </w:r>
          </w:p>
        </w:tc>
      </w:tr>
      <w:tr>
        <w:trPr>
          <w:trHeight w:val="401" w:hRule="exact"/>
        </w:trPr>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w:t>
            </w:r>
          </w:p>
        </w:tc>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互联网信息分析系统</w:t>
            </w:r>
            <w:r>
              <w:rPr>
                <w:rFonts w:ascii="Times New Roman" w:hAnsi="Times New Roman" w:cs="Times New Roman" w:eastAsia="Times New Roman" w:hint="default"/>
                <w:sz w:val="18"/>
                <w:szCs w:val="18"/>
              </w:rPr>
              <w:t>V2.0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0369998</w:t>
            </w:r>
            <w:r>
              <w:rPr>
                <w:rFonts w:ascii="宋体" w:hAnsi="宋体" w:cs="宋体" w:eastAsia="宋体" w:hint="default"/>
                <w:sz w:val="18"/>
                <w:szCs w:val="18"/>
              </w:rPr>
              <w:t>号</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2012SR001962</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2012-1-11</w:t>
            </w:r>
          </w:p>
        </w:tc>
      </w:tr>
      <w:tr>
        <w:trPr>
          <w:trHeight w:val="404" w:hRule="exact"/>
        </w:trPr>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9</w:t>
            </w:r>
          </w:p>
        </w:tc>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极光系统</w:t>
            </w:r>
            <w:r>
              <w:rPr>
                <w:rFonts w:ascii="Times New Roman" w:hAnsi="Times New Roman" w:cs="Times New Roman" w:eastAsia="Times New Roman" w:hint="default"/>
                <w:sz w:val="18"/>
                <w:szCs w:val="18"/>
              </w:rPr>
              <w:t>V3.0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0370887</w:t>
            </w:r>
            <w:r>
              <w:rPr>
                <w:rFonts w:ascii="宋体" w:hAnsi="宋体" w:cs="宋体" w:eastAsia="宋体" w:hint="default"/>
                <w:sz w:val="18"/>
                <w:szCs w:val="18"/>
              </w:rPr>
              <w:t>号</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Times New Roman" w:hAnsi="Times New Roman" w:cs="Times New Roman" w:eastAsia="Times New Roman" w:hint="default"/>
                <w:sz w:val="18"/>
                <w:szCs w:val="18"/>
              </w:rPr>
            </w:pPr>
            <w:r>
              <w:rPr>
                <w:rFonts w:ascii="Times New Roman"/>
                <w:sz w:val="18"/>
              </w:rPr>
              <w:t>2012SR002851</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2012-1-13</w:t>
            </w:r>
          </w:p>
        </w:tc>
      </w:tr>
      <w:tr>
        <w:trPr>
          <w:trHeight w:val="403" w:hRule="exact"/>
        </w:trPr>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w:t>
            </w:r>
          </w:p>
        </w:tc>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小型网络信息取证系统</w:t>
            </w:r>
            <w:r>
              <w:rPr>
                <w:rFonts w:ascii="Times New Roman" w:hAnsi="Times New Roman" w:cs="Times New Roman" w:eastAsia="Times New Roman" w:hint="default"/>
                <w:sz w:val="18"/>
                <w:szCs w:val="18"/>
              </w:rPr>
              <w:t>V1.0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0371223</w:t>
            </w:r>
            <w:r>
              <w:rPr>
                <w:rFonts w:ascii="宋体" w:hAnsi="宋体" w:cs="宋体" w:eastAsia="宋体" w:hint="default"/>
                <w:sz w:val="18"/>
                <w:szCs w:val="18"/>
              </w:rPr>
              <w:t>号</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2012SR003187</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2012-1-16</w:t>
            </w:r>
          </w:p>
        </w:tc>
      </w:tr>
    </w:tbl>
    <w:p>
      <w:pPr>
        <w:pStyle w:val="BodyText"/>
        <w:spacing w:line="408" w:lineRule="auto" w:before="64"/>
        <w:ind w:left="152" w:right="146" w:firstLine="420"/>
        <w:jc w:val="both"/>
      </w:pPr>
      <w:r>
        <w:rPr>
          <w:spacing w:val="-2"/>
        </w:rPr>
        <w:t>总体来说，报告期内，在董事会领导下，公司经营管理层围绕年度经营计划有效开展了各项经营管理</w:t>
      </w:r>
      <w:r>
        <w:rPr>
          <w:w w:val="100"/>
        </w:rPr>
        <w:t> </w:t>
      </w:r>
      <w:r>
        <w:rPr>
          <w:spacing w:val="-2"/>
        </w:rPr>
        <w:t>活动和募集资金项目建设，并取得了一定的成效；在后续经营过程中，公司将进一步加大技术研发和技术</w:t>
      </w:r>
      <w:r>
        <w:rPr>
          <w:spacing w:val="-43"/>
        </w:rPr>
        <w:t> </w:t>
      </w:r>
      <w:r>
        <w:rPr>
          <w:spacing w:val="-43"/>
        </w:rPr>
      </w:r>
      <w:r>
        <w:rPr/>
        <w:t>创新力度，大力加强业务拓展力度，推进公司业绩的持续稳定增长。</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r>
        <w:rPr/>
        <w:t>二、报告期内主要经营情况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2" w:right="0"/>
        <w:jc w:val="left"/>
        <w:rPr>
          <w:b w:val="0"/>
          <w:bCs w:val="0"/>
        </w:rPr>
      </w:pPr>
      <w:r>
        <w:rPr>
          <w:rFonts w:ascii="Times New Roman" w:hAnsi="Times New Roman" w:cs="Times New Roman" w:eastAsia="Times New Roman" w:hint="default"/>
        </w:rPr>
        <w:t>1</w:t>
      </w:r>
      <w:r>
        <w:rPr/>
        <w:t>、主营业务分析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2" w:right="0"/>
        <w:jc w:val="left"/>
        <w:rPr>
          <w:b w:val="0"/>
          <w:bCs w:val="0"/>
        </w:rPr>
      </w:pPr>
      <w:r>
        <w:rPr/>
        <w:t>（</w:t>
      </w:r>
      <w:r>
        <w:rPr>
          <w:rFonts w:ascii="Times New Roman" w:hAnsi="Times New Roman" w:cs="Times New Roman" w:eastAsia="Times New Roman" w:hint="default"/>
        </w:rPr>
        <w:t>1</w:t>
      </w:r>
      <w:r>
        <w:rPr/>
        <w:t>）收入</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1"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电子数据取证产品</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268,592,124.38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203,324,976.17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32.10%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网络信息安全产品</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52,749,633.61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41,832,076.49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26.10%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电子数据鉴定及互联网知识 产权保护等服务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28,548,117.34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23,358,532.09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22.22%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其他产品收入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107,666.70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349,997,542.03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33" w:right="0"/>
              <w:jc w:val="left"/>
              <w:rPr>
                <w:rFonts w:ascii="Times New Roman" w:hAnsi="Times New Roman" w:cs="Times New Roman" w:eastAsia="Times New Roman" w:hint="default"/>
                <w:sz w:val="18"/>
                <w:szCs w:val="18"/>
              </w:rPr>
            </w:pPr>
            <w:r>
              <w:rPr>
                <w:rFonts w:ascii="Times New Roman"/>
                <w:sz w:val="18"/>
              </w:rPr>
              <w:t>268,515,584.75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30.35%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304" w:lineRule="auto" w:before="115"/>
        <w:ind w:left="152" w:right="148" w:firstLine="0"/>
        <w:jc w:val="left"/>
        <w:rPr>
          <w:rFonts w:ascii="宋体" w:hAnsi="宋体" w:cs="宋体" w:eastAsia="宋体" w:hint="default"/>
          <w:sz w:val="18"/>
          <w:szCs w:val="18"/>
        </w:rPr>
      </w:pPr>
      <w:r>
        <w:rPr>
          <w:rFonts w:ascii="宋体" w:hAnsi="宋体" w:cs="宋体" w:eastAsia="宋体" w:hint="default"/>
          <w:sz w:val="18"/>
          <w:szCs w:val="18"/>
        </w:rPr>
        <w:t>报告期公司实现主营业务收入</w:t>
      </w:r>
      <w:r>
        <w:rPr>
          <w:rFonts w:ascii="Times New Roman" w:hAnsi="Times New Roman" w:cs="Times New Roman" w:eastAsia="Times New Roman" w:hint="default"/>
          <w:sz w:val="18"/>
          <w:szCs w:val="18"/>
        </w:rPr>
        <w:t>34,999.75</w:t>
      </w:r>
      <w:r>
        <w:rPr>
          <w:rFonts w:ascii="宋体" w:hAnsi="宋体" w:cs="宋体" w:eastAsia="宋体" w:hint="default"/>
          <w:sz w:val="18"/>
          <w:szCs w:val="18"/>
        </w:rPr>
        <w:t>万元，较去年同期增长</w:t>
      </w:r>
      <w:r>
        <w:rPr>
          <w:rFonts w:ascii="Times New Roman" w:hAnsi="Times New Roman" w:cs="Times New Roman" w:eastAsia="Times New Roman" w:hint="default"/>
          <w:sz w:val="18"/>
          <w:szCs w:val="18"/>
        </w:rPr>
        <w:t>30.35%</w:t>
      </w:r>
      <w:r>
        <w:rPr>
          <w:rFonts w:ascii="宋体" w:hAnsi="宋体" w:cs="宋体" w:eastAsia="宋体" w:hint="default"/>
          <w:sz w:val="18"/>
          <w:szCs w:val="18"/>
        </w:rPr>
        <w:t>，其中：电子数据取证产品实现收入</w:t>
      </w:r>
      <w:r>
        <w:rPr>
          <w:rFonts w:ascii="Times New Roman" w:hAnsi="Times New Roman" w:cs="Times New Roman" w:eastAsia="Times New Roman" w:hint="default"/>
          <w:sz w:val="18"/>
          <w:szCs w:val="18"/>
        </w:rPr>
        <w:t>26,859.21</w:t>
      </w:r>
      <w:r>
        <w:rPr>
          <w:rFonts w:ascii="宋体" w:hAnsi="宋体" w:cs="宋体" w:eastAsia="宋体" w:hint="default"/>
          <w:sz w:val="18"/>
          <w:szCs w:val="18"/>
        </w:rPr>
        <w:t>万元， </w:t>
      </w:r>
      <w:r>
        <w:rPr>
          <w:rFonts w:ascii="宋体" w:hAnsi="宋体" w:cs="宋体" w:eastAsia="宋体" w:hint="default"/>
          <w:spacing w:val="-1"/>
          <w:sz w:val="18"/>
          <w:szCs w:val="18"/>
        </w:rPr>
        <w:t>较去年同期增长</w:t>
      </w:r>
      <w:r>
        <w:rPr>
          <w:rFonts w:ascii="Times New Roman" w:hAnsi="Times New Roman" w:cs="Times New Roman" w:eastAsia="Times New Roman" w:hint="default"/>
          <w:spacing w:val="-1"/>
          <w:sz w:val="18"/>
          <w:szCs w:val="18"/>
        </w:rPr>
        <w:t>32.10%</w:t>
      </w:r>
      <w:r>
        <w:rPr>
          <w:rFonts w:ascii="宋体" w:hAnsi="宋体" w:cs="宋体" w:eastAsia="宋体" w:hint="default"/>
          <w:spacing w:val="-1"/>
          <w:sz w:val="18"/>
          <w:szCs w:val="18"/>
        </w:rPr>
        <w:t>；网络信息安全产品实现收入</w:t>
      </w:r>
      <w:r>
        <w:rPr>
          <w:rFonts w:ascii="Times New Roman" w:hAnsi="Times New Roman" w:cs="Times New Roman" w:eastAsia="Times New Roman" w:hint="default"/>
          <w:spacing w:val="-1"/>
          <w:sz w:val="18"/>
          <w:szCs w:val="18"/>
        </w:rPr>
        <w:t>5,274.96</w:t>
      </w:r>
      <w:r>
        <w:rPr>
          <w:rFonts w:ascii="宋体" w:hAnsi="宋体" w:cs="宋体" w:eastAsia="宋体" w:hint="default"/>
          <w:spacing w:val="-1"/>
          <w:sz w:val="18"/>
          <w:szCs w:val="18"/>
        </w:rPr>
        <w:t>万元，较去年同期增长</w:t>
      </w:r>
      <w:r>
        <w:rPr>
          <w:rFonts w:ascii="Times New Roman" w:hAnsi="Times New Roman" w:cs="Times New Roman" w:eastAsia="Times New Roman" w:hint="default"/>
          <w:spacing w:val="-1"/>
          <w:sz w:val="18"/>
          <w:szCs w:val="18"/>
        </w:rPr>
        <w:t>26.10%</w:t>
      </w:r>
      <w:r>
        <w:rPr>
          <w:rFonts w:ascii="宋体" w:hAnsi="宋体" w:cs="宋体" w:eastAsia="宋体" w:hint="default"/>
          <w:spacing w:val="-1"/>
          <w:sz w:val="18"/>
          <w:szCs w:val="18"/>
        </w:rPr>
        <w:t>；电子数据鉴定及互联网知识产</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1"/>
          <w:sz w:val="18"/>
          <w:szCs w:val="18"/>
        </w:rPr>
        <w:t>权保护等服务实现收入</w:t>
      </w:r>
      <w:r>
        <w:rPr>
          <w:rFonts w:ascii="Times New Roman" w:hAnsi="Times New Roman" w:cs="Times New Roman" w:eastAsia="Times New Roman" w:hint="default"/>
          <w:spacing w:val="-1"/>
          <w:sz w:val="18"/>
          <w:szCs w:val="18"/>
        </w:rPr>
        <w:t>2,854.81</w:t>
      </w:r>
      <w:r>
        <w:rPr>
          <w:rFonts w:ascii="宋体" w:hAnsi="宋体" w:cs="宋体" w:eastAsia="宋体" w:hint="default"/>
          <w:spacing w:val="-1"/>
          <w:sz w:val="18"/>
          <w:szCs w:val="18"/>
        </w:rPr>
        <w:t>万元，较去年同期增长</w:t>
      </w:r>
      <w:r>
        <w:rPr>
          <w:rFonts w:ascii="Times New Roman" w:hAnsi="Times New Roman" w:cs="Times New Roman" w:eastAsia="Times New Roman" w:hint="default"/>
          <w:spacing w:val="-1"/>
          <w:sz w:val="18"/>
          <w:szCs w:val="18"/>
        </w:rPr>
        <w:t>22.22%</w:t>
      </w:r>
      <w:r>
        <w:rPr>
          <w:rFonts w:ascii="宋体" w:hAnsi="宋体" w:cs="宋体" w:eastAsia="宋体" w:hint="default"/>
          <w:spacing w:val="-1"/>
          <w:sz w:val="18"/>
          <w:szCs w:val="18"/>
        </w:rPr>
        <w:t>。其他业务产品收入</w:t>
      </w:r>
      <w:r>
        <w:rPr>
          <w:rFonts w:ascii="Times New Roman" w:hAnsi="Times New Roman" w:cs="Times New Roman" w:eastAsia="Times New Roman" w:hint="default"/>
          <w:spacing w:val="-1"/>
          <w:sz w:val="18"/>
          <w:szCs w:val="18"/>
        </w:rPr>
        <w:t>10.77</w:t>
      </w:r>
      <w:r>
        <w:rPr>
          <w:rFonts w:ascii="宋体" w:hAnsi="宋体" w:cs="宋体" w:eastAsia="宋体" w:hint="default"/>
          <w:spacing w:val="-1"/>
          <w:sz w:val="18"/>
          <w:szCs w:val="18"/>
        </w:rPr>
        <w:t>万元，主要是新纳入合并范围的子公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司厦门市美亚中敏电子科技有限公司的电子产品销售收入。报告期公司收入取得较快的增长，主要是由于公司持续的加大研</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发力度和市场开拓力度，研发符合市场需求的产品，促进了销售收入的增长。</w:t>
      </w:r>
    </w:p>
    <w:p>
      <w:pPr>
        <w:spacing w:before="68"/>
        <w:ind w:left="152" w:right="0" w:firstLine="0"/>
        <w:jc w:val="left"/>
        <w:rPr>
          <w:rFonts w:ascii="宋体" w:hAnsi="宋体" w:cs="宋体" w:eastAsia="宋体" w:hint="default"/>
          <w:sz w:val="18"/>
          <w:szCs w:val="18"/>
        </w:rPr>
      </w:pPr>
      <w:r>
        <w:rPr>
          <w:rFonts w:ascii="宋体" w:hAnsi="宋体" w:cs="宋体" w:eastAsia="宋体" w:hint="default"/>
          <w:sz w:val="18"/>
          <w:szCs w:val="18"/>
        </w:rPr>
        <w:t>公司实物销售收入是否大于劳务收入</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28"/>
        <w:gridCol w:w="1891"/>
        <w:gridCol w:w="1926"/>
        <w:gridCol w:w="1913"/>
        <w:gridCol w:w="1916"/>
      </w:tblGrid>
      <w:tr>
        <w:trPr>
          <w:trHeight w:val="404" w:hRule="exact"/>
        </w:trPr>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1928"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电子数据取证产品项目</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110,667,171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74,313,782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48.92%</w:t>
            </w:r>
          </w:p>
        </w:tc>
      </w:tr>
      <w:tr>
        <w:trPr>
          <w:trHeight w:val="403" w:hRule="exact"/>
        </w:trPr>
        <w:tc>
          <w:tcPr>
            <w:tcW w:w="1928" w:type="dxa"/>
            <w:vMerge/>
            <w:tcBorders>
              <w:left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115,849,148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64,572,899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63.36%</w:t>
            </w:r>
          </w:p>
        </w:tc>
      </w:tr>
      <w:tr>
        <w:trPr>
          <w:trHeight w:val="401" w:hRule="exact"/>
        </w:trPr>
        <w:tc>
          <w:tcPr>
            <w:tcW w:w="1928" w:type="dxa"/>
            <w:vMerge/>
            <w:tcBorders>
              <w:left w:val="single" w:sz="4" w:space="0" w:color="000000"/>
              <w:bottom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23,124,522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17,942,545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28.88%</w:t>
            </w:r>
          </w:p>
        </w:tc>
      </w:tr>
      <w:tr>
        <w:trPr>
          <w:trHeight w:val="403" w:hRule="exact"/>
        </w:trPr>
        <w:tc>
          <w:tcPr>
            <w:tcW w:w="1928"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网络信息安全产品项目</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21,911,181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16,934,702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29.39%</w:t>
            </w:r>
          </w:p>
        </w:tc>
      </w:tr>
      <w:tr>
        <w:trPr>
          <w:trHeight w:val="401" w:hRule="exact"/>
        </w:trPr>
        <w:tc>
          <w:tcPr>
            <w:tcW w:w="1928" w:type="dxa"/>
            <w:vMerge/>
            <w:tcBorders>
              <w:left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21,862,151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16,943,504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29.74%</w:t>
            </w:r>
          </w:p>
        </w:tc>
      </w:tr>
      <w:tr>
        <w:trPr>
          <w:trHeight w:val="403" w:hRule="exact"/>
        </w:trPr>
        <w:tc>
          <w:tcPr>
            <w:tcW w:w="1928" w:type="dxa"/>
            <w:vMerge/>
            <w:tcBorders>
              <w:left w:val="single" w:sz="4" w:space="0" w:color="000000"/>
              <w:bottom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404,882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453,912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319" w:lineRule="auto" w:before="101"/>
        <w:ind w:left="152" w:right="15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电子数据取证产品项目：销售量和生产量增幅分别为</w:t>
      </w:r>
      <w:r>
        <w:rPr>
          <w:rFonts w:ascii="Times New Roman" w:hAnsi="Times New Roman" w:cs="Times New Roman" w:eastAsia="Times New Roman" w:hint="default"/>
          <w:sz w:val="18"/>
          <w:szCs w:val="18"/>
        </w:rPr>
        <w:t>48.92%,63.36%</w:t>
      </w:r>
      <w:r>
        <w:rPr>
          <w:rFonts w:ascii="宋体" w:hAnsi="宋体" w:cs="宋体" w:eastAsia="宋体" w:hint="default"/>
          <w:sz w:val="18"/>
          <w:szCs w:val="18"/>
        </w:rPr>
        <w:t>，主要是由于本年度电子数据取证产品销售收入增长所 致。</w:t>
      </w:r>
    </w:p>
    <w:p>
      <w:pPr>
        <w:spacing w:before="58"/>
        <w:ind w:left="152" w:right="0" w:firstLine="0"/>
        <w:jc w:val="left"/>
        <w:rPr>
          <w:rFonts w:ascii="宋体" w:hAnsi="宋体" w:cs="宋体" w:eastAsia="宋体" w:hint="default"/>
          <w:sz w:val="18"/>
          <w:szCs w:val="18"/>
        </w:rPr>
      </w:pPr>
      <w:r>
        <w:rPr>
          <w:rFonts w:ascii="宋体" w:hAnsi="宋体" w:cs="宋体" w:eastAsia="宋体" w:hint="default"/>
          <w:sz w:val="18"/>
          <w:szCs w:val="18"/>
        </w:rPr>
        <w:t>公司重大的在手订单情况</w:t>
      </w:r>
    </w:p>
    <w:p>
      <w:pPr>
        <w:spacing w:line="360" w:lineRule="auto" w:before="115"/>
        <w:ind w:left="152" w:right="815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数量分散的订单情况</w:t>
      </w:r>
    </w:p>
    <w:p>
      <w:pPr>
        <w:spacing w:line="360" w:lineRule="auto" w:before="25"/>
        <w:ind w:left="152" w:right="545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公司报告期内产品或服务发生重大变化或调整有关情况</w:t>
      </w:r>
    </w:p>
    <w:p>
      <w:pPr>
        <w:spacing w:before="27"/>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18"/>
        <w:ind w:left="152" w:right="0"/>
        <w:jc w:val="left"/>
        <w:rPr>
          <w:b w:val="0"/>
          <w:bCs w:val="0"/>
        </w:rPr>
      </w:pPr>
      <w:r>
        <w:rPr/>
        <w:t>（</w:t>
      </w:r>
      <w:r>
        <w:rPr>
          <w:rFonts w:ascii="Times New Roman" w:hAnsi="Times New Roman" w:cs="Times New Roman" w:eastAsia="Times New Roman" w:hint="default"/>
        </w:rPr>
        <w:t>2</w:t>
      </w:r>
      <w:r>
        <w:rPr/>
        <w:t>）成本</w:t>
      </w:r>
      <w:r>
        <w:rPr>
          <w:b w:val="0"/>
          <w:bCs w:val="0"/>
        </w:rPr>
      </w:r>
    </w:p>
    <w:p>
      <w:pPr>
        <w:spacing w:line="240" w:lineRule="auto" w:before="5"/>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758"/>
        <w:gridCol w:w="1277"/>
        <w:gridCol w:w="1841"/>
        <w:gridCol w:w="1418"/>
        <w:gridCol w:w="1844"/>
        <w:gridCol w:w="1066"/>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7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758"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9"/>
              <w:jc w:val="right"/>
              <w:rPr>
                <w:rFonts w:ascii="宋体" w:hAnsi="宋体" w:cs="宋体" w:eastAsia="宋体" w:hint="default"/>
                <w:sz w:val="18"/>
                <w:szCs w:val="18"/>
              </w:rPr>
            </w:pPr>
            <w:r>
              <w:rPr>
                <w:rFonts w:ascii="宋体" w:hAnsi="宋体" w:cs="宋体" w:eastAsia="宋体" w:hint="default"/>
                <w:spacing w:val="-1"/>
                <w:sz w:val="18"/>
                <w:szCs w:val="18"/>
              </w:rPr>
              <w:t>占营业成本比重（</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1"/>
              <w:jc w:val="right"/>
              <w:rPr>
                <w:rFonts w:ascii="宋体" w:hAnsi="宋体" w:cs="宋体" w:eastAsia="宋体" w:hint="default"/>
                <w:sz w:val="18"/>
                <w:szCs w:val="18"/>
              </w:rPr>
            </w:pPr>
            <w:r>
              <w:rPr>
                <w:rFonts w:ascii="宋体" w:hAnsi="宋体" w:cs="宋体" w:eastAsia="宋体" w:hint="default"/>
                <w:spacing w:val="-1"/>
                <w:sz w:val="18"/>
                <w:szCs w:val="18"/>
              </w:rPr>
              <w:t>占营业成本比重（</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0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电子信息行业</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130,554,451.40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93.18%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90,427,461.03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92.21%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44.37%</w:t>
            </w:r>
          </w:p>
        </w:tc>
      </w:tr>
    </w:tbl>
    <w:p>
      <w:pPr>
        <w:spacing w:line="240" w:lineRule="auto" w:before="3"/>
        <w:rPr>
          <w:rFonts w:ascii="宋体" w:hAnsi="宋体" w:cs="宋体" w:eastAsia="宋体" w:hint="default"/>
          <w:sz w:val="19"/>
          <w:szCs w:val="19"/>
        </w:rPr>
      </w:pPr>
    </w:p>
    <w:p>
      <w:pPr>
        <w:pStyle w:val="Heading3"/>
        <w:spacing w:line="240" w:lineRule="auto" w:before="36"/>
        <w:ind w:left="152" w:right="0"/>
        <w:jc w:val="left"/>
        <w:rPr>
          <w:b w:val="0"/>
          <w:bCs w:val="0"/>
        </w:rPr>
      </w:pPr>
      <w:r>
        <w:rPr/>
        <w:t>（</w:t>
      </w:r>
      <w:r>
        <w:rPr>
          <w:rFonts w:ascii="Times New Roman" w:hAnsi="Times New Roman" w:cs="Times New Roman" w:eastAsia="Times New Roman" w:hint="default"/>
        </w:rPr>
        <w:t>3</w:t>
      </w:r>
      <w:r>
        <w:rPr/>
        <w:t>）费用</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77"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265"/>
        <w:gridCol w:w="1558"/>
        <w:gridCol w:w="1560"/>
        <w:gridCol w:w="1560"/>
        <w:gridCol w:w="3615"/>
      </w:tblGrid>
      <w:tr>
        <w:trPr>
          <w:trHeight w:val="401"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3" w:hRule="exact"/>
        </w:trPr>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8"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63,094,789.77</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53,520,690.90</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72" w:right="0"/>
              <w:jc w:val="left"/>
              <w:rPr>
                <w:rFonts w:ascii="Times New Roman" w:hAnsi="Times New Roman" w:cs="Times New Roman" w:eastAsia="Times New Roman" w:hint="default"/>
                <w:sz w:val="18"/>
                <w:szCs w:val="18"/>
              </w:rPr>
            </w:pPr>
            <w:r>
              <w:rPr>
                <w:rFonts w:ascii="Times New Roman"/>
                <w:sz w:val="18"/>
              </w:rPr>
              <w:t>17.89%</w:t>
            </w:r>
          </w:p>
        </w:tc>
        <w:tc>
          <w:tcPr>
            <w:tcW w:w="3615"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pacing w:val="-3"/>
                <w:sz w:val="18"/>
                <w:szCs w:val="18"/>
              </w:rPr>
              <w:t>主要是由于公司业务规模扩大，人员人工费及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差旅费增加所致</w:t>
            </w:r>
          </w:p>
        </w:tc>
      </w:tr>
      <w:tr>
        <w:trPr>
          <w:trHeight w:val="391" w:hRule="exact"/>
        </w:trPr>
        <w:tc>
          <w:tcPr>
            <w:tcW w:w="12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58" w:type="dxa"/>
            <w:vMerge/>
            <w:tcBorders>
              <w:left w:val="single" w:sz="10" w:space="0" w:color="D2D2D2"/>
              <w:right w:val="single" w:sz="4" w:space="0" w:color="000000"/>
            </w:tcBorders>
          </w:tcPr>
          <w:p>
            <w:pPr/>
          </w:p>
        </w:tc>
        <w:tc>
          <w:tcPr>
            <w:tcW w:w="156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615" w:type="dxa"/>
            <w:vMerge/>
            <w:tcBorders>
              <w:left w:val="single" w:sz="4" w:space="0" w:color="000000"/>
              <w:right w:val="single" w:sz="4" w:space="0" w:color="000000"/>
            </w:tcBorders>
          </w:tcPr>
          <w:p>
            <w:pPr/>
          </w:p>
        </w:tc>
      </w:tr>
      <w:tr>
        <w:trPr>
          <w:trHeight w:val="161" w:hRule="exact"/>
        </w:trPr>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8" w:type="dxa"/>
            <w:vMerge/>
            <w:tcBorders>
              <w:left w:val="single" w:sz="10" w:space="0" w:color="D2D2D2"/>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3615" w:type="dxa"/>
            <w:vMerge/>
            <w:tcBorders>
              <w:left w:val="single" w:sz="4" w:space="0" w:color="000000"/>
              <w:bottom w:val="single" w:sz="4" w:space="0" w:color="000000"/>
              <w:right w:val="single" w:sz="4" w:space="0" w:color="000000"/>
            </w:tcBorders>
          </w:tcPr>
          <w:p>
            <w:pPr/>
          </w:p>
        </w:tc>
      </w:tr>
      <w:tr>
        <w:trPr>
          <w:trHeight w:val="161" w:hRule="exact"/>
        </w:trPr>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8"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93,799,341.99</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67,127,438.02</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2" w:right="0"/>
              <w:jc w:val="left"/>
              <w:rPr>
                <w:rFonts w:ascii="Times New Roman" w:hAnsi="Times New Roman" w:cs="Times New Roman" w:eastAsia="Times New Roman" w:hint="default"/>
                <w:sz w:val="18"/>
                <w:szCs w:val="18"/>
              </w:rPr>
            </w:pPr>
            <w:r>
              <w:rPr>
                <w:rFonts w:ascii="Times New Roman"/>
                <w:sz w:val="18"/>
              </w:rPr>
              <w:t>39.73%</w:t>
            </w:r>
          </w:p>
        </w:tc>
        <w:tc>
          <w:tcPr>
            <w:tcW w:w="3615"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主要是由于公司业务规模扩大，人员人工费、 研发费用、折旧费用增加所致</w:t>
            </w:r>
          </w:p>
        </w:tc>
      </w:tr>
      <w:tr>
        <w:trPr>
          <w:trHeight w:val="391" w:hRule="exact"/>
        </w:trPr>
        <w:tc>
          <w:tcPr>
            <w:tcW w:w="12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58" w:type="dxa"/>
            <w:vMerge/>
            <w:tcBorders>
              <w:left w:val="single" w:sz="10" w:space="0" w:color="D2D2D2"/>
              <w:right w:val="single" w:sz="4" w:space="0" w:color="000000"/>
            </w:tcBorders>
          </w:tcPr>
          <w:p>
            <w:pPr/>
          </w:p>
        </w:tc>
        <w:tc>
          <w:tcPr>
            <w:tcW w:w="156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615" w:type="dxa"/>
            <w:vMerge/>
            <w:tcBorders>
              <w:left w:val="single" w:sz="4" w:space="0" w:color="000000"/>
              <w:right w:val="single" w:sz="4" w:space="0" w:color="000000"/>
            </w:tcBorders>
          </w:tcPr>
          <w:p>
            <w:pPr/>
          </w:p>
        </w:tc>
      </w:tr>
      <w:tr>
        <w:trPr>
          <w:trHeight w:val="161" w:hRule="exact"/>
        </w:trPr>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8" w:type="dxa"/>
            <w:vMerge/>
            <w:tcBorders>
              <w:left w:val="single" w:sz="10" w:space="0" w:color="D2D2D2"/>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3615" w:type="dxa"/>
            <w:vMerge/>
            <w:tcBorders>
              <w:left w:val="single" w:sz="4" w:space="0" w:color="000000"/>
              <w:bottom w:val="single" w:sz="4" w:space="0" w:color="000000"/>
              <w:right w:val="single" w:sz="4" w:space="0" w:color="000000"/>
            </w:tcBorders>
          </w:tcPr>
          <w:p>
            <w:pPr/>
          </w:p>
        </w:tc>
      </w:tr>
      <w:tr>
        <w:trPr>
          <w:trHeight w:val="403"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508" w:right="0"/>
              <w:jc w:val="left"/>
              <w:rPr>
                <w:rFonts w:ascii="Times New Roman" w:hAnsi="Times New Roman" w:cs="Times New Roman" w:eastAsia="Times New Roman" w:hint="default"/>
                <w:sz w:val="18"/>
                <w:szCs w:val="18"/>
              </w:rPr>
            </w:pPr>
            <w:r>
              <w:rPr>
                <w:rFonts w:ascii="Times New Roman"/>
                <w:sz w:val="18"/>
              </w:rPr>
              <w:t>-9,494,294.02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1" w:right="0"/>
              <w:jc w:val="left"/>
              <w:rPr>
                <w:rFonts w:ascii="Times New Roman" w:hAnsi="Times New Roman" w:cs="Times New Roman" w:eastAsia="Times New Roman" w:hint="default"/>
                <w:sz w:val="18"/>
                <w:szCs w:val="18"/>
              </w:rPr>
            </w:pPr>
            <w:r>
              <w:rPr>
                <w:rFonts w:ascii="Times New Roman"/>
                <w:sz w:val="18"/>
              </w:rPr>
              <w:t>-10,118,127.40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6.17%</w:t>
            </w:r>
          </w:p>
        </w:tc>
        <w:tc>
          <w:tcPr>
            <w:tcW w:w="3615"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8"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3" w:right="0"/>
              <w:jc w:val="left"/>
              <w:rPr>
                <w:rFonts w:ascii="Times New Roman" w:hAnsi="Times New Roman" w:cs="Times New Roman" w:eastAsia="Times New Roman" w:hint="default"/>
                <w:sz w:val="18"/>
                <w:szCs w:val="18"/>
              </w:rPr>
            </w:pPr>
            <w:r>
              <w:rPr>
                <w:rFonts w:ascii="Times New Roman"/>
                <w:sz w:val="18"/>
              </w:rPr>
              <w:t>4,594,125.54</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3" w:right="0"/>
              <w:jc w:val="left"/>
              <w:rPr>
                <w:rFonts w:ascii="Times New Roman" w:hAnsi="Times New Roman" w:cs="Times New Roman" w:eastAsia="Times New Roman" w:hint="default"/>
                <w:sz w:val="18"/>
                <w:szCs w:val="18"/>
              </w:rPr>
            </w:pPr>
            <w:r>
              <w:rPr>
                <w:rFonts w:ascii="Times New Roman"/>
                <w:sz w:val="18"/>
              </w:rPr>
              <w:t>8,704,208.12</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2" w:right="0"/>
              <w:jc w:val="left"/>
              <w:rPr>
                <w:rFonts w:ascii="Times New Roman" w:hAnsi="Times New Roman" w:cs="Times New Roman" w:eastAsia="Times New Roman" w:hint="default"/>
                <w:sz w:val="18"/>
                <w:szCs w:val="18"/>
              </w:rPr>
            </w:pPr>
            <w:r>
              <w:rPr>
                <w:rFonts w:ascii="Times New Roman"/>
                <w:sz w:val="18"/>
              </w:rPr>
              <w:t>-47.22%</w:t>
            </w:r>
          </w:p>
        </w:tc>
        <w:tc>
          <w:tcPr>
            <w:tcW w:w="3615"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主要是由于公司入选国家规划布局内重点软 件企业，享受</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的所得税率优惠所致。</w:t>
            </w:r>
          </w:p>
        </w:tc>
      </w:tr>
      <w:tr>
        <w:trPr>
          <w:trHeight w:val="391" w:hRule="exact"/>
        </w:trPr>
        <w:tc>
          <w:tcPr>
            <w:tcW w:w="12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558" w:type="dxa"/>
            <w:vMerge/>
            <w:tcBorders>
              <w:left w:val="single" w:sz="10" w:space="0" w:color="D2D2D2"/>
              <w:right w:val="single" w:sz="4" w:space="0" w:color="000000"/>
            </w:tcBorders>
          </w:tcPr>
          <w:p>
            <w:pPr/>
          </w:p>
        </w:tc>
        <w:tc>
          <w:tcPr>
            <w:tcW w:w="156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615" w:type="dxa"/>
            <w:vMerge/>
            <w:tcBorders>
              <w:left w:val="single" w:sz="4" w:space="0" w:color="000000"/>
              <w:right w:val="single" w:sz="4" w:space="0" w:color="000000"/>
            </w:tcBorders>
          </w:tcPr>
          <w:p>
            <w:pPr/>
          </w:p>
        </w:tc>
      </w:tr>
      <w:tr>
        <w:trPr>
          <w:trHeight w:val="163" w:hRule="exact"/>
        </w:trPr>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8" w:type="dxa"/>
            <w:vMerge/>
            <w:tcBorders>
              <w:left w:val="single" w:sz="10" w:space="0" w:color="D2D2D2"/>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3615"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left="152" w:right="99"/>
        <w:jc w:val="left"/>
        <w:rPr>
          <w:b w:val="0"/>
          <w:bCs w:val="0"/>
        </w:rPr>
      </w:pPr>
      <w:r>
        <w:rPr/>
        <w:t>（</w:t>
      </w:r>
      <w:r>
        <w:rPr>
          <w:rFonts w:ascii="Times New Roman" w:hAnsi="Times New Roman" w:cs="Times New Roman" w:eastAsia="Times New Roman" w:hint="default"/>
        </w:rPr>
        <w:t>4</w:t>
      </w:r>
      <w:r>
        <w:rPr/>
        <w:t>）研发投入</w:t>
      </w:r>
      <w:r>
        <w:rPr>
          <w:b w:val="0"/>
          <w:bCs w:val="0"/>
        </w:rPr>
      </w:r>
    </w:p>
    <w:p>
      <w:pPr>
        <w:spacing w:line="240" w:lineRule="auto" w:before="6"/>
        <w:rPr>
          <w:rFonts w:ascii="宋体" w:hAnsi="宋体" w:cs="宋体" w:eastAsia="宋体" w:hint="default"/>
          <w:b/>
          <w:bCs/>
          <w:sz w:val="30"/>
          <w:szCs w:val="30"/>
        </w:rPr>
      </w:pPr>
    </w:p>
    <w:p>
      <w:pPr>
        <w:pStyle w:val="BodyText"/>
        <w:spacing w:line="386" w:lineRule="auto"/>
        <w:ind w:left="152" w:right="99" w:firstLine="420"/>
        <w:jc w:val="left"/>
      </w:pPr>
      <w:r>
        <w:rPr>
          <w:rFonts w:ascii="Times New Roman" w:hAnsi="Times New Roman" w:cs="Times New Roman" w:eastAsia="Times New Roman" w:hint="default"/>
          <w:spacing w:val="-3"/>
        </w:rPr>
        <w:t>2012</w:t>
      </w:r>
      <w:r>
        <w:rPr>
          <w:spacing w:val="-3"/>
        </w:rPr>
        <w:t>年度公司研发支出总额</w:t>
      </w:r>
      <w:r>
        <w:rPr>
          <w:rFonts w:ascii="Times New Roman" w:hAnsi="Times New Roman" w:cs="Times New Roman" w:eastAsia="Times New Roman" w:hint="default"/>
          <w:spacing w:val="-3"/>
        </w:rPr>
        <w:t>4,911.02</w:t>
      </w:r>
      <w:r>
        <w:rPr>
          <w:spacing w:val="-3"/>
        </w:rPr>
        <w:t>万元，其中：资本化金额为</w:t>
      </w:r>
      <w:r>
        <w:rPr>
          <w:rFonts w:ascii="Times New Roman" w:hAnsi="Times New Roman" w:cs="Times New Roman" w:eastAsia="Times New Roman" w:hint="default"/>
          <w:spacing w:val="-3"/>
        </w:rPr>
        <w:t>1547.26</w:t>
      </w:r>
      <w:r>
        <w:rPr>
          <w:spacing w:val="-3"/>
        </w:rPr>
        <w:t>万元，占研发支出总额</w:t>
      </w:r>
      <w:r>
        <w:rPr>
          <w:rFonts w:ascii="Times New Roman" w:hAnsi="Times New Roman" w:cs="Times New Roman" w:eastAsia="Times New Roman" w:hint="default"/>
          <w:spacing w:val="-3"/>
        </w:rPr>
        <w:t>31.51%</w:t>
      </w:r>
      <w:r>
        <w:rPr>
          <w:spacing w:val="-3"/>
        </w:rPr>
        <w:t>；</w:t>
      </w:r>
      <w:r>
        <w:rPr>
          <w:w w:val="100"/>
        </w:rPr>
        <w:t> </w:t>
      </w:r>
      <w:r>
        <w:rPr>
          <w:spacing w:val="-3"/>
        </w:rPr>
        <w:t>本年研发支出总额较去年同期增长</w:t>
      </w:r>
      <w:r>
        <w:rPr>
          <w:rFonts w:ascii="Times New Roman" w:hAnsi="Times New Roman" w:cs="Times New Roman" w:eastAsia="Times New Roman" w:hint="default"/>
          <w:spacing w:val="-3"/>
        </w:rPr>
        <w:t>61.76%</w:t>
      </w:r>
      <w:r>
        <w:rPr>
          <w:spacing w:val="-3"/>
        </w:rPr>
        <w:t>，占营业收入</w:t>
      </w:r>
      <w:r>
        <w:rPr>
          <w:rFonts w:ascii="Times New Roman" w:hAnsi="Times New Roman" w:cs="Times New Roman" w:eastAsia="Times New Roman" w:hint="default"/>
          <w:spacing w:val="-3"/>
        </w:rPr>
        <w:t>14.03%</w:t>
      </w:r>
      <w:r>
        <w:rPr>
          <w:spacing w:val="-3"/>
        </w:rPr>
        <w:t>。研发支出较去年同期增长主要是由于为增</w:t>
      </w:r>
      <w:r>
        <w:rPr>
          <w:spacing w:val="-15"/>
        </w:rPr>
        <w:t> </w:t>
      </w:r>
      <w:r>
        <w:rPr>
          <w:spacing w:val="-15"/>
        </w:rPr>
      </w:r>
      <w:r>
        <w:rPr/>
        <w:t>强公司的市场竟争力，公司持续加大了研发投入力度。</w:t>
      </w:r>
    </w:p>
    <w:p>
      <w:pPr>
        <w:pStyle w:val="BodyText"/>
        <w:spacing w:line="240" w:lineRule="auto" w:before="65"/>
        <w:ind w:left="573" w:right="99"/>
        <w:jc w:val="left"/>
      </w:pPr>
      <w:r>
        <w:rPr/>
        <w:t>近三年公司研发投入金额及占营业收入的比例：</w:t>
      </w:r>
    </w:p>
    <w:p>
      <w:pPr>
        <w:spacing w:before="178"/>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947"/>
        <w:gridCol w:w="1456"/>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330" w:right="0"/>
              <w:jc w:val="left"/>
              <w:rPr>
                <w:rFonts w:ascii="Times New Roman" w:hAnsi="Times New Roman" w:cs="Times New Roman" w:eastAsia="Times New Roman" w:hint="default"/>
                <w:sz w:val="18"/>
                <w:szCs w:val="18"/>
              </w:rPr>
            </w:pPr>
            <w:r>
              <w:rPr>
                <w:rFonts w:ascii="Times New Roman"/>
                <w:sz w:val="18"/>
              </w:rPr>
              <w:t>49,110,179.00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30,359,218.57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17,509,030.39</w:t>
            </w:r>
          </w:p>
        </w:tc>
      </w:tr>
      <w:tr>
        <w:trPr>
          <w:trHeight w:val="401" w:hRule="exact"/>
        </w:trPr>
        <w:tc>
          <w:tcPr>
            <w:tcW w:w="2369"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研发投入占营业收入比例（</w:t>
            </w:r>
            <w:r>
              <w:rPr>
                <w:rFonts w:ascii="Times New Roman" w:hAnsi="Times New Roman" w:cs="Times New Roman" w:eastAsia="Times New Roman" w:hint="default"/>
                <w:spacing w:val="-5"/>
                <w:sz w:val="18"/>
                <w:szCs w:val="18"/>
              </w:rPr>
              <w:t>%</w:t>
            </w:r>
          </w:p>
        </w:tc>
        <w:tc>
          <w:tcPr>
            <w:tcW w:w="947" w:type="dxa"/>
            <w:tcBorders>
              <w:top w:val="single" w:sz="4" w:space="0" w:color="000000"/>
              <w:left w:val="single" w:sz="23" w:space="0" w:color="FFFFFF"/>
              <w:bottom w:val="single" w:sz="4" w:space="0" w:color="000000"/>
              <w:right w:val="nil" w:sz="6" w:space="0" w:color="auto"/>
            </w:tcBorders>
          </w:tcPr>
          <w:p>
            <w:pPr/>
          </w:p>
        </w:tc>
        <w:tc>
          <w:tcPr>
            <w:tcW w:w="1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875" w:right="0"/>
              <w:jc w:val="left"/>
              <w:rPr>
                <w:rFonts w:ascii="Times New Roman" w:hAnsi="Times New Roman" w:cs="Times New Roman" w:eastAsia="Times New Roman" w:hint="default"/>
                <w:sz w:val="18"/>
                <w:szCs w:val="18"/>
              </w:rPr>
            </w:pPr>
            <w:r>
              <w:rPr>
                <w:rFonts w:ascii="Times New Roman"/>
                <w:sz w:val="18"/>
              </w:rPr>
              <w:t>14.03%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9.31%</w:t>
            </w:r>
          </w:p>
        </w:tc>
      </w:tr>
    </w:tbl>
    <w:p>
      <w:pPr>
        <w:spacing w:line="240" w:lineRule="auto" w:before="3"/>
        <w:rPr>
          <w:rFonts w:ascii="宋体" w:hAnsi="宋体" w:cs="宋体" w:eastAsia="宋体" w:hint="default"/>
          <w:sz w:val="19"/>
          <w:szCs w:val="19"/>
        </w:rPr>
      </w:pPr>
    </w:p>
    <w:p>
      <w:pPr>
        <w:pStyle w:val="Heading3"/>
        <w:spacing w:line="240" w:lineRule="auto" w:before="36"/>
        <w:ind w:left="152" w:right="99"/>
        <w:jc w:val="left"/>
        <w:rPr>
          <w:b w:val="0"/>
          <w:bCs w:val="0"/>
        </w:rPr>
      </w:pPr>
      <w:r>
        <w:rPr/>
        <w:pict>
          <v:shape style="position:absolute;margin-left:170.300003pt;margin-top:-32.636337pt;width:124.25pt;height:19.6pt;mso-position-horizontal-relative:page;mso-position-vertical-relative:paragraph;z-index:-80447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177.740005pt;margin-top:-32.636337pt;width:116.8pt;height:19.6pt;mso-position-horizontal-relative:page;mso-position-vertical-relative:paragraph;z-index:-804448" coordorigin="3555,-653" coordsize="2336,392">
            <v:shape style="position:absolute;left:3555;top:-653;width:2336;height:392" coordorigin="3555,-653" coordsize="2336,392" path="m3555,-262l5890,-262,5890,-653,3555,-653,3555,-262xe" filled="true" fillcolor="#ffffff" stroked="false">
              <v:path arrowok="t"/>
              <v:fill type="solid"/>
            </v:shape>
            <w10:wrap type="none"/>
          </v:group>
        </w:pict>
      </w:r>
      <w:r>
        <w:rPr/>
        <w:t>（</w:t>
      </w: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06"/>
        <w:gridCol w:w="1996"/>
        <w:gridCol w:w="2127"/>
        <w:gridCol w:w="1630"/>
      </w:tblGrid>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9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375,702,694.47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316,211,053.99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18.81%</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9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348,759,247.18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312,262,749.99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11.69%</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26,943,447.29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3,948,304.00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582.41%</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9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542,484,848.73</w:t>
            </w:r>
          </w:p>
        </w:tc>
        <w:tc>
          <w:tcPr>
            <w:tcW w:w="212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9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673,769,760.53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314,256,092.22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114.40%</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9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-131,284,911.80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-314,256,092.22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58.22%</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9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33,518,628.00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507,960,000.00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-93.4%</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9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10,700,000.00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19,865,160.52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-46.14%</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9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22,818,628.00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488,094,839.48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-95.32%</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-81,465,018.07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177,860,313.80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-145.8%</w:t>
            </w:r>
          </w:p>
        </w:tc>
      </w:tr>
    </w:tbl>
    <w:p>
      <w:pPr>
        <w:spacing w:before="49"/>
        <w:ind w:left="152" w:right="99"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1"/>
        <w:ind w:left="152" w:right="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1227" w:top="1100" w:bottom="1420" w:left="980" w:right="920"/>
        </w:sectPr>
      </w:pPr>
    </w:p>
    <w:p>
      <w:pPr>
        <w:spacing w:line="240" w:lineRule="auto" w:before="11"/>
        <w:rPr>
          <w:rFonts w:ascii="宋体" w:hAnsi="宋体" w:cs="宋体" w:eastAsia="宋体" w:hint="default"/>
          <w:sz w:val="21"/>
          <w:szCs w:val="21"/>
        </w:rPr>
      </w:pPr>
    </w:p>
    <w:p>
      <w:pPr>
        <w:spacing w:line="309" w:lineRule="auto" w:before="44"/>
        <w:ind w:left="152" w:right="25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、经营活动产生的现金流量净额较去年同期增长</w:t>
      </w:r>
      <w:r>
        <w:rPr>
          <w:rFonts w:ascii="Times New Roman" w:hAnsi="Times New Roman" w:cs="Times New Roman" w:eastAsia="Times New Roman" w:hint="default"/>
          <w:sz w:val="18"/>
          <w:szCs w:val="18"/>
        </w:rPr>
        <w:t>582.41%</w:t>
      </w:r>
      <w:r>
        <w:rPr>
          <w:rFonts w:ascii="宋体" w:hAnsi="宋体" w:cs="宋体" w:eastAsia="宋体" w:hint="default"/>
          <w:sz w:val="18"/>
          <w:szCs w:val="18"/>
        </w:rPr>
        <w:t>，主要是由于报告期内公司收到销售商品、提供劳务收到的现金 及收到税费返还较去年同期增加，而购买商品、接受劳务支付的现金较去年同期有所减少所致。 </w:t>
      </w:r>
      <w:r>
        <w:rPr>
          <w:rFonts w:ascii="Times New Roman" w:hAnsi="Times New Roman" w:cs="Times New Roman" w:eastAsia="Times New Roman" w:hint="default"/>
          <w:sz w:val="18"/>
          <w:szCs w:val="18"/>
        </w:rPr>
        <w:t>2</w:t>
      </w:r>
      <w:r>
        <w:rPr>
          <w:rFonts w:ascii="宋体" w:hAnsi="宋体" w:cs="宋体" w:eastAsia="宋体" w:hint="default"/>
          <w:sz w:val="18"/>
          <w:szCs w:val="18"/>
        </w:rPr>
        <w:t>、投资活动现金流入较去年同期增加</w:t>
      </w:r>
      <w:r>
        <w:rPr>
          <w:rFonts w:ascii="Times New Roman" w:hAnsi="Times New Roman" w:cs="Times New Roman" w:eastAsia="Times New Roman" w:hint="default"/>
          <w:sz w:val="18"/>
          <w:szCs w:val="18"/>
        </w:rPr>
        <w:t>54,248.48</w:t>
      </w:r>
      <w:r>
        <w:rPr>
          <w:rFonts w:ascii="宋体" w:hAnsi="宋体" w:cs="宋体" w:eastAsia="宋体" w:hint="default"/>
          <w:sz w:val="18"/>
          <w:szCs w:val="18"/>
        </w:rPr>
        <w:t>万元，主要为收回到期定期存款所致。投资活动现金流出较去年同期增长</w:t>
      </w:r>
    </w:p>
    <w:p>
      <w:pPr>
        <w:spacing w:line="300" w:lineRule="auto" w:before="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114.40%</w:t>
      </w:r>
      <w:r>
        <w:rPr>
          <w:rFonts w:ascii="宋体" w:hAnsi="宋体" w:cs="宋体" w:eastAsia="宋体" w:hint="default"/>
          <w:spacing w:val="-1"/>
          <w:sz w:val="18"/>
          <w:szCs w:val="18"/>
        </w:rPr>
        <w:t>，主要为本年购买固定资产及定期存款累计支出金额，较去年同期增加所致。投资活动产生的现金流量净额较去年</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同期增长</w:t>
      </w:r>
      <w:r>
        <w:rPr>
          <w:rFonts w:ascii="Times New Roman" w:hAnsi="Times New Roman" w:cs="Times New Roman" w:eastAsia="Times New Roman" w:hint="default"/>
          <w:sz w:val="18"/>
          <w:szCs w:val="18"/>
        </w:rPr>
        <w:t>58.22%</w:t>
      </w:r>
      <w:r>
        <w:rPr>
          <w:rFonts w:ascii="宋体" w:hAnsi="宋体" w:cs="宋体" w:eastAsia="宋体" w:hint="default"/>
          <w:sz w:val="18"/>
          <w:szCs w:val="18"/>
        </w:rPr>
        <w:t>，主要是由于报告期跨年度的定期存款较去年同期减少所致。 </w:t>
      </w:r>
      <w:r>
        <w:rPr>
          <w:rFonts w:ascii="Times New Roman" w:hAnsi="Times New Roman" w:cs="Times New Roman" w:eastAsia="Times New Roman" w:hint="default"/>
          <w:sz w:val="18"/>
          <w:szCs w:val="18"/>
        </w:rPr>
        <w:t>3</w:t>
      </w:r>
      <w:r>
        <w:rPr>
          <w:rFonts w:ascii="宋体" w:hAnsi="宋体" w:cs="宋体" w:eastAsia="宋体" w:hint="default"/>
          <w:sz w:val="18"/>
          <w:szCs w:val="18"/>
        </w:rPr>
        <w:t>、筹资活动现金流入较去年同期减少</w:t>
      </w:r>
      <w:r>
        <w:rPr>
          <w:rFonts w:ascii="Times New Roman" w:hAnsi="Times New Roman" w:cs="Times New Roman" w:eastAsia="Times New Roman" w:hint="default"/>
          <w:sz w:val="18"/>
          <w:szCs w:val="18"/>
        </w:rPr>
        <w:t>93.40%</w:t>
      </w:r>
      <w:r>
        <w:rPr>
          <w:rFonts w:ascii="宋体" w:hAnsi="宋体" w:cs="宋体" w:eastAsia="宋体" w:hint="default"/>
          <w:sz w:val="18"/>
          <w:szCs w:val="18"/>
        </w:rPr>
        <w:t>，主要是由于</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年度公司首次公开发行股票收到募集资金所致。</w:t>
      </w:r>
    </w:p>
    <w:p>
      <w:pPr>
        <w:spacing w:before="13"/>
        <w:ind w:left="152" w:right="25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、筹资活动现金流出较去年同期减少</w:t>
      </w:r>
      <w:r>
        <w:rPr>
          <w:rFonts w:ascii="Times New Roman" w:hAnsi="Times New Roman" w:cs="Times New Roman" w:eastAsia="Times New Roman" w:hint="default"/>
          <w:sz w:val="18"/>
          <w:szCs w:val="18"/>
        </w:rPr>
        <w:t>46.14%</w:t>
      </w:r>
      <w:r>
        <w:rPr>
          <w:rFonts w:ascii="宋体" w:hAnsi="宋体" w:cs="宋体" w:eastAsia="宋体" w:hint="default"/>
          <w:sz w:val="18"/>
          <w:szCs w:val="18"/>
        </w:rPr>
        <w:t>，主要是由于</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年度公司提前归还研发大楼按揭贷款所致。</w:t>
      </w:r>
    </w:p>
    <w:p>
      <w:pPr>
        <w:spacing w:line="300" w:lineRule="auto" w:before="6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、现金及现金等价物净增加额较去年同期减少</w:t>
      </w:r>
      <w:r>
        <w:rPr>
          <w:rFonts w:ascii="Times New Roman" w:hAnsi="Times New Roman" w:cs="Times New Roman" w:eastAsia="Times New Roman" w:hint="default"/>
          <w:spacing w:val="-1"/>
          <w:sz w:val="18"/>
          <w:szCs w:val="18"/>
        </w:rPr>
        <w:t>145.8%</w:t>
      </w:r>
      <w:r>
        <w:rPr>
          <w:rFonts w:ascii="宋体" w:hAnsi="宋体" w:cs="宋体" w:eastAsia="宋体" w:hint="default"/>
          <w:spacing w:val="-1"/>
          <w:sz w:val="18"/>
          <w:szCs w:val="18"/>
        </w:rPr>
        <w:t>，主要是由于</w:t>
      </w:r>
      <w:r>
        <w:rPr>
          <w:rFonts w:ascii="Times New Roman" w:hAnsi="Times New Roman" w:cs="Times New Roman" w:eastAsia="Times New Roman" w:hint="default"/>
          <w:spacing w:val="-1"/>
          <w:sz w:val="18"/>
          <w:szCs w:val="18"/>
        </w:rPr>
        <w:t>2011</w:t>
      </w:r>
      <w:r>
        <w:rPr>
          <w:rFonts w:ascii="宋体" w:hAnsi="宋体" w:cs="宋体" w:eastAsia="宋体" w:hint="default"/>
          <w:spacing w:val="-1"/>
          <w:sz w:val="18"/>
          <w:szCs w:val="18"/>
        </w:rPr>
        <w:t>年度公司首次公开发行股票收到募集资金及</w:t>
      </w: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度公司陆续使用募集资金进行项目建设所致。</w:t>
      </w:r>
    </w:p>
    <w:p>
      <w:pPr>
        <w:spacing w:line="240" w:lineRule="auto" w:before="0"/>
        <w:rPr>
          <w:rFonts w:ascii="宋体" w:hAnsi="宋体" w:cs="宋体" w:eastAsia="宋体" w:hint="default"/>
          <w:sz w:val="18"/>
          <w:szCs w:val="18"/>
        </w:rPr>
      </w:pPr>
    </w:p>
    <w:p>
      <w:pPr>
        <w:spacing w:before="148"/>
        <w:ind w:left="152" w:right="259"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报告期内公司经营活动的现金流量与本年度净利润存在重大差异的原因说明：</w:t>
      </w:r>
    </w:p>
    <w:p>
      <w:pPr>
        <w:spacing w:before="115"/>
        <w:ind w:left="152" w:right="259"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300" w:lineRule="auto" w:before="118"/>
        <w:ind w:left="152" w:right="229" w:firstLine="0"/>
        <w:jc w:val="left"/>
        <w:rPr>
          <w:rFonts w:ascii="宋体" w:hAnsi="宋体" w:cs="宋体" w:eastAsia="宋体" w:hint="default"/>
          <w:sz w:val="18"/>
          <w:szCs w:val="18"/>
        </w:rPr>
      </w:pPr>
      <w:r>
        <w:rPr>
          <w:rFonts w:ascii="宋体" w:hAnsi="宋体" w:cs="宋体" w:eastAsia="宋体" w:hint="default"/>
          <w:sz w:val="18"/>
          <w:szCs w:val="18"/>
        </w:rPr>
        <w:t>报告期归属母公司所有者净利润</w:t>
      </w:r>
      <w:r>
        <w:rPr>
          <w:rFonts w:ascii="Times New Roman" w:hAnsi="Times New Roman" w:cs="Times New Roman" w:eastAsia="Times New Roman" w:hint="default"/>
          <w:sz w:val="18"/>
          <w:szCs w:val="18"/>
        </w:rPr>
        <w:t>7,843.16</w:t>
      </w:r>
      <w:r>
        <w:rPr>
          <w:rFonts w:ascii="宋体" w:hAnsi="宋体" w:cs="宋体" w:eastAsia="宋体" w:hint="default"/>
          <w:sz w:val="18"/>
          <w:szCs w:val="18"/>
        </w:rPr>
        <w:t>万元，经营活动的现金流量净额</w:t>
      </w:r>
      <w:r>
        <w:rPr>
          <w:rFonts w:ascii="Times New Roman" w:hAnsi="Times New Roman" w:cs="Times New Roman" w:eastAsia="Times New Roman" w:hint="default"/>
          <w:sz w:val="18"/>
          <w:szCs w:val="18"/>
        </w:rPr>
        <w:t>2,694.34</w:t>
      </w:r>
      <w:r>
        <w:rPr>
          <w:rFonts w:ascii="宋体" w:hAnsi="宋体" w:cs="宋体" w:eastAsia="宋体" w:hint="default"/>
          <w:sz w:val="18"/>
          <w:szCs w:val="18"/>
        </w:rPr>
        <w:t>万元，占报告期净利润</w:t>
      </w:r>
      <w:r>
        <w:rPr>
          <w:rFonts w:ascii="Times New Roman" w:hAnsi="Times New Roman" w:cs="Times New Roman" w:eastAsia="Times New Roman" w:hint="default"/>
          <w:sz w:val="18"/>
          <w:szCs w:val="18"/>
        </w:rPr>
        <w:t>34.35%</w:t>
      </w:r>
      <w:r>
        <w:rPr>
          <w:rFonts w:ascii="宋体" w:hAnsi="宋体" w:cs="宋体" w:eastAsia="宋体" w:hint="default"/>
          <w:sz w:val="18"/>
          <w:szCs w:val="18"/>
        </w:rPr>
        <w:t>，主要是报 告期公司为生产备料和合同销售增加了库存</w:t>
      </w:r>
      <w:r>
        <w:rPr>
          <w:rFonts w:ascii="Times New Roman" w:hAnsi="Times New Roman" w:cs="Times New Roman" w:eastAsia="Times New Roman" w:hint="default"/>
          <w:sz w:val="18"/>
          <w:szCs w:val="18"/>
        </w:rPr>
        <w:t>414.90</w:t>
      </w:r>
      <w:r>
        <w:rPr>
          <w:rFonts w:ascii="宋体" w:hAnsi="宋体" w:cs="宋体" w:eastAsia="宋体" w:hint="default"/>
          <w:sz w:val="18"/>
          <w:szCs w:val="18"/>
        </w:rPr>
        <w:t>万，期末应收帐款收款滞后新增资金占用</w:t>
      </w:r>
      <w:r>
        <w:rPr>
          <w:rFonts w:ascii="Times New Roman" w:hAnsi="Times New Roman" w:cs="Times New Roman" w:eastAsia="Times New Roman" w:hint="default"/>
          <w:sz w:val="18"/>
          <w:szCs w:val="18"/>
        </w:rPr>
        <w:t>5,357.62</w:t>
      </w:r>
      <w:r>
        <w:rPr>
          <w:rFonts w:ascii="宋体" w:hAnsi="宋体" w:cs="宋体" w:eastAsia="宋体" w:hint="default"/>
          <w:sz w:val="18"/>
          <w:szCs w:val="18"/>
        </w:rPr>
        <w:t>万元等综合因素造成。</w:t>
      </w:r>
    </w:p>
    <w:p>
      <w:pPr>
        <w:spacing w:line="338" w:lineRule="auto" w:before="53"/>
        <w:ind w:left="152" w:right="7113" w:firstLine="9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）公司主要供应商、客户情况 公司主要销售客户情况：</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36,208,211.33</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10.35%</w:t>
            </w:r>
          </w:p>
        </w:tc>
      </w:tr>
    </w:tbl>
    <w:p>
      <w:pPr>
        <w:spacing w:before="49"/>
        <w:ind w:left="152" w:right="259" w:firstLine="0"/>
        <w:jc w:val="left"/>
        <w:rPr>
          <w:rFonts w:ascii="宋体" w:hAnsi="宋体" w:cs="宋体" w:eastAsia="宋体" w:hint="default"/>
          <w:sz w:val="18"/>
          <w:szCs w:val="18"/>
        </w:rPr>
      </w:pPr>
      <w:r>
        <w:rPr>
          <w:rFonts w:ascii="宋体" w:hAnsi="宋体" w:cs="宋体" w:eastAsia="宋体" w:hint="default"/>
          <w:sz w:val="18"/>
          <w:szCs w:val="18"/>
        </w:rPr>
        <w:t>向单一客户销售比例超过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的客户资料：</w:t>
      </w:r>
    </w:p>
    <w:p>
      <w:pPr>
        <w:spacing w:line="340" w:lineRule="auto" w:before="101"/>
        <w:ind w:left="152" w:right="80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公司主要供应商情况：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37,355,553.04</w:t>
            </w:r>
          </w:p>
        </w:tc>
      </w:tr>
      <w:tr>
        <w:trPr>
          <w:trHeight w:val="403" w:hRule="exact"/>
        </w:trPr>
        <w:tc>
          <w:tcPr>
            <w:tcW w:w="425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23.82%</w:t>
            </w:r>
          </w:p>
        </w:tc>
      </w:tr>
    </w:tbl>
    <w:p>
      <w:pPr>
        <w:spacing w:before="49"/>
        <w:ind w:left="152" w:right="259" w:firstLine="0"/>
        <w:jc w:val="left"/>
        <w:rPr>
          <w:rFonts w:ascii="宋体" w:hAnsi="宋体" w:cs="宋体" w:eastAsia="宋体" w:hint="default"/>
          <w:sz w:val="18"/>
          <w:szCs w:val="18"/>
        </w:rPr>
      </w:pPr>
      <w:r>
        <w:rPr/>
        <w:pict>
          <v:shape style="position:absolute;margin-left:263.570007pt;margin-top:-20.158285pt;width:270.2pt;height:19.7pt;mso-position-horizontal-relative:page;mso-position-vertical-relative:paragraph;z-index:-80442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71.010010pt;margin-top:-20.158285pt;width:262.75pt;height:19.7pt;mso-position-horizontal-relative:page;mso-position-vertical-relative:paragraph;z-index:-804400" coordorigin="5420,-403" coordsize="5255,394">
            <v:shape style="position:absolute;left:5420;top:-403;width:5255;height:394" coordorigin="5420,-403" coordsize="5255,394" path="m5420,-10l10675,-10,10675,-403,5420,-403,5420,-10xe" filled="true" fillcolor="#ffffff" stroked="false">
              <v:path arrowok="t"/>
              <v:fill type="solid"/>
            </v:shape>
            <w10:wrap type="none"/>
          </v:group>
        </w:pict>
      </w:r>
      <w:r>
        <w:rPr>
          <w:rFonts w:ascii="宋体" w:hAnsi="宋体" w:cs="宋体" w:eastAsia="宋体" w:hint="default"/>
          <w:sz w:val="18"/>
          <w:szCs w:val="18"/>
        </w:rPr>
        <w:t>向单一供应商采购比例超过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的客户资料：</w:t>
      </w:r>
    </w:p>
    <w:p>
      <w:pPr>
        <w:spacing w:before="101"/>
        <w:ind w:left="152" w:right="25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left="152" w:right="259"/>
        <w:jc w:val="left"/>
        <w:rPr>
          <w:b w:val="0"/>
          <w:bCs w:val="0"/>
        </w:rPr>
      </w:pPr>
      <w:r>
        <w:rPr/>
        <w:t>（</w:t>
      </w:r>
      <w:r>
        <w:rPr>
          <w:rFonts w:ascii="Times New Roman" w:hAnsi="Times New Roman" w:cs="Times New Roman" w:eastAsia="Times New Roman" w:hint="default"/>
        </w:rPr>
        <w:t>7</w:t>
      </w:r>
      <w:r>
        <w:rPr/>
        <w:t>）公司未来发展与规划延续至报告期的说明</w:t>
      </w:r>
      <w:r>
        <w:rPr>
          <w:b w:val="0"/>
          <w:bCs w:val="0"/>
        </w:rPr>
      </w:r>
    </w:p>
    <w:p>
      <w:pPr>
        <w:spacing w:line="240" w:lineRule="auto" w:before="4"/>
        <w:rPr>
          <w:rFonts w:ascii="宋体" w:hAnsi="宋体" w:cs="宋体" w:eastAsia="宋体" w:hint="default"/>
          <w:b/>
          <w:bCs/>
          <w:sz w:val="26"/>
          <w:szCs w:val="26"/>
        </w:rPr>
      </w:pPr>
    </w:p>
    <w:p>
      <w:pPr>
        <w:spacing w:before="0"/>
        <w:ind w:left="152" w:right="259" w:firstLine="0"/>
        <w:jc w:val="left"/>
        <w:rPr>
          <w:rFonts w:ascii="宋体" w:hAnsi="宋体" w:cs="宋体" w:eastAsia="宋体" w:hint="default"/>
          <w:sz w:val="18"/>
          <w:szCs w:val="18"/>
        </w:rPr>
      </w:pPr>
      <w:r>
        <w:rPr>
          <w:rFonts w:ascii="宋体" w:hAnsi="宋体" w:cs="宋体" w:eastAsia="宋体" w:hint="default"/>
          <w:sz w:val="18"/>
          <w:szCs w:val="18"/>
        </w:rPr>
        <w:t>首次公开发行招股说明书中披露的未来发展与规划在本报告期的实施情况：</w:t>
      </w:r>
    </w:p>
    <w:p>
      <w:pPr>
        <w:spacing w:line="321" w:lineRule="auto"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报告期内，公司遵循招股说明书中未来三年发展规划运行，主要围绕电子数据取证、网络信息安全等两大产品体系，完成了</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多项关键技术的突破，持续进行技术创新和模式创新；产品销售由以司法机关为主的市场拓展至检察、工商、税务等其他行</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政执法部门、部分政府监管部门及大型企事业单位等领域，以此获得企业的稳步发展。服务业务拓展方面，在巩固和发展电</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子数据鉴定服务、互联网数字知识产权保护服务的基础上，大力拓展基于云计算的服务模式，推出了取证云、搜索云、公证</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云等多项云服务项目，维护了公司在国内电子数据取证及网络信息安全产品及服务领域的领先地位，并逐步向国际市场迈进。</w:t>
      </w:r>
    </w:p>
    <w:p>
      <w:pPr>
        <w:spacing w:line="357" w:lineRule="auto" w:before="56"/>
        <w:ind w:left="152" w:right="2957" w:firstLine="0"/>
        <w:jc w:val="left"/>
        <w:rPr>
          <w:rFonts w:ascii="宋体" w:hAnsi="宋体" w:cs="宋体" w:eastAsia="宋体" w:hint="default"/>
          <w:sz w:val="18"/>
          <w:szCs w:val="18"/>
        </w:rPr>
      </w:pPr>
      <w:r>
        <w:rPr>
          <w:rFonts w:ascii="宋体" w:hAnsi="宋体" w:cs="宋体" w:eastAsia="宋体" w:hint="default"/>
          <w:sz w:val="18"/>
          <w:szCs w:val="18"/>
        </w:rPr>
        <w:t>公司回顾总结前期披露的发展战略和经营计划在报告期内的进展情况： 详见本章管理层讨论与分析部分。 公司实际经营业绩较曾公开披露过的本年度盈利预测低于或高于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以上的差异原因：</w:t>
      </w:r>
    </w:p>
    <w:p>
      <w:pPr>
        <w:spacing w:before="6"/>
        <w:ind w:left="152" w:right="25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1227" w:top="1100" w:bottom="1420" w:left="980" w:right="940"/>
        </w:sectPr>
      </w:pPr>
    </w:p>
    <w:p>
      <w:pPr>
        <w:spacing w:line="240" w:lineRule="auto" w:before="11"/>
        <w:rPr>
          <w:rFonts w:ascii="宋体" w:hAnsi="宋体" w:cs="宋体" w:eastAsia="宋体" w:hint="default"/>
          <w:sz w:val="20"/>
          <w:szCs w:val="20"/>
        </w:rPr>
      </w:pPr>
    </w:p>
    <w:p>
      <w:pPr>
        <w:pStyle w:val="Heading3"/>
        <w:spacing w:line="240" w:lineRule="auto" w:before="36"/>
        <w:ind w:left="152" w:right="0"/>
        <w:jc w:val="left"/>
        <w:rPr>
          <w:b w:val="0"/>
          <w:bCs w:val="0"/>
        </w:rPr>
      </w:pPr>
      <w:r>
        <w:rPr>
          <w:rFonts w:ascii="Times New Roman" w:hAnsi="Times New Roman" w:cs="Times New Roman" w:eastAsia="Times New Roman" w:hint="default"/>
        </w:rPr>
        <w:t>2</w:t>
      </w:r>
      <w:r>
        <w:rPr/>
        <w:t>、主营业务分部报告</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9"/>
          <w:szCs w:val="29"/>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5"/>
        <w:gridCol w:w="1136"/>
        <w:gridCol w:w="1274"/>
        <w:gridCol w:w="1073"/>
        <w:gridCol w:w="1366"/>
        <w:gridCol w:w="1369"/>
        <w:gridCol w:w="1370"/>
      </w:tblGrid>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47" w:hanging="1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0"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5" w:right="48"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电子信息行业</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349,997,542.0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140,105,791.84</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42.86%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-3.51%</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电子数据取证产品</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268,592,124.3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110,667,171.05</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48.92%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-4.65%</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网络信息安全产品</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52,749,633.61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21,911,181.05</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58.46%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29.39%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-1.06%</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电子数据鉴定及互联网 知识产权保护等服务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28,548,117.34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7,470,499.54</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3.04%</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其他产品收入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107,666.70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56,940.20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47.11%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114,741,135.5</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41,365,761.38</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47.68%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31.97%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4.29%</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28,893,296.51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9,315,835.60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8.90%</w:t>
            </w:r>
          </w:p>
        </w:tc>
      </w:tr>
      <w:tr>
        <w:trPr>
          <w:trHeight w:val="40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17,546,600.98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7,378,461.34</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57.95%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21.31%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11.67%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3.63%</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65,543,941.06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26,169,289.73</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28,023,128.08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11,529,820.14</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58.86%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145.02%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-2.28%</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62,170,058.62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30,310,237.56</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119.35%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-22.68%</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30,929,816.69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13,905,401.11</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55.04%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50.41%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-10.57%</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2,149,564.55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130,984.98</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93.91%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left="152" w:right="0"/>
        <w:jc w:val="left"/>
        <w:rPr>
          <w:b w:val="0"/>
          <w:bCs w:val="0"/>
        </w:rPr>
      </w:pPr>
      <w:r>
        <w:rPr>
          <w:rFonts w:ascii="Times New Roman" w:hAnsi="Times New Roman" w:cs="Times New Roman" w:eastAsia="Times New Roman" w:hint="default"/>
        </w:rPr>
        <w:t>3</w:t>
      </w:r>
      <w:r>
        <w:rPr/>
        <w:t>、资产、负债状况分析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2" w:right="0"/>
        <w:jc w:val="left"/>
        <w:rPr>
          <w:b w:val="0"/>
          <w:bCs w:val="0"/>
        </w:rPr>
      </w:pPr>
      <w:r>
        <w:rPr/>
        <w:t>（</w:t>
      </w:r>
      <w:r>
        <w:rPr>
          <w:rFonts w:ascii="Times New Roman" w:hAnsi="Times New Roman" w:cs="Times New Roman" w:eastAsia="Times New Roman" w:hint="default"/>
        </w:rPr>
        <w:t>1</w:t>
      </w:r>
      <w:r>
        <w:rPr/>
        <w:t>）资产项目重大变动情况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68"/>
        <w:gridCol w:w="1328"/>
        <w:gridCol w:w="877"/>
        <w:gridCol w:w="1218"/>
        <w:gridCol w:w="1053"/>
        <w:gridCol w:w="938"/>
        <w:gridCol w:w="2776"/>
      </w:tblGrid>
      <w:tr>
        <w:trPr>
          <w:trHeight w:val="206"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0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7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93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76" w:type="dxa"/>
            <w:vMerge w:val="restart"/>
            <w:tcBorders>
              <w:top w:val="single" w:sz="4" w:space="0" w:color="000000"/>
              <w:left w:val="single" w:sz="4" w:space="0" w:color="000000"/>
              <w:right w:val="single" w:sz="4" w:space="0" w:color="000000"/>
            </w:tcBorders>
            <w:shd w:val="clear" w:color="auto" w:fill="D2D2D2"/>
          </w:tcPr>
          <w:p>
            <w:pPr/>
          </w:p>
        </w:tc>
      </w:tr>
      <w:tr>
        <w:trPr>
          <w:trHeight w:val="175"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2205" w:type="dxa"/>
            <w:gridSpan w:val="2"/>
            <w:vMerge/>
            <w:tcBorders>
              <w:left w:val="single" w:sz="4" w:space="0" w:color="000000"/>
              <w:bottom w:val="single" w:sz="4" w:space="0" w:color="000000"/>
              <w:right w:val="single" w:sz="4" w:space="0" w:color="000000"/>
            </w:tcBorders>
            <w:shd w:val="clear" w:color="auto" w:fill="D2D2D2"/>
          </w:tcPr>
          <w:p>
            <w:pPr/>
          </w:p>
        </w:tc>
        <w:tc>
          <w:tcPr>
            <w:tcW w:w="2271" w:type="dxa"/>
            <w:gridSpan w:val="2"/>
            <w:vMerge/>
            <w:tcBorders>
              <w:left w:val="single" w:sz="4" w:space="0" w:color="000000"/>
              <w:bottom w:val="single" w:sz="4" w:space="0" w:color="000000"/>
              <w:right w:val="single" w:sz="4" w:space="0" w:color="000000"/>
            </w:tcBorders>
            <w:shd w:val="clear" w:color="auto" w:fill="D2D2D2"/>
          </w:tcPr>
          <w:p>
            <w:pPr/>
          </w:p>
        </w:tc>
        <w:tc>
          <w:tcPr>
            <w:tcW w:w="9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4"/>
              <w:ind w:left="9"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76" w:type="dxa"/>
            <w:vMerge/>
            <w:tcBorders>
              <w:left w:val="single" w:sz="4" w:space="0" w:color="000000"/>
              <w:bottom w:val="nil" w:sz="6" w:space="0" w:color="auto"/>
              <w:right w:val="single" w:sz="4" w:space="0" w:color="000000"/>
            </w:tcBorders>
            <w:shd w:val="clear" w:color="auto" w:fill="D2D2D2"/>
          </w:tcPr>
          <w:p>
            <w:pPr/>
          </w:p>
        </w:tc>
      </w:tr>
      <w:tr>
        <w:trPr>
          <w:trHeight w:val="180"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11" w:right="-14" w:firstLine="62"/>
              <w:jc w:val="left"/>
              <w:rPr>
                <w:rFonts w:ascii="宋体" w:hAnsi="宋体" w:cs="宋体" w:eastAsia="宋体" w:hint="default"/>
                <w:sz w:val="18"/>
                <w:szCs w:val="18"/>
              </w:rPr>
            </w:pPr>
            <w:r>
              <w:rPr>
                <w:rFonts w:ascii="宋体" w:hAnsi="宋体" w:cs="宋体" w:eastAsia="宋体" w:hint="default"/>
                <w:sz w:val="18"/>
                <w:szCs w:val="18"/>
              </w:rPr>
              <w:t>占总资产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170" w:right="76"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38" w:type="dxa"/>
            <w:vMerge/>
            <w:tcBorders>
              <w:left w:val="single" w:sz="4" w:space="0" w:color="000000"/>
              <w:right w:val="single" w:sz="4" w:space="0" w:color="000000"/>
            </w:tcBorders>
            <w:shd w:val="clear" w:color="auto" w:fill="D2D2D2"/>
          </w:tcPr>
          <w:p>
            <w:pPr/>
          </w:p>
        </w:tc>
        <w:tc>
          <w:tcPr>
            <w:tcW w:w="27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84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6"/>
              <w:jc w:val="center"/>
              <w:rPr>
                <w:rFonts w:ascii="宋体" w:hAnsi="宋体" w:cs="宋体" w:eastAsia="宋体" w:hint="default"/>
                <w:sz w:val="18"/>
                <w:szCs w:val="18"/>
              </w:rPr>
            </w:pPr>
            <w:r>
              <w:rPr>
                <w:rFonts w:ascii="宋体" w:hAnsi="宋体" w:cs="宋体" w:eastAsia="宋体" w:hint="default"/>
                <w:sz w:val="18"/>
                <w:szCs w:val="18"/>
              </w:rPr>
              <w:t>金额</w:t>
            </w:r>
          </w:p>
        </w:tc>
        <w:tc>
          <w:tcPr>
            <w:tcW w:w="877" w:type="dxa"/>
            <w:vMerge/>
            <w:tcBorders>
              <w:left w:val="single" w:sz="4" w:space="0" w:color="000000"/>
              <w:right w:val="single" w:sz="4" w:space="0" w:color="000000"/>
            </w:tcBorders>
            <w:shd w:val="clear" w:color="auto" w:fill="D2D2D2"/>
          </w:tcPr>
          <w:p>
            <w:pPr/>
          </w:p>
        </w:tc>
        <w:tc>
          <w:tcPr>
            <w:tcW w:w="12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53" w:type="dxa"/>
            <w:vMerge/>
            <w:tcBorders>
              <w:left w:val="single" w:sz="4" w:space="0" w:color="000000"/>
              <w:right w:val="single" w:sz="4" w:space="0" w:color="000000"/>
            </w:tcBorders>
            <w:shd w:val="clear" w:color="auto" w:fill="D2D2D2"/>
          </w:tcPr>
          <w:p>
            <w:pPr/>
          </w:p>
        </w:tc>
        <w:tc>
          <w:tcPr>
            <w:tcW w:w="938" w:type="dxa"/>
            <w:vMerge/>
            <w:tcBorders>
              <w:left w:val="single" w:sz="4" w:space="0" w:color="000000"/>
              <w:right w:val="single" w:sz="4" w:space="0" w:color="000000"/>
            </w:tcBorders>
            <w:shd w:val="clear" w:color="auto" w:fill="D2D2D2"/>
          </w:tcPr>
          <w:p>
            <w:pPr/>
          </w:p>
        </w:tc>
        <w:tc>
          <w:tcPr>
            <w:tcW w:w="2776"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328" w:type="dxa"/>
            <w:vMerge/>
            <w:tcBorders>
              <w:left w:val="single" w:sz="4" w:space="0" w:color="000000"/>
              <w:bottom w:val="nil" w:sz="6" w:space="0" w:color="auto"/>
              <w:right w:val="single" w:sz="4" w:space="0" w:color="000000"/>
            </w:tcBorders>
            <w:shd w:val="clear" w:color="auto" w:fill="D2D2D2"/>
          </w:tcPr>
          <w:p>
            <w:pPr/>
          </w:p>
        </w:tc>
        <w:tc>
          <w:tcPr>
            <w:tcW w:w="877" w:type="dxa"/>
            <w:vMerge/>
            <w:tcBorders>
              <w:left w:val="single" w:sz="4" w:space="0" w:color="000000"/>
              <w:right w:val="single" w:sz="4" w:space="0" w:color="000000"/>
            </w:tcBorders>
            <w:shd w:val="clear" w:color="auto" w:fill="D2D2D2"/>
          </w:tcPr>
          <w:p>
            <w:pPr/>
          </w:p>
        </w:tc>
        <w:tc>
          <w:tcPr>
            <w:tcW w:w="1218" w:type="dxa"/>
            <w:vMerge/>
            <w:tcBorders>
              <w:left w:val="single" w:sz="4" w:space="0" w:color="000000"/>
              <w:bottom w:val="nil" w:sz="6" w:space="0" w:color="auto"/>
              <w:right w:val="single" w:sz="4" w:space="0" w:color="000000"/>
            </w:tcBorders>
            <w:shd w:val="clear" w:color="auto" w:fill="D2D2D2"/>
          </w:tcPr>
          <w:p>
            <w:pPr/>
          </w:p>
        </w:tc>
        <w:tc>
          <w:tcPr>
            <w:tcW w:w="1053" w:type="dxa"/>
            <w:vMerge/>
            <w:tcBorders>
              <w:left w:val="single" w:sz="4" w:space="0" w:color="000000"/>
              <w:right w:val="single" w:sz="4" w:space="0" w:color="000000"/>
            </w:tcBorders>
            <w:shd w:val="clear" w:color="auto" w:fill="D2D2D2"/>
          </w:tcPr>
          <w:p>
            <w:pPr/>
          </w:p>
        </w:tc>
        <w:tc>
          <w:tcPr>
            <w:tcW w:w="938" w:type="dxa"/>
            <w:vMerge/>
            <w:tcBorders>
              <w:left w:val="single" w:sz="4" w:space="0" w:color="000000"/>
              <w:bottom w:val="nil" w:sz="6" w:space="0" w:color="auto"/>
              <w:right w:val="single" w:sz="4" w:space="0" w:color="000000"/>
            </w:tcBorders>
            <w:shd w:val="clear" w:color="auto" w:fill="D2D2D2"/>
          </w:tcPr>
          <w:p>
            <w:pPr/>
          </w:p>
        </w:tc>
        <w:tc>
          <w:tcPr>
            <w:tcW w:w="2776"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77" w:type="dxa"/>
            <w:vMerge/>
            <w:tcBorders>
              <w:left w:val="single" w:sz="4" w:space="0" w:color="000000"/>
              <w:bottom w:val="single" w:sz="4" w:space="0" w:color="000000"/>
              <w:right w:val="single" w:sz="4" w:space="0" w:color="000000"/>
            </w:tcBorders>
            <w:shd w:val="clear" w:color="auto" w:fill="D2D2D2"/>
          </w:tcPr>
          <w:p>
            <w:pPr/>
          </w:p>
        </w:tc>
        <w:tc>
          <w:tcPr>
            <w:tcW w:w="12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3" w:type="dxa"/>
            <w:vMerge/>
            <w:tcBorders>
              <w:left w:val="single" w:sz="4" w:space="0" w:color="000000"/>
              <w:bottom w:val="single" w:sz="4" w:space="0" w:color="000000"/>
              <w:right w:val="single" w:sz="4" w:space="0" w:color="000000"/>
            </w:tcBorders>
            <w:shd w:val="clear" w:color="auto" w:fill="D2D2D2"/>
          </w:tcPr>
          <w:p>
            <w:pPr/>
          </w:p>
        </w:tc>
        <w:tc>
          <w:tcPr>
            <w:tcW w:w="938" w:type="dxa"/>
            <w:tcBorders>
              <w:top w:val="nil" w:sz="6" w:space="0" w:color="auto"/>
              <w:left w:val="single" w:sz="4" w:space="0" w:color="000000"/>
              <w:bottom w:val="single" w:sz="4" w:space="0" w:color="000000"/>
              <w:right w:val="single" w:sz="4" w:space="0" w:color="000000"/>
            </w:tcBorders>
            <w:shd w:val="clear" w:color="auto" w:fill="D2D2D2"/>
          </w:tcPr>
          <w:p>
            <w:pPr/>
          </w:p>
        </w:tc>
        <w:tc>
          <w:tcPr>
            <w:tcW w:w="277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397,368,696.36</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42.86%</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551,280,614.43</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6" w:right="0"/>
              <w:jc w:val="left"/>
              <w:rPr>
                <w:rFonts w:ascii="Times New Roman" w:hAnsi="Times New Roman" w:cs="Times New Roman" w:eastAsia="Times New Roman" w:hint="default"/>
                <w:sz w:val="18"/>
                <w:szCs w:val="18"/>
              </w:rPr>
            </w:pPr>
            <w:r>
              <w:rPr>
                <w:rFonts w:ascii="Times New Roman"/>
                <w:sz w:val="18"/>
              </w:rPr>
              <w:t>67.16%</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3" w:right="0"/>
              <w:jc w:val="left"/>
              <w:rPr>
                <w:rFonts w:ascii="Times New Roman" w:hAnsi="Times New Roman" w:cs="Times New Roman" w:eastAsia="Times New Roman" w:hint="default"/>
                <w:sz w:val="18"/>
                <w:szCs w:val="18"/>
              </w:rPr>
            </w:pPr>
            <w:r>
              <w:rPr>
                <w:rFonts w:ascii="Times New Roman"/>
                <w:sz w:val="18"/>
              </w:rPr>
              <w:t>-24.30%</w:t>
            </w:r>
          </w:p>
        </w:tc>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4" w:right="0"/>
              <w:jc w:val="left"/>
              <w:rPr>
                <w:rFonts w:ascii="宋体" w:hAnsi="宋体" w:cs="宋体" w:eastAsia="宋体" w:hint="default"/>
                <w:sz w:val="18"/>
                <w:szCs w:val="18"/>
              </w:rPr>
            </w:pPr>
            <w:r>
              <w:rPr>
                <w:rFonts w:ascii="宋体" w:hAnsi="宋体" w:cs="宋体" w:eastAsia="宋体" w:hint="default"/>
                <w:sz w:val="18"/>
                <w:szCs w:val="18"/>
              </w:rPr>
              <w:t>主要是由于报告期公司购买厦门科</w:t>
            </w:r>
          </w:p>
        </w:tc>
      </w:tr>
    </w:tbl>
    <w:p>
      <w:pPr>
        <w:spacing w:after="0" w:line="240" w:lineRule="auto"/>
        <w:jc w:val="left"/>
        <w:rPr>
          <w:rFonts w:ascii="宋体" w:hAnsi="宋体" w:cs="宋体" w:eastAsia="宋体" w:hint="default"/>
          <w:sz w:val="18"/>
          <w:szCs w:val="18"/>
        </w:rPr>
        <w:sectPr>
          <w:pgSz w:w="11910" w:h="16840"/>
          <w:pgMar w:header="877"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7"/>
        <w:gridCol w:w="1328"/>
        <w:gridCol w:w="900"/>
        <w:gridCol w:w="1195"/>
        <w:gridCol w:w="1064"/>
        <w:gridCol w:w="950"/>
        <w:gridCol w:w="2765"/>
      </w:tblGrid>
      <w:tr>
        <w:trPr>
          <w:trHeight w:val="36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技创新园研发中心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号楼所致</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134,878,529.97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85,637,767.36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10.43%</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4.12%</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84,447,102.44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9.11%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80,513,811.26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9.81%</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-0.70%</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6"/>
              <w:jc w:val="both"/>
              <w:rPr>
                <w:rFonts w:ascii="宋体" w:hAnsi="宋体" w:cs="宋体" w:eastAsia="宋体" w:hint="default"/>
                <w:sz w:val="18"/>
                <w:szCs w:val="18"/>
              </w:rPr>
            </w:pPr>
            <w:r>
              <w:rPr>
                <w:rFonts w:ascii="宋体" w:hAnsi="宋体" w:cs="宋体" w:eastAsia="宋体" w:hint="default"/>
                <w:sz w:val="18"/>
                <w:szCs w:val="18"/>
              </w:rPr>
              <w:t>主要是由于报告期公司投资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 元参股杭州攀克网络技术有限公司 所致</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89,368,012.06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44,579,561.84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5.43%</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主要是本年超级计算机中心竣工和 新购</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103-403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单元房产所致</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161,216,920.00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4,772,987.52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0.58%</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16.81%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9"/>
              <w:jc w:val="both"/>
              <w:rPr>
                <w:rFonts w:ascii="宋体" w:hAnsi="宋体" w:cs="宋体" w:eastAsia="宋体" w:hint="default"/>
                <w:sz w:val="18"/>
                <w:szCs w:val="18"/>
              </w:rPr>
            </w:pPr>
            <w:r>
              <w:rPr>
                <w:rFonts w:ascii="宋体" w:hAnsi="宋体" w:cs="宋体" w:eastAsia="宋体" w:hint="default"/>
                <w:sz w:val="18"/>
                <w:szCs w:val="18"/>
              </w:rPr>
              <w:t>主要是购建的厦门科技创新园研发 中心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号楼已交房正处于装修设计 阶段所致</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6,162,475.93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9,873,989.12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主要是去年预付厦门超级计算（云 计算）中心设备款本年结算所致</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2,125,427.78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6,665,465.63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0.81%</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9"/>
              <w:jc w:val="both"/>
              <w:rPr>
                <w:rFonts w:ascii="宋体" w:hAnsi="宋体" w:cs="宋体" w:eastAsia="宋体" w:hint="default"/>
                <w:sz w:val="18"/>
                <w:szCs w:val="18"/>
              </w:rPr>
            </w:pPr>
            <w:r>
              <w:rPr>
                <w:rFonts w:ascii="宋体" w:hAnsi="宋体" w:cs="宋体" w:eastAsia="宋体" w:hint="default"/>
                <w:sz w:val="18"/>
                <w:szCs w:val="18"/>
              </w:rPr>
              <w:t>主要是去年定期存款均为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 本年多为三个月定期存款导致计息 期较短</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15,665,712.63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787,252.38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主要由于本年度开发支出项目达到 可预定使用状态转为无形资产所致</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3,432,622.16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1,846,835.03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0.22%</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本年新增位于软件园二期观日路</w:t>
            </w:r>
          </w:p>
          <w:p>
            <w:pPr>
              <w:pStyle w:val="TableParagraph"/>
              <w:spacing w:line="300" w:lineRule="auto" w:before="76"/>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号</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单元的厦门超级计算机中 心装修费所致</w:t>
            </w:r>
          </w:p>
        </w:tc>
      </w:tr>
    </w:tbl>
    <w:p>
      <w:pPr>
        <w:spacing w:line="240" w:lineRule="auto" w:before="3"/>
        <w:rPr>
          <w:rFonts w:ascii="宋体" w:hAnsi="宋体" w:cs="宋体" w:eastAsia="宋体" w:hint="default"/>
          <w:sz w:val="19"/>
          <w:szCs w:val="19"/>
        </w:rPr>
      </w:pPr>
    </w:p>
    <w:p>
      <w:pPr>
        <w:pStyle w:val="Heading3"/>
        <w:spacing w:line="240" w:lineRule="auto" w:before="36"/>
        <w:ind w:left="152" w:right="0"/>
        <w:jc w:val="left"/>
        <w:rPr>
          <w:b w:val="0"/>
          <w:bCs w:val="0"/>
        </w:rPr>
      </w:pPr>
      <w:r>
        <w:rPr/>
        <w:t>（</w:t>
      </w:r>
      <w:r>
        <w:rPr>
          <w:rFonts w:ascii="Times New Roman" w:hAnsi="Times New Roman" w:cs="Times New Roman" w:eastAsia="Times New Roman" w:hint="default"/>
        </w:rPr>
        <w:t>2</w:t>
      </w:r>
      <w:r>
        <w:rPr/>
        <w:t>）负债项目重大变动情况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before="44"/>
        <w:ind w:left="0" w:right="2643" w:firstLine="0"/>
        <w:jc w:val="right"/>
        <w:rPr>
          <w:rFonts w:ascii="宋体" w:hAnsi="宋体" w:cs="宋体" w:eastAsia="宋体" w:hint="default"/>
          <w:sz w:val="18"/>
          <w:szCs w:val="18"/>
        </w:rPr>
      </w:pPr>
      <w:r>
        <w:rPr/>
        <w:pict>
          <v:shape style="position:absolute;margin-left:461.859985pt;margin-top:-10.20828pt;width:72pt;height:19.6pt;mso-position-horizontal-relative:page;mso-position-vertical-relative:paragraph;z-index:-80437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263.329987pt;margin-top:-.24828pt;width:68.55pt;height:19.7pt;mso-position-horizontal-relative:page;mso-position-vertical-relative:paragraph;z-index:-80435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6.400002pt;margin-top:-20.76828pt;width:479.3pt;height:127.7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80"/>
                    <w:gridCol w:w="1316"/>
                    <w:gridCol w:w="1558"/>
                    <w:gridCol w:w="259"/>
                    <w:gridCol w:w="1018"/>
                    <w:gridCol w:w="1558"/>
                    <w:gridCol w:w="1136"/>
                    <w:gridCol w:w="97"/>
                    <w:gridCol w:w="1249"/>
                  </w:tblGrid>
                  <w:tr>
                    <w:trPr>
                      <w:trHeight w:val="206" w:hRule="exact"/>
                    </w:trPr>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28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3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6"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380" w:type="dxa"/>
                        <w:vMerge w:val="restart"/>
                        <w:tcBorders>
                          <w:top w:val="nil" w:sz="6" w:space="0" w:color="auto"/>
                          <w:left w:val="single" w:sz="4" w:space="0" w:color="000000"/>
                          <w:right w:val="single" w:sz="4" w:space="0" w:color="000000"/>
                        </w:tcBorders>
                        <w:shd w:val="clear" w:color="auto" w:fill="D2D2D2"/>
                      </w:tcPr>
                      <w:p>
                        <w:pPr/>
                      </w:p>
                    </w:tc>
                    <w:tc>
                      <w:tcPr>
                        <w:tcW w:w="2873" w:type="dxa"/>
                        <w:gridSpan w:val="2"/>
                        <w:vMerge/>
                        <w:tcBorders>
                          <w:left w:val="single" w:sz="4" w:space="0" w:color="000000"/>
                          <w:bottom w:val="single" w:sz="4" w:space="0" w:color="000000"/>
                          <w:right w:val="single" w:sz="4" w:space="0" w:color="000000"/>
                        </w:tcBorders>
                        <w:shd w:val="clear" w:color="auto" w:fill="D2D2D2"/>
                      </w:tcPr>
                      <w:p>
                        <w:pPr/>
                      </w:p>
                    </w:tc>
                    <w:tc>
                      <w:tcPr>
                        <w:tcW w:w="2835" w:type="dxa"/>
                        <w:gridSpan w:val="3"/>
                        <w:vMerge/>
                        <w:tcBorders>
                          <w:left w:val="single" w:sz="4" w:space="0" w:color="000000"/>
                          <w:bottom w:val="single" w:sz="4" w:space="0" w:color="000000"/>
                          <w:right w:val="single" w:sz="4" w:space="0" w:color="000000"/>
                        </w:tcBorders>
                        <w:shd w:val="clear" w:color="auto" w:fill="D2D2D2"/>
                      </w:tcPr>
                      <w:p>
                        <w:pPr/>
                      </w:p>
                    </w:tc>
                    <w:tc>
                      <w:tcPr>
                        <w:tcW w:w="11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比重增减（</w:t>
                        </w:r>
                        <w:r>
                          <w:rPr>
                            <w:rFonts w:ascii="Times New Roman" w:hAnsi="Times New Roman" w:cs="Times New Roman" w:eastAsia="Times New Roman" w:hint="default"/>
                            <w:spacing w:val="-11"/>
                            <w:sz w:val="18"/>
                            <w:szCs w:val="18"/>
                          </w:rPr>
                          <w:t>%</w:t>
                        </w:r>
                      </w:p>
                    </w:tc>
                    <w:tc>
                      <w:tcPr>
                        <w:tcW w:w="97" w:type="dxa"/>
                        <w:vMerge w:val="restart"/>
                        <w:tcBorders>
                          <w:top w:val="nil" w:sz="6" w:space="0" w:color="auto"/>
                          <w:left w:val="single" w:sz="4" w:space="0" w:color="000000"/>
                          <w:right w:val="nil" w:sz="6" w:space="0" w:color="auto"/>
                        </w:tcBorders>
                        <w:shd w:val="clear" w:color="auto" w:fill="D2D2D2"/>
                      </w:tcPr>
                      <w:p>
                        <w:pPr/>
                      </w:p>
                    </w:tc>
                    <w:tc>
                      <w:tcPr>
                        <w:tcW w:w="1249"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49"/>
                          <w:ind w:left="3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09" w:hRule="exact"/>
                    </w:trPr>
                    <w:tc>
                      <w:tcPr>
                        <w:tcW w:w="1380" w:type="dxa"/>
                        <w:vMerge/>
                        <w:tcBorders>
                          <w:left w:val="single" w:sz="4" w:space="0" w:color="000000"/>
                          <w:right w:val="single" w:sz="4" w:space="0" w:color="000000"/>
                        </w:tcBorders>
                        <w:shd w:val="clear" w:color="auto" w:fill="D2D2D2"/>
                      </w:tcPr>
                      <w:p>
                        <w:pPr/>
                      </w:p>
                    </w:tc>
                    <w:tc>
                      <w:tcPr>
                        <w:tcW w:w="13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4"/>
                          <w:jc w:val="center"/>
                          <w:rPr>
                            <w:rFonts w:ascii="宋体" w:hAnsi="宋体" w:cs="宋体" w:eastAsia="宋体" w:hint="default"/>
                            <w:sz w:val="18"/>
                            <w:szCs w:val="18"/>
                          </w:rPr>
                        </w:pPr>
                        <w:r>
                          <w:rPr>
                            <w:rFonts w:ascii="宋体" w:hAnsi="宋体" w:cs="宋体" w:eastAsia="宋体" w:hint="default"/>
                            <w:sz w:val="18"/>
                            <w:szCs w:val="18"/>
                          </w:rPr>
                          <w:t>金额</w:t>
                        </w:r>
                      </w:p>
                    </w:tc>
                    <w:tc>
                      <w:tcPr>
                        <w:tcW w:w="15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占总资产比例（</w:t>
                        </w:r>
                        <w:r>
                          <w:rPr>
                            <w:rFonts w:ascii="Times New Roman" w:hAnsi="Times New Roman" w:cs="Times New Roman" w:eastAsia="Times New Roman" w:hint="default"/>
                            <w:sz w:val="18"/>
                            <w:szCs w:val="18"/>
                          </w:rPr>
                          <w:t>%</w:t>
                        </w:r>
                      </w:p>
                    </w:tc>
                    <w:tc>
                      <w:tcPr>
                        <w:tcW w:w="259" w:type="dxa"/>
                        <w:tcBorders>
                          <w:top w:val="single" w:sz="4" w:space="0" w:color="000000"/>
                          <w:left w:val="single" w:sz="4" w:space="0" w:color="000000"/>
                          <w:bottom w:val="nil" w:sz="6" w:space="0" w:color="auto"/>
                          <w:right w:val="nil" w:sz="6" w:space="0" w:color="auto"/>
                        </w:tcBorders>
                        <w:shd w:val="clear" w:color="auto" w:fill="D2D2D2"/>
                      </w:tcPr>
                      <w:p>
                        <w:pPr/>
                      </w:p>
                    </w:tc>
                    <w:tc>
                      <w:tcPr>
                        <w:tcW w:w="1018" w:type="dxa"/>
                        <w:tcBorders>
                          <w:top w:val="single" w:sz="4" w:space="0" w:color="000000"/>
                          <w:left w:val="nil" w:sz="6" w:space="0" w:color="auto"/>
                          <w:bottom w:val="nil" w:sz="6" w:space="0" w:color="auto"/>
                          <w:right w:val="single" w:sz="4" w:space="0" w:color="000000"/>
                        </w:tcBorders>
                        <w:shd w:val="clear" w:color="auto" w:fill="D2D2D2"/>
                      </w:tcPr>
                      <w:p>
                        <w:pPr/>
                      </w:p>
                    </w:tc>
                    <w:tc>
                      <w:tcPr>
                        <w:tcW w:w="15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占总资产比例（</w:t>
                        </w:r>
                        <w:r>
                          <w:rPr>
                            <w:rFonts w:ascii="Times New Roman" w:hAnsi="Times New Roman" w:cs="Times New Roman" w:eastAsia="Times New Roman" w:hint="default"/>
                            <w:sz w:val="18"/>
                            <w:szCs w:val="18"/>
                          </w:rPr>
                          <w:t>%</w:t>
                        </w:r>
                      </w:p>
                    </w:tc>
                    <w:tc>
                      <w:tcPr>
                        <w:tcW w:w="1136" w:type="dxa"/>
                        <w:vMerge/>
                        <w:tcBorders>
                          <w:left w:val="single" w:sz="4" w:space="0" w:color="000000"/>
                          <w:bottom w:val="nil" w:sz="6" w:space="0" w:color="auto"/>
                          <w:right w:val="single" w:sz="4" w:space="0" w:color="000000"/>
                        </w:tcBorders>
                        <w:shd w:val="clear" w:color="auto" w:fill="D2D2D2"/>
                      </w:tcPr>
                      <w:p>
                        <w:pPr/>
                      </w:p>
                    </w:tc>
                    <w:tc>
                      <w:tcPr>
                        <w:tcW w:w="97" w:type="dxa"/>
                        <w:vMerge/>
                        <w:tcBorders>
                          <w:left w:val="single" w:sz="4" w:space="0" w:color="000000"/>
                          <w:bottom w:val="nil" w:sz="6" w:space="0" w:color="auto"/>
                          <w:right w:val="nil" w:sz="6" w:space="0" w:color="auto"/>
                        </w:tcBorders>
                        <w:shd w:val="clear" w:color="auto" w:fill="D2D2D2"/>
                      </w:tcPr>
                      <w:p>
                        <w:pPr/>
                      </w:p>
                    </w:tc>
                    <w:tc>
                      <w:tcPr>
                        <w:tcW w:w="1249" w:type="dxa"/>
                        <w:vMerge/>
                        <w:tcBorders>
                          <w:left w:val="nil" w:sz="6" w:space="0" w:color="auto"/>
                          <w:bottom w:val="nil" w:sz="6" w:space="0" w:color="auto"/>
                          <w:right w:val="single" w:sz="4" w:space="0" w:color="000000"/>
                        </w:tcBorders>
                        <w:shd w:val="clear" w:color="auto" w:fill="D2D2D2"/>
                      </w:tcPr>
                      <w:p>
                        <w:pPr/>
                      </w:p>
                    </w:tc>
                  </w:tr>
                  <w:tr>
                    <w:trPr>
                      <w:trHeight w:val="92" w:hRule="exact"/>
                    </w:trPr>
                    <w:tc>
                      <w:tcPr>
                        <w:tcW w:w="1380"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c>
                      <w:tcPr>
                        <w:tcW w:w="1558" w:type="dxa"/>
                        <w:vMerge/>
                        <w:tcBorders>
                          <w:left w:val="single" w:sz="4" w:space="0" w:color="000000"/>
                          <w:right w:val="single" w:sz="4" w:space="0" w:color="000000"/>
                        </w:tcBorders>
                        <w:shd w:val="clear" w:color="auto" w:fill="D2D2D2"/>
                      </w:tcPr>
                      <w:p>
                        <w:pPr/>
                      </w:p>
                    </w:tc>
                    <w:tc>
                      <w:tcPr>
                        <w:tcW w:w="259" w:type="dxa"/>
                        <w:vMerge w:val="restart"/>
                        <w:tcBorders>
                          <w:top w:val="nil" w:sz="6" w:space="0" w:color="auto"/>
                          <w:left w:val="single" w:sz="4" w:space="0" w:color="000000"/>
                          <w:right w:val="nil" w:sz="6" w:space="0" w:color="auto"/>
                        </w:tcBorders>
                        <w:shd w:val="clear" w:color="auto" w:fill="D2D2D2"/>
                      </w:tcPr>
                      <w:p>
                        <w:pPr/>
                      </w:p>
                    </w:tc>
                    <w:tc>
                      <w:tcPr>
                        <w:tcW w:w="1018" w:type="dxa"/>
                        <w:vMerge w:val="restart"/>
                        <w:tcBorders>
                          <w:top w:val="nil" w:sz="6" w:space="0" w:color="auto"/>
                          <w:left w:val="nil" w:sz="6" w:space="0" w:color="auto"/>
                          <w:right w:val="single" w:sz="4" w:space="0" w:color="000000"/>
                        </w:tcBorders>
                        <w:shd w:val="clear" w:color="auto" w:fill="D2D2D2"/>
                      </w:tcPr>
                      <w:p>
                        <w:pPr>
                          <w:pStyle w:val="TableParagraph"/>
                          <w:spacing w:line="185" w:lineRule="exact"/>
                          <w:ind w:left="19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558" w:type="dxa"/>
                        <w:vMerge/>
                        <w:tcBorders>
                          <w:left w:val="single" w:sz="4" w:space="0" w:color="000000"/>
                          <w:right w:val="single" w:sz="4" w:space="0" w:color="000000"/>
                        </w:tcBorders>
                        <w:shd w:val="clear" w:color="auto" w:fill="D2D2D2"/>
                      </w:tcPr>
                      <w:p>
                        <w:pPr/>
                      </w:p>
                    </w:tc>
                    <w:tc>
                      <w:tcPr>
                        <w:tcW w:w="1136" w:type="dxa"/>
                        <w:tcBorders>
                          <w:top w:val="nil" w:sz="6" w:space="0" w:color="auto"/>
                          <w:left w:val="single" w:sz="4" w:space="0" w:color="000000"/>
                          <w:bottom w:val="nil" w:sz="6" w:space="0" w:color="auto"/>
                          <w:right w:val="single" w:sz="4" w:space="0" w:color="000000"/>
                        </w:tcBorders>
                        <w:shd w:val="clear" w:color="auto" w:fill="D2D2D2"/>
                      </w:tcPr>
                      <w:p>
                        <w:pPr/>
                      </w:p>
                    </w:tc>
                    <w:tc>
                      <w:tcPr>
                        <w:tcW w:w="97" w:type="dxa"/>
                        <w:tcBorders>
                          <w:top w:val="nil" w:sz="6" w:space="0" w:color="auto"/>
                          <w:left w:val="single" w:sz="4" w:space="0" w:color="000000"/>
                          <w:bottom w:val="nil" w:sz="6" w:space="0" w:color="auto"/>
                          <w:right w:val="nil" w:sz="6" w:space="0" w:color="auto"/>
                        </w:tcBorders>
                        <w:shd w:val="clear" w:color="auto" w:fill="D2D2D2"/>
                      </w:tcPr>
                      <w:p>
                        <w:pPr/>
                      </w:p>
                    </w:tc>
                    <w:tc>
                      <w:tcPr>
                        <w:tcW w:w="1249" w:type="dxa"/>
                        <w:tcBorders>
                          <w:top w:val="nil" w:sz="6" w:space="0" w:color="auto"/>
                          <w:left w:val="nil" w:sz="6" w:space="0" w:color="auto"/>
                          <w:bottom w:val="nil" w:sz="6" w:space="0" w:color="auto"/>
                          <w:right w:val="single" w:sz="4" w:space="0" w:color="000000"/>
                        </w:tcBorders>
                        <w:shd w:val="clear" w:color="auto" w:fill="D2D2D2"/>
                      </w:tcPr>
                      <w:p>
                        <w:pPr/>
                      </w:p>
                    </w:tc>
                  </w:tr>
                  <w:tr>
                    <w:trPr>
                      <w:trHeight w:val="206" w:hRule="exact"/>
                    </w:trPr>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c>
                      <w:tcPr>
                        <w:tcW w:w="1558" w:type="dxa"/>
                        <w:vMerge/>
                        <w:tcBorders>
                          <w:left w:val="single" w:sz="4" w:space="0" w:color="000000"/>
                          <w:bottom w:val="single" w:sz="4" w:space="0" w:color="000000"/>
                          <w:right w:val="single" w:sz="4" w:space="0" w:color="000000"/>
                        </w:tcBorders>
                        <w:shd w:val="clear" w:color="auto" w:fill="D2D2D2"/>
                      </w:tcPr>
                      <w:p>
                        <w:pPr/>
                      </w:p>
                    </w:tc>
                    <w:tc>
                      <w:tcPr>
                        <w:tcW w:w="259" w:type="dxa"/>
                        <w:vMerge/>
                        <w:tcBorders>
                          <w:left w:val="single" w:sz="4" w:space="0" w:color="000000"/>
                          <w:bottom w:val="single" w:sz="4" w:space="0" w:color="000000"/>
                          <w:right w:val="nil" w:sz="6" w:space="0" w:color="auto"/>
                        </w:tcBorders>
                        <w:shd w:val="clear" w:color="auto" w:fill="D2D2D2"/>
                      </w:tcPr>
                      <w:p>
                        <w:pPr/>
                      </w:p>
                    </w:tc>
                    <w:tc>
                      <w:tcPr>
                        <w:tcW w:w="1018" w:type="dxa"/>
                        <w:vMerge/>
                        <w:tcBorders>
                          <w:left w:val="nil" w:sz="6" w:space="0" w:color="auto"/>
                          <w:bottom w:val="single" w:sz="4" w:space="0" w:color="000000"/>
                          <w:right w:val="single" w:sz="4" w:space="0" w:color="000000"/>
                        </w:tcBorders>
                        <w:shd w:val="clear" w:color="auto" w:fill="D2D2D2"/>
                      </w:tcPr>
                      <w:p>
                        <w:pPr/>
                      </w:p>
                    </w:tc>
                    <w:tc>
                      <w:tcPr>
                        <w:tcW w:w="1558" w:type="dxa"/>
                        <w:vMerge/>
                        <w:tcBorders>
                          <w:left w:val="single" w:sz="4" w:space="0" w:color="000000"/>
                          <w:bottom w:val="single" w:sz="4" w:space="0" w:color="000000"/>
                          <w:right w:val="single" w:sz="4" w:space="0" w:color="000000"/>
                        </w:tcBorders>
                        <w:shd w:val="clear" w:color="auto" w:fill="D2D2D2"/>
                      </w:tcPr>
                      <w:p>
                        <w:pPr/>
                      </w:p>
                    </w:tc>
                    <w:tc>
                      <w:tcPr>
                        <w:tcW w:w="11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6"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13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38,481,758.35</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4.15%</w:t>
                        </w:r>
                      </w:p>
                    </w:tc>
                    <w:tc>
                      <w:tcPr>
                        <w:tcW w:w="12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32,024,625.08</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3.90%</w:t>
                        </w:r>
                      </w:p>
                    </w:tc>
                    <w:tc>
                      <w:tcPr>
                        <w:tcW w:w="11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29" w:right="0"/>
                          <w:jc w:val="left"/>
                          <w:rPr>
                            <w:rFonts w:ascii="Times New Roman" w:hAnsi="Times New Roman" w:cs="Times New Roman" w:eastAsia="Times New Roman" w:hint="default"/>
                            <w:sz w:val="18"/>
                            <w:szCs w:val="18"/>
                          </w:rPr>
                        </w:pPr>
                        <w:r>
                          <w:rPr>
                            <w:rFonts w:ascii="Times New Roman"/>
                            <w:sz w:val="18"/>
                          </w:rPr>
                          <w:t>0.25%</w:t>
                        </w:r>
                      </w:p>
                    </w:tc>
                    <w:tc>
                      <w:tcPr>
                        <w:tcW w:w="13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8" w:hRule="exact"/>
                    </w:trPr>
                    <w:tc>
                      <w:tcPr>
                        <w:tcW w:w="1380"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3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5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540" w:right="0"/>
                          <w:jc w:val="left"/>
                          <w:rPr>
                            <w:rFonts w:ascii="Times New Roman" w:hAnsi="Times New Roman" w:cs="Times New Roman" w:eastAsia="Times New Roman" w:hint="default"/>
                            <w:sz w:val="18"/>
                            <w:szCs w:val="18"/>
                          </w:rPr>
                        </w:pPr>
                        <w:r>
                          <w:rPr>
                            <w:rFonts w:ascii="Times New Roman"/>
                            <w:sz w:val="18"/>
                          </w:rPr>
                          <w:t>0.022%</w:t>
                        </w:r>
                      </w:p>
                    </w:tc>
                    <w:tc>
                      <w:tcPr>
                        <w:tcW w:w="1346" w:type="dxa"/>
                        <w:gridSpan w:val="2"/>
                        <w:vMerge w:val="restart"/>
                        <w:tcBorders>
                          <w:top w:val="single" w:sz="4" w:space="0" w:color="000000"/>
                          <w:left w:val="single" w:sz="4" w:space="0" w:color="000000"/>
                          <w:right w:val="single" w:sz="4" w:space="0" w:color="000000"/>
                        </w:tcBorders>
                      </w:tcPr>
                      <w:p>
                        <w:pPr>
                          <w:pStyle w:val="TableParagraph"/>
                          <w:spacing w:line="319" w:lineRule="auto" w:before="44"/>
                          <w:ind w:left="38" w:right="36"/>
                          <w:jc w:val="both"/>
                          <w:rPr>
                            <w:rFonts w:ascii="宋体" w:hAnsi="宋体" w:cs="宋体" w:eastAsia="宋体" w:hint="default"/>
                            <w:sz w:val="18"/>
                            <w:szCs w:val="18"/>
                          </w:rPr>
                        </w:pPr>
                        <w:r>
                          <w:rPr>
                            <w:rFonts w:ascii="宋体" w:hAnsi="宋体" w:cs="宋体" w:eastAsia="宋体" w:hint="default"/>
                            <w:sz w:val="18"/>
                            <w:szCs w:val="18"/>
                          </w:rPr>
                          <w:t>由于本年新增厦 门经发局及厦门 财政局专项补助 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万元所致</w:t>
                        </w:r>
                      </w:p>
                    </w:tc>
                  </w:tr>
                  <w:tr>
                    <w:trPr>
                      <w:trHeight w:val="394" w:hRule="exact"/>
                    </w:trPr>
                    <w:tc>
                      <w:tcPr>
                        <w:tcW w:w="1380" w:type="dxa"/>
                        <w:vMerge/>
                        <w:tcBorders>
                          <w:left w:val="single" w:sz="4" w:space="0" w:color="000000"/>
                          <w:right w:val="single" w:sz="9" w:space="0" w:color="D2D2D2"/>
                        </w:tcBorders>
                      </w:tcPr>
                      <w:p>
                        <w:pPr/>
                      </w:p>
                    </w:tc>
                    <w:tc>
                      <w:tcPr>
                        <w:tcW w:w="13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550,000.00</w:t>
                        </w:r>
                      </w:p>
                    </w:tc>
                    <w:tc>
                      <w:tcPr>
                        <w:tcW w:w="15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0.059%</w:t>
                        </w:r>
                      </w:p>
                    </w:tc>
                    <w:tc>
                      <w:tcPr>
                        <w:tcW w:w="1277"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300,000.00</w:t>
                        </w:r>
                      </w:p>
                    </w:tc>
                    <w:tc>
                      <w:tcPr>
                        <w:tcW w:w="15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0.037%</w:t>
                        </w:r>
                      </w:p>
                    </w:tc>
                    <w:tc>
                      <w:tcPr>
                        <w:tcW w:w="1136" w:type="dxa"/>
                        <w:vMerge/>
                        <w:tcBorders>
                          <w:left w:val="single" w:sz="10" w:space="0" w:color="D2D2D2"/>
                          <w:right w:val="single" w:sz="4" w:space="0" w:color="000000"/>
                        </w:tcBorders>
                      </w:tcPr>
                      <w:p>
                        <w:pPr/>
                      </w:p>
                    </w:tc>
                    <w:tc>
                      <w:tcPr>
                        <w:tcW w:w="1346" w:type="dxa"/>
                        <w:gridSpan w:val="2"/>
                        <w:vMerge/>
                        <w:tcBorders>
                          <w:left w:val="single" w:sz="4" w:space="0" w:color="000000"/>
                          <w:right w:val="single" w:sz="4" w:space="0" w:color="000000"/>
                        </w:tcBorders>
                      </w:tcPr>
                      <w:p>
                        <w:pPr/>
                      </w:p>
                    </w:tc>
                  </w:tr>
                  <w:tr>
                    <w:trPr>
                      <w:trHeight w:val="473" w:hRule="exact"/>
                    </w:trPr>
                    <w:tc>
                      <w:tcPr>
                        <w:tcW w:w="1380" w:type="dxa"/>
                        <w:vMerge/>
                        <w:tcBorders>
                          <w:left w:val="single" w:sz="4" w:space="0" w:color="000000"/>
                          <w:bottom w:val="single" w:sz="4" w:space="0" w:color="000000"/>
                          <w:right w:val="single" w:sz="9" w:space="0" w:color="D2D2D2"/>
                        </w:tcBorders>
                      </w:tcPr>
                      <w:p>
                        <w:pPr/>
                      </w:p>
                    </w:tc>
                    <w:tc>
                      <w:tcPr>
                        <w:tcW w:w="13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5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6" w:type="dxa"/>
                        <w:vMerge/>
                        <w:tcBorders>
                          <w:left w:val="single" w:sz="10" w:space="0" w:color="D2D2D2"/>
                          <w:bottom w:val="single" w:sz="4" w:space="0" w:color="000000"/>
                          <w:right w:val="single" w:sz="4" w:space="0" w:color="000000"/>
                        </w:tcBorders>
                      </w:tcPr>
                      <w:p>
                        <w:pPr/>
                      </w:p>
                    </w:tc>
                    <w:tc>
                      <w:tcPr>
                        <w:tcW w:w="1346" w:type="dxa"/>
                        <w:gridSpan w:val="2"/>
                        <w:vMerge/>
                        <w:tcBorders>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Heading3"/>
        <w:spacing w:line="240" w:lineRule="auto" w:before="36"/>
        <w:ind w:left="152" w:right="0"/>
        <w:jc w:val="left"/>
        <w:rPr>
          <w:b w:val="0"/>
          <w:bCs w:val="0"/>
        </w:rPr>
      </w:pPr>
      <w:r>
        <w:rPr/>
        <w:t>（</w:t>
      </w:r>
      <w:r>
        <w:rPr>
          <w:rFonts w:ascii="Times New Roman" w:hAnsi="Times New Roman" w:cs="Times New Roman" w:eastAsia="Times New Roman" w:hint="default"/>
        </w:rPr>
        <w:t>3</w:t>
      </w:r>
      <w:r>
        <w:rPr/>
        <w:t>）以公允价值计量的资产和负债</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5814" w:firstLine="0"/>
        <w:jc w:val="left"/>
        <w:rPr>
          <w:rFonts w:ascii="宋体" w:hAnsi="宋体" w:cs="宋体" w:eastAsia="宋体" w:hint="default"/>
          <w:sz w:val="18"/>
          <w:szCs w:val="18"/>
        </w:rPr>
      </w:pPr>
      <w:r>
        <w:rPr>
          <w:rFonts w:ascii="宋体" w:hAnsi="宋体" w:cs="宋体" w:eastAsia="宋体" w:hint="default"/>
          <w:sz w:val="18"/>
          <w:szCs w:val="18"/>
        </w:rPr>
        <w:t>无。 报告期内公司主要资产计量属性是否发生重大变化</w:t>
      </w:r>
    </w:p>
    <w:p>
      <w:pPr>
        <w:spacing w:before="2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77" w:footer="1227" w:top="1100" w:bottom="1420" w:left="980" w:right="980"/>
        </w:sectPr>
      </w:pPr>
    </w:p>
    <w:p>
      <w:pPr>
        <w:spacing w:line="240" w:lineRule="auto" w:before="11"/>
        <w:rPr>
          <w:rFonts w:ascii="宋体" w:hAnsi="宋体" w:cs="宋体" w:eastAsia="宋体" w:hint="default"/>
          <w:sz w:val="20"/>
          <w:szCs w:val="20"/>
        </w:rPr>
      </w:pPr>
    </w:p>
    <w:p>
      <w:pPr>
        <w:pStyle w:val="Heading3"/>
        <w:spacing w:line="240" w:lineRule="auto" w:before="36"/>
        <w:ind w:left="152" w:right="99"/>
        <w:jc w:val="left"/>
        <w:rPr>
          <w:b w:val="0"/>
          <w:bCs w:val="0"/>
        </w:rPr>
      </w:pPr>
      <w:r>
        <w:rPr>
          <w:rFonts w:ascii="Times New Roman" w:hAnsi="Times New Roman" w:cs="Times New Roman" w:eastAsia="Times New Roman" w:hint="default"/>
        </w:rPr>
        <w:t>4</w:t>
      </w:r>
      <w:r>
        <w:rPr/>
        <w:t>、公司竞争能力重大变化分析</w:t>
      </w:r>
      <w:r>
        <w:rPr>
          <w:b w:val="0"/>
          <w:bCs w:val="0"/>
        </w:rPr>
      </w:r>
    </w:p>
    <w:p>
      <w:pPr>
        <w:spacing w:line="240" w:lineRule="auto" w:before="8"/>
        <w:rPr>
          <w:rFonts w:ascii="宋体" w:hAnsi="宋体" w:cs="宋体" w:eastAsia="宋体" w:hint="default"/>
          <w:b/>
          <w:bCs/>
          <w:sz w:val="30"/>
          <w:szCs w:val="30"/>
        </w:rPr>
      </w:pPr>
    </w:p>
    <w:p>
      <w:pPr>
        <w:pStyle w:val="BodyText"/>
        <w:spacing w:line="386" w:lineRule="auto"/>
        <w:ind w:left="573" w:right="99"/>
        <w:jc w:val="left"/>
      </w:pPr>
      <w:r>
        <w:rPr>
          <w:rFonts w:ascii="Times New Roman" w:hAnsi="Times New Roman" w:cs="Times New Roman" w:eastAsia="Times New Roman" w:hint="default"/>
        </w:rPr>
        <w:t>1</w:t>
      </w:r>
      <w:r>
        <w:rPr/>
        <w:t>、核心技术研发取得较大进展</w:t>
      </w:r>
      <w:r>
        <w:rPr>
          <w:w w:val="100"/>
        </w:rPr>
        <w:t> </w:t>
      </w:r>
      <w:r>
        <w:rPr>
          <w:spacing w:val="-2"/>
        </w:rPr>
        <w:t>报告期内，公司软硬件产品和技术研发取得较大进展，完成了多项关键技术的研发，并推出了取证车</w:t>
      </w:r>
    </w:p>
    <w:p>
      <w:pPr>
        <w:pStyle w:val="BodyText"/>
        <w:spacing w:line="393" w:lineRule="auto" w:before="65"/>
        <w:ind w:left="152" w:right="99"/>
        <w:jc w:val="left"/>
      </w:pPr>
      <w:r>
        <w:rPr>
          <w:spacing w:val="-2"/>
        </w:rPr>
        <w:t>载设备、公证云、无人机等多个在国内外相关领域具有重要创新意义的项目；报告期内，公司共提交专利</w:t>
      </w:r>
      <w:r>
        <w:rPr>
          <w:spacing w:val="-43"/>
        </w:rPr>
        <w:t> </w:t>
      </w:r>
      <w:r>
        <w:rPr>
          <w:spacing w:val="-43"/>
        </w:rPr>
      </w:r>
      <w:r>
        <w:rPr/>
        <w:t>申请</w:t>
      </w:r>
      <w:r>
        <w:rPr>
          <w:rFonts w:ascii="Times New Roman" w:hAnsi="Times New Roman" w:cs="Times New Roman" w:eastAsia="Times New Roman" w:hint="default"/>
        </w:rPr>
        <w:t>54</w:t>
      </w:r>
      <w:r>
        <w:rPr/>
        <w:t>项，其中发明专利</w:t>
      </w:r>
      <w:r>
        <w:rPr>
          <w:rFonts w:ascii="Times New Roman" w:hAnsi="Times New Roman" w:cs="Times New Roman" w:eastAsia="Times New Roman" w:hint="default"/>
        </w:rPr>
        <w:t>32</w:t>
      </w:r>
      <w:r>
        <w:rPr/>
        <w:t>项，实用新型专利</w:t>
      </w:r>
      <w:r>
        <w:rPr>
          <w:rFonts w:ascii="Times New Roman" w:hAnsi="Times New Roman" w:cs="Times New Roman" w:eastAsia="Times New Roman" w:hint="default"/>
        </w:rPr>
        <w:t>14</w:t>
      </w:r>
      <w:r>
        <w:rPr/>
        <w:t>项，外观设计专利</w:t>
      </w:r>
      <w:r>
        <w:rPr>
          <w:rFonts w:ascii="Times New Roman" w:hAnsi="Times New Roman" w:cs="Times New Roman" w:eastAsia="Times New Roman" w:hint="default"/>
        </w:rPr>
        <w:t>8</w:t>
      </w:r>
      <w:r>
        <w:rPr/>
        <w:t>项；截至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日，公司共取</w:t>
      </w:r>
      <w:r>
        <w:rPr>
          <w:w w:val="100"/>
        </w:rPr>
        <w:t> </w:t>
      </w:r>
      <w:r>
        <w:rPr>
          <w:spacing w:val="-2"/>
        </w:rPr>
        <w:t>得授权专利</w:t>
      </w:r>
      <w:r>
        <w:rPr>
          <w:rFonts w:ascii="Times New Roman" w:hAnsi="Times New Roman" w:cs="Times New Roman" w:eastAsia="Times New Roman" w:hint="default"/>
          <w:spacing w:val="-2"/>
        </w:rPr>
        <w:t>31</w:t>
      </w:r>
      <w:r>
        <w:rPr>
          <w:spacing w:val="-2"/>
        </w:rPr>
        <w:t>项，共取得软件著作权</w:t>
      </w:r>
      <w:r>
        <w:rPr>
          <w:rFonts w:ascii="Times New Roman" w:hAnsi="Times New Roman" w:cs="Times New Roman" w:eastAsia="Times New Roman" w:hint="default"/>
          <w:spacing w:val="-2"/>
        </w:rPr>
        <w:t>81</w:t>
      </w:r>
      <w:r>
        <w:rPr>
          <w:spacing w:val="-2"/>
        </w:rPr>
        <w:t>项，共取得注册商标</w:t>
      </w:r>
      <w:r>
        <w:rPr>
          <w:rFonts w:ascii="Times New Roman" w:hAnsi="Times New Roman" w:cs="Times New Roman" w:eastAsia="Times New Roman" w:hint="default"/>
          <w:spacing w:val="-2"/>
        </w:rPr>
        <w:t>23</w:t>
      </w:r>
      <w:r>
        <w:rPr>
          <w:spacing w:val="-2"/>
        </w:rPr>
        <w:t>项，上述无形资产的取得，对提升公司的核</w:t>
      </w:r>
      <w:r>
        <w:rPr>
          <w:spacing w:val="-44"/>
        </w:rPr>
        <w:t> </w:t>
      </w:r>
      <w:r>
        <w:rPr>
          <w:spacing w:val="-44"/>
        </w:rPr>
      </w:r>
      <w:r>
        <w:rPr/>
        <w:t>心竞争力具有重要意义。</w:t>
      </w:r>
    </w:p>
    <w:p>
      <w:pPr>
        <w:pStyle w:val="BodyText"/>
        <w:spacing w:line="386" w:lineRule="auto" w:before="58"/>
        <w:ind w:left="573" w:right="99"/>
        <w:jc w:val="left"/>
      </w:pPr>
      <w:r>
        <w:rPr>
          <w:rFonts w:ascii="Times New Roman" w:hAnsi="Times New Roman" w:cs="Times New Roman" w:eastAsia="Times New Roman" w:hint="default"/>
        </w:rPr>
        <w:t>2</w:t>
      </w:r>
      <w:r>
        <w:rPr/>
        <w:t>、超级计算（云计算）资源的建设与使用，形成强大的资源优势</w:t>
      </w:r>
      <w:r>
        <w:rPr>
          <w:w w:val="100"/>
        </w:rPr>
        <w:t> </w:t>
      </w:r>
      <w:r>
        <w:rPr>
          <w:spacing w:val="-2"/>
        </w:rPr>
        <w:t>报告期内，公司建设的超级计算中心（云计算中心）及北方数据中心陆续投入使用，每秒</w:t>
      </w:r>
      <w:r>
        <w:rPr>
          <w:rFonts w:ascii="Times New Roman" w:hAnsi="Times New Roman" w:cs="Times New Roman" w:eastAsia="Times New Roman" w:hint="default"/>
          <w:spacing w:val="-2"/>
        </w:rPr>
        <w:t>200</w:t>
      </w:r>
      <w:r>
        <w:rPr>
          <w:spacing w:val="-2"/>
        </w:rPr>
        <w:t>万亿次</w:t>
      </w:r>
    </w:p>
    <w:p>
      <w:pPr>
        <w:pStyle w:val="BodyText"/>
        <w:spacing w:line="400" w:lineRule="auto" w:before="35"/>
        <w:ind w:left="152" w:right="206"/>
        <w:jc w:val="both"/>
      </w:pPr>
      <w:r>
        <w:rPr>
          <w:spacing w:val="-3"/>
        </w:rPr>
        <w:t>的计算峰值，为“美亚云战略”的实施提供了“核反应堆”的强大资源保障，公司全面发挥“软件</w:t>
      </w:r>
      <w:r>
        <w:rPr>
          <w:rFonts w:ascii="Times New Roman" w:hAnsi="Times New Roman" w:cs="Times New Roman" w:eastAsia="Times New Roman" w:hint="default"/>
          <w:spacing w:val="-3"/>
        </w:rPr>
        <w:t>+</w:t>
      </w:r>
      <w:r>
        <w:rPr>
          <w:spacing w:val="-3"/>
        </w:rPr>
        <w:t>硬件</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0"/>
        </w:rPr>
        <w:t> </w:t>
      </w:r>
      <w:r>
        <w:rPr>
          <w:spacing w:val="-2"/>
        </w:rPr>
        <w:t>服务资源”的优势，发展“取证云”、“搜索云”、“公证云”这几大新服务平台，提高对民用及服务市</w:t>
      </w:r>
      <w:r>
        <w:rPr>
          <w:spacing w:val="-44"/>
        </w:rPr>
        <w:t> </w:t>
      </w:r>
      <w:r>
        <w:rPr>
          <w:spacing w:val="-44"/>
        </w:rPr>
      </w:r>
      <w:r>
        <w:rPr>
          <w:spacing w:val="-2"/>
        </w:rPr>
        <w:t>场的拓展力度，同时也充分利用这几大服务平台的资源，进一步巩固在信息安全领域及取证行业的龙头地</w:t>
      </w:r>
      <w:r>
        <w:rPr>
          <w:spacing w:val="-42"/>
        </w:rPr>
        <w:t> </w:t>
      </w:r>
      <w:r>
        <w:rPr>
          <w:spacing w:val="-42"/>
        </w:rPr>
      </w:r>
      <w:r>
        <w:rPr/>
        <w:t>位。</w:t>
      </w:r>
    </w:p>
    <w:p>
      <w:pPr>
        <w:pStyle w:val="BodyText"/>
        <w:spacing w:line="386" w:lineRule="auto" w:before="52"/>
        <w:ind w:left="573" w:right="99"/>
        <w:jc w:val="left"/>
      </w:pPr>
      <w:r>
        <w:rPr>
          <w:rFonts w:ascii="Times New Roman" w:hAnsi="Times New Roman" w:cs="Times New Roman" w:eastAsia="Times New Roman" w:hint="default"/>
        </w:rPr>
        <w:t>3</w:t>
      </w:r>
      <w:r>
        <w:rPr/>
        <w:t>、取得计算机信息系统集成企业贰级资质</w:t>
      </w:r>
      <w:r>
        <w:rPr>
          <w:w w:val="100"/>
        </w:rPr>
        <w:t> </w:t>
      </w:r>
      <w:r>
        <w:rPr>
          <w:spacing w:val="-5"/>
        </w:rPr>
        <w:t>报告期内，公司取得由国家工业和信息化部核定的计算机信息系统集成企业贰级资质，该资质的取得，</w:t>
      </w:r>
    </w:p>
    <w:p>
      <w:pPr>
        <w:pStyle w:val="BodyText"/>
        <w:spacing w:line="408" w:lineRule="auto" w:before="65"/>
        <w:ind w:left="152" w:right="99"/>
        <w:jc w:val="left"/>
      </w:pPr>
      <w:r>
        <w:rPr>
          <w:spacing w:val="-9"/>
        </w:rPr>
        <w:t>标志着公司的计算机信息系统建设能力再上新台阶，证明公司已具备独立承担省（部）级、行业级、地（市）</w:t>
      </w:r>
      <w:r>
        <w:rPr>
          <w:spacing w:val="-20"/>
        </w:rPr>
        <w:t> </w:t>
      </w:r>
      <w:r>
        <w:rPr>
          <w:spacing w:val="-20"/>
        </w:rPr>
      </w:r>
      <w:r>
        <w:rPr>
          <w:spacing w:val="-2"/>
        </w:rPr>
        <w:t>级（及其以下）、大、中、小型企业级或合作承担国家级的计算机信息系统建设能力，有利于促进公司系</w:t>
      </w:r>
      <w:r>
        <w:rPr>
          <w:spacing w:val="-45"/>
        </w:rPr>
        <w:t> </w:t>
      </w:r>
      <w:r>
        <w:rPr>
          <w:spacing w:val="-45"/>
        </w:rPr>
      </w:r>
      <w:r>
        <w:rPr/>
        <w:t>统集成和技术服务业务的发展，增强公司的综合竞争力。</w:t>
      </w:r>
    </w:p>
    <w:p>
      <w:pPr>
        <w:spacing w:line="240" w:lineRule="auto" w:before="8"/>
        <w:rPr>
          <w:rFonts w:ascii="宋体" w:hAnsi="宋体" w:cs="宋体" w:eastAsia="宋体" w:hint="default"/>
          <w:sz w:val="20"/>
          <w:szCs w:val="20"/>
        </w:rPr>
      </w:pPr>
    </w:p>
    <w:p>
      <w:pPr>
        <w:pStyle w:val="Heading3"/>
        <w:spacing w:line="240" w:lineRule="auto"/>
        <w:ind w:left="152" w:right="99"/>
        <w:jc w:val="left"/>
        <w:rPr>
          <w:b w:val="0"/>
          <w:bCs w:val="0"/>
        </w:rPr>
      </w:pPr>
      <w:r>
        <w:rPr>
          <w:rFonts w:ascii="Times New Roman" w:hAnsi="Times New Roman" w:cs="Times New Roman" w:eastAsia="Times New Roman" w:hint="default"/>
        </w:rPr>
        <w:t>5</w:t>
      </w:r>
      <w:r>
        <w:rPr/>
        <w:t>、投资状况分析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2" w:right="99"/>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6"/>
          <w:szCs w:val="26"/>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077"/>
        <w:gridCol w:w="5481"/>
      </w:tblGrid>
      <w:tr>
        <w:trPr>
          <w:trHeight w:val="403"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50,140.60</w:t>
            </w:r>
          </w:p>
        </w:tc>
      </w:tr>
      <w:tr>
        <w:trPr>
          <w:trHeight w:val="401"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19,999.54</w:t>
            </w:r>
          </w:p>
        </w:tc>
      </w:tr>
      <w:tr>
        <w:trPr>
          <w:trHeight w:val="403"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30,249.97</w:t>
            </w:r>
          </w:p>
        </w:tc>
      </w:tr>
      <w:tr>
        <w:trPr>
          <w:trHeight w:val="401"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398"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62"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日，公司募集资金累计投入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30,249.97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万元，尚未使用的金额为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19,890.63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万元，尚未使用的募集资</w:t>
            </w:r>
          </w:p>
        </w:tc>
      </w:tr>
    </w:tbl>
    <w:p>
      <w:pPr>
        <w:spacing w:after="0" w:line="240" w:lineRule="auto"/>
        <w:jc w:val="left"/>
        <w:rPr>
          <w:rFonts w:ascii="宋体" w:hAnsi="宋体" w:cs="宋体" w:eastAsia="宋体" w:hint="default"/>
          <w:sz w:val="18"/>
          <w:szCs w:val="18"/>
        </w:rPr>
        <w:sectPr>
          <w:pgSz w:w="11910" w:h="16840"/>
          <w:pgMar w:header="877" w:footer="1227" w:top="1100" w:bottom="1420" w:left="980" w:right="920"/>
        </w:sectPr>
      </w:pPr>
    </w:p>
    <w:p>
      <w:pPr>
        <w:spacing w:line="240" w:lineRule="auto" w:before="12"/>
        <w:rPr>
          <w:rFonts w:ascii="宋体" w:hAnsi="宋体" w:cs="宋体" w:eastAsia="宋体" w:hint="default"/>
          <w:sz w:val="24"/>
          <w:szCs w:val="24"/>
        </w:rPr>
      </w:pPr>
    </w:p>
    <w:p>
      <w:pPr>
        <w:spacing w:line="362" w:lineRule="exact"/>
        <w:ind w:left="152" w:right="0" w:firstLine="0"/>
        <w:rPr>
          <w:rFonts w:ascii="宋体" w:hAnsi="宋体" w:cs="宋体" w:eastAsia="宋体" w:hint="default"/>
          <w:sz w:val="20"/>
          <w:szCs w:val="20"/>
        </w:rPr>
      </w:pPr>
      <w:r>
        <w:rPr>
          <w:rFonts w:ascii="宋体" w:hAnsi="宋体" w:cs="宋体" w:eastAsia="宋体" w:hint="default"/>
          <w:position w:val="-6"/>
          <w:sz w:val="20"/>
          <w:szCs w:val="20"/>
        </w:rPr>
        <w:pict>
          <v:shape style="width:478.55pt;height:18.150pt;mso-position-horizontal-relative:char;mso-position-vertical-relative:line" type="#_x0000_t202" filled="false" stroked="true" strokeweight=".48pt" strokecolor="#000000">
            <w10:anchorlock/>
            <v:textbox inset="0,0,0,0">
              <w:txbxContent>
                <w:p>
                  <w:pPr>
                    <w:spacing w:before="8"/>
                    <w:ind w:left="23" w:right="0" w:firstLine="0"/>
                    <w:jc w:val="left"/>
                    <w:rPr>
                      <w:rFonts w:ascii="宋体" w:hAnsi="宋体" w:cs="宋体" w:eastAsia="宋体" w:hint="default"/>
                      <w:sz w:val="18"/>
                      <w:szCs w:val="18"/>
                    </w:rPr>
                  </w:pPr>
                  <w:r>
                    <w:rPr>
                      <w:rFonts w:ascii="宋体" w:hAnsi="宋体" w:cs="宋体" w:eastAsia="宋体" w:hint="default"/>
                      <w:sz w:val="18"/>
                      <w:szCs w:val="18"/>
                    </w:rPr>
                    <w:t>金存储与专户中。</w:t>
                  </w:r>
                </w:p>
              </w:txbxContent>
            </v:textbox>
          </v:shape>
        </w:pict>
      </w:r>
      <w:r>
        <w:rPr>
          <w:rFonts w:ascii="宋体" w:hAnsi="宋体" w:cs="宋体" w:eastAsia="宋体" w:hint="default"/>
          <w:position w:val="-6"/>
          <w:sz w:val="20"/>
          <w:szCs w:val="20"/>
        </w:rPr>
      </w:r>
    </w:p>
    <w:p>
      <w:pPr>
        <w:spacing w:line="240" w:lineRule="auto" w:before="8"/>
        <w:rPr>
          <w:rFonts w:ascii="宋体" w:hAnsi="宋体" w:cs="宋体" w:eastAsia="宋体" w:hint="default"/>
          <w:sz w:val="19"/>
          <w:szCs w:val="19"/>
        </w:rPr>
      </w:pPr>
    </w:p>
    <w:p>
      <w:pPr>
        <w:pStyle w:val="Heading3"/>
        <w:spacing w:line="240" w:lineRule="auto" w:before="36"/>
        <w:ind w:left="152"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before="44"/>
        <w:ind w:left="0" w:right="165" w:firstLine="0"/>
        <w:jc w:val="right"/>
        <w:rPr>
          <w:rFonts w:ascii="宋体" w:hAnsi="宋体" w:cs="宋体" w:eastAsia="宋体" w:hint="default"/>
          <w:sz w:val="18"/>
          <w:szCs w:val="18"/>
        </w:rPr>
      </w:pPr>
      <w:r>
        <w:rPr/>
        <w:pict>
          <v:shape style="position:absolute;margin-left:56.400002pt;margin-top:-563.008301pt;width:479.3pt;height:596.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2"/>
                    <w:gridCol w:w="778"/>
                    <w:gridCol w:w="781"/>
                    <w:gridCol w:w="780"/>
                    <w:gridCol w:w="780"/>
                    <w:gridCol w:w="780"/>
                    <w:gridCol w:w="780"/>
                    <w:gridCol w:w="1063"/>
                    <w:gridCol w:w="711"/>
                    <w:gridCol w:w="708"/>
                    <w:gridCol w:w="638"/>
                  </w:tblGrid>
                  <w:tr>
                    <w:trPr>
                      <w:trHeight w:val="165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521"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25"/>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1"/>
                          <w:ind w:left="151" w:right="0"/>
                          <w:jc w:val="left"/>
                          <w:rPr>
                            <w:rFonts w:ascii="Times New Roman" w:hAnsi="Times New Roman" w:cs="Times New Roman" w:eastAsia="Times New Roman" w:hint="default"/>
                            <w:sz w:val="18"/>
                            <w:szCs w:val="18"/>
                          </w:rPr>
                        </w:pPr>
                        <w:r>
                          <w:rPr>
                            <w:rFonts w:ascii="Times New Roman"/>
                            <w:sz w:val="18"/>
                          </w:rPr>
                          <w:t>(2)/(1)</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6" w:right="74"/>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1" w:right="77"/>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9" w:right="77"/>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 w:right="43"/>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1"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6"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电子数据取证产品项 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6,993.29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6,993.29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660.69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5,843.70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83.56%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网络信息安全产品项 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6,291.62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6,291.62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5,228.28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电子数据鉴定及知识 产权保护服务等项目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3,459.95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3,459.95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727.76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16,744.86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16,744.86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2,930.85</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13,181.28</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52"/>
                          <w:jc w:val="right"/>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追加投资建设超算中 心（云计算中心）</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3,012.49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3,012.49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735.67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735.67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建设电子数据公证云 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1,363.15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1,363.15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364.27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364.27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超募</w:t>
                        </w:r>
                        <w:r>
                          <w:rPr>
                            <w:rFonts w:ascii="Times New Roman" w:hAnsi="Times New Roman" w:cs="Times New Roman" w:eastAsia="Times New Roman" w:hint="default"/>
                            <w:sz w:val="18"/>
                            <w:szCs w:val="18"/>
                          </w:rPr>
                          <w:t>-</w:t>
                        </w:r>
                        <w:r>
                          <w:rPr>
                            <w:rFonts w:ascii="宋体" w:hAnsi="宋体" w:cs="宋体" w:eastAsia="宋体" w:hint="default"/>
                            <w:sz w:val="18"/>
                            <w:szCs w:val="18"/>
                          </w:rPr>
                          <w:t>购买研发大楼</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16,468.61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16,468.61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15,968.75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15,968.75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96.96%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20,844.25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20,844.25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17,068.69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17,068.69</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52"/>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37,589.11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37,589.11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19,999.54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30,249.97</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52"/>
                          <w:jc w:val="right"/>
                          <w:rPr>
                            <w:rFonts w:ascii="Times New Roman" w:hAnsi="Times New Roman" w:cs="Times New Roman" w:eastAsia="Times New Roman" w:hint="default"/>
                            <w:sz w:val="18"/>
                            <w:szCs w:val="18"/>
                          </w:rPr>
                        </w:pPr>
                        <w:r>
                          <w:rPr>
                            <w:rFonts w:ascii="Times New Roman"/>
                            <w:sz w:val="18"/>
                          </w:rPr>
                          <w:t>--</w:t>
                        </w:r>
                      </w:p>
                    </w:tc>
                  </w:tr>
                  <w:tr>
                    <w:trPr>
                      <w:trHeight w:val="473"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316" w:lineRule="auto" w:before="49"/>
                          <w:ind w:left="16" w:right="19"/>
                          <w:jc w:val="both"/>
                          <w:rPr>
                            <w:rFonts w:ascii="宋体" w:hAnsi="宋体" w:cs="宋体" w:eastAsia="宋体" w:hint="default"/>
                            <w:sz w:val="18"/>
                            <w:szCs w:val="18"/>
                          </w:rPr>
                        </w:pPr>
                        <w:r>
                          <w:rPr>
                            <w:rFonts w:ascii="宋体" w:hAnsi="宋体" w:cs="宋体" w:eastAsia="宋体" w:hint="default"/>
                            <w:sz w:val="18"/>
                            <w:szCs w:val="18"/>
                          </w:rPr>
                          <w:t>超募资金使用计划中“追加投资建设超级计算中心（云计算中心）”截止报告期末原计划投入金额 为</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2,862.49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万元，实际使用募集资金</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735.67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万元，投资进度有所延迟。主要是由于公司超级计算中</w:t>
                        </w:r>
                      </w:p>
                      <w:p>
                        <w:pPr>
                          <w:pStyle w:val="TableParagraph"/>
                          <w:spacing w:line="248" w:lineRule="exact"/>
                          <w:ind w:left="16" w:right="0"/>
                          <w:jc w:val="both"/>
                          <w:rPr>
                            <w:rFonts w:ascii="宋体" w:hAnsi="宋体" w:cs="宋体" w:eastAsia="宋体" w:hint="default"/>
                            <w:sz w:val="18"/>
                            <w:szCs w:val="18"/>
                          </w:rPr>
                        </w:pPr>
                        <w:r>
                          <w:rPr>
                            <w:rFonts w:ascii="宋体" w:hAnsi="宋体" w:cs="宋体" w:eastAsia="宋体" w:hint="default"/>
                            <w:sz w:val="18"/>
                            <w:szCs w:val="18"/>
                          </w:rPr>
                          <w:t>心（云计算中心）二期配套设施计划在公司新购置的研发大楼（厦门科技创新园研发中心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p>
                        <w:pPr>
                          <w:pStyle w:val="TableParagraph"/>
                          <w:spacing w:line="309" w:lineRule="auto" w:before="63"/>
                          <w:ind w:left="16" w:right="23"/>
                          <w:jc w:val="both"/>
                          <w:rPr>
                            <w:rFonts w:ascii="宋体" w:hAnsi="宋体" w:cs="宋体" w:eastAsia="宋体" w:hint="default"/>
                            <w:sz w:val="18"/>
                            <w:szCs w:val="18"/>
                          </w:rPr>
                        </w:pPr>
                        <w:r>
                          <w:rPr>
                            <w:rFonts w:ascii="宋体" w:hAnsi="宋体" w:cs="宋体" w:eastAsia="宋体" w:hint="default"/>
                            <w:sz w:val="18"/>
                            <w:szCs w:val="18"/>
                          </w:rPr>
                          <w:t>实施。但该大楼于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月交房，相关配套设施尚需一定的时间进行规划建设。故该项目实施 进度相应的推迟。公司对超算中心采用分期建设，故该投资进度的推迟，不影响超算中心陆续投入 使用。</w:t>
                        </w:r>
                      </w:p>
                    </w:tc>
                  </w:tr>
                  <w:tr>
                    <w:trPr>
                      <w:trHeight w:val="1018"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vMerge/>
                        <w:tcBorders>
                          <w:left w:val="single" w:sz="10" w:space="0" w:color="D2D2D2"/>
                          <w:right w:val="single" w:sz="4" w:space="0" w:color="000000"/>
                        </w:tcBorders>
                      </w:tcPr>
                      <w:p>
                        <w:pPr/>
                      </w:p>
                    </w:tc>
                  </w:tr>
                  <w:tr>
                    <w:trPr>
                      <w:trHeight w:val="473"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401" w:hRule="exact"/>
                    </w:trPr>
                    <w:tc>
                      <w:tcPr>
                        <w:tcW w:w="1772" w:type="dxa"/>
                        <w:vMerge w:val="restart"/>
                        <w:tcBorders>
                          <w:top w:val="single" w:sz="4" w:space="0" w:color="000000"/>
                          <w:left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52"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为合理利用好超募资金，公司制定了超募资金使用计划：①使用超募资金人民币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1,363.15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万元投资</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建设电子数据公证云项目；②使用超募资金人民币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3,012.49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万元追加投资建设超算中心（云计算中</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pacing w:val="-4"/>
                            <w:sz w:val="18"/>
                            <w:szCs w:val="18"/>
                          </w:rPr>
                          <w:t>心）项目；③使用超募资金人民币</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16,468.61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万元购买大楼用于建设研发生产中心项目，该项目经公</w:t>
                        </w:r>
                      </w:p>
                      <w:p>
                        <w:pPr>
                          <w:pStyle w:val="TableParagraph"/>
                          <w:spacing w:line="300" w:lineRule="auto" w:before="63"/>
                          <w:ind w:left="16" w:right="22"/>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年度股东大会审议通</w:t>
                        </w:r>
                        <w:r>
                          <w:rPr>
                            <w:rFonts w:ascii="宋体" w:hAnsi="宋体" w:cs="宋体" w:eastAsia="宋体" w:hint="default"/>
                            <w:spacing w:val="-3"/>
                            <w:sz w:val="18"/>
                            <w:szCs w:val="18"/>
                          </w:rPr>
                          <w:t>过</w:t>
                        </w:r>
                        <w:r>
                          <w:rPr>
                            <w:rFonts w:ascii="宋体" w:hAnsi="宋体" w:cs="宋体" w:eastAsia="宋体" w:hint="default"/>
                            <w:sz w:val="18"/>
                            <w:szCs w:val="18"/>
                          </w:rPr>
                          <w:t>，目前大楼已交房。公司剩余超募资金将主要用于以下几方面</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z w:val="18"/>
                            <w:szCs w:val="18"/>
                          </w:rPr>
                          <w:t>1 </w:t>
                        </w:r>
                        <w:r>
                          <w:rPr>
                            <w:rFonts w:ascii="宋体" w:hAnsi="宋体" w:cs="宋体" w:eastAsia="宋体" w:hint="default"/>
                            <w:sz w:val="18"/>
                            <w:szCs w:val="18"/>
                          </w:rPr>
                          <w:t>增加在电子数据取证和网络信息安全产品研发销售方面的投入</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）根据公司战略发展目标，适度</w:t>
                        </w:r>
                      </w:p>
                    </w:tc>
                  </w:tr>
                  <w:tr>
                    <w:trPr>
                      <w:trHeight w:val="706"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gridSpan w:val="10"/>
                        <w:vMerge/>
                        <w:tcBorders>
                          <w:left w:val="single" w:sz="10" w:space="0" w:color="D2D2D2"/>
                          <w:right w:val="single" w:sz="4" w:space="0" w:color="000000"/>
                        </w:tcBorders>
                      </w:tcPr>
                      <w:p>
                        <w:pPr/>
                      </w:p>
                    </w:tc>
                  </w:tr>
                  <w:tr>
                    <w:trPr>
                      <w:trHeight w:val="653"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1227" w:top="1100" w:bottom="14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0"/>
        <w:ind w:left="0" w:right="156" w:firstLine="0"/>
        <w:jc w:val="right"/>
        <w:rPr>
          <w:rFonts w:ascii="宋体" w:hAnsi="宋体" w:cs="宋体" w:eastAsia="宋体" w:hint="default"/>
          <w:sz w:val="18"/>
          <w:szCs w:val="18"/>
        </w:rPr>
      </w:pPr>
      <w:r>
        <w:rPr/>
        <w:pict>
          <v:shape style="position:absolute;margin-left:56.459999pt;margin-top:-268.5383pt;width:479.2pt;height:462.3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9"/>
                  </w:tblGrid>
                  <w:tr>
                    <w:trPr>
                      <w:trHeight w:val="36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并购有利于提升公司综合研发能力和开拓新市场的同行或上下游企业</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）补充公司流动资金</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87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在首次公开发行股票募集资金到位之前，为保障募集资金投资项目的顺利进行，公司已使用自筹资 金投入部分募集资金投资项目的前期建设。截至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日止，公司以自筹资金预先投入募</w:t>
                        </w:r>
                      </w:p>
                      <w:p>
                        <w:pPr>
                          <w:pStyle w:val="TableParagraph"/>
                          <w:spacing w:line="309" w:lineRule="auto"/>
                          <w:ind w:left="24"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投项目累计金额为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64,759,485.59 </w:t>
                        </w:r>
                        <w:r>
                          <w:rPr>
                            <w:rFonts w:ascii="宋体" w:hAnsi="宋体" w:cs="宋体" w:eastAsia="宋体" w:hint="default"/>
                            <w:sz w:val="18"/>
                            <w:szCs w:val="18"/>
                          </w:rPr>
                          <w:t>元，其中向中国工商银行股份有限公司厦门东区支行借款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761.00 </w:t>
                        </w:r>
                        <w:r>
                          <w:rPr>
                            <w:rFonts w:ascii="宋体" w:hAnsi="宋体" w:cs="宋体" w:eastAsia="宋体" w:hint="default"/>
                            <w:sz w:val="18"/>
                            <w:szCs w:val="18"/>
                          </w:rPr>
                          <w:t>万元，其余为公司自有资金。为提高资金利用率，降低财务成本，公司第一届董事会第十二次会议 审议通过了《关于使用募集资金置换公司预先已投入募集资金投资项目的自筹资金》的议案，拟置 换人民币</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64,759,485.59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元。天健正信会计师事务所有限公司对公司前期以自筹资金投入募集资金投 </w:t>
                        </w:r>
                        <w:r>
                          <w:rPr>
                            <w:rFonts w:ascii="宋体" w:hAnsi="宋体" w:cs="宋体" w:eastAsia="宋体" w:hint="default"/>
                            <w:spacing w:val="-3"/>
                            <w:sz w:val="18"/>
                            <w:szCs w:val="18"/>
                          </w:rPr>
                          <w:t>资项目的情况进行了专项审核，并出具了天健正信审（</w:t>
                        </w:r>
                        <w:r>
                          <w:rPr>
                            <w:rFonts w:ascii="Times New Roman" w:hAnsi="Times New Roman" w:cs="Times New Roman" w:eastAsia="Times New Roman" w:hint="default"/>
                            <w:spacing w:val="-3"/>
                            <w:sz w:val="18"/>
                            <w:szCs w:val="18"/>
                          </w:rPr>
                          <w:t>2011</w:t>
                        </w:r>
                        <w:r>
                          <w:rPr>
                            <w:rFonts w:ascii="宋体" w:hAnsi="宋体" w:cs="宋体" w:eastAsia="宋体" w:hint="default"/>
                            <w:spacing w:val="-3"/>
                            <w:sz w:val="18"/>
                            <w:szCs w:val="18"/>
                          </w:rPr>
                          <w:t>）专字第</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020621</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号《关于厦门市美亚柏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科信息股份有限公司以自筹资金预先投入募投项目的鉴证报告》。监事会和独立董事发表了同意意</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见，履行了必要的审批程序。保荐机构国信证券股份有限公司进行了核查，对公司本次以募集资金 置换预先已投入募集资金投资项目的自筹资金事项发表无异议核查意见。以上事项公司已于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日在深圳证券交易</w:t>
                        </w:r>
                        <w:r>
                          <w:rPr>
                            <w:rFonts w:ascii="宋体" w:hAnsi="宋体" w:cs="宋体" w:eastAsia="宋体" w:hint="default"/>
                            <w:spacing w:val="-3"/>
                            <w:sz w:val="18"/>
                            <w:szCs w:val="18"/>
                          </w:rPr>
                          <w:t>所</w:t>
                        </w:r>
                        <w:r>
                          <w:rPr>
                            <w:rFonts w:ascii="宋体" w:hAnsi="宋体" w:cs="宋体" w:eastAsia="宋体" w:hint="default"/>
                            <w:sz w:val="18"/>
                            <w:szCs w:val="18"/>
                          </w:rPr>
                          <w:t>进行公告</w:t>
                        </w:r>
                        <w:r>
                          <w:rPr>
                            <w:rFonts w:ascii="宋体" w:hAnsi="宋体" w:cs="宋体" w:eastAsia="宋体" w:hint="default"/>
                            <w:spacing w:val="-87"/>
                            <w:sz w:val="18"/>
                            <w:szCs w:val="18"/>
                          </w:rPr>
                          <w:t>。</w:t>
                        </w:r>
                        <w:r>
                          <w:rPr>
                            <w:rFonts w:ascii="宋体" w:hAnsi="宋体" w:cs="宋体" w:eastAsia="宋体" w:hint="default"/>
                            <w:sz w:val="18"/>
                            <w:szCs w:val="18"/>
                          </w:rPr>
                          <w:t>截止</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87"/>
                            <w:sz w:val="18"/>
                            <w:szCs w:val="18"/>
                          </w:rPr>
                          <w:t>，</w:t>
                        </w:r>
                        <w:r>
                          <w:rPr>
                            <w:rFonts w:ascii="宋体" w:hAnsi="宋体" w:cs="宋体" w:eastAsia="宋体" w:hint="default"/>
                            <w:sz w:val="18"/>
                            <w:szCs w:val="18"/>
                          </w:rPr>
                          <w:t>公司已办理完募集资金置换手续</w:t>
                        </w: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除此之外，截至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日，公司没有发生使用募集资金置换先期投入的情况。</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项目尚未实施完毕，尚未使用的募集资金全部存放在专项账户。</w:t>
                        </w:r>
                      </w:p>
                    </w:tc>
                  </w:tr>
                  <w:tr>
                    <w:trPr>
                      <w:trHeight w:val="102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3"/>
        <w:spacing w:line="568" w:lineRule="auto" w:before="36"/>
        <w:ind w:left="573" w:right="7152" w:hanging="421"/>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3</w:t>
      </w:r>
      <w:r>
        <w:rPr>
          <w:spacing w:val="-1"/>
        </w:rPr>
        <w:t>）募集资金变更项目情况</w:t>
      </w:r>
      <w:r>
        <w:rPr>
          <w:spacing w:val="-95"/>
        </w:rPr>
        <w:t> </w:t>
      </w:r>
      <w:r>
        <w:rPr>
          <w:spacing w:val="-95"/>
        </w:rPr>
      </w:r>
      <w:r>
        <w:rPr>
          <w:rFonts w:ascii="宋体" w:hAnsi="宋体" w:cs="宋体" w:eastAsia="宋体" w:hint="default"/>
          <w:b w:val="0"/>
          <w:bCs w:val="0"/>
        </w:rPr>
        <w:t>无。</w:t>
      </w:r>
    </w:p>
    <w:p>
      <w:pPr>
        <w:pStyle w:val="Heading3"/>
        <w:spacing w:line="571" w:lineRule="auto" w:before="129"/>
        <w:ind w:left="573" w:right="6143" w:hanging="421"/>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4</w:t>
      </w:r>
      <w:r>
        <w:rPr>
          <w:spacing w:val="-1"/>
        </w:rPr>
        <w:t>）非募集资金投资的重大项目情况</w:t>
      </w:r>
      <w:r>
        <w:rPr>
          <w:spacing w:val="-90"/>
        </w:rPr>
        <w:t> </w:t>
      </w:r>
      <w:r>
        <w:rPr>
          <w:spacing w:val="-90"/>
        </w:rPr>
      </w:r>
      <w:r>
        <w:rPr>
          <w:rFonts w:ascii="宋体" w:hAnsi="宋体" w:cs="宋体" w:eastAsia="宋体" w:hint="default"/>
          <w:b w:val="0"/>
          <w:bCs w:val="0"/>
        </w:rPr>
        <w:t>无。</w:t>
      </w:r>
    </w:p>
    <w:p>
      <w:pPr>
        <w:pStyle w:val="Heading3"/>
        <w:spacing w:line="568" w:lineRule="auto" w:before="126"/>
        <w:ind w:left="573" w:right="7982" w:hanging="421"/>
        <w:jc w:val="left"/>
        <w:rPr>
          <w:rFonts w:ascii="宋体" w:hAnsi="宋体" w:cs="宋体" w:eastAsia="宋体" w:hint="default"/>
          <w:b w:val="0"/>
          <w:bCs w:val="0"/>
        </w:rPr>
      </w:pPr>
      <w:r>
        <w:rPr/>
        <w:t>（</w:t>
      </w:r>
      <w:r>
        <w:rPr>
          <w:rFonts w:ascii="Times New Roman" w:hAnsi="Times New Roman" w:cs="Times New Roman" w:eastAsia="Times New Roman" w:hint="default"/>
        </w:rPr>
        <w:t>5</w:t>
      </w:r>
      <w:r>
        <w:rPr/>
        <w:t>）证券投资情况</w:t>
      </w:r>
      <w:r>
        <w:rPr>
          <w:spacing w:val="-104"/>
        </w:rPr>
        <w:t> </w:t>
      </w:r>
      <w:r>
        <w:rPr>
          <w:rFonts w:ascii="宋体" w:hAnsi="宋体" w:cs="宋体" w:eastAsia="宋体" w:hint="default"/>
          <w:b w:val="0"/>
          <w:bCs w:val="0"/>
        </w:rPr>
        <w:t>无。</w:t>
      </w:r>
    </w:p>
    <w:p>
      <w:pPr>
        <w:spacing w:after="0" w:line="568" w:lineRule="auto"/>
        <w:jc w:val="left"/>
        <w:rPr>
          <w:rFonts w:ascii="宋体" w:hAnsi="宋体" w:cs="宋体" w:eastAsia="宋体" w:hint="default"/>
        </w:rPr>
        <w:sectPr>
          <w:pgSz w:w="11910" w:h="16840"/>
          <w:pgMar w:header="877" w:footer="1227" w:top="1100" w:bottom="1420" w:left="980" w:right="980"/>
        </w:sectPr>
      </w:pPr>
    </w:p>
    <w:p>
      <w:pPr>
        <w:spacing w:line="240" w:lineRule="auto" w:before="11"/>
        <w:rPr>
          <w:rFonts w:ascii="宋体" w:hAnsi="宋体" w:cs="宋体" w:eastAsia="宋体" w:hint="default"/>
          <w:sz w:val="20"/>
          <w:szCs w:val="20"/>
        </w:rPr>
      </w:pPr>
    </w:p>
    <w:p>
      <w:pPr>
        <w:pStyle w:val="Heading3"/>
        <w:spacing w:line="571" w:lineRule="auto" w:before="36"/>
        <w:ind w:left="573" w:right="6792" w:hanging="421"/>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6</w:t>
      </w:r>
      <w:r>
        <w:rPr>
          <w:spacing w:val="-1"/>
        </w:rPr>
        <w:t>）持有其他上市公司股权情况</w:t>
      </w:r>
      <w:r>
        <w:rPr>
          <w:spacing w:val="-92"/>
        </w:rPr>
        <w:t> </w:t>
      </w:r>
      <w:r>
        <w:rPr>
          <w:spacing w:val="-92"/>
        </w:rPr>
      </w:r>
      <w:r>
        <w:rPr>
          <w:rFonts w:ascii="宋体" w:hAnsi="宋体" w:cs="宋体" w:eastAsia="宋体" w:hint="default"/>
          <w:b w:val="0"/>
          <w:bCs w:val="0"/>
        </w:rPr>
        <w:t>无。</w:t>
      </w:r>
    </w:p>
    <w:p>
      <w:pPr>
        <w:pStyle w:val="Heading3"/>
        <w:spacing w:line="568" w:lineRule="auto" w:before="126"/>
        <w:ind w:left="573" w:right="6203" w:hanging="421"/>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7</w:t>
      </w:r>
      <w:r>
        <w:rPr>
          <w:spacing w:val="-1"/>
        </w:rPr>
        <w:t>）持有非上市金融企业股权情况</w:t>
      </w:r>
      <w:r>
        <w:rPr>
          <w:spacing w:val="-91"/>
        </w:rPr>
        <w:t> </w:t>
      </w:r>
      <w:r>
        <w:rPr>
          <w:spacing w:val="-91"/>
        </w:rPr>
      </w:r>
      <w:r>
        <w:rPr>
          <w:rFonts w:ascii="宋体" w:hAnsi="宋体" w:cs="宋体" w:eastAsia="宋体" w:hint="default"/>
          <w:b w:val="0"/>
          <w:bCs w:val="0"/>
        </w:rPr>
        <w:t>无。</w:t>
      </w:r>
    </w:p>
    <w:p>
      <w:pPr>
        <w:pStyle w:val="Heading3"/>
        <w:spacing w:line="571" w:lineRule="auto" w:before="128"/>
        <w:ind w:left="573" w:right="6203" w:hanging="421"/>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8</w:t>
      </w:r>
      <w:r>
        <w:rPr>
          <w:spacing w:val="-1"/>
        </w:rPr>
        <w:t>）买卖其他上市公司股份的情况</w:t>
      </w:r>
      <w:r>
        <w:rPr>
          <w:spacing w:val="-91"/>
        </w:rPr>
        <w:t> </w:t>
      </w:r>
      <w:r>
        <w:rPr>
          <w:spacing w:val="-91"/>
        </w:rPr>
      </w:r>
      <w:r>
        <w:rPr>
          <w:rFonts w:ascii="宋体" w:hAnsi="宋体" w:cs="宋体" w:eastAsia="宋体" w:hint="default"/>
          <w:b w:val="0"/>
          <w:bCs w:val="0"/>
        </w:rPr>
        <w:t>无。</w:t>
      </w:r>
    </w:p>
    <w:p>
      <w:pPr>
        <w:pStyle w:val="Heading3"/>
        <w:spacing w:line="568" w:lineRule="auto" w:before="127"/>
        <w:ind w:left="573" w:right="6203" w:hanging="421"/>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9</w:t>
      </w:r>
      <w:r>
        <w:rPr>
          <w:spacing w:val="-1"/>
        </w:rPr>
        <w:t>）外币金融资产和外币金融负债</w:t>
      </w:r>
      <w:r>
        <w:rPr>
          <w:spacing w:val="-91"/>
        </w:rPr>
        <w:t> </w:t>
      </w:r>
      <w:r>
        <w:rPr>
          <w:spacing w:val="-91"/>
        </w:rPr>
      </w:r>
      <w:r>
        <w:rPr>
          <w:rFonts w:ascii="宋体" w:hAnsi="宋体" w:cs="宋体" w:eastAsia="宋体" w:hint="default"/>
          <w:b w:val="0"/>
          <w:bCs w:val="0"/>
        </w:rPr>
        <w:t>无。</w:t>
      </w:r>
    </w:p>
    <w:p>
      <w:pPr>
        <w:pStyle w:val="Heading3"/>
        <w:spacing w:line="240" w:lineRule="auto" w:before="128"/>
        <w:ind w:left="152" w:right="99"/>
        <w:jc w:val="left"/>
        <w:rPr>
          <w:b w:val="0"/>
          <w:bCs w:val="0"/>
        </w:rPr>
      </w:pPr>
      <w:r>
        <w:rPr>
          <w:rFonts w:ascii="Times New Roman" w:hAnsi="Times New Roman" w:cs="Times New Roman" w:eastAsia="Times New Roman" w:hint="default"/>
        </w:rPr>
        <w:t>6</w:t>
      </w:r>
      <w:r>
        <w:rPr/>
        <w:t>、主要控股参股公司分析</w:t>
      </w:r>
      <w:r>
        <w:rPr>
          <w:b w:val="0"/>
          <w:bCs w:val="0"/>
        </w:rPr>
      </w:r>
    </w:p>
    <w:p>
      <w:pPr>
        <w:spacing w:line="240" w:lineRule="auto" w:before="8"/>
        <w:rPr>
          <w:rFonts w:ascii="宋体" w:hAnsi="宋体" w:cs="宋体" w:eastAsia="宋体" w:hint="default"/>
          <w:b/>
          <w:bCs/>
          <w:sz w:val="30"/>
          <w:szCs w:val="30"/>
        </w:rPr>
      </w:pPr>
    </w:p>
    <w:p>
      <w:pPr>
        <w:pStyle w:val="BodyText"/>
        <w:spacing w:line="386" w:lineRule="auto"/>
        <w:ind w:left="152" w:right="99" w:firstLine="420"/>
        <w:jc w:val="left"/>
      </w:pPr>
      <w:r>
        <w:rPr/>
        <w:t>报告期内，公司拥有厦门市美亚柏科信息安全研究所有限公司、杭州创聚科技有限公司</w:t>
      </w:r>
      <w:r>
        <w:rPr>
          <w:rFonts w:ascii="Times New Roman" w:hAnsi="Times New Roman" w:cs="Times New Roman" w:eastAsia="Times New Roman" w:hint="default"/>
        </w:rPr>
        <w:t>2</w:t>
      </w:r>
      <w:r>
        <w:rPr/>
        <w:t>家全资子公</w:t>
      </w:r>
      <w:r>
        <w:rPr>
          <w:w w:val="100"/>
        </w:rPr>
        <w:t> </w:t>
      </w:r>
      <w:r>
        <w:rPr>
          <w:spacing w:val="-2"/>
        </w:rPr>
        <w:t>司；厦门美亚中敏电子科技有限公司</w:t>
      </w:r>
      <w:r>
        <w:rPr>
          <w:rFonts w:ascii="Times New Roman" w:hAnsi="Times New Roman" w:cs="Times New Roman" w:eastAsia="Times New Roman" w:hint="default"/>
          <w:spacing w:val="-2"/>
        </w:rPr>
        <w:t>1</w:t>
      </w:r>
      <w:r>
        <w:rPr>
          <w:spacing w:val="-2"/>
        </w:rPr>
        <w:t>家控股子公司；杭州攀克网络技术有限公司</w:t>
      </w:r>
      <w:r>
        <w:rPr>
          <w:rFonts w:ascii="Times New Roman" w:hAnsi="Times New Roman" w:cs="Times New Roman" w:eastAsia="Times New Roman" w:hint="default"/>
          <w:spacing w:val="-2"/>
        </w:rPr>
        <w:t>1</w:t>
      </w:r>
      <w:r>
        <w:rPr>
          <w:spacing w:val="-2"/>
        </w:rPr>
        <w:t>家参股公司。增资参股</w:t>
      </w:r>
      <w:r>
        <w:rPr>
          <w:spacing w:val="-44"/>
        </w:rPr>
        <w:t> </w:t>
      </w:r>
      <w:r>
        <w:rPr>
          <w:spacing w:val="-44"/>
        </w:rPr>
      </w:r>
      <w:r>
        <w:rPr/>
        <w:t>厦门市巨龙信息科技有限公司事项于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月份完成工商变更登记。</w:t>
      </w:r>
    </w:p>
    <w:p>
      <w:pPr>
        <w:pStyle w:val="BodyText"/>
        <w:spacing w:line="240" w:lineRule="auto" w:before="36"/>
        <w:ind w:left="573" w:right="99"/>
        <w:jc w:val="left"/>
      </w:pPr>
      <w:r>
        <w:rPr/>
        <w:t>报告期内公司各子公司和参股公司基本情况如下：</w:t>
      </w:r>
    </w:p>
    <w:p>
      <w:pPr>
        <w:spacing w:line="240" w:lineRule="auto" w:before="10"/>
        <w:rPr>
          <w:rFonts w:ascii="宋体" w:hAnsi="宋体" w:cs="宋体" w:eastAsia="宋体" w:hint="default"/>
          <w:sz w:val="14"/>
          <w:szCs w:val="14"/>
        </w:rPr>
      </w:pPr>
    </w:p>
    <w:p>
      <w:pPr>
        <w:pStyle w:val="BodyText"/>
        <w:spacing w:line="386" w:lineRule="auto"/>
        <w:ind w:left="573" w:right="99"/>
        <w:jc w:val="left"/>
      </w:pPr>
      <w:r>
        <w:rPr/>
        <w:t>（</w:t>
      </w:r>
      <w:r>
        <w:rPr>
          <w:rFonts w:ascii="Times New Roman" w:hAnsi="Times New Roman" w:cs="Times New Roman" w:eastAsia="Times New Roman" w:hint="default"/>
        </w:rPr>
        <w:t>1</w:t>
      </w:r>
      <w:r>
        <w:rPr/>
        <w:t>）厦门市美亚柏科信息安全研究所有限公司：</w:t>
      </w:r>
      <w:r>
        <w:rPr>
          <w:spacing w:val="-3"/>
        </w:rPr>
        <w:t> </w:t>
      </w:r>
      <w:r>
        <w:rPr/>
        <w:t>（美亚柏科持有</w:t>
      </w:r>
      <w:r>
        <w:rPr>
          <w:rFonts w:ascii="Times New Roman" w:hAnsi="Times New Roman" w:cs="Times New Roman" w:eastAsia="Times New Roman" w:hint="default"/>
        </w:rPr>
        <w:t>100%</w:t>
      </w:r>
      <w:r>
        <w:rPr/>
        <w:t>股权）</w:t>
      </w:r>
      <w:r>
        <w:rPr>
          <w:w w:val="100"/>
        </w:rPr>
        <w:t> </w:t>
      </w:r>
      <w:r>
        <w:rPr>
          <w:spacing w:val="-2"/>
        </w:rPr>
        <w:t>公司成立日期</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30</w:t>
      </w:r>
      <w:r>
        <w:rPr>
          <w:spacing w:val="-2"/>
        </w:rPr>
        <w:t>日，住所：厦门市软件园观日路</w:t>
      </w:r>
      <w:r>
        <w:rPr>
          <w:rFonts w:ascii="Times New Roman" w:hAnsi="Times New Roman" w:cs="Times New Roman" w:eastAsia="Times New Roman" w:hint="default"/>
          <w:spacing w:val="-2"/>
        </w:rPr>
        <w:t>14</w:t>
      </w:r>
      <w:r>
        <w:rPr>
          <w:spacing w:val="-2"/>
        </w:rPr>
        <w:t>号，注册号：</w:t>
      </w:r>
      <w:r>
        <w:rPr>
          <w:rFonts w:ascii="Times New Roman" w:hAnsi="Times New Roman" w:cs="Times New Roman" w:eastAsia="Times New Roman" w:hint="default"/>
          <w:spacing w:val="-2"/>
        </w:rPr>
        <w:t>350298200007172</w:t>
      </w:r>
      <w:r>
        <w:rPr>
          <w:spacing w:val="-2"/>
        </w:rPr>
        <w:t>，法定代</w:t>
      </w:r>
    </w:p>
    <w:p>
      <w:pPr>
        <w:pStyle w:val="BodyText"/>
        <w:spacing w:line="408" w:lineRule="auto" w:before="35"/>
        <w:ind w:left="152" w:right="105"/>
        <w:jc w:val="both"/>
      </w:pPr>
      <w:r>
        <w:rPr>
          <w:spacing w:val="-2"/>
        </w:rPr>
        <w:t>表人刘祥南，注册资本壹仟万元整，公司类型：有限责任公司（自然人投资或控股的法人独资），经营范</w:t>
      </w:r>
      <w:r>
        <w:rPr>
          <w:spacing w:val="-42"/>
        </w:rPr>
        <w:t> </w:t>
      </w:r>
      <w:r>
        <w:rPr>
          <w:spacing w:val="-42"/>
        </w:rPr>
      </w:r>
      <w:r>
        <w:rPr>
          <w:spacing w:val="-2"/>
        </w:rPr>
        <w:t>围：信息网络安全产品的研究与开发；计算机与信息安全软件开发、网络技术服务；批发零售计算机与网</w:t>
      </w:r>
      <w:r>
        <w:rPr>
          <w:spacing w:val="-50"/>
        </w:rPr>
        <w:t> </w:t>
      </w:r>
      <w:r>
        <w:rPr>
          <w:spacing w:val="-50"/>
        </w:rPr>
      </w:r>
      <w:r>
        <w:rPr>
          <w:spacing w:val="-2"/>
        </w:rPr>
        <w:t>络安全设备。图书、期刊、报纸、音像制品、电子出版物零售（网络发行）（有效期至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31</w:t>
      </w:r>
      <w:r>
        <w:rPr>
          <w:spacing w:val="-2"/>
        </w:rPr>
        <w:t>日止）</w:t>
      </w:r>
    </w:p>
    <w:p>
      <w:pPr>
        <w:pStyle w:val="BodyText"/>
        <w:spacing w:line="240" w:lineRule="auto" w:before="14"/>
        <w:ind w:left="152" w:right="99"/>
        <w:jc w:val="left"/>
      </w:pPr>
      <w:r>
        <w:rPr/>
        <w:t>（以上经营范围涉及许可经营项目的，应在取得有关部门的许可后方可经营。）</w:t>
      </w:r>
    </w:p>
    <w:p>
      <w:pPr>
        <w:spacing w:line="240" w:lineRule="auto" w:before="11"/>
        <w:rPr>
          <w:rFonts w:ascii="宋体" w:hAnsi="宋体" w:cs="宋体" w:eastAsia="宋体" w:hint="default"/>
          <w:sz w:val="14"/>
          <w:szCs w:val="14"/>
        </w:rPr>
      </w:pPr>
    </w:p>
    <w:p>
      <w:pPr>
        <w:pStyle w:val="BodyText"/>
        <w:spacing w:line="386" w:lineRule="auto"/>
        <w:ind w:left="573" w:right="99"/>
        <w:jc w:val="left"/>
      </w:pPr>
      <w:r>
        <w:rPr/>
        <w:t>（</w:t>
      </w:r>
      <w:r>
        <w:rPr>
          <w:rFonts w:ascii="Times New Roman" w:hAnsi="Times New Roman" w:cs="Times New Roman" w:eastAsia="Times New Roman" w:hint="default"/>
        </w:rPr>
        <w:t>2</w:t>
      </w:r>
      <w:r>
        <w:rPr/>
        <w:t>）杭州创聚科技有限公司：</w:t>
      </w:r>
      <w:r>
        <w:rPr>
          <w:spacing w:val="-3"/>
        </w:rPr>
        <w:t> </w:t>
      </w:r>
      <w:r>
        <w:rPr/>
        <w:t>（美亚柏科持有</w:t>
      </w:r>
      <w:r>
        <w:rPr>
          <w:rFonts w:ascii="Times New Roman" w:hAnsi="Times New Roman" w:cs="Times New Roman" w:eastAsia="Times New Roman" w:hint="default"/>
        </w:rPr>
        <w:t>100%</w:t>
      </w:r>
      <w:r>
        <w:rPr/>
        <w:t>股权）</w:t>
      </w:r>
      <w:r>
        <w:rPr>
          <w:w w:val="100"/>
        </w:rPr>
        <w:t> </w:t>
      </w:r>
      <w:r>
        <w:rPr>
          <w:spacing w:val="-2"/>
        </w:rPr>
        <w:t>公司成立日期</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28</w:t>
      </w:r>
      <w:r>
        <w:rPr>
          <w:spacing w:val="-2"/>
        </w:rPr>
        <w:t>日，住所：杭州市滨江区滨安路</w:t>
      </w:r>
      <w:r>
        <w:rPr>
          <w:rFonts w:ascii="Times New Roman" w:hAnsi="Times New Roman" w:cs="Times New Roman" w:eastAsia="Times New Roman" w:hint="default"/>
          <w:spacing w:val="-2"/>
        </w:rPr>
        <w:t>1197</w:t>
      </w:r>
      <w:r>
        <w:rPr>
          <w:spacing w:val="-2"/>
        </w:rPr>
        <w:t>号</w:t>
      </w:r>
      <w:r>
        <w:rPr>
          <w:rFonts w:ascii="Times New Roman" w:hAnsi="Times New Roman" w:cs="Times New Roman" w:eastAsia="Times New Roman" w:hint="default"/>
          <w:spacing w:val="-2"/>
        </w:rPr>
        <w:t>3</w:t>
      </w:r>
      <w:r>
        <w:rPr>
          <w:spacing w:val="-2"/>
        </w:rPr>
        <w:t>号楼</w:t>
      </w:r>
      <w:r>
        <w:rPr>
          <w:rFonts w:ascii="Times New Roman" w:hAnsi="Times New Roman" w:cs="Times New Roman" w:eastAsia="Times New Roman" w:hint="default"/>
          <w:spacing w:val="-2"/>
        </w:rPr>
        <w:t>506</w:t>
      </w:r>
      <w:r>
        <w:rPr>
          <w:spacing w:val="-2"/>
        </w:rPr>
        <w:t>室，注册号：</w:t>
      </w:r>
    </w:p>
    <w:p>
      <w:pPr>
        <w:pStyle w:val="BodyText"/>
        <w:spacing w:line="400" w:lineRule="auto" w:before="35"/>
        <w:ind w:left="152" w:right="99"/>
        <w:jc w:val="left"/>
      </w:pPr>
      <w:r>
        <w:rPr>
          <w:rFonts w:ascii="Times New Roman" w:hAnsi="Times New Roman" w:cs="Times New Roman" w:eastAsia="Times New Roman" w:hint="default"/>
        </w:rPr>
        <w:t>330106000039625</w:t>
      </w:r>
      <w:r>
        <w:rPr/>
        <w:t>，法定代表人白鹭斌，注册资本壹仟万元，公司类型：有限责任公司（法人独资），经</w:t>
      </w:r>
      <w:r>
        <w:rPr>
          <w:w w:val="100"/>
        </w:rPr>
        <w:t> </w:t>
      </w:r>
      <w:r>
        <w:rPr>
          <w:spacing w:val="-5"/>
        </w:rPr>
        <w:t>营范围：许可经营项目：无，一般经营项目：服务：计算机软硬件技术开发、成果转让，计算机系统集成，</w:t>
      </w:r>
      <w:r>
        <w:rPr>
          <w:spacing w:val="-12"/>
        </w:rPr>
        <w:t> </w:t>
      </w:r>
      <w:r>
        <w:rPr>
          <w:spacing w:val="-12"/>
        </w:rPr>
      </w:r>
      <w:r>
        <w:rPr>
          <w:spacing w:val="-2"/>
        </w:rPr>
        <w:t>科技信息咨询；批发、零售：电子计算机，网络设备，通信设备（除专控）；其他无需的经审批的一切合</w:t>
      </w:r>
      <w:r>
        <w:rPr>
          <w:spacing w:val="-48"/>
        </w:rPr>
        <w:t> </w:t>
      </w:r>
      <w:r>
        <w:rPr>
          <w:spacing w:val="-48"/>
        </w:rPr>
      </w:r>
      <w:r>
        <w:rPr/>
        <w:t>法项目。（上述经营范围不含国家法律法规规定禁止、限制和许可经营的项目。）</w:t>
      </w:r>
    </w:p>
    <w:p>
      <w:pPr>
        <w:spacing w:after="0" w:line="400" w:lineRule="auto"/>
        <w:jc w:val="left"/>
        <w:sectPr>
          <w:pgSz w:w="11910" w:h="16840"/>
          <w:pgMar w:header="877" w:footer="1227" w:top="1100" w:bottom="1420" w:left="980" w:right="920"/>
        </w:sectPr>
      </w:pPr>
    </w:p>
    <w:p>
      <w:pPr>
        <w:spacing w:line="240" w:lineRule="auto" w:before="9"/>
        <w:rPr>
          <w:rFonts w:ascii="宋体" w:hAnsi="宋体" w:cs="宋体" w:eastAsia="宋体" w:hint="default"/>
          <w:sz w:val="26"/>
          <w:szCs w:val="26"/>
        </w:rPr>
      </w:pPr>
    </w:p>
    <w:p>
      <w:pPr>
        <w:pStyle w:val="BodyText"/>
        <w:spacing w:line="386" w:lineRule="auto" w:before="36"/>
        <w:ind w:left="573" w:right="0"/>
        <w:jc w:val="left"/>
      </w:pPr>
      <w:r>
        <w:rPr/>
        <w:t>（</w:t>
      </w:r>
      <w:r>
        <w:rPr>
          <w:rFonts w:ascii="Times New Roman" w:hAnsi="Times New Roman" w:cs="Times New Roman" w:eastAsia="Times New Roman" w:hint="default"/>
        </w:rPr>
        <w:t>3</w:t>
      </w:r>
      <w:r>
        <w:rPr/>
        <w:t>）厦门美亚中敏电子科技有限公司：（美亚柏科持有</w:t>
      </w:r>
      <w:r>
        <w:rPr>
          <w:rFonts w:ascii="Times New Roman" w:hAnsi="Times New Roman" w:cs="Times New Roman" w:eastAsia="Times New Roman" w:hint="default"/>
        </w:rPr>
        <w:t>67.73%</w:t>
      </w:r>
      <w:r>
        <w:rPr/>
        <w:t>股权）</w:t>
      </w:r>
      <w:r>
        <w:rPr>
          <w:w w:val="100"/>
        </w:rPr>
        <w:t> </w:t>
      </w:r>
      <w:r>
        <w:rPr>
          <w:spacing w:val="-2"/>
        </w:rPr>
        <w:t>公司成立日期</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07</w:t>
      </w:r>
      <w:r>
        <w:rPr>
          <w:spacing w:val="-2"/>
        </w:rPr>
        <w:t>月</w:t>
      </w:r>
      <w:r>
        <w:rPr>
          <w:rFonts w:ascii="Times New Roman" w:hAnsi="Times New Roman" w:cs="Times New Roman" w:eastAsia="Times New Roman" w:hint="default"/>
          <w:spacing w:val="-2"/>
        </w:rPr>
        <w:t>26</w:t>
      </w:r>
      <w:r>
        <w:rPr>
          <w:spacing w:val="-2"/>
        </w:rPr>
        <w:t>日，住所：厦门市海沧区新阳街道翁角落</w:t>
      </w:r>
      <w:r>
        <w:rPr>
          <w:rFonts w:ascii="Times New Roman" w:hAnsi="Times New Roman" w:cs="Times New Roman" w:eastAsia="Times New Roman" w:hint="default"/>
          <w:spacing w:val="-2"/>
        </w:rPr>
        <w:t>289</w:t>
      </w:r>
      <w:r>
        <w:rPr>
          <w:spacing w:val="-2"/>
        </w:rPr>
        <w:t>号科创大厦</w:t>
      </w:r>
      <w:r>
        <w:rPr>
          <w:rFonts w:ascii="Times New Roman" w:hAnsi="Times New Roman" w:cs="Times New Roman" w:eastAsia="Times New Roman" w:hint="default"/>
          <w:spacing w:val="-2"/>
        </w:rPr>
        <w:t>4</w:t>
      </w:r>
      <w:r>
        <w:rPr>
          <w:spacing w:val="-2"/>
        </w:rPr>
        <w:t>层</w:t>
      </w:r>
      <w:r>
        <w:rPr>
          <w:rFonts w:ascii="Times New Roman" w:hAnsi="Times New Roman" w:cs="Times New Roman" w:eastAsia="Times New Roman" w:hint="default"/>
          <w:spacing w:val="-2"/>
        </w:rPr>
        <w:t>07</w:t>
      </w:r>
      <w:r>
        <w:rPr>
          <w:spacing w:val="-2"/>
        </w:rPr>
        <w:t>号单元，注</w:t>
      </w:r>
    </w:p>
    <w:p>
      <w:pPr>
        <w:pStyle w:val="BodyText"/>
        <w:spacing w:line="391" w:lineRule="auto" w:before="35"/>
        <w:ind w:left="152" w:right="0"/>
        <w:jc w:val="left"/>
      </w:pPr>
      <w:r>
        <w:rPr/>
        <w:t>册号：</w:t>
      </w:r>
      <w:r>
        <w:rPr>
          <w:rFonts w:ascii="Times New Roman" w:hAnsi="Times New Roman" w:cs="Times New Roman" w:eastAsia="Times New Roman" w:hint="default"/>
        </w:rPr>
        <w:t>350205200029101</w:t>
      </w:r>
      <w:r>
        <w:rPr/>
        <w:t>，法定代表人魏鹏，注册资本陆佰陆拾万元整，公司类型：其他有限责任公司，</w:t>
      </w:r>
      <w:r>
        <w:rPr>
          <w:w w:val="100"/>
        </w:rPr>
        <w:t> </w:t>
      </w:r>
      <w:r>
        <w:rPr>
          <w:spacing w:val="-2"/>
        </w:rPr>
        <w:t>经营范围：</w:t>
      </w:r>
      <w:r>
        <w:rPr>
          <w:rFonts w:ascii="Times New Roman" w:hAnsi="Times New Roman" w:cs="Times New Roman" w:eastAsia="Times New Roman" w:hint="default"/>
          <w:spacing w:val="-2"/>
        </w:rPr>
        <w:t>1</w:t>
      </w:r>
      <w:r>
        <w:rPr>
          <w:spacing w:val="-2"/>
        </w:rPr>
        <w:t>、电子产品、电子元器件的研发、生产及技术开发、咨询；</w:t>
      </w:r>
      <w:r>
        <w:rPr>
          <w:rFonts w:ascii="Times New Roman" w:hAnsi="Times New Roman" w:cs="Times New Roman" w:eastAsia="Times New Roman" w:hint="default"/>
          <w:spacing w:val="-2"/>
        </w:rPr>
        <w:t>2</w:t>
      </w:r>
      <w:r>
        <w:rPr>
          <w:spacing w:val="-2"/>
        </w:rPr>
        <w:t>、计算机系统集成、计算机软件</w:t>
      </w:r>
      <w:r>
        <w:rPr>
          <w:spacing w:val="-50"/>
        </w:rPr>
        <w:t> </w:t>
      </w:r>
      <w:r>
        <w:rPr>
          <w:spacing w:val="-50"/>
        </w:rPr>
      </w:r>
      <w:r>
        <w:rPr>
          <w:spacing w:val="-2"/>
        </w:rPr>
        <w:t>开发和销售；</w:t>
      </w:r>
      <w:r>
        <w:rPr>
          <w:rFonts w:ascii="Times New Roman" w:hAnsi="Times New Roman" w:cs="Times New Roman" w:eastAsia="Times New Roman" w:hint="default"/>
          <w:spacing w:val="-2"/>
        </w:rPr>
        <w:t>3</w:t>
      </w:r>
      <w:r>
        <w:rPr>
          <w:spacing w:val="-2"/>
        </w:rPr>
        <w:t>、信息咨询服务（不含证券、期货等须经许可的金融、咨询项目）；</w:t>
      </w:r>
      <w:r>
        <w:rPr>
          <w:rFonts w:ascii="Times New Roman" w:hAnsi="Times New Roman" w:cs="Times New Roman" w:eastAsia="Times New Roman" w:hint="default"/>
          <w:spacing w:val="-2"/>
        </w:rPr>
        <w:t>4</w:t>
      </w:r>
      <w:r>
        <w:rPr>
          <w:spacing w:val="-2"/>
        </w:rPr>
        <w:t>、批发、零售：电子</w:t>
      </w:r>
      <w:r>
        <w:rPr>
          <w:spacing w:val="-48"/>
        </w:rPr>
        <w:t> </w:t>
      </w:r>
      <w:r>
        <w:rPr>
          <w:spacing w:val="-48"/>
        </w:rPr>
      </w:r>
      <w:r>
        <w:rPr>
          <w:spacing w:val="-2"/>
        </w:rPr>
        <w:t>产品、电子元器件、电脑、仪器仪表、磨料模具、机电设备。（以上经营范围涉及许可经营项目的，应在</w:t>
      </w:r>
      <w:r>
        <w:rPr>
          <w:spacing w:val="-50"/>
        </w:rPr>
        <w:t> </w:t>
      </w:r>
      <w:r>
        <w:rPr>
          <w:spacing w:val="-50"/>
        </w:rPr>
      </w:r>
      <w:r>
        <w:rPr/>
        <w:t>取得有关部门的许可后方可经营。）</w:t>
      </w:r>
    </w:p>
    <w:p>
      <w:pPr>
        <w:pStyle w:val="BodyText"/>
        <w:spacing w:line="386" w:lineRule="auto" w:before="61"/>
        <w:ind w:left="573" w:right="0"/>
        <w:jc w:val="left"/>
      </w:pPr>
      <w:r>
        <w:rPr/>
        <w:t>（</w:t>
      </w:r>
      <w:r>
        <w:rPr>
          <w:rFonts w:ascii="Times New Roman" w:hAnsi="Times New Roman" w:cs="Times New Roman" w:eastAsia="Times New Roman" w:hint="default"/>
        </w:rPr>
        <w:t>4</w:t>
      </w:r>
      <w:r>
        <w:rPr/>
        <w:t>）杭州攀克网络技术有限公司：（美亚柏科持有</w:t>
      </w:r>
      <w:r>
        <w:rPr>
          <w:rFonts w:ascii="Times New Roman" w:hAnsi="Times New Roman" w:cs="Times New Roman" w:eastAsia="Times New Roman" w:hint="default"/>
        </w:rPr>
        <w:t>10.71%</w:t>
      </w:r>
      <w:r>
        <w:rPr/>
        <w:t>股权）</w:t>
      </w:r>
      <w:r>
        <w:rPr>
          <w:w w:val="100"/>
        </w:rPr>
        <w:t> </w:t>
      </w:r>
      <w:r>
        <w:rPr>
          <w:spacing w:val="-2"/>
        </w:rPr>
        <w:t>公司成立日期</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23</w:t>
      </w:r>
      <w:r>
        <w:rPr>
          <w:spacing w:val="-2"/>
        </w:rPr>
        <w:t>日，住所：杭州市西湖区教工路</w:t>
      </w:r>
      <w:r>
        <w:rPr>
          <w:rFonts w:ascii="Times New Roman" w:hAnsi="Times New Roman" w:cs="Times New Roman" w:eastAsia="Times New Roman" w:hint="default"/>
          <w:spacing w:val="-2"/>
        </w:rPr>
        <w:t>531</w:t>
      </w:r>
      <w:r>
        <w:rPr>
          <w:spacing w:val="-2"/>
        </w:rPr>
        <w:t>号</w:t>
      </w:r>
      <w:r>
        <w:rPr>
          <w:rFonts w:ascii="Times New Roman" w:hAnsi="Times New Roman" w:cs="Times New Roman" w:eastAsia="Times New Roman" w:hint="default"/>
          <w:spacing w:val="-2"/>
        </w:rPr>
        <w:t>A</w:t>
      </w:r>
      <w:r>
        <w:rPr>
          <w:spacing w:val="-2"/>
        </w:rPr>
        <w:t>号楼第一层西，注册号：</w:t>
      </w:r>
    </w:p>
    <w:p>
      <w:pPr>
        <w:pStyle w:val="BodyText"/>
        <w:spacing w:line="398" w:lineRule="auto" w:before="35"/>
        <w:ind w:left="152" w:right="0"/>
        <w:jc w:val="left"/>
      </w:pPr>
      <w:r>
        <w:rPr>
          <w:rFonts w:ascii="Times New Roman" w:hAnsi="Times New Roman" w:cs="Times New Roman" w:eastAsia="Times New Roman" w:hint="default"/>
        </w:rPr>
        <w:t>330108000009680</w:t>
      </w:r>
      <w:r>
        <w:rPr/>
        <w:t>，法定代表人李银凤，注册资本壹佰贰拾柒万贰仟捌佰元，公司类型：有限责任公司，</w:t>
      </w:r>
      <w:r>
        <w:rPr>
          <w:w w:val="100"/>
        </w:rPr>
        <w:t> </w:t>
      </w:r>
      <w:r>
        <w:rPr>
          <w:spacing w:val="-2"/>
        </w:rPr>
        <w:t>经营范围：许可经营项目：无，一般经营项目：技术开发、技术服务、成果转让；计算机软、硬件，网络</w:t>
      </w:r>
      <w:r>
        <w:rPr>
          <w:spacing w:val="-44"/>
        </w:rPr>
        <w:t> </w:t>
      </w:r>
      <w:r>
        <w:rPr>
          <w:spacing w:val="-44"/>
        </w:rPr>
      </w:r>
      <w:r>
        <w:rPr/>
        <w:t>设备，网络安全系统（上述经营范围不含国家法律法规规定禁止、限制和许可经营的项目。）</w:t>
      </w:r>
    </w:p>
    <w:p>
      <w:pPr>
        <w:pStyle w:val="BodyText"/>
        <w:spacing w:line="240" w:lineRule="auto" w:before="54"/>
        <w:ind w:left="573" w:right="0"/>
        <w:jc w:val="left"/>
      </w:pPr>
      <w:r>
        <w:rPr/>
        <w:t>各子公司及参股公司基本情况如下：</w:t>
      </w:r>
    </w:p>
    <w:p>
      <w:pPr>
        <w:spacing w:line="240" w:lineRule="auto" w:before="8"/>
        <w:rPr>
          <w:rFonts w:ascii="宋体" w:hAnsi="宋体" w:cs="宋体" w:eastAsia="宋体" w:hint="default"/>
          <w:sz w:val="19"/>
          <w:szCs w:val="19"/>
        </w:rPr>
      </w:pPr>
    </w:p>
    <w:p>
      <w:pPr>
        <w:spacing w:before="0"/>
        <w:ind w:left="0" w:right="148"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14"/>
          <w:szCs w:val="14"/>
        </w:rPr>
      </w:pPr>
    </w:p>
    <w:tbl>
      <w:tblPr>
        <w:tblW w:w="0" w:type="auto"/>
        <w:jc w:val="left"/>
        <w:tblInd w:w="145" w:type="dxa"/>
        <w:tblLayout w:type="fixed"/>
        <w:tblCellMar>
          <w:top w:w="0" w:type="dxa"/>
          <w:left w:w="0" w:type="dxa"/>
          <w:bottom w:w="0" w:type="dxa"/>
          <w:right w:w="0" w:type="dxa"/>
        </w:tblCellMar>
        <w:tblLook w:val="01E0"/>
      </w:tblPr>
      <w:tblGrid>
        <w:gridCol w:w="2552"/>
        <w:gridCol w:w="994"/>
        <w:gridCol w:w="708"/>
        <w:gridCol w:w="566"/>
        <w:gridCol w:w="711"/>
        <w:gridCol w:w="566"/>
        <w:gridCol w:w="1135"/>
        <w:gridCol w:w="709"/>
        <w:gridCol w:w="674"/>
        <w:gridCol w:w="958"/>
      </w:tblGrid>
      <w:tr>
        <w:trPr>
          <w:trHeight w:val="734" w:hRule="exact"/>
        </w:trPr>
        <w:tc>
          <w:tcPr>
            <w:tcW w:w="25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821"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40"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7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3"/>
              <w:ind w:left="256" w:right="74" w:hanging="180"/>
              <w:jc w:val="left"/>
              <w:rPr>
                <w:rFonts w:ascii="宋体" w:hAnsi="宋体" w:cs="宋体" w:eastAsia="宋体" w:hint="default"/>
                <w:sz w:val="18"/>
                <w:szCs w:val="18"/>
              </w:rPr>
            </w:pPr>
            <w:r>
              <w:rPr>
                <w:rFonts w:ascii="宋体" w:hAnsi="宋体" w:cs="宋体" w:eastAsia="宋体" w:hint="default"/>
                <w:sz w:val="18"/>
                <w:szCs w:val="18"/>
              </w:rPr>
              <w:t>企业类 型</w:t>
            </w:r>
          </w:p>
        </w:tc>
        <w:tc>
          <w:tcPr>
            <w:tcW w:w="5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7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3"/>
              <w:ind w:left="167" w:right="75" w:hanging="89"/>
              <w:jc w:val="left"/>
              <w:rPr>
                <w:rFonts w:ascii="宋体" w:hAnsi="宋体" w:cs="宋体" w:eastAsia="宋体" w:hint="default"/>
                <w:sz w:val="18"/>
                <w:szCs w:val="18"/>
              </w:rPr>
            </w:pPr>
            <w:r>
              <w:rPr>
                <w:rFonts w:ascii="宋体" w:hAnsi="宋体" w:cs="宋体" w:eastAsia="宋体" w:hint="default"/>
                <w:sz w:val="18"/>
                <w:szCs w:val="18"/>
              </w:rPr>
              <w:t>法定代 表人</w:t>
            </w:r>
          </w:p>
        </w:tc>
        <w:tc>
          <w:tcPr>
            <w:tcW w:w="5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3"/>
              <w:ind w:left="184" w:right="5"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113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20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7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3"/>
              <w:ind w:left="122" w:right="75"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3"/>
              <w:ind w:left="14" w:right="14" w:firstLine="45"/>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 比例</w:t>
            </w:r>
            <w:r>
              <w:rPr>
                <w:rFonts w:ascii="Times New Roman" w:hAnsi="Times New Roman" w:cs="Times New Roman" w:eastAsia="Times New Roman" w:hint="default"/>
                <w:sz w:val="18"/>
                <w:szCs w:val="18"/>
              </w:rPr>
              <w:t>(%)</w:t>
            </w:r>
          </w:p>
        </w:tc>
        <w:tc>
          <w:tcPr>
            <w:tcW w:w="9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3"/>
              <w:ind w:left="379"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740"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9"/>
              <w:ind w:left="4" w:right="10"/>
              <w:jc w:val="left"/>
              <w:rPr>
                <w:rFonts w:ascii="宋体" w:hAnsi="宋体" w:cs="宋体" w:eastAsia="宋体" w:hint="default"/>
                <w:sz w:val="18"/>
                <w:szCs w:val="18"/>
              </w:rPr>
            </w:pPr>
            <w:r>
              <w:rPr>
                <w:rFonts w:ascii="宋体" w:hAnsi="宋体" w:cs="宋体" w:eastAsia="宋体" w:hint="default"/>
                <w:sz w:val="18"/>
                <w:szCs w:val="18"/>
              </w:rPr>
              <w:t>厦门市美亚柏科信息安全研究所 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9"/>
              <w:ind w:left="2" w:right="149"/>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刘祥南</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10,000,000.00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sz w:val="18"/>
              </w:rPr>
              <w:t>100%</w:t>
            </w:r>
          </w:p>
        </w:tc>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Times New Roman" w:hAnsi="Times New Roman" w:cs="Times New Roman" w:eastAsia="Times New Roman" w:hint="default"/>
                <w:sz w:val="18"/>
                <w:szCs w:val="18"/>
              </w:rPr>
            </w:pPr>
            <w:r>
              <w:rPr>
                <w:rFonts w:ascii="Times New Roman"/>
                <w:sz w:val="18"/>
              </w:rPr>
              <w:t>76929158-0</w:t>
            </w:r>
          </w:p>
        </w:tc>
      </w:tr>
      <w:tr>
        <w:trPr>
          <w:trHeight w:val="739"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杭州创聚科技有限公司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149"/>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白鹭斌</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10,000,000.00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z w:val="18"/>
              </w:rPr>
              <w:t>100%</w:t>
            </w:r>
          </w:p>
        </w:tc>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67397208-2</w:t>
            </w:r>
          </w:p>
        </w:tc>
      </w:tr>
      <w:tr>
        <w:trPr>
          <w:trHeight w:val="739"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厦门美亚中敏电子科技有限公司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149"/>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魏鹏</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6,600,000.00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67.73%</w:t>
            </w:r>
          </w:p>
        </w:tc>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67.73%</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57503894-X</w:t>
            </w:r>
          </w:p>
        </w:tc>
      </w:tr>
      <w:tr>
        <w:trPr>
          <w:trHeight w:val="739"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杭州攀克网络技术有限公司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149"/>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李银凤</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1,272,800.00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10.71%</w:t>
            </w:r>
          </w:p>
        </w:tc>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10.71%</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66802902-2</w:t>
            </w:r>
          </w:p>
        </w:tc>
      </w:tr>
    </w:tbl>
    <w:p>
      <w:pPr>
        <w:pStyle w:val="BodyText"/>
        <w:spacing w:line="240" w:lineRule="auto" w:before="64"/>
        <w:ind w:left="573" w:right="0"/>
        <w:jc w:val="left"/>
      </w:pPr>
      <w:r>
        <w:rPr/>
        <w:t>报告期内，公司合并报表范围内的控股公司经营情况如下：</w:t>
      </w:r>
    </w:p>
    <w:p>
      <w:pPr>
        <w:spacing w:line="240" w:lineRule="auto" w:before="4"/>
        <w:rPr>
          <w:rFonts w:ascii="宋体" w:hAnsi="宋体" w:cs="宋体" w:eastAsia="宋体" w:hint="default"/>
          <w:sz w:val="16"/>
          <w:szCs w:val="16"/>
        </w:rPr>
      </w:pPr>
    </w:p>
    <w:p>
      <w:pPr>
        <w:spacing w:before="44"/>
        <w:ind w:left="0" w:right="148"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14"/>
          <w:szCs w:val="14"/>
        </w:rPr>
      </w:pPr>
    </w:p>
    <w:tbl>
      <w:tblPr>
        <w:tblW w:w="0" w:type="auto"/>
        <w:jc w:val="left"/>
        <w:tblInd w:w="138" w:type="dxa"/>
        <w:tblLayout w:type="fixed"/>
        <w:tblCellMar>
          <w:top w:w="0" w:type="dxa"/>
          <w:left w:w="0" w:type="dxa"/>
          <w:bottom w:w="0" w:type="dxa"/>
          <w:right w:w="0" w:type="dxa"/>
        </w:tblCellMar>
        <w:tblLook w:val="01E0"/>
      </w:tblPr>
      <w:tblGrid>
        <w:gridCol w:w="3330"/>
        <w:gridCol w:w="1529"/>
        <w:gridCol w:w="1589"/>
        <w:gridCol w:w="1625"/>
        <w:gridCol w:w="1586"/>
      </w:tblGrid>
      <w:tr>
        <w:trPr>
          <w:trHeight w:val="422" w:hRule="exact"/>
        </w:trPr>
        <w:tc>
          <w:tcPr>
            <w:tcW w:w="333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52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8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8"/>
              <w:ind w:left="52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8"/>
              <w:ind w:left="53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58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8"/>
              <w:ind w:left="520" w:right="0"/>
              <w:jc w:val="left"/>
              <w:rPr>
                <w:rFonts w:ascii="宋体" w:hAnsi="宋体" w:cs="宋体" w:eastAsia="宋体" w:hint="default"/>
                <w:sz w:val="18"/>
                <w:szCs w:val="18"/>
              </w:rPr>
            </w:pPr>
            <w:r>
              <w:rPr>
                <w:rFonts w:ascii="宋体" w:hAnsi="宋体" w:cs="宋体" w:eastAsia="宋体" w:hint="default"/>
                <w:sz w:val="18"/>
                <w:szCs w:val="18"/>
              </w:rPr>
              <w:t>净资产</w:t>
            </w:r>
          </w:p>
        </w:tc>
      </w:tr>
      <w:tr>
        <w:trPr>
          <w:trHeight w:val="420" w:hRule="exact"/>
        </w:trPr>
        <w:tc>
          <w:tcPr>
            <w:tcW w:w="333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厦门市美亚柏科信息安全研究所有限公司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12,763,377.82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500,821.16</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12,703,807.93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9,977,562.39</w:t>
            </w:r>
          </w:p>
        </w:tc>
      </w:tr>
      <w:tr>
        <w:trPr>
          <w:trHeight w:val="422" w:hRule="exact"/>
        </w:trPr>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杭州创聚科技有限公司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3,834,026.10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-731,331.54</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11,063,871.35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9,266,679.86</w:t>
            </w:r>
          </w:p>
        </w:tc>
      </w:tr>
      <w:tr>
        <w:trPr>
          <w:trHeight w:val="422" w:hRule="exact"/>
        </w:trPr>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厦门美亚中敏电子科技有限公司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3,294,574.58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627,937.20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7,738,171.75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7,239,429.51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注：厦门美亚中敏电子科技有限公司合并日确定为</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日，合并日后收入为</w:t>
      </w:r>
      <w:r>
        <w:rPr>
          <w:rFonts w:ascii="Times New Roman" w:hAnsi="Times New Roman" w:cs="Times New Roman" w:eastAsia="Times New Roman" w:hint="default"/>
          <w:sz w:val="18"/>
          <w:szCs w:val="18"/>
        </w:rPr>
        <w:t>1,370,086.04</w:t>
      </w:r>
      <w:r>
        <w:rPr>
          <w:rFonts w:ascii="宋体" w:hAnsi="宋体" w:cs="宋体" w:eastAsia="宋体" w:hint="default"/>
          <w:sz w:val="18"/>
          <w:szCs w:val="18"/>
        </w:rPr>
        <w:t>元，净利润</w:t>
      </w:r>
      <w:r>
        <w:rPr>
          <w:rFonts w:ascii="Times New Roman" w:hAnsi="Times New Roman" w:cs="Times New Roman" w:eastAsia="Times New Roman" w:hint="default"/>
          <w:sz w:val="18"/>
          <w:szCs w:val="18"/>
        </w:rPr>
        <w:t>408,150.91</w:t>
      </w:r>
      <w:r>
        <w:rPr>
          <w:rFonts w:ascii="宋体" w:hAnsi="宋体" w:cs="宋体" w:eastAsia="宋体" w:hint="default"/>
          <w:sz w:val="18"/>
          <w:szCs w:val="18"/>
        </w:rPr>
        <w:t>元。</w:t>
      </w:r>
    </w:p>
    <w:p>
      <w:pPr>
        <w:pStyle w:val="BodyText"/>
        <w:spacing w:line="240" w:lineRule="auto" w:before="159"/>
        <w:ind w:left="573" w:right="0"/>
        <w:jc w:val="left"/>
      </w:pPr>
      <w:r>
        <w:rPr/>
        <w:t>报告期内，公司参股公司杭州攀克网络技术有限公司经营情况（未经审计）如下：</w:t>
      </w:r>
    </w:p>
    <w:p>
      <w:pPr>
        <w:spacing w:after="0" w:line="240" w:lineRule="auto"/>
        <w:jc w:val="left"/>
        <w:sectPr>
          <w:pgSz w:w="11910" w:h="16840"/>
          <w:pgMar w:header="877" w:footer="1227" w:top="1100" w:bottom="1420" w:left="980" w:right="980"/>
        </w:sectPr>
      </w:pPr>
    </w:p>
    <w:p>
      <w:pPr>
        <w:spacing w:line="240" w:lineRule="auto" w:before="11"/>
        <w:rPr>
          <w:rFonts w:ascii="宋体" w:hAnsi="宋体" w:cs="宋体" w:eastAsia="宋体" w:hint="default"/>
          <w:sz w:val="21"/>
          <w:szCs w:val="21"/>
        </w:rPr>
      </w:pPr>
    </w:p>
    <w:p>
      <w:pPr>
        <w:spacing w:before="44"/>
        <w:ind w:left="0" w:right="208"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7"/>
        <w:rPr>
          <w:rFonts w:ascii="宋体" w:hAnsi="宋体" w:cs="宋体" w:eastAsia="宋体" w:hint="default"/>
          <w:sz w:val="15"/>
          <w:szCs w:val="15"/>
        </w:rPr>
      </w:pPr>
    </w:p>
    <w:tbl>
      <w:tblPr>
        <w:tblW w:w="0" w:type="auto"/>
        <w:jc w:val="left"/>
        <w:tblInd w:w="138" w:type="dxa"/>
        <w:tblLayout w:type="fixed"/>
        <w:tblCellMar>
          <w:top w:w="0" w:type="dxa"/>
          <w:left w:w="0" w:type="dxa"/>
          <w:bottom w:w="0" w:type="dxa"/>
          <w:right w:w="0" w:type="dxa"/>
        </w:tblCellMar>
        <w:tblLook w:val="01E0"/>
      </w:tblPr>
      <w:tblGrid>
        <w:gridCol w:w="3330"/>
        <w:gridCol w:w="1529"/>
        <w:gridCol w:w="1589"/>
        <w:gridCol w:w="1625"/>
        <w:gridCol w:w="1586"/>
      </w:tblGrid>
      <w:tr>
        <w:trPr>
          <w:trHeight w:val="394" w:hRule="exact"/>
        </w:trPr>
        <w:tc>
          <w:tcPr>
            <w:tcW w:w="333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52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4"/>
              <w:ind w:left="39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8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4"/>
              <w:ind w:left="52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4"/>
              <w:ind w:left="53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58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4"/>
              <w:ind w:left="520" w:right="0"/>
              <w:jc w:val="left"/>
              <w:rPr>
                <w:rFonts w:ascii="宋体" w:hAnsi="宋体" w:cs="宋体" w:eastAsia="宋体" w:hint="default"/>
                <w:sz w:val="18"/>
                <w:szCs w:val="18"/>
              </w:rPr>
            </w:pPr>
            <w:r>
              <w:rPr>
                <w:rFonts w:ascii="宋体" w:hAnsi="宋体" w:cs="宋体" w:eastAsia="宋体" w:hint="default"/>
                <w:sz w:val="18"/>
                <w:szCs w:val="18"/>
              </w:rPr>
              <w:t>净资产</w:t>
            </w:r>
          </w:p>
        </w:tc>
      </w:tr>
      <w:tr>
        <w:trPr>
          <w:trHeight w:val="437" w:hRule="exact"/>
        </w:trPr>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 w:right="0"/>
              <w:jc w:val="left"/>
              <w:rPr>
                <w:rFonts w:ascii="宋体" w:hAnsi="宋体" w:cs="宋体" w:eastAsia="宋体" w:hint="default"/>
                <w:sz w:val="18"/>
                <w:szCs w:val="18"/>
              </w:rPr>
            </w:pPr>
            <w:r>
              <w:rPr>
                <w:rFonts w:ascii="宋体" w:hAnsi="宋体" w:cs="宋体" w:eastAsia="宋体" w:hint="default"/>
                <w:sz w:val="18"/>
                <w:szCs w:val="18"/>
              </w:rPr>
              <w:t>杭州攀克网络技术有限公司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03" w:right="0"/>
              <w:jc w:val="left"/>
              <w:rPr>
                <w:rFonts w:ascii="Times New Roman" w:hAnsi="Times New Roman" w:cs="Times New Roman" w:eastAsia="Times New Roman" w:hint="default"/>
                <w:sz w:val="18"/>
                <w:szCs w:val="18"/>
              </w:rPr>
            </w:pPr>
            <w:r>
              <w:rPr>
                <w:rFonts w:ascii="Times New Roman"/>
                <w:sz w:val="18"/>
              </w:rPr>
              <w:t>932,364.07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05" w:right="0"/>
              <w:jc w:val="left"/>
              <w:rPr>
                <w:rFonts w:ascii="Times New Roman" w:hAnsi="Times New Roman" w:cs="Times New Roman" w:eastAsia="Times New Roman" w:hint="default"/>
                <w:sz w:val="18"/>
                <w:szCs w:val="18"/>
              </w:rPr>
            </w:pPr>
            <w:r>
              <w:rPr>
                <w:rFonts w:ascii="Times New Roman"/>
                <w:sz w:val="18"/>
              </w:rPr>
              <w:t>-289,970.91</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67" w:right="0"/>
              <w:jc w:val="left"/>
              <w:rPr>
                <w:rFonts w:ascii="Times New Roman" w:hAnsi="Times New Roman" w:cs="Times New Roman" w:eastAsia="Times New Roman" w:hint="default"/>
                <w:sz w:val="18"/>
                <w:szCs w:val="18"/>
              </w:rPr>
            </w:pPr>
            <w:r>
              <w:rPr>
                <w:rFonts w:ascii="Times New Roman"/>
                <w:sz w:val="18"/>
              </w:rPr>
              <w:t>2,617,224.80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31" w:right="0"/>
              <w:jc w:val="left"/>
              <w:rPr>
                <w:rFonts w:ascii="Times New Roman" w:hAnsi="Times New Roman" w:cs="Times New Roman" w:eastAsia="Times New Roman" w:hint="default"/>
                <w:sz w:val="18"/>
                <w:szCs w:val="18"/>
              </w:rPr>
            </w:pPr>
            <w:r>
              <w:rPr>
                <w:rFonts w:ascii="Times New Roman"/>
                <w:sz w:val="18"/>
              </w:rPr>
              <w:t>1,791,820.11</w:t>
            </w:r>
          </w:p>
        </w:tc>
      </w:tr>
    </w:tbl>
    <w:p>
      <w:pPr>
        <w:spacing w:line="240" w:lineRule="auto" w:before="3"/>
        <w:rPr>
          <w:rFonts w:ascii="宋体" w:hAnsi="宋体" w:cs="宋体" w:eastAsia="宋体" w:hint="default"/>
          <w:sz w:val="19"/>
          <w:szCs w:val="19"/>
        </w:rPr>
      </w:pPr>
    </w:p>
    <w:p>
      <w:pPr>
        <w:pStyle w:val="Heading3"/>
        <w:spacing w:line="568" w:lineRule="auto" w:before="36"/>
        <w:ind w:left="573" w:right="6792" w:hanging="421"/>
        <w:jc w:val="left"/>
        <w:rPr>
          <w:rFonts w:ascii="宋体" w:hAnsi="宋体" w:cs="宋体" w:eastAsia="宋体" w:hint="default"/>
          <w:b w:val="0"/>
          <w:bCs w:val="0"/>
        </w:rPr>
      </w:pPr>
      <w:r>
        <w:rPr>
          <w:rFonts w:ascii="Times New Roman" w:hAnsi="Times New Roman" w:cs="Times New Roman" w:eastAsia="Times New Roman" w:hint="default"/>
          <w:spacing w:val="-1"/>
        </w:rPr>
        <w:t>7</w:t>
      </w:r>
      <w:r>
        <w:rPr>
          <w:spacing w:val="-1"/>
        </w:rPr>
        <w:t>、公司控制的特殊目的主体情况</w:t>
      </w:r>
      <w:r>
        <w:rPr>
          <w:spacing w:val="-91"/>
        </w:rPr>
        <w:t> </w:t>
      </w:r>
      <w:r>
        <w:rPr>
          <w:spacing w:val="-91"/>
        </w:rPr>
      </w:r>
      <w:r>
        <w:rPr>
          <w:rFonts w:ascii="宋体" w:hAnsi="宋体" w:cs="宋体" w:eastAsia="宋体" w:hint="default"/>
          <w:b w:val="0"/>
          <w:bCs w:val="0"/>
        </w:rPr>
        <w:t>无。</w:t>
      </w:r>
    </w:p>
    <w:p>
      <w:pPr>
        <w:pStyle w:val="Heading2"/>
        <w:spacing w:line="240" w:lineRule="auto" w:before="103"/>
        <w:ind w:right="99"/>
        <w:jc w:val="left"/>
        <w:rPr>
          <w:b w:val="0"/>
          <w:bCs w:val="0"/>
        </w:rPr>
      </w:pPr>
      <w:r>
        <w:rPr/>
        <w:t>三、公司未来发展的展望</w:t>
      </w:r>
      <w:r>
        <w:rPr>
          <w:b w:val="0"/>
          <w:bCs w:val="0"/>
        </w:rPr>
      </w:r>
    </w:p>
    <w:p>
      <w:pPr>
        <w:spacing w:line="240" w:lineRule="auto" w:before="10"/>
        <w:rPr>
          <w:rFonts w:ascii="宋体" w:hAnsi="宋体" w:cs="宋体" w:eastAsia="宋体" w:hint="default"/>
          <w:b/>
          <w:bCs/>
          <w:sz w:val="30"/>
          <w:szCs w:val="30"/>
        </w:rPr>
      </w:pPr>
    </w:p>
    <w:p>
      <w:pPr>
        <w:pStyle w:val="BodyText"/>
        <w:spacing w:line="410" w:lineRule="auto"/>
        <w:ind w:left="573" w:right="99"/>
        <w:jc w:val="left"/>
      </w:pPr>
      <w:r>
        <w:rPr/>
        <w:t>（一）行业发展展望</w:t>
      </w:r>
      <w:r>
        <w:rPr>
          <w:w w:val="100"/>
        </w:rPr>
        <w:t> </w:t>
      </w:r>
      <w:r>
        <w:rPr>
          <w:spacing w:val="-2"/>
        </w:rPr>
        <w:t>在国内政策、法律环境方面，</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月，第十一届全国人大常务委员会第五次会议通过的《刑事诉</w:t>
      </w:r>
    </w:p>
    <w:p>
      <w:pPr>
        <w:pStyle w:val="BodyText"/>
        <w:spacing w:line="400" w:lineRule="auto" w:before="12"/>
        <w:ind w:left="152" w:right="99"/>
        <w:jc w:val="left"/>
      </w:pPr>
      <w:r>
        <w:rPr>
          <w:spacing w:val="-2"/>
        </w:rPr>
        <w:t>讼法修正案》，</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月，第十一届全国人大常务委员会第二十八次会议通过的《民事诉讼法修正案》，</w:t>
      </w:r>
      <w:r>
        <w:rPr>
          <w:spacing w:val="-36"/>
        </w:rPr>
        <w:t> </w:t>
      </w:r>
      <w:r>
        <w:rPr>
          <w:spacing w:val="-36"/>
        </w:rPr>
      </w:r>
      <w:r>
        <w:rPr>
          <w:spacing w:val="-2"/>
        </w:rPr>
        <w:t>先后将电子数据列为法定证据类型，说明涉及电子证据的违法犯罪事件对于社会安全的影响越来越大，国</w:t>
      </w:r>
      <w:r>
        <w:rPr>
          <w:spacing w:val="-43"/>
        </w:rPr>
        <w:t> </w:t>
      </w:r>
      <w:r>
        <w:rPr>
          <w:spacing w:val="-43"/>
        </w:rPr>
      </w:r>
      <w:r>
        <w:rPr>
          <w:spacing w:val="-2"/>
        </w:rPr>
        <w:t>家有关部门已经意识到电子证据的重要性，相关法律法规正在逐步完善。电子数据入法，一方面将进一步</w:t>
      </w:r>
      <w:r>
        <w:rPr>
          <w:spacing w:val="-44"/>
        </w:rPr>
        <w:t> </w:t>
      </w:r>
      <w:r>
        <w:rPr>
          <w:spacing w:val="-44"/>
        </w:rPr>
      </w:r>
      <w:r>
        <w:rPr>
          <w:spacing w:val="-2"/>
        </w:rPr>
        <w:t>推动司法部门电子取证产品和服务的需求，另一方面，也将促使社会公众对电子数据的证据意识的不断提</w:t>
      </w:r>
      <w:r>
        <w:rPr>
          <w:spacing w:val="-44"/>
        </w:rPr>
        <w:t> </w:t>
      </w:r>
      <w:r>
        <w:rPr>
          <w:spacing w:val="-44"/>
        </w:rPr>
      </w:r>
      <w:r>
        <w:rPr>
          <w:spacing w:val="-2"/>
        </w:rPr>
        <w:t>高，从而促进企事业单位和民用领域电子数据取证产品及服务市场的快速发展。此外，</w:t>
      </w:r>
      <w:r>
        <w:rPr>
          <w:rFonts w:ascii="Times New Roman" w:hAnsi="Times New Roman" w:cs="Times New Roman" w:eastAsia="Times New Roman" w:hint="default"/>
          <w:spacing w:val="-2"/>
        </w:rPr>
        <w:t>2010</w:t>
      </w:r>
      <w:r>
        <w:rPr>
          <w:spacing w:val="-2"/>
        </w:rPr>
        <w:t>年国家工商总</w:t>
      </w:r>
      <w:r>
        <w:rPr>
          <w:spacing w:val="-38"/>
        </w:rPr>
        <w:t> </w:t>
      </w:r>
      <w:r>
        <w:rPr>
          <w:spacing w:val="-38"/>
        </w:rPr>
      </w:r>
      <w:r>
        <w:rPr>
          <w:spacing w:val="-2"/>
        </w:rPr>
        <w:t>局颁布了《网络商品交易及有关服务行为管理暂行办法》，随着细则的出台，工商市场网络商品交易管理</w:t>
      </w:r>
      <w:r>
        <w:rPr>
          <w:spacing w:val="-47"/>
        </w:rPr>
        <w:t> </w:t>
      </w:r>
      <w:r>
        <w:rPr>
          <w:spacing w:val="-47"/>
        </w:rPr>
      </w:r>
      <w:r>
        <w:rPr/>
        <w:t>市场在慢慢起步。</w:t>
      </w:r>
    </w:p>
    <w:p>
      <w:pPr>
        <w:pStyle w:val="BodyText"/>
        <w:spacing w:line="408" w:lineRule="auto" w:before="52"/>
        <w:ind w:left="152" w:right="206" w:firstLine="420"/>
        <w:jc w:val="both"/>
      </w:pPr>
      <w:r>
        <w:rPr>
          <w:spacing w:val="-2"/>
        </w:rPr>
        <w:t>在相关行业技术发展方面，随着移动互联网的发展，以微博、社交网络为首的信息传播媒介为舆情信</w:t>
      </w:r>
      <w:r>
        <w:rPr>
          <w:w w:val="100"/>
        </w:rPr>
        <w:t> </w:t>
      </w:r>
      <w:r>
        <w:rPr>
          <w:spacing w:val="-2"/>
        </w:rPr>
        <w:t>息的传播提供了前所未有的便捷途径，使得舆情传播速度越来越快、传播范围越来越广，影响程度越来越</w:t>
      </w:r>
      <w:r>
        <w:rPr>
          <w:spacing w:val="-43"/>
        </w:rPr>
        <w:t> </w:t>
      </w:r>
      <w:r>
        <w:rPr>
          <w:spacing w:val="-43"/>
        </w:rPr>
      </w:r>
      <w:r>
        <w:rPr>
          <w:spacing w:val="-2"/>
        </w:rPr>
        <w:t>高，给国家相关监管部门的工作也提出了新的挑战，同时也为信息安全市场的发展提供了新的机遇。移动</w:t>
      </w:r>
      <w:r>
        <w:rPr>
          <w:spacing w:val="-43"/>
        </w:rPr>
        <w:t> </w:t>
      </w:r>
      <w:r>
        <w:rPr>
          <w:spacing w:val="-43"/>
        </w:rPr>
      </w:r>
      <w:r>
        <w:rPr>
          <w:spacing w:val="-2"/>
        </w:rPr>
        <w:t>互联网、物联网、云计算、大数据分析等新技术的发展，将引领电子数据取证行业和网络信息安全行业朝</w:t>
      </w:r>
      <w:r>
        <w:rPr>
          <w:spacing w:val="-47"/>
        </w:rPr>
        <w:t> </w:t>
      </w:r>
      <w:r>
        <w:rPr>
          <w:spacing w:val="-47"/>
        </w:rPr>
      </w:r>
      <w:r>
        <w:rPr/>
        <w:t>着新技术方向发展，将进一步打开电子数据取证和网络信息安全领域产品和服务的市场空间。</w:t>
      </w:r>
    </w:p>
    <w:p>
      <w:pPr>
        <w:pStyle w:val="BodyText"/>
        <w:spacing w:line="408" w:lineRule="auto" w:before="46"/>
        <w:ind w:left="152" w:right="206" w:firstLine="420"/>
        <w:jc w:val="both"/>
      </w:pPr>
      <w:r>
        <w:rPr>
          <w:spacing w:val="-2"/>
        </w:rPr>
        <w:t>在产品发展方向上，电子证据介质取证产品、实验室和鉴定服务稳步增长，移动设备取证和数据挖掘</w:t>
      </w:r>
      <w:r>
        <w:rPr>
          <w:w w:val="100"/>
        </w:rPr>
        <w:t> </w:t>
      </w:r>
      <w:r>
        <w:rPr>
          <w:spacing w:val="-2"/>
        </w:rPr>
        <w:t>增长迅猛：智能手机的普及与第三代、第四代移动通讯技术的更新换代使以手机和平板电脑为代表的移动</w:t>
      </w:r>
      <w:r>
        <w:rPr>
          <w:spacing w:val="-43"/>
        </w:rPr>
        <w:t> </w:t>
      </w:r>
      <w:r>
        <w:rPr>
          <w:spacing w:val="-43"/>
        </w:rPr>
      </w:r>
      <w:r>
        <w:rPr>
          <w:spacing w:val="-2"/>
        </w:rPr>
        <w:t>设备逐渐成为电子证据重要载体之一；“大数据”时代的到来和各地“智慧城市”建设步伐的加快，带来</w:t>
      </w:r>
      <w:r>
        <w:rPr>
          <w:spacing w:val="-42"/>
        </w:rPr>
        <w:t> </w:t>
      </w:r>
      <w:r>
        <w:rPr>
          <w:spacing w:val="-42"/>
        </w:rPr>
      </w:r>
      <w:r>
        <w:rPr>
          <w:spacing w:val="-2"/>
        </w:rPr>
        <w:t>的是数据爆炸式的增长，随之而来的是更多海量数据处理和数据挖掘的需求。目前，已有越来越多的厂商</w:t>
      </w:r>
      <w:r>
        <w:rPr>
          <w:spacing w:val="-43"/>
        </w:rPr>
        <w:t> </w:t>
      </w:r>
      <w:r>
        <w:rPr>
          <w:spacing w:val="-43"/>
        </w:rPr>
      </w:r>
      <w:r>
        <w:rPr>
          <w:spacing w:val="-2"/>
        </w:rPr>
        <w:t>将重心转移到了海量数据挖掘与数据分析上，与之相关的云计算等行业也已逐渐成为电子数据取证行业关</w:t>
      </w:r>
      <w:r>
        <w:rPr>
          <w:spacing w:val="-43"/>
        </w:rPr>
        <w:t> </w:t>
      </w:r>
      <w:r>
        <w:rPr>
          <w:spacing w:val="-43"/>
        </w:rPr>
      </w:r>
      <w:r>
        <w:rPr/>
        <w:t>注的热点。</w:t>
      </w:r>
    </w:p>
    <w:p>
      <w:pPr>
        <w:pStyle w:val="BodyText"/>
        <w:spacing w:line="408" w:lineRule="auto" w:before="46"/>
        <w:ind w:left="573" w:right="99"/>
        <w:jc w:val="left"/>
      </w:pPr>
      <w:r>
        <w:rPr/>
        <w:t>（二）市场竞争格局</w:t>
      </w:r>
      <w:r>
        <w:rPr>
          <w:w w:val="100"/>
        </w:rPr>
        <w:t> </w:t>
      </w:r>
      <w:r>
        <w:rPr>
          <w:spacing w:val="-2"/>
        </w:rPr>
        <w:t>近两年来在国内电子数据取证行业发展迅速，从产品方面看，电子数据取证产品类型不断完善，更多</w:t>
      </w:r>
    </w:p>
    <w:p>
      <w:pPr>
        <w:spacing w:after="0" w:line="408" w:lineRule="auto"/>
        <w:jc w:val="left"/>
        <w:sectPr>
          <w:footerReference w:type="default" r:id="rId21"/>
          <w:pgSz w:w="11910" w:h="16840"/>
          <w:pgMar w:footer="1227" w:header="877" w:top="1100" w:bottom="1420" w:left="980" w:right="920"/>
          <w:pgNumType w:start="29"/>
        </w:sectPr>
      </w:pPr>
    </w:p>
    <w:p>
      <w:pPr>
        <w:spacing w:line="240" w:lineRule="auto" w:before="9"/>
        <w:rPr>
          <w:rFonts w:ascii="宋体" w:hAnsi="宋体" w:cs="宋体" w:eastAsia="宋体" w:hint="default"/>
          <w:sz w:val="26"/>
          <w:szCs w:val="26"/>
        </w:rPr>
      </w:pPr>
    </w:p>
    <w:p>
      <w:pPr>
        <w:pStyle w:val="BodyText"/>
        <w:spacing w:line="408" w:lineRule="auto" w:before="36"/>
        <w:ind w:left="152" w:right="206"/>
        <w:jc w:val="both"/>
      </w:pPr>
      <w:r>
        <w:rPr>
          <w:spacing w:val="-2"/>
        </w:rPr>
        <w:t>的国外产品提供商开始进入国内市场，与此同时，国内也涌现出了相当数量的新兴电子数据取证产品研发</w:t>
      </w:r>
      <w:r>
        <w:rPr>
          <w:spacing w:val="-43"/>
        </w:rPr>
        <w:t> </w:t>
      </w:r>
      <w:r>
        <w:rPr>
          <w:spacing w:val="-43"/>
        </w:rPr>
      </w:r>
      <w:r>
        <w:rPr>
          <w:spacing w:val="-2"/>
        </w:rPr>
        <w:t>企业，方向转向侧重于开发符合国内取证调查实际的产品，市场呈现出了竞争日益激烈、行业划分更为细</w:t>
      </w:r>
      <w:r>
        <w:rPr>
          <w:spacing w:val="-43"/>
        </w:rPr>
        <w:t> </w:t>
      </w:r>
      <w:r>
        <w:rPr>
          <w:spacing w:val="-43"/>
        </w:rPr>
      </w:r>
      <w:r>
        <w:rPr/>
        <w:t>致的态势。</w:t>
      </w:r>
    </w:p>
    <w:p>
      <w:pPr>
        <w:pStyle w:val="BodyText"/>
        <w:spacing w:line="408" w:lineRule="auto" w:before="46"/>
        <w:ind w:left="152" w:right="206" w:firstLine="420"/>
        <w:jc w:val="both"/>
      </w:pPr>
      <w:r>
        <w:rPr>
          <w:spacing w:val="-2"/>
        </w:rPr>
        <w:t>公司是国内电子数据取证行业的龙头企业，具有先发优势和强大的研发实力，在国内电子数据取证产</w:t>
      </w:r>
      <w:r>
        <w:rPr>
          <w:w w:val="100"/>
        </w:rPr>
        <w:t> </w:t>
      </w:r>
      <w:r>
        <w:rPr>
          <w:spacing w:val="-2"/>
        </w:rPr>
        <w:t>品市场占有率保持领先。公司云计算中心的建成，率先将云计算技术引入取证行业，“取证云”、“搜索</w:t>
      </w:r>
      <w:r>
        <w:rPr>
          <w:spacing w:val="-46"/>
        </w:rPr>
        <w:t> </w:t>
      </w:r>
      <w:r>
        <w:rPr>
          <w:spacing w:val="-46"/>
        </w:rPr>
      </w:r>
      <w:r>
        <w:rPr>
          <w:spacing w:val="-2"/>
        </w:rPr>
        <w:t>云”、“公证云”、“企业调查取证”等服务项目的建设和推广，将有利于进一步巩固和提升公司在行业</w:t>
      </w:r>
      <w:r>
        <w:rPr>
          <w:spacing w:val="-47"/>
        </w:rPr>
        <w:t> </w:t>
      </w:r>
      <w:r>
        <w:rPr>
          <w:spacing w:val="-47"/>
        </w:rPr>
      </w:r>
      <w:r>
        <w:rPr/>
        <w:t>中的综合竞争力和市场地位。</w:t>
      </w:r>
    </w:p>
    <w:p>
      <w:pPr>
        <w:pStyle w:val="BodyText"/>
        <w:spacing w:line="408" w:lineRule="auto" w:before="46"/>
        <w:ind w:left="152" w:right="206" w:firstLine="420"/>
        <w:jc w:val="both"/>
      </w:pPr>
      <w:r>
        <w:rPr>
          <w:spacing w:val="-2"/>
        </w:rPr>
        <w:t>在互联网信息搜索分析方面，舆情搜索和分析的市场需求日益扩大，并从传统执法单位向更大范围的</w:t>
      </w:r>
      <w:r>
        <w:rPr>
          <w:w w:val="100"/>
        </w:rPr>
        <w:t> </w:t>
      </w:r>
      <w:r>
        <w:rPr>
          <w:spacing w:val="-2"/>
        </w:rPr>
        <w:t>企事业单位等方向扩展。传统市场的竞争格局上，公司主要优势仍在于对公安系统客户业务流程的熟悉和</w:t>
      </w:r>
      <w:r>
        <w:rPr>
          <w:spacing w:val="-42"/>
        </w:rPr>
        <w:t> </w:t>
      </w:r>
      <w:r>
        <w:rPr>
          <w:spacing w:val="-42"/>
        </w:rPr>
      </w:r>
      <w:r>
        <w:rPr>
          <w:spacing w:val="-2"/>
        </w:rPr>
        <w:t>多年积累的服务经验。在其他政府监管部门及更广泛的企事业单位领域，公司美亚舆情网的推出，将舆情</w:t>
      </w:r>
      <w:r>
        <w:rPr>
          <w:spacing w:val="-44"/>
        </w:rPr>
        <w:t> </w:t>
      </w:r>
      <w:r>
        <w:rPr>
          <w:spacing w:val="-44"/>
        </w:rPr>
      </w:r>
      <w:r>
        <w:rPr/>
        <w:t>服务推广至企事业单位及民用领域，还需要不断加强研发和推广。</w:t>
      </w:r>
    </w:p>
    <w:p>
      <w:pPr>
        <w:pStyle w:val="BodyText"/>
        <w:spacing w:line="408" w:lineRule="auto" w:before="46"/>
        <w:ind w:left="152" w:right="206" w:firstLine="420"/>
        <w:jc w:val="both"/>
      </w:pPr>
      <w:r>
        <w:rPr>
          <w:spacing w:val="-2"/>
        </w:rPr>
        <w:t>在电子数据司法鉴定与数字知识产权保护方面，公司电子数据司法鉴定服务品牌的影响力和竞争优势</w:t>
      </w:r>
      <w:r>
        <w:rPr>
          <w:w w:val="100"/>
        </w:rPr>
        <w:t> </w:t>
      </w:r>
      <w:r>
        <w:rPr>
          <w:spacing w:val="-2"/>
        </w:rPr>
        <w:t>依然保持；数字知识产权保护面临的市场竞争压力有所增加，但新增的竞争者还是主要集中在传统维权领</w:t>
      </w:r>
      <w:r>
        <w:rPr>
          <w:spacing w:val="-42"/>
        </w:rPr>
        <w:t> </w:t>
      </w:r>
      <w:r>
        <w:rPr>
          <w:spacing w:val="-42"/>
        </w:rPr>
      </w:r>
      <w:r>
        <w:rPr/>
        <w:t>域，在以技术支撑来提供网络维权方面，公司依然保持模式创新优势。</w:t>
      </w:r>
    </w:p>
    <w:p>
      <w:pPr>
        <w:pStyle w:val="BodyText"/>
        <w:spacing w:line="386" w:lineRule="auto" w:before="46"/>
        <w:ind w:left="573" w:right="99"/>
        <w:jc w:val="left"/>
      </w:pPr>
      <w:r>
        <w:rPr/>
        <w:t>（三）公司未来发展规划及</w:t>
      </w:r>
      <w:r>
        <w:rPr>
          <w:rFonts w:ascii="Times New Roman" w:hAnsi="Times New Roman" w:cs="Times New Roman" w:eastAsia="Times New Roman" w:hint="default"/>
        </w:rPr>
        <w:t>2013</w:t>
      </w:r>
      <w:r>
        <w:rPr/>
        <w:t>年主要工作计划</w:t>
      </w:r>
      <w:r>
        <w:rPr>
          <w:w w:val="100"/>
        </w:rPr>
        <w:t> </w:t>
      </w:r>
      <w:r>
        <w:rPr>
          <w:spacing w:val="-2"/>
        </w:rPr>
        <w:t>公司的长期发展战略是成为全球领先的电子数据取证与安全产品及服务提供商。</w:t>
      </w:r>
      <w:r>
        <w:rPr>
          <w:rFonts w:ascii="Times New Roman" w:hAnsi="Times New Roman" w:cs="Times New Roman" w:eastAsia="Times New Roman" w:hint="default"/>
          <w:spacing w:val="-2"/>
        </w:rPr>
        <w:t>2013</w:t>
      </w:r>
      <w:r>
        <w:rPr>
          <w:spacing w:val="-2"/>
        </w:rPr>
        <w:t>年公司市场销售</w:t>
      </w:r>
    </w:p>
    <w:p>
      <w:pPr>
        <w:pStyle w:val="BodyText"/>
        <w:spacing w:line="408" w:lineRule="auto" w:before="36"/>
        <w:ind w:left="152" w:right="99"/>
        <w:jc w:val="left"/>
      </w:pPr>
      <w:r>
        <w:rPr>
          <w:spacing w:val="-5"/>
        </w:rPr>
        <w:t>及产品研发方向，首先围绕警用装备和信息化发展，其次沿着行业拓展、技术更新、渠道下沉等三个维度，</w:t>
      </w:r>
      <w:r>
        <w:rPr>
          <w:spacing w:val="-7"/>
        </w:rPr>
        <w:t> </w:t>
      </w:r>
      <w:r>
        <w:rPr>
          <w:spacing w:val="-7"/>
        </w:rPr>
      </w:r>
      <w:r>
        <w:rPr>
          <w:spacing w:val="-2"/>
        </w:rPr>
        <w:t>对外加大市场推广力度，对内加大研发投入，提倡“高效创新”的企业理念，鼓励公司内部合作，鼓励公</w:t>
      </w:r>
      <w:r>
        <w:rPr>
          <w:spacing w:val="-42"/>
        </w:rPr>
        <w:t> </w:t>
      </w:r>
      <w:r>
        <w:rPr>
          <w:spacing w:val="-42"/>
        </w:rPr>
      </w:r>
      <w:r>
        <w:rPr/>
        <w:t>司对外合作，进一步提升公司综合实力。</w:t>
      </w:r>
    </w:p>
    <w:p>
      <w:pPr>
        <w:pStyle w:val="BodyText"/>
        <w:spacing w:line="240" w:lineRule="auto" w:before="46"/>
        <w:ind w:left="573" w:right="99"/>
        <w:jc w:val="left"/>
      </w:pPr>
      <w:r>
        <w:rPr>
          <w:rFonts w:ascii="Times New Roman" w:hAnsi="Times New Roman" w:cs="Times New Roman" w:eastAsia="Times New Roman" w:hint="default"/>
        </w:rPr>
        <w:t>1</w:t>
      </w:r>
      <w:r>
        <w:rPr/>
        <w:t>、市场营销</w:t>
      </w:r>
    </w:p>
    <w:p>
      <w:pPr>
        <w:pStyle w:val="BodyText"/>
        <w:spacing w:line="398" w:lineRule="auto" w:before="177"/>
        <w:ind w:left="152" w:right="206" w:firstLine="420"/>
        <w:jc w:val="both"/>
      </w:pPr>
      <w:r>
        <w:rPr>
          <w:rFonts w:ascii="Times New Roman" w:hAnsi="Times New Roman" w:cs="Times New Roman" w:eastAsia="Times New Roman" w:hint="default"/>
          <w:spacing w:val="-2"/>
        </w:rPr>
        <w:t>2013</w:t>
      </w:r>
      <w:r>
        <w:rPr>
          <w:spacing w:val="-2"/>
        </w:rPr>
        <w:t>年，公司将主要围绕两个方向拓展市场，一个是继续拓展执法部门市场，尤其是检察院、工商系</w:t>
      </w:r>
      <w:r>
        <w:rPr>
          <w:w w:val="100"/>
        </w:rPr>
        <w:t> </w:t>
      </w:r>
      <w:r>
        <w:rPr>
          <w:spacing w:val="-2"/>
        </w:rPr>
        <w:t>统、税务系统等新兴市场，并逐步往民用市场推广舆情服务及公证云服务。另一个方向是研发适合这些行</w:t>
      </w:r>
      <w:r>
        <w:rPr>
          <w:spacing w:val="-43"/>
        </w:rPr>
        <w:t> </w:t>
      </w:r>
      <w:r>
        <w:rPr>
          <w:spacing w:val="-43"/>
        </w:rPr>
      </w:r>
      <w:r>
        <w:rPr/>
        <w:t>业市场的相关产品，包括各种警用装备以及信息化产品。主要措施包括：</w:t>
      </w:r>
    </w:p>
    <w:p>
      <w:pPr>
        <w:pStyle w:val="BodyText"/>
        <w:spacing w:line="386" w:lineRule="auto" w:before="55"/>
        <w:ind w:left="152" w:right="290" w:firstLine="420"/>
        <w:jc w:val="both"/>
      </w:pPr>
      <w:r>
        <w:rPr>
          <w:rFonts w:ascii="Times New Roman" w:hAnsi="Times New Roman" w:cs="Times New Roman" w:eastAsia="Times New Roman" w:hint="default"/>
          <w:spacing w:val="-2"/>
        </w:rPr>
        <w:t>1</w:t>
      </w:r>
      <w:r>
        <w:rPr>
          <w:spacing w:val="-2"/>
        </w:rPr>
        <w:t>）成立刑检事业部，扩充销售力量，专门针对公安刑侦和检察院行业进行拓展，同时引入刑事科学</w:t>
      </w:r>
      <w:r>
        <w:rPr>
          <w:w w:val="100"/>
        </w:rPr>
        <w:t> </w:t>
      </w:r>
      <w:r>
        <w:rPr/>
        <w:t>技术的相关产品，完善公司产品线，提高市场竞争力。</w:t>
      </w:r>
    </w:p>
    <w:p>
      <w:pPr>
        <w:pStyle w:val="BodyText"/>
        <w:spacing w:line="398" w:lineRule="auto" w:before="65"/>
        <w:ind w:left="152" w:right="206" w:firstLine="526"/>
        <w:jc w:val="both"/>
      </w:pPr>
      <w:r>
        <w:rPr>
          <w:rFonts w:ascii="Times New Roman" w:hAnsi="Times New Roman" w:cs="Times New Roman" w:eastAsia="Times New Roman" w:hint="default"/>
          <w:spacing w:val="-2"/>
        </w:rPr>
        <w:t>2</w:t>
      </w:r>
      <w:r>
        <w:rPr>
          <w:spacing w:val="-2"/>
        </w:rPr>
        <w:t>）销售渠道向区县下沉使得对基层的技术支持和市场宣传需求迫切，</w:t>
      </w:r>
      <w:r>
        <w:rPr>
          <w:rFonts w:ascii="Times New Roman" w:hAnsi="Times New Roman" w:cs="Times New Roman" w:eastAsia="Times New Roman" w:hint="default"/>
          <w:spacing w:val="-2"/>
        </w:rPr>
        <w:t>2013</w:t>
      </w:r>
      <w:r>
        <w:rPr>
          <w:spacing w:val="-2"/>
        </w:rPr>
        <w:t>年将继续加大办事处的建</w:t>
      </w:r>
      <w:r>
        <w:rPr>
          <w:w w:val="100"/>
        </w:rPr>
        <w:t> </w:t>
      </w:r>
      <w:r>
        <w:rPr>
          <w:spacing w:val="-2"/>
        </w:rPr>
        <w:t>设力度，已有办事处继续推进能力建设，加强市场销售和技术支持力量。调整办事处布局，重点加强几个</w:t>
      </w:r>
      <w:r>
        <w:rPr>
          <w:spacing w:val="-50"/>
        </w:rPr>
        <w:t> </w:t>
      </w:r>
      <w:r>
        <w:rPr>
          <w:spacing w:val="-50"/>
        </w:rPr>
      </w:r>
      <w:r>
        <w:rPr/>
        <w:t>大区分支机构的建设，形成覆盖全国的市场销售和技术支持网络。</w:t>
      </w:r>
    </w:p>
    <w:p>
      <w:pPr>
        <w:pStyle w:val="BodyText"/>
        <w:spacing w:line="240" w:lineRule="auto" w:before="54"/>
        <w:ind w:left="573" w:right="99"/>
        <w:jc w:val="left"/>
      </w:pPr>
      <w:r>
        <w:rPr>
          <w:rFonts w:ascii="Times New Roman" w:hAnsi="Times New Roman" w:cs="Times New Roman" w:eastAsia="Times New Roman" w:hint="default"/>
        </w:rPr>
        <w:t>3</w:t>
      </w:r>
      <w:r>
        <w:rPr/>
        <w:t>）加快投资并购步伐，通过整合、利用新的合作伙伴的优势资源，提升公司产品功能和性能，共享</w:t>
      </w:r>
    </w:p>
    <w:p>
      <w:pPr>
        <w:spacing w:after="0" w:line="240" w:lineRule="auto"/>
        <w:jc w:val="left"/>
        <w:sectPr>
          <w:pgSz w:w="11910" w:h="16840"/>
          <w:pgMar w:header="877" w:footer="1227" w:top="1100" w:bottom="1420" w:left="980" w:right="920"/>
        </w:sectPr>
      </w:pPr>
    </w:p>
    <w:p>
      <w:pPr>
        <w:spacing w:line="240" w:lineRule="auto" w:before="9"/>
        <w:rPr>
          <w:rFonts w:ascii="宋体" w:hAnsi="宋体" w:cs="宋体" w:eastAsia="宋体" w:hint="default"/>
          <w:sz w:val="26"/>
          <w:szCs w:val="26"/>
        </w:rPr>
      </w:pPr>
    </w:p>
    <w:p>
      <w:pPr>
        <w:pStyle w:val="BodyText"/>
        <w:spacing w:line="240" w:lineRule="auto" w:before="36"/>
        <w:ind w:left="152" w:right="0"/>
        <w:jc w:val="left"/>
      </w:pPr>
      <w:r>
        <w:rPr/>
        <w:t>渠道资源，达成产品在新市场快速拓展的目的。</w:t>
      </w:r>
    </w:p>
    <w:p>
      <w:pPr>
        <w:spacing w:line="240" w:lineRule="auto" w:before="10"/>
        <w:rPr>
          <w:rFonts w:ascii="宋体" w:hAnsi="宋体" w:cs="宋体" w:eastAsia="宋体" w:hint="default"/>
          <w:sz w:val="14"/>
          <w:szCs w:val="14"/>
        </w:rPr>
      </w:pPr>
    </w:p>
    <w:p>
      <w:pPr>
        <w:pStyle w:val="BodyText"/>
        <w:spacing w:line="386" w:lineRule="auto"/>
        <w:ind w:left="152" w:right="230" w:firstLine="420"/>
        <w:jc w:val="both"/>
      </w:pPr>
      <w:r>
        <w:rPr>
          <w:rFonts w:ascii="Times New Roman" w:hAnsi="Times New Roman" w:cs="Times New Roman" w:eastAsia="Times New Roman" w:hint="default"/>
          <w:spacing w:val="-2"/>
        </w:rPr>
        <w:t>4</w:t>
      </w:r>
      <w:r>
        <w:rPr>
          <w:spacing w:val="-2"/>
        </w:rPr>
        <w:t>）加强与国内外知名企业的合作，积极引入国内外先进技术与产品，丰富产品体系，以便为用户提</w:t>
      </w:r>
      <w:r>
        <w:rPr>
          <w:w w:val="100"/>
        </w:rPr>
        <w:t> </w:t>
      </w:r>
      <w:r>
        <w:rPr/>
        <w:t>供更完善的整体解决方案。</w:t>
      </w:r>
    </w:p>
    <w:p>
      <w:pPr>
        <w:pStyle w:val="BodyText"/>
        <w:spacing w:line="240" w:lineRule="auto" w:before="65"/>
        <w:ind w:left="573" w:right="0"/>
        <w:jc w:val="left"/>
      </w:pPr>
      <w:r>
        <w:rPr>
          <w:rFonts w:ascii="Times New Roman" w:hAnsi="Times New Roman" w:cs="Times New Roman" w:eastAsia="Times New Roman" w:hint="default"/>
        </w:rPr>
        <w:t>2</w:t>
      </w:r>
      <w:r>
        <w:rPr/>
        <w:t>、核心产品及技术研发</w:t>
      </w:r>
    </w:p>
    <w:p>
      <w:pPr>
        <w:pStyle w:val="BodyText"/>
        <w:spacing w:line="405" w:lineRule="auto" w:before="177"/>
        <w:ind w:left="152" w:right="146" w:firstLine="420"/>
        <w:jc w:val="both"/>
      </w:pPr>
      <w:r>
        <w:rPr>
          <w:rFonts w:ascii="Times New Roman" w:hAnsi="Times New Roman" w:cs="Times New Roman" w:eastAsia="Times New Roman" w:hint="default"/>
          <w:spacing w:val="-2"/>
        </w:rPr>
        <w:t>2013</w:t>
      </w:r>
      <w:r>
        <w:rPr>
          <w:spacing w:val="-2"/>
        </w:rPr>
        <w:t>年，公司对核心研发团队组织架构进行调整，在原有两个研究院的基础上成立第三个研究院，专</w:t>
      </w:r>
      <w:r>
        <w:rPr>
          <w:w w:val="100"/>
        </w:rPr>
        <w:t> </w:t>
      </w:r>
      <w:r>
        <w:rPr>
          <w:spacing w:val="-2"/>
        </w:rPr>
        <w:t>注舆情产品的技术研发和服务推广，尤其在民用产品及服务方面将会加大投入，力争将舆情服务继续做大</w:t>
      </w:r>
      <w:r>
        <w:rPr>
          <w:spacing w:val="-43"/>
        </w:rPr>
        <w:t> </w:t>
      </w:r>
      <w:r>
        <w:rPr>
          <w:spacing w:val="-43"/>
        </w:rPr>
      </w:r>
      <w:r>
        <w:rPr>
          <w:spacing w:val="-2"/>
        </w:rPr>
        <w:t>做强。组织架构调整后，公司三个研究院的研发方向将分别重点围绕“硬件产品装备化”、“软件产品平</w:t>
      </w:r>
      <w:r>
        <w:rPr>
          <w:spacing w:val="-42"/>
        </w:rPr>
        <w:t> </w:t>
      </w:r>
      <w:r>
        <w:rPr>
          <w:spacing w:val="-42"/>
        </w:rPr>
      </w:r>
      <w:r>
        <w:rPr>
          <w:spacing w:val="-2"/>
        </w:rPr>
        <w:t>台化”、“服务产品资源化”三个方向展开。在保持并扩大传统业务领域产品技术领先优势的前提下，加</w:t>
      </w:r>
      <w:r>
        <w:rPr>
          <w:spacing w:val="-42"/>
        </w:rPr>
        <w:t> </w:t>
      </w:r>
      <w:r>
        <w:rPr>
          <w:spacing w:val="-42"/>
        </w:rPr>
      </w:r>
      <w:r>
        <w:rPr>
          <w:spacing w:val="-2"/>
        </w:rPr>
        <w:t>大移动互联网、数据挖掘、视频取证几个方向产品研发的投入。继续深化公司软件产品平台化理念，对现</w:t>
      </w:r>
      <w:r>
        <w:rPr>
          <w:spacing w:val="-49"/>
        </w:rPr>
        <w:t> </w:t>
      </w:r>
      <w:r>
        <w:rPr>
          <w:spacing w:val="-49"/>
        </w:rPr>
      </w:r>
      <w:r>
        <w:rPr>
          <w:spacing w:val="-2"/>
        </w:rPr>
        <w:t>有平台升级，优化产品结构，改善客户体验。完善研发管理系统建设，进一步提高研发效率。采用快速响</w:t>
      </w:r>
      <w:r>
        <w:rPr>
          <w:spacing w:val="-43"/>
        </w:rPr>
        <w:t> </w:t>
      </w:r>
      <w:r>
        <w:rPr>
          <w:spacing w:val="-43"/>
        </w:rPr>
      </w:r>
      <w:r>
        <w:rPr>
          <w:spacing w:val="-2"/>
        </w:rPr>
        <w:t>应开发流程，缩短研发周期。针对不同行业用户需求开发新产品，结合现有拳头产品，形成差异化、系列</w:t>
      </w:r>
      <w:r>
        <w:rPr>
          <w:spacing w:val="-43"/>
        </w:rPr>
        <w:t> </w:t>
      </w:r>
      <w:r>
        <w:rPr>
          <w:spacing w:val="-43"/>
        </w:rPr>
      </w:r>
      <w:r>
        <w:rPr/>
        <w:t>化产品体系，为客户提供更为丰富且全面的解决方案。</w:t>
      </w:r>
    </w:p>
    <w:p>
      <w:pPr>
        <w:pStyle w:val="BodyText"/>
        <w:spacing w:line="240" w:lineRule="auto" w:before="48"/>
        <w:ind w:left="573" w:right="0"/>
        <w:jc w:val="left"/>
      </w:pPr>
      <w:r>
        <w:rPr>
          <w:rFonts w:ascii="Times New Roman" w:hAnsi="Times New Roman" w:cs="Times New Roman" w:eastAsia="Times New Roman" w:hint="default"/>
        </w:rPr>
        <w:t>3</w:t>
      </w:r>
      <w:r>
        <w:rPr/>
        <w:t>、技术支持及服务推广</w:t>
      </w:r>
    </w:p>
    <w:p>
      <w:pPr>
        <w:pStyle w:val="BodyText"/>
        <w:spacing w:line="386" w:lineRule="auto" w:before="177"/>
        <w:ind w:left="152" w:right="146" w:firstLine="420"/>
        <w:jc w:val="both"/>
      </w:pPr>
      <w:r>
        <w:rPr>
          <w:rFonts w:ascii="Times New Roman" w:hAnsi="Times New Roman" w:cs="Times New Roman" w:eastAsia="Times New Roman" w:hint="default"/>
          <w:spacing w:val="-2"/>
        </w:rPr>
        <w:t>2013</w:t>
      </w:r>
      <w:r>
        <w:rPr>
          <w:spacing w:val="-2"/>
        </w:rPr>
        <w:t>年，公司将售前售后技术支持团队有效整合，同时也将技术支持和产品线紧密结合，进一步提高</w:t>
      </w:r>
      <w:r>
        <w:rPr>
          <w:w w:val="100"/>
        </w:rPr>
        <w:t> </w:t>
      </w:r>
      <w:r>
        <w:rPr/>
        <w:t>工作效率，提升用户体验。</w:t>
      </w:r>
    </w:p>
    <w:p>
      <w:pPr>
        <w:pStyle w:val="BodyText"/>
        <w:spacing w:line="386" w:lineRule="auto" w:before="65"/>
        <w:ind w:left="152" w:right="124" w:firstLine="420"/>
        <w:jc w:val="both"/>
      </w:pPr>
      <w:r>
        <w:rPr>
          <w:rFonts w:ascii="Times New Roman" w:hAnsi="Times New Roman" w:cs="Times New Roman" w:eastAsia="Times New Roman" w:hint="default"/>
          <w:spacing w:val="-2"/>
        </w:rPr>
        <w:t>2013</w:t>
      </w:r>
      <w:r>
        <w:rPr>
          <w:spacing w:val="-2"/>
        </w:rPr>
        <w:t>年，培训中心为提升讲师专业技能，形成讲师等级管理。培训形式充分利用美亚柏科网络学院，</w:t>
      </w:r>
      <w:r>
        <w:rPr>
          <w:w w:val="100"/>
        </w:rPr>
        <w:t> </w:t>
      </w:r>
      <w:r>
        <w:rPr>
          <w:spacing w:val="-2"/>
        </w:rPr>
        <w:t>形成线上、线下的教学互补。并积极引进外聘专家，完善师资平台。</w:t>
      </w:r>
      <w:r>
        <w:rPr>
          <w:rFonts w:ascii="Times New Roman" w:hAnsi="Times New Roman" w:cs="Times New Roman" w:eastAsia="Times New Roman" w:hint="default"/>
          <w:spacing w:val="-2"/>
        </w:rPr>
        <w:t>2013</w:t>
      </w:r>
      <w:r>
        <w:rPr>
          <w:spacing w:val="-2"/>
        </w:rPr>
        <w:t>年将对培训教材标准化，行业课</w:t>
      </w:r>
      <w:r>
        <w:rPr>
          <w:spacing w:val="-38"/>
        </w:rPr>
        <w:t> </w:t>
      </w:r>
      <w:r>
        <w:rPr>
          <w:spacing w:val="-38"/>
        </w:rPr>
      </w:r>
      <w:r>
        <w:rPr/>
        <w:t>件体系化、并细分开发工作，针对不同行业开发相应的行业案例。</w:t>
      </w:r>
    </w:p>
    <w:p>
      <w:pPr>
        <w:pStyle w:val="BodyText"/>
        <w:spacing w:line="398" w:lineRule="auto" w:before="65"/>
        <w:ind w:left="152" w:right="146" w:firstLine="420"/>
        <w:jc w:val="both"/>
      </w:pPr>
      <w:r>
        <w:rPr>
          <w:rFonts w:ascii="Times New Roman" w:hAnsi="Times New Roman" w:cs="Times New Roman" w:eastAsia="Times New Roman" w:hint="default"/>
          <w:spacing w:val="-2"/>
        </w:rPr>
        <w:t>2013</w:t>
      </w:r>
      <w:r>
        <w:rPr>
          <w:spacing w:val="-2"/>
        </w:rPr>
        <w:t>年，电子数据司法鉴定与数字知识产权保护服务将更加开放，不仅会积极与各类知识产权保护机</w:t>
      </w:r>
      <w:r>
        <w:rPr>
          <w:w w:val="100"/>
        </w:rPr>
        <w:t> </w:t>
      </w:r>
      <w:r>
        <w:rPr>
          <w:spacing w:val="-2"/>
        </w:rPr>
        <w:t>构、律师事务所等紧密合作，还会继续在行业标准制定、行业明星品牌树立、精品案件积累以及标杆服务</w:t>
      </w:r>
      <w:r>
        <w:rPr>
          <w:spacing w:val="-50"/>
        </w:rPr>
        <w:t> </w:t>
      </w:r>
      <w:r>
        <w:rPr>
          <w:spacing w:val="-50"/>
        </w:rPr>
      </w:r>
      <w:r>
        <w:rPr/>
        <w:t>项目的打造方面进一步推进。</w:t>
      </w:r>
    </w:p>
    <w:p>
      <w:pPr>
        <w:pStyle w:val="BodyText"/>
        <w:spacing w:line="386" w:lineRule="auto" w:before="54"/>
        <w:ind w:left="152" w:right="146" w:firstLine="420"/>
        <w:jc w:val="both"/>
      </w:pPr>
      <w:r>
        <w:rPr>
          <w:rFonts w:ascii="Times New Roman" w:hAnsi="Times New Roman" w:cs="Times New Roman" w:eastAsia="Times New Roman" w:hint="default"/>
          <w:spacing w:val="-2"/>
        </w:rPr>
        <w:t>2013</w:t>
      </w:r>
      <w:r>
        <w:rPr>
          <w:spacing w:val="-2"/>
        </w:rPr>
        <w:t>年，公证云的主要目标依然是注册用户数的积累以及活跃用户比率的提升。此外，打造典型性的</w:t>
      </w:r>
      <w:r>
        <w:rPr>
          <w:w w:val="100"/>
        </w:rPr>
        <w:t> </w:t>
      </w:r>
      <w:r>
        <w:rPr/>
        <w:t>行业应用也将成为</w:t>
      </w:r>
      <w:r>
        <w:rPr>
          <w:rFonts w:ascii="Times New Roman" w:hAnsi="Times New Roman" w:cs="Times New Roman" w:eastAsia="Times New Roman" w:hint="default"/>
        </w:rPr>
        <w:t>2013</w:t>
      </w:r>
      <w:r>
        <w:rPr/>
        <w:t>年的重点推进方向。</w:t>
      </w:r>
    </w:p>
    <w:p>
      <w:pPr>
        <w:pStyle w:val="BodyText"/>
        <w:spacing w:line="240" w:lineRule="auto" w:before="36"/>
        <w:ind w:left="573" w:right="0"/>
        <w:jc w:val="left"/>
      </w:pPr>
      <w:r>
        <w:rPr>
          <w:rFonts w:ascii="Times New Roman" w:hAnsi="Times New Roman" w:cs="Times New Roman" w:eastAsia="Times New Roman" w:hint="default"/>
        </w:rPr>
        <w:t>4</w:t>
      </w:r>
      <w:r>
        <w:rPr/>
        <w:t>、人力资源</w:t>
      </w:r>
    </w:p>
    <w:p>
      <w:pPr>
        <w:pStyle w:val="BodyText"/>
        <w:spacing w:line="398" w:lineRule="auto" w:before="177"/>
        <w:ind w:left="152" w:right="146" w:firstLine="420"/>
        <w:jc w:val="both"/>
      </w:pPr>
      <w:r>
        <w:rPr>
          <w:rFonts w:ascii="Times New Roman" w:hAnsi="Times New Roman" w:cs="Times New Roman" w:eastAsia="Times New Roman" w:hint="default"/>
          <w:spacing w:val="-2"/>
        </w:rPr>
        <w:t>2013</w:t>
      </w:r>
      <w:r>
        <w:rPr>
          <w:spacing w:val="-2"/>
        </w:rPr>
        <w:t>年，公司在人才引进方面将稳步投入，并适时调整组织架构，实现矩阵管理与事业部相结合，以</w:t>
      </w:r>
      <w:r>
        <w:rPr>
          <w:w w:val="100"/>
        </w:rPr>
        <w:t> </w:t>
      </w:r>
      <w:r>
        <w:rPr>
          <w:spacing w:val="-2"/>
        </w:rPr>
        <w:t>适应产品与行业的特点。继续整合公司专家资源，充分发挥高端人才对公司重大决策的作用，提高公司的</w:t>
      </w:r>
      <w:r>
        <w:rPr>
          <w:spacing w:val="-43"/>
        </w:rPr>
        <w:t> </w:t>
      </w:r>
      <w:r>
        <w:rPr>
          <w:spacing w:val="-43"/>
        </w:rPr>
      </w:r>
      <w:r>
        <w:rPr/>
        <w:t>决策水平，以保证公司的正确发展方向。</w:t>
      </w:r>
    </w:p>
    <w:p>
      <w:pPr>
        <w:pStyle w:val="BodyText"/>
        <w:spacing w:line="408" w:lineRule="auto" w:before="54"/>
        <w:ind w:left="152" w:right="151" w:firstLine="420"/>
        <w:jc w:val="both"/>
      </w:pPr>
      <w:r>
        <w:rPr/>
        <w:t>在绩效考核方面将逐步导入战略绩效管理模式，紧密结合公司战略目标及预算管理设定各项考核指</w:t>
      </w:r>
      <w:r>
        <w:rPr>
          <w:w w:val="100"/>
        </w:rPr>
        <w:t> </w:t>
      </w:r>
      <w:r>
        <w:rPr>
          <w:spacing w:val="-2"/>
        </w:rPr>
        <w:t>标，进一步推行工作目标责任制，形成综合考评与目标考核、短期考核与长期考核、过程考核与结果考核</w:t>
      </w:r>
    </w:p>
    <w:p>
      <w:pPr>
        <w:spacing w:after="0" w:line="408" w:lineRule="auto"/>
        <w:jc w:val="both"/>
        <w:sectPr>
          <w:pgSz w:w="11910" w:h="16840"/>
          <w:pgMar w:header="877" w:footer="1227" w:top="1100" w:bottom="1420" w:left="980" w:right="980"/>
        </w:sectPr>
      </w:pPr>
    </w:p>
    <w:p>
      <w:pPr>
        <w:spacing w:line="240" w:lineRule="auto" w:before="9"/>
        <w:rPr>
          <w:rFonts w:ascii="宋体" w:hAnsi="宋体" w:cs="宋体" w:eastAsia="宋体" w:hint="default"/>
          <w:sz w:val="26"/>
          <w:szCs w:val="26"/>
        </w:rPr>
      </w:pPr>
    </w:p>
    <w:p>
      <w:pPr>
        <w:pStyle w:val="BodyText"/>
        <w:spacing w:line="408" w:lineRule="auto" w:before="36"/>
        <w:ind w:left="573" w:right="99" w:hanging="421"/>
        <w:jc w:val="left"/>
      </w:pPr>
      <w:r>
        <w:rPr/>
        <w:t>相结合的考核体系，使得各级员工能准确定位，变被动考核为主动管理，促进上下一致，实现共赢。</w:t>
      </w:r>
      <w:r>
        <w:rPr>
          <w:w w:val="100"/>
        </w:rPr>
        <w:t> </w:t>
      </w:r>
      <w:r>
        <w:rPr>
          <w:spacing w:val="-2"/>
        </w:rPr>
        <w:t>在薪酬福利方面，公司将结合职务管理体系，完善薪酬架构，保证核心员工的综合收入水平达到同行</w:t>
      </w:r>
    </w:p>
    <w:p>
      <w:pPr>
        <w:pStyle w:val="BodyText"/>
        <w:spacing w:line="408" w:lineRule="auto" w:before="46"/>
        <w:ind w:left="573" w:right="99" w:hanging="421"/>
        <w:jc w:val="left"/>
      </w:pPr>
      <w:r>
        <w:rPr/>
        <w:t>业较高水平，加强薪酬与绩效的结合，达到激励的效果。</w:t>
      </w:r>
      <w:r>
        <w:rPr>
          <w:w w:val="100"/>
        </w:rPr>
        <w:t> </w:t>
      </w:r>
      <w:r>
        <w:rPr>
          <w:spacing w:val="-2"/>
        </w:rPr>
        <w:t>在内部培训方面，积极构建学习型组织，着力于公司内部各种知识的积累与分享，加强重点岗位的专</w:t>
      </w:r>
    </w:p>
    <w:p>
      <w:pPr>
        <w:pStyle w:val="BodyText"/>
        <w:spacing w:line="408" w:lineRule="auto" w:before="46"/>
        <w:ind w:left="152" w:right="99"/>
        <w:jc w:val="left"/>
      </w:pPr>
      <w:r>
        <w:rPr>
          <w:spacing w:val="-2"/>
        </w:rPr>
        <w:t>业培训。着手准备内部培训管理系统，规范管理课程资源、讲师资源，对重点岗位、关键人群的培训做到</w:t>
      </w:r>
      <w:r>
        <w:rPr>
          <w:spacing w:val="-43"/>
        </w:rPr>
        <w:t> </w:t>
      </w:r>
      <w:r>
        <w:rPr>
          <w:spacing w:val="-43"/>
        </w:rPr>
      </w:r>
      <w:r>
        <w:rPr/>
        <w:t>有据可查。</w:t>
      </w:r>
    </w:p>
    <w:p>
      <w:pPr>
        <w:pStyle w:val="BodyText"/>
        <w:spacing w:line="240" w:lineRule="auto" w:before="46"/>
        <w:ind w:left="573" w:right="99"/>
        <w:jc w:val="left"/>
      </w:pPr>
      <w:r>
        <w:rPr>
          <w:rFonts w:ascii="Times New Roman" w:hAnsi="Times New Roman" w:cs="Times New Roman" w:eastAsia="Times New Roman" w:hint="default"/>
        </w:rPr>
        <w:t>5</w:t>
      </w:r>
      <w:r>
        <w:rPr/>
        <w:t>、公司管理</w:t>
      </w:r>
    </w:p>
    <w:p>
      <w:pPr>
        <w:pStyle w:val="BodyText"/>
        <w:spacing w:line="403" w:lineRule="auto" w:before="177"/>
        <w:ind w:left="152" w:right="99" w:firstLine="420"/>
        <w:jc w:val="left"/>
      </w:pPr>
      <w:r>
        <w:rPr>
          <w:rFonts w:ascii="Times New Roman" w:hAnsi="Times New Roman" w:cs="Times New Roman" w:eastAsia="Times New Roman" w:hint="default"/>
          <w:spacing w:val="-2"/>
        </w:rPr>
        <w:t>2013</w:t>
      </w:r>
      <w:r>
        <w:rPr>
          <w:spacing w:val="-2"/>
        </w:rPr>
        <w:t>年，公司将继续加强内控和审计工作，审计工作目标将以公司的经营和管理为中心，按照公司的</w:t>
      </w:r>
      <w:r>
        <w:rPr>
          <w:w w:val="100"/>
        </w:rPr>
        <w:t> </w:t>
      </w:r>
      <w:r>
        <w:rPr>
          <w:spacing w:val="-2"/>
        </w:rPr>
        <w:t>年度工作思路，进行财务审计、制度与流程审计、资金审计、其他重大事项审计等，为董事会履行服务与</w:t>
      </w:r>
      <w:r>
        <w:rPr>
          <w:spacing w:val="-43"/>
        </w:rPr>
        <w:t> </w:t>
      </w:r>
      <w:r>
        <w:rPr>
          <w:spacing w:val="-43"/>
        </w:rPr>
      </w:r>
      <w:r>
        <w:rPr>
          <w:spacing w:val="-2"/>
        </w:rPr>
        <w:t>监督职能，对内部控制和风险管理的有效性、财务信息的真实性和完整性以及经营活动运行的效率和效果</w:t>
      </w:r>
      <w:r>
        <w:rPr>
          <w:spacing w:val="-42"/>
        </w:rPr>
        <w:t> </w:t>
      </w:r>
      <w:r>
        <w:rPr>
          <w:spacing w:val="-42"/>
        </w:rPr>
      </w:r>
      <w:r>
        <w:rPr>
          <w:spacing w:val="-5"/>
        </w:rPr>
        <w:t>等开展评价活动。推行内控与咨询管理工作，从战略管理方面、风险控制方面、人员考核方面等进行把控，</w:t>
      </w:r>
      <w:r>
        <w:rPr>
          <w:spacing w:val="-11"/>
        </w:rPr>
        <w:t> </w:t>
      </w:r>
      <w:r>
        <w:rPr>
          <w:spacing w:val="-11"/>
        </w:rPr>
      </w:r>
      <w:r>
        <w:rPr/>
        <w:t>促进计划工作的开展与完善，减少经营风险和财务风险。</w:t>
      </w:r>
    </w:p>
    <w:p>
      <w:pPr>
        <w:pStyle w:val="BodyText"/>
        <w:spacing w:line="240" w:lineRule="auto" w:before="50"/>
        <w:ind w:left="573" w:right="99"/>
        <w:jc w:val="left"/>
      </w:pPr>
      <w:r>
        <w:rPr>
          <w:rFonts w:ascii="Times New Roman" w:hAnsi="Times New Roman" w:cs="Times New Roman" w:eastAsia="Times New Roman" w:hint="default"/>
        </w:rPr>
        <w:t>6</w:t>
      </w:r>
      <w:r>
        <w:rPr/>
        <w:t>、投资并购</w:t>
      </w:r>
    </w:p>
    <w:p>
      <w:pPr>
        <w:pStyle w:val="BodyText"/>
        <w:spacing w:line="398" w:lineRule="auto" w:before="177"/>
        <w:ind w:left="152" w:right="206" w:firstLine="420"/>
        <w:jc w:val="both"/>
      </w:pPr>
      <w:r>
        <w:rPr>
          <w:rFonts w:ascii="Times New Roman" w:hAnsi="Times New Roman" w:cs="Times New Roman" w:eastAsia="Times New Roman" w:hint="default"/>
          <w:spacing w:val="-2"/>
        </w:rPr>
        <w:t>2013</w:t>
      </w:r>
      <w:r>
        <w:rPr>
          <w:spacing w:val="-2"/>
        </w:rPr>
        <w:t>年，公司投资并购工作将继续推行积极和稳健的投资并购策略，围绕主营业务，利用自身的竞争</w:t>
      </w:r>
      <w:r>
        <w:rPr>
          <w:w w:val="100"/>
        </w:rPr>
        <w:t> </w:t>
      </w:r>
      <w:r>
        <w:rPr>
          <w:spacing w:val="-2"/>
        </w:rPr>
        <w:t>优势，寻找行业互补或者产品互补的公司，在适当时机进行投资并购活动，不断完善公司产品结构和扩大</w:t>
      </w:r>
      <w:r>
        <w:rPr>
          <w:spacing w:val="-44"/>
        </w:rPr>
        <w:t> </w:t>
      </w:r>
      <w:r>
        <w:rPr>
          <w:spacing w:val="-44"/>
        </w:rPr>
      </w:r>
      <w:r>
        <w:rPr/>
        <w:t>产品销售渠道，提高市场占有率和竞争力，保障公司持续稳定的发展。</w:t>
      </w:r>
    </w:p>
    <w:p>
      <w:pPr>
        <w:pStyle w:val="BodyText"/>
        <w:spacing w:line="240" w:lineRule="auto" w:before="55"/>
        <w:ind w:left="573" w:right="99"/>
        <w:jc w:val="left"/>
      </w:pPr>
      <w:r>
        <w:rPr>
          <w:rFonts w:ascii="Times New Roman" w:hAnsi="Times New Roman" w:cs="Times New Roman" w:eastAsia="Times New Roman" w:hint="default"/>
        </w:rPr>
        <w:t>7</w:t>
      </w:r>
      <w:r>
        <w:rPr/>
        <w:t>、知识产权管理</w:t>
      </w:r>
    </w:p>
    <w:p>
      <w:pPr>
        <w:pStyle w:val="BodyText"/>
        <w:spacing w:line="398" w:lineRule="auto" w:before="177"/>
        <w:ind w:left="152" w:right="99" w:firstLine="420"/>
        <w:jc w:val="left"/>
      </w:pPr>
      <w:r>
        <w:rPr>
          <w:rFonts w:ascii="Times New Roman" w:hAnsi="Times New Roman" w:cs="Times New Roman" w:eastAsia="Times New Roman" w:hint="default"/>
        </w:rPr>
        <w:t>2013</w:t>
      </w:r>
      <w:r>
        <w:rPr/>
        <w:t>年，公司将继续推进公司知识产权管理工作，完善知识产权管理制度，规范知识产权管理流程，</w:t>
      </w:r>
      <w:r>
        <w:rPr>
          <w:w w:val="100"/>
        </w:rPr>
        <w:t> </w:t>
      </w:r>
      <w:r>
        <w:rPr>
          <w:spacing w:val="-5"/>
        </w:rPr>
        <w:t>鼓励员工积极参与知识产权的申报，提高知识产权的防范及保护意识。部署知识产权策略，做到积极防范、</w:t>
      </w:r>
      <w:r>
        <w:rPr>
          <w:spacing w:val="-3"/>
        </w:rPr>
        <w:t> </w:t>
      </w:r>
      <w:r>
        <w:rPr>
          <w:spacing w:val="-3"/>
        </w:rPr>
      </w:r>
      <w:r>
        <w:rPr/>
        <w:t>积极保护，为产品研发和市场拓展提供长远保障。</w:t>
      </w:r>
    </w:p>
    <w:p>
      <w:pPr>
        <w:pStyle w:val="BodyText"/>
        <w:spacing w:line="386" w:lineRule="auto" w:before="54"/>
        <w:ind w:left="573" w:right="99"/>
        <w:jc w:val="left"/>
      </w:pPr>
      <w:r>
        <w:rPr>
          <w:rFonts w:ascii="Times New Roman" w:hAnsi="Times New Roman" w:cs="Times New Roman" w:eastAsia="Times New Roman" w:hint="default"/>
        </w:rPr>
        <w:t>8</w:t>
      </w:r>
      <w:r>
        <w:rPr/>
        <w:t>、企业文化建设</w:t>
      </w:r>
      <w:r>
        <w:rPr>
          <w:w w:val="100"/>
        </w:rPr>
        <w:t> </w:t>
      </w:r>
      <w:r>
        <w:rPr>
          <w:spacing w:val="-2"/>
        </w:rPr>
        <w:t>企业文化建设需要与时俱进，</w:t>
      </w:r>
      <w:r>
        <w:rPr>
          <w:rFonts w:ascii="Times New Roman" w:hAnsi="Times New Roman" w:cs="Times New Roman" w:eastAsia="Times New Roman" w:hint="default"/>
          <w:spacing w:val="-2"/>
        </w:rPr>
        <w:t>2013</w:t>
      </w:r>
      <w:r>
        <w:rPr>
          <w:spacing w:val="-2"/>
        </w:rPr>
        <w:t>年我们提出“高效、创新、节俭、共赢”的企业文化目标，倡导全</w:t>
      </w:r>
    </w:p>
    <w:p>
      <w:pPr>
        <w:pStyle w:val="BodyText"/>
        <w:spacing w:line="410" w:lineRule="auto" w:before="35"/>
        <w:ind w:left="152" w:right="99"/>
        <w:jc w:val="left"/>
      </w:pPr>
      <w:r>
        <w:rPr>
          <w:spacing w:val="-2"/>
        </w:rPr>
        <w:t>体员工在工作中，以积极高效的工作态度、勤俭节约的良好习惯、不断创新的思维理念，积极乐观地去面</w:t>
      </w:r>
      <w:r>
        <w:rPr>
          <w:spacing w:val="-50"/>
        </w:rPr>
        <w:t> </w:t>
      </w:r>
      <w:r>
        <w:rPr>
          <w:spacing w:val="-50"/>
        </w:rPr>
      </w:r>
      <w:r>
        <w:rPr/>
        <w:t>对工作中各种困难与挑战，共创企业美好未来。</w:t>
      </w:r>
    </w:p>
    <w:p>
      <w:pPr>
        <w:pStyle w:val="BodyText"/>
        <w:spacing w:line="398" w:lineRule="auto" w:before="44"/>
        <w:ind w:left="152" w:right="206" w:firstLine="420"/>
        <w:jc w:val="both"/>
      </w:pPr>
      <w:r>
        <w:rPr>
          <w:rFonts w:ascii="Times New Roman" w:hAnsi="Times New Roman" w:cs="Times New Roman" w:eastAsia="Times New Roman" w:hint="default"/>
          <w:spacing w:val="-2"/>
        </w:rPr>
        <w:t>2013</w:t>
      </w:r>
      <w:r>
        <w:rPr>
          <w:spacing w:val="-2"/>
        </w:rPr>
        <w:t>年，我们将党、工、团组织建设与公司的企业文化紧密结合。党支部将积极发挥党员的先锋模范</w:t>
      </w:r>
      <w:r>
        <w:rPr>
          <w:w w:val="100"/>
        </w:rPr>
        <w:t> </w:t>
      </w:r>
      <w:r>
        <w:rPr>
          <w:spacing w:val="-2"/>
        </w:rPr>
        <w:t>作用，为企业的发展献计献策；工会将以“强身健体、快乐工作”为主题组织各项活动，增强员工对企业</w:t>
      </w:r>
      <w:r>
        <w:rPr>
          <w:spacing w:val="-42"/>
        </w:rPr>
        <w:t> </w:t>
      </w:r>
      <w:r>
        <w:rPr>
          <w:spacing w:val="-42"/>
        </w:rPr>
      </w:r>
      <w:r>
        <w:rPr/>
        <w:t>的归属感；团总支将着重推荐优秀团员入党，积极向党组织输送优秀人才。</w:t>
      </w:r>
    </w:p>
    <w:p>
      <w:pPr>
        <w:pStyle w:val="BodyText"/>
        <w:spacing w:line="386" w:lineRule="auto" w:before="54"/>
        <w:ind w:left="152" w:right="99" w:firstLine="420"/>
        <w:jc w:val="left"/>
      </w:pPr>
      <w:r>
        <w:rPr>
          <w:rFonts w:ascii="Times New Roman" w:hAnsi="Times New Roman" w:cs="Times New Roman" w:eastAsia="Times New Roman" w:hint="default"/>
          <w:spacing w:val="-2"/>
        </w:rPr>
        <w:t>2013</w:t>
      </w:r>
      <w:r>
        <w:rPr>
          <w:spacing w:val="-2"/>
        </w:rPr>
        <w:t>年，我们将继续发挥美亚柏科爱心基金的作用，主要用于支持社会各项公益事业以及困难人员救</w:t>
      </w:r>
      <w:r>
        <w:rPr>
          <w:w w:val="100"/>
        </w:rPr>
        <w:t> </w:t>
      </w:r>
      <w:r>
        <w:rPr/>
        <w:t>助，努力回报社会，帮扶员工。</w:t>
      </w:r>
    </w:p>
    <w:p>
      <w:pPr>
        <w:spacing w:after="0" w:line="386" w:lineRule="auto"/>
        <w:jc w:val="left"/>
        <w:sectPr>
          <w:pgSz w:w="11910" w:h="16840"/>
          <w:pgMar w:header="877" w:footer="1227" w:top="1100" w:bottom="1420" w:left="980" w:right="920"/>
        </w:sectPr>
      </w:pPr>
    </w:p>
    <w:p>
      <w:pPr>
        <w:spacing w:line="240" w:lineRule="auto" w:before="9"/>
        <w:rPr>
          <w:rFonts w:ascii="宋体" w:hAnsi="宋体" w:cs="宋体" w:eastAsia="宋体" w:hint="default"/>
          <w:sz w:val="26"/>
          <w:szCs w:val="26"/>
        </w:rPr>
      </w:pPr>
    </w:p>
    <w:p>
      <w:pPr>
        <w:pStyle w:val="BodyText"/>
        <w:spacing w:line="386" w:lineRule="auto" w:before="36"/>
        <w:ind w:left="573" w:right="99"/>
        <w:jc w:val="left"/>
      </w:pPr>
      <w:r>
        <w:rPr/>
        <w:t>（四）实现</w:t>
      </w:r>
      <w:r>
        <w:rPr>
          <w:rFonts w:ascii="Times New Roman" w:hAnsi="Times New Roman" w:cs="Times New Roman" w:eastAsia="Times New Roman" w:hint="default"/>
        </w:rPr>
        <w:t>2013</w:t>
      </w:r>
      <w:r>
        <w:rPr/>
        <w:t>年发展战略所需资金的计划</w:t>
      </w:r>
      <w:r>
        <w:rPr>
          <w:w w:val="100"/>
        </w:rPr>
        <w:t> </w:t>
      </w:r>
      <w:r>
        <w:rPr>
          <w:spacing w:val="-2"/>
        </w:rPr>
        <w:t>报告期末，公司现金流较为充裕，基本能够满足公司日常经营所需。如遇短期流动资金周转困难时，</w:t>
      </w:r>
    </w:p>
    <w:p>
      <w:pPr>
        <w:pStyle w:val="BodyText"/>
        <w:spacing w:line="408" w:lineRule="auto" w:before="65"/>
        <w:ind w:left="573" w:right="99" w:hanging="421"/>
        <w:jc w:val="left"/>
      </w:pPr>
      <w:r>
        <w:rPr/>
        <w:t>可以考虑以部分超募资金暂时补充流动资金或申请银行贷款等方式进行周转。</w:t>
      </w:r>
      <w:r>
        <w:rPr>
          <w:w w:val="100"/>
        </w:rPr>
        <w:t> </w:t>
      </w:r>
      <w:r>
        <w:rPr>
          <w:spacing w:val="-2"/>
        </w:rPr>
        <w:t>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日，公司共剩余超募资金</w:t>
      </w:r>
      <w:r>
        <w:rPr>
          <w:rFonts w:ascii="Times New Roman" w:hAnsi="Times New Roman" w:cs="Times New Roman" w:eastAsia="Times New Roman" w:hint="default"/>
          <w:spacing w:val="-2"/>
        </w:rPr>
        <w:t>12,551.49</w:t>
      </w:r>
      <w:r>
        <w:rPr>
          <w:spacing w:val="-2"/>
        </w:rPr>
        <w:t>万元，公司将根据中国证监会上市公司监管指引</w:t>
      </w:r>
    </w:p>
    <w:p>
      <w:pPr>
        <w:pStyle w:val="BodyText"/>
        <w:spacing w:line="386" w:lineRule="auto" w:before="14"/>
        <w:ind w:left="573" w:right="99" w:hanging="421"/>
        <w:jc w:val="left"/>
      </w:pPr>
      <w:r>
        <w:rPr/>
        <w:t>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《上市公司募集资金管理和使用的监管要求》、围绕公司主营业务合理制定超募资金使用计划。</w:t>
      </w:r>
      <w:r>
        <w:rPr>
          <w:w w:val="100"/>
        </w:rPr>
        <w:t> </w:t>
      </w:r>
      <w:r>
        <w:rPr>
          <w:spacing w:val="-2"/>
        </w:rPr>
        <w:t>在重大投资并购项目方面，首先考虑使用超募资金，如超募资金仍然无法满足需求，将考虑增发置换</w:t>
      </w:r>
    </w:p>
    <w:p>
      <w:pPr>
        <w:pStyle w:val="BodyText"/>
        <w:spacing w:line="240" w:lineRule="auto" w:before="65"/>
        <w:ind w:left="152" w:right="99"/>
        <w:jc w:val="left"/>
      </w:pPr>
      <w:r>
        <w:rPr/>
        <w:t>等融资模式。</w:t>
      </w:r>
    </w:p>
    <w:p>
      <w:pPr>
        <w:spacing w:line="240" w:lineRule="auto" w:before="10"/>
        <w:rPr>
          <w:rFonts w:ascii="宋体" w:hAnsi="宋体" w:cs="宋体" w:eastAsia="宋体" w:hint="default"/>
          <w:sz w:val="14"/>
          <w:szCs w:val="14"/>
        </w:rPr>
      </w:pPr>
    </w:p>
    <w:p>
      <w:pPr>
        <w:pStyle w:val="BodyText"/>
        <w:spacing w:line="410" w:lineRule="auto"/>
        <w:ind w:left="573" w:right="3195"/>
        <w:jc w:val="left"/>
      </w:pPr>
      <w:r>
        <w:rPr/>
        <w:t>（五）主要风险因素</w:t>
      </w:r>
      <w:r>
        <w:rPr>
          <w:w w:val="100"/>
        </w:rPr>
        <w:t> </w:t>
      </w:r>
      <w:r>
        <w:rPr>
          <w:spacing w:val="-2"/>
        </w:rPr>
        <w:t>详见本报告第三节之四“重大风险提示”部分。</w:t>
      </w:r>
    </w:p>
    <w:p>
      <w:pPr>
        <w:spacing w:line="240" w:lineRule="auto" w:before="6"/>
        <w:rPr>
          <w:rFonts w:ascii="宋体" w:hAnsi="宋体" w:cs="宋体" w:eastAsia="宋体" w:hint="default"/>
          <w:sz w:val="18"/>
          <w:szCs w:val="18"/>
        </w:rPr>
      </w:pPr>
    </w:p>
    <w:p>
      <w:pPr>
        <w:pStyle w:val="Heading2"/>
        <w:spacing w:line="240" w:lineRule="auto"/>
        <w:ind w:right="99"/>
        <w:jc w:val="left"/>
        <w:rPr>
          <w:b w:val="0"/>
          <w:bCs w:val="0"/>
        </w:rPr>
      </w:pPr>
      <w:r>
        <w:rPr/>
        <w:t>四、董事会对会计师事务所本报告期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5"/>
        <w:rPr>
          <w:rFonts w:ascii="宋体" w:hAnsi="宋体" w:cs="宋体" w:eastAsia="宋体" w:hint="default"/>
          <w:b/>
          <w:bCs/>
          <w:sz w:val="29"/>
          <w:szCs w:val="29"/>
        </w:rPr>
      </w:pPr>
    </w:p>
    <w:p>
      <w:pPr>
        <w:pStyle w:val="BodyText"/>
        <w:spacing w:line="240" w:lineRule="auto"/>
        <w:ind w:left="573" w:right="99"/>
        <w:jc w:val="left"/>
      </w:pPr>
      <w:r>
        <w:rPr/>
        <w:t>无。</w:t>
      </w:r>
    </w:p>
    <w:p>
      <w:pPr>
        <w:spacing w:line="240" w:lineRule="auto" w:before="11"/>
        <w:rPr>
          <w:rFonts w:ascii="宋体" w:hAnsi="宋体" w:cs="宋体" w:eastAsia="宋体" w:hint="default"/>
          <w:sz w:val="29"/>
          <w:szCs w:val="29"/>
        </w:rPr>
      </w:pPr>
    </w:p>
    <w:p>
      <w:pPr>
        <w:pStyle w:val="Heading2"/>
        <w:spacing w:line="240" w:lineRule="auto"/>
        <w:ind w:right="99"/>
        <w:jc w:val="left"/>
        <w:rPr>
          <w:b w:val="0"/>
          <w:bCs w:val="0"/>
        </w:rPr>
      </w:pPr>
      <w:r>
        <w:rPr/>
        <w:t>五、董事会关于报告期会计政策、会计估计变更或重要前期差错更正的说明</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573" w:right="99"/>
        <w:jc w:val="left"/>
      </w:pPr>
      <w:r>
        <w:rPr/>
        <w:t>无。</w:t>
      </w:r>
    </w:p>
    <w:p>
      <w:pPr>
        <w:spacing w:line="240" w:lineRule="auto" w:before="12"/>
        <w:rPr>
          <w:rFonts w:ascii="宋体" w:hAnsi="宋体" w:cs="宋体" w:eastAsia="宋体" w:hint="default"/>
          <w:sz w:val="29"/>
          <w:szCs w:val="29"/>
        </w:rPr>
      </w:pPr>
    </w:p>
    <w:p>
      <w:pPr>
        <w:pStyle w:val="Heading2"/>
        <w:spacing w:line="240" w:lineRule="auto"/>
        <w:ind w:right="99"/>
        <w:jc w:val="left"/>
        <w:rPr>
          <w:b w:val="0"/>
          <w:bCs w:val="0"/>
        </w:rPr>
      </w:pPr>
      <w:r>
        <w:rPr/>
        <w:t>六、公司利润分配及分红派息情况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left="573" w:right="99"/>
        <w:jc w:val="left"/>
      </w:pPr>
      <w:r>
        <w:rPr/>
        <w:t>报告期内利润分配政策特别是现金分红政策的制定、执行或调整情况：</w:t>
      </w:r>
      <w:r>
        <w:rPr>
          <w:w w:val="100"/>
        </w:rPr>
        <w:t> </w:t>
      </w:r>
      <w:r>
        <w:rPr>
          <w:spacing w:val="-2"/>
        </w:rPr>
        <w:t>根据中国证监会《关于进一步落实上市公司现金分红有关事项的通知》（证监发</w:t>
      </w:r>
      <w:r>
        <w:rPr>
          <w:rFonts w:ascii="Times New Roman" w:hAnsi="Times New Roman" w:cs="Times New Roman" w:eastAsia="Times New Roman" w:hint="default"/>
          <w:spacing w:val="-2"/>
        </w:rPr>
        <w:t>[2012]37</w:t>
      </w:r>
      <w:r>
        <w:rPr>
          <w:spacing w:val="-2"/>
        </w:rPr>
        <w:t>号）和厦门</w:t>
      </w:r>
    </w:p>
    <w:p>
      <w:pPr>
        <w:pStyle w:val="BodyText"/>
        <w:spacing w:line="393" w:lineRule="auto" w:before="14"/>
        <w:ind w:left="152" w:right="99"/>
        <w:jc w:val="left"/>
      </w:pPr>
      <w:r>
        <w:rPr>
          <w:spacing w:val="-3"/>
        </w:rPr>
        <w:t>证监局《关于进一步完善上市公司现金分红工作机制的通知》（厦证监发</w:t>
      </w:r>
      <w:r>
        <w:rPr>
          <w:rFonts w:ascii="Times New Roman" w:hAnsi="Times New Roman" w:cs="Times New Roman" w:eastAsia="Times New Roman" w:hint="default"/>
          <w:spacing w:val="-3"/>
        </w:rPr>
        <w:t>[2012]62</w:t>
      </w:r>
      <w:r>
        <w:rPr>
          <w:spacing w:val="-3"/>
        </w:rPr>
        <w:t>号）等相关文件的要求，</w:t>
      </w:r>
      <w:r>
        <w:rPr>
          <w:spacing w:val="-17"/>
        </w:rPr>
        <w:t> </w:t>
      </w:r>
      <w:r>
        <w:rPr>
          <w:spacing w:val="-17"/>
        </w:rPr>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26</w:t>
      </w:r>
      <w:r>
        <w:rPr/>
        <w:t>日，公司召开了第一届董事会第二十二次会议，审议通过了《关于修订</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部分条款</w:t>
      </w:r>
      <w:r>
        <w:rPr>
          <w:w w:val="100"/>
        </w:rPr>
        <w:t> </w:t>
      </w:r>
      <w:r>
        <w:rPr/>
        <w:t>的议案》，对《公司章程》中有关利润分配的条款进行了修订，并制定了《利润分配政策及公司未来三年</w:t>
      </w:r>
      <w:r>
        <w:rPr>
          <w:w w:val="100"/>
        </w:rPr>
        <w:t> </w:t>
      </w:r>
      <w:r>
        <w:rPr/>
        <w:t>股东回报规划（</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日，公司召开的</w:t>
      </w:r>
      <w:r>
        <w:rPr>
          <w:rFonts w:ascii="Times New Roman" w:hAnsi="Times New Roman" w:cs="Times New Roman" w:eastAsia="Times New Roman" w:hint="default"/>
        </w:rPr>
        <w:t>2012</w:t>
      </w:r>
      <w:r>
        <w:rPr/>
        <w:t>年第二次临时股东大会审议通过</w:t>
      </w:r>
      <w:r>
        <w:rPr>
          <w:w w:val="100"/>
        </w:rPr>
        <w:t> </w:t>
      </w:r>
      <w:r>
        <w:rPr>
          <w:spacing w:val="-2"/>
        </w:rPr>
        <w:t>了上述议案。修订后的《公司章程》对公司利润分配的基本原则、具体政策、审议程序、方案实施、政策</w:t>
      </w:r>
      <w:r>
        <w:rPr>
          <w:spacing w:val="-48"/>
        </w:rPr>
        <w:t> </w:t>
      </w:r>
      <w:r>
        <w:rPr>
          <w:spacing w:val="-48"/>
        </w:rPr>
      </w:r>
      <w:r>
        <w:rPr>
          <w:spacing w:val="-2"/>
        </w:rPr>
        <w:t>变更等内容均作出了明确的规定，详情请参阅公司于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27</w:t>
      </w:r>
      <w:r>
        <w:rPr>
          <w:spacing w:val="-2"/>
        </w:rPr>
        <w:t>日在巨潮资讯网</w:t>
      </w:r>
      <w:hyperlink r:id="rId10">
        <w:r>
          <w:rPr>
            <w:rFonts w:ascii="Times New Roman" w:hAnsi="Times New Roman" w:cs="Times New Roman" w:eastAsia="Times New Roman" w:hint="default"/>
            <w:spacing w:val="-2"/>
          </w:rPr>
          <w:t>http://www.cninfo.com.cn</w:t>
        </w:r>
      </w:hyperlink>
      <w:r>
        <w:rPr>
          <w:rFonts w:ascii="Times New Roman" w:hAnsi="Times New Roman" w:cs="Times New Roman" w:eastAsia="Times New Roman" w:hint="default"/>
          <w:spacing w:val="31"/>
        </w:rPr>
        <w:t> </w:t>
      </w:r>
      <w:r>
        <w:rPr>
          <w:rFonts w:ascii="Times New Roman" w:hAnsi="Times New Roman" w:cs="Times New Roman" w:eastAsia="Times New Roman" w:hint="default"/>
          <w:spacing w:val="31"/>
        </w:rPr>
      </w:r>
      <w:r>
        <w:rPr/>
        <w:t>上的相关公告。</w:t>
      </w:r>
    </w:p>
    <w:p>
      <w:pPr>
        <w:pStyle w:val="BodyText"/>
        <w:spacing w:line="386" w:lineRule="auto" w:before="58"/>
        <w:ind w:left="152" w:right="206" w:firstLine="420"/>
        <w:jc w:val="both"/>
      </w:pPr>
      <w:r>
        <w:rPr>
          <w:spacing w:val="-2"/>
        </w:rPr>
        <w:t>报告期内，公司董事会根据公司</w:t>
      </w:r>
      <w:r>
        <w:rPr>
          <w:rFonts w:ascii="Times New Roman" w:hAnsi="Times New Roman" w:cs="Times New Roman" w:eastAsia="Times New Roman" w:hint="default"/>
          <w:spacing w:val="-2"/>
        </w:rPr>
        <w:t>2011</w:t>
      </w:r>
      <w:r>
        <w:rPr>
          <w:spacing w:val="-2"/>
        </w:rPr>
        <w:t>年度盈利情况并充分听取各方意见的基础上制定了公司</w:t>
      </w:r>
      <w:r>
        <w:rPr>
          <w:rFonts w:ascii="Times New Roman" w:hAnsi="Times New Roman" w:cs="Times New Roman" w:eastAsia="Times New Roman" w:hint="default"/>
          <w:spacing w:val="-2"/>
        </w:rPr>
        <w:t>2011</w:t>
      </w:r>
      <w:r>
        <w:rPr>
          <w:spacing w:val="-2"/>
        </w:rPr>
        <w:t>年度</w:t>
      </w:r>
      <w:r>
        <w:rPr>
          <w:w w:val="100"/>
        </w:rPr>
        <w:t> </w:t>
      </w:r>
      <w:r>
        <w:rPr>
          <w:spacing w:val="-2"/>
        </w:rPr>
        <w:t>利润分配方案：以截止</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日公司总股本</w:t>
      </w:r>
      <w:r>
        <w:rPr>
          <w:rFonts w:ascii="Times New Roman" w:hAnsi="Times New Roman" w:cs="Times New Roman" w:eastAsia="Times New Roman" w:hint="default"/>
          <w:spacing w:val="-2"/>
        </w:rPr>
        <w:t>5,350</w:t>
      </w:r>
      <w:r>
        <w:rPr>
          <w:spacing w:val="-2"/>
        </w:rPr>
        <w:t>万股为基数向全体股东每</w:t>
      </w:r>
      <w:r>
        <w:rPr>
          <w:rFonts w:ascii="Times New Roman" w:hAnsi="Times New Roman" w:cs="Times New Roman" w:eastAsia="Times New Roman" w:hint="default"/>
          <w:spacing w:val="-2"/>
        </w:rPr>
        <w:t>10</w:t>
      </w:r>
      <w:r>
        <w:rPr>
          <w:spacing w:val="-2"/>
        </w:rPr>
        <w:t>股派发现金股利</w:t>
      </w:r>
      <w:r>
        <w:rPr>
          <w:rFonts w:ascii="Times New Roman" w:hAnsi="Times New Roman" w:cs="Times New Roman" w:eastAsia="Times New Roman" w:hint="default"/>
          <w:spacing w:val="-2"/>
        </w:rPr>
        <w:t>2</w:t>
      </w:r>
      <w:r>
        <w:rPr>
          <w:spacing w:val="-2"/>
        </w:rPr>
        <w:t>元人</w:t>
      </w:r>
      <w:r>
        <w:rPr>
          <w:spacing w:val="-17"/>
        </w:rPr>
        <w:t> </w:t>
      </w:r>
      <w:r>
        <w:rPr>
          <w:spacing w:val="-3"/>
        </w:rPr>
        <w:t>民币（含税），同时进行资本公积金转增股本，以</w:t>
      </w:r>
      <w:r>
        <w:rPr>
          <w:rFonts w:ascii="Times New Roman" w:hAnsi="Times New Roman" w:cs="Times New Roman" w:eastAsia="Times New Roman" w:hint="default"/>
          <w:spacing w:val="-3"/>
        </w:rPr>
        <w:t>5,350</w:t>
      </w:r>
      <w:r>
        <w:rPr>
          <w:spacing w:val="-3"/>
        </w:rPr>
        <w:t>万股为基数向全体股东每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10</w:t>
      </w:r>
      <w:r>
        <w:rPr>
          <w:spacing w:val="-3"/>
        </w:rPr>
        <w:t>股，共计转增</w:t>
      </w:r>
    </w:p>
    <w:p>
      <w:pPr>
        <w:pStyle w:val="BodyText"/>
        <w:spacing w:line="240" w:lineRule="auto" w:before="35"/>
        <w:ind w:left="152" w:right="99"/>
        <w:jc w:val="left"/>
      </w:pPr>
      <w:r>
        <w:rPr>
          <w:rFonts w:ascii="Times New Roman" w:hAnsi="Times New Roman" w:cs="Times New Roman" w:eastAsia="Times New Roman" w:hint="default"/>
        </w:rPr>
        <w:t>5,350</w:t>
      </w:r>
      <w:r>
        <w:rPr/>
        <w:t>万股，转增后公司总股本将增加至</w:t>
      </w:r>
      <w:r>
        <w:rPr>
          <w:rFonts w:ascii="Times New Roman" w:hAnsi="Times New Roman" w:cs="Times New Roman" w:eastAsia="Times New Roman" w:hint="default"/>
        </w:rPr>
        <w:t>10,700</w:t>
      </w:r>
      <w:r>
        <w:rPr/>
        <w:t>万股。</w:t>
      </w:r>
    </w:p>
    <w:p>
      <w:pPr>
        <w:spacing w:after="0" w:line="240" w:lineRule="auto"/>
        <w:jc w:val="left"/>
        <w:sectPr>
          <w:pgSz w:w="11910" w:h="16840"/>
          <w:pgMar w:header="877" w:footer="1227" w:top="1100" w:bottom="1420" w:left="980" w:right="920"/>
        </w:sectPr>
      </w:pPr>
    </w:p>
    <w:p>
      <w:pPr>
        <w:spacing w:line="240" w:lineRule="auto" w:before="9"/>
        <w:rPr>
          <w:rFonts w:ascii="宋体" w:hAnsi="宋体" w:cs="宋体" w:eastAsia="宋体" w:hint="default"/>
          <w:sz w:val="26"/>
          <w:szCs w:val="26"/>
        </w:rPr>
      </w:pPr>
    </w:p>
    <w:p>
      <w:pPr>
        <w:pStyle w:val="BodyText"/>
        <w:spacing w:line="393" w:lineRule="auto" w:before="36"/>
        <w:ind w:left="152" w:right="0" w:firstLine="42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日公司“</w:t>
      </w:r>
      <w:r>
        <w:rPr>
          <w:rFonts w:ascii="Times New Roman" w:hAnsi="Times New Roman" w:cs="Times New Roman" w:eastAsia="Times New Roman" w:hint="default"/>
        </w:rPr>
        <w:t>2011</w:t>
      </w:r>
      <w:r>
        <w:rPr/>
        <w:t>年度股东大会”审议通过了</w:t>
      </w:r>
      <w:r>
        <w:rPr>
          <w:rFonts w:ascii="Times New Roman" w:hAnsi="Times New Roman" w:cs="Times New Roman" w:eastAsia="Times New Roman" w:hint="default"/>
        </w:rPr>
        <w:t>2011</w:t>
      </w:r>
      <w:r>
        <w:rPr/>
        <w:t>年度利润分配方案；</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日，公司</w:t>
      </w:r>
      <w:r>
        <w:rPr>
          <w:w w:val="100"/>
        </w:rPr>
        <w:t> </w:t>
      </w:r>
      <w:r>
        <w:rPr>
          <w:spacing w:val="-2"/>
        </w:rPr>
        <w:t>完成了</w:t>
      </w:r>
      <w:r>
        <w:rPr>
          <w:rFonts w:ascii="Times New Roman" w:hAnsi="Times New Roman" w:cs="Times New Roman" w:eastAsia="Times New Roman" w:hint="default"/>
          <w:spacing w:val="-2"/>
        </w:rPr>
        <w:t>2011</w:t>
      </w:r>
      <w:r>
        <w:rPr>
          <w:spacing w:val="-2"/>
        </w:rPr>
        <w:t>年度权利润分配方案的实施。公司实施的</w:t>
      </w:r>
      <w:r>
        <w:rPr>
          <w:rFonts w:ascii="Times New Roman" w:hAnsi="Times New Roman" w:cs="Times New Roman" w:eastAsia="Times New Roman" w:hint="default"/>
          <w:spacing w:val="-2"/>
        </w:rPr>
        <w:t>2011</w:t>
      </w:r>
      <w:r>
        <w:rPr>
          <w:spacing w:val="-2"/>
        </w:rPr>
        <w:t>年度利润分配方案符合《公司章程》的规定及股</w:t>
      </w:r>
      <w:r>
        <w:rPr>
          <w:spacing w:val="-34"/>
        </w:rPr>
        <w:t> </w:t>
      </w:r>
      <w:r>
        <w:rPr>
          <w:spacing w:val="-34"/>
        </w:rPr>
      </w:r>
      <w:r>
        <w:rPr>
          <w:spacing w:val="-2"/>
        </w:rPr>
        <w:t>东大会决议的要求，分红比例明确，决策程序符合规定，独立董事尽职履责并发挥了应有的作用，中小股</w:t>
      </w:r>
      <w:r>
        <w:rPr>
          <w:spacing w:val="-50"/>
        </w:rPr>
        <w:t> </w:t>
      </w:r>
      <w:r>
        <w:rPr>
          <w:spacing w:val="-50"/>
        </w:rPr>
      </w:r>
      <w:r>
        <w:rPr/>
        <w:t>东具有充分表达意见和诉求的机会，并充分维护了中小股东的合法权益。</w:t>
      </w:r>
    </w:p>
    <w:p>
      <w:pPr>
        <w:pStyle w:val="BodyText"/>
        <w:spacing w:line="240" w:lineRule="auto" w:before="58"/>
        <w:ind w:left="573" w:right="0"/>
        <w:jc w:val="left"/>
      </w:pPr>
      <w:r>
        <w:rPr/>
        <w:t>本年度利润分配及资本公积金转增股本预案：</w:t>
      </w:r>
    </w:p>
    <w:p>
      <w:pPr>
        <w:spacing w:line="240" w:lineRule="auto" w:before="11"/>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3696"/>
        <w:gridCol w:w="5863"/>
      </w:tblGrid>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110,906,600.00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分红总额（含税）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16,635,990.00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164,576,853.34</w:t>
            </w:r>
            <w:r>
              <w:rPr>
                <w:rFonts w:ascii="Times New Roman"/>
                <w:sz w:val="18"/>
              </w:rPr>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5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1027"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年度公司利润分配及资本公积金转增股本预案为：以公司总股本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11,090.66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万股为基数向全体股东每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股派发现金股</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元人民币（含税</w:t>
            </w:r>
            <w:r>
              <w:rPr>
                <w:rFonts w:ascii="宋体" w:hAnsi="宋体" w:cs="宋体" w:eastAsia="宋体" w:hint="default"/>
                <w:spacing w:val="-92"/>
                <w:sz w:val="18"/>
                <w:szCs w:val="18"/>
              </w:rPr>
              <w:t>）</w:t>
            </w:r>
            <w:r>
              <w:rPr>
                <w:rFonts w:ascii="宋体" w:hAnsi="宋体" w:cs="宋体" w:eastAsia="宋体" w:hint="default"/>
                <w:sz w:val="18"/>
                <w:szCs w:val="18"/>
              </w:rPr>
              <w:t>，同时</w:t>
            </w:r>
            <w:r>
              <w:rPr>
                <w:rFonts w:ascii="宋体" w:hAnsi="宋体" w:cs="宋体" w:eastAsia="宋体" w:hint="default"/>
                <w:spacing w:val="-1"/>
                <w:sz w:val="18"/>
                <w:szCs w:val="18"/>
              </w:rPr>
              <w:t>进</w:t>
            </w:r>
            <w:r>
              <w:rPr>
                <w:rFonts w:ascii="宋体" w:hAnsi="宋体" w:cs="宋体" w:eastAsia="宋体" w:hint="default"/>
                <w:sz w:val="18"/>
                <w:szCs w:val="18"/>
              </w:rPr>
              <w:t>行资本公积金转增股本，以</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万股为基数向全体</w:t>
            </w:r>
            <w:r>
              <w:rPr>
                <w:rFonts w:ascii="宋体" w:hAnsi="宋体" w:cs="宋体" w:eastAsia="宋体" w:hint="default"/>
                <w:spacing w:val="-3"/>
                <w:sz w:val="18"/>
                <w:szCs w:val="18"/>
              </w:rPr>
              <w:t>股</w:t>
            </w:r>
            <w:r>
              <w:rPr>
                <w:rFonts w:ascii="宋体" w:hAnsi="宋体" w:cs="宋体" w:eastAsia="宋体" w:hint="default"/>
                <w:sz w:val="18"/>
                <w:szCs w:val="18"/>
              </w:rPr>
              <w:t>东每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宋体" w:hAnsi="宋体" w:cs="宋体" w:eastAsia="宋体" w:hint="default"/>
                <w:spacing w:val="-3"/>
                <w:sz w:val="18"/>
                <w:szCs w:val="18"/>
              </w:rPr>
              <w:t>转</w:t>
            </w:r>
            <w:r>
              <w:rPr>
                <w:rFonts w:ascii="宋体" w:hAnsi="宋体" w:cs="宋体" w:eastAsia="宋体" w:hint="default"/>
                <w:sz w:val="18"/>
                <w:szCs w:val="18"/>
              </w:rPr>
              <w:t>增</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股，共计转</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11,090.66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万股，转增后公司总股本将增加至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22,181.32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w:t>
            </w:r>
          </w:p>
        </w:tc>
      </w:tr>
    </w:tbl>
    <w:p>
      <w:pPr>
        <w:pStyle w:val="BodyText"/>
        <w:spacing w:line="240" w:lineRule="auto" w:before="64"/>
        <w:ind w:left="573" w:right="0"/>
        <w:jc w:val="left"/>
      </w:pPr>
      <w:r>
        <w:rPr/>
        <w:t>公司近</w:t>
      </w:r>
      <w:r>
        <w:rPr>
          <w:rFonts w:ascii="Times New Roman" w:hAnsi="Times New Roman" w:cs="Times New Roman" w:eastAsia="Times New Roman" w:hint="default"/>
        </w:rPr>
        <w:t>3</w:t>
      </w:r>
      <w:r>
        <w:rPr/>
        <w:t>年（含报告期）的利润分配方案及资本公积金转增股本方案情况：</w:t>
      </w:r>
    </w:p>
    <w:p>
      <w:pPr>
        <w:pStyle w:val="BodyText"/>
        <w:spacing w:line="386" w:lineRule="auto" w:before="177"/>
        <w:ind w:left="152" w:right="148" w:firstLine="42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2010</w:t>
      </w:r>
      <w:r>
        <w:rPr>
          <w:spacing w:val="-2"/>
        </w:rPr>
        <w:t>年度：鉴于公司于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16</w:t>
      </w:r>
      <w:r>
        <w:rPr>
          <w:spacing w:val="-2"/>
        </w:rPr>
        <w:t>日刚在深圳证券交易所创业板上市，公司</w:t>
      </w:r>
      <w:r>
        <w:rPr>
          <w:rFonts w:ascii="Times New Roman" w:hAnsi="Times New Roman" w:cs="Times New Roman" w:eastAsia="Times New Roman" w:hint="default"/>
          <w:spacing w:val="-2"/>
        </w:rPr>
        <w:t>2010</w:t>
      </w:r>
      <w:r>
        <w:rPr>
          <w:spacing w:val="-2"/>
        </w:rPr>
        <w:t>年度未实施利润</w:t>
      </w:r>
      <w:r>
        <w:rPr>
          <w:w w:val="100"/>
        </w:rPr>
        <w:t> </w:t>
      </w:r>
      <w:r>
        <w:rPr/>
        <w:t>分配或资本公积金转增股本的方案。</w:t>
      </w:r>
    </w:p>
    <w:p>
      <w:pPr>
        <w:pStyle w:val="BodyText"/>
        <w:spacing w:line="386" w:lineRule="auto" w:before="65"/>
        <w:ind w:left="152" w:right="151" w:firstLine="42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t>年度：</w:t>
      </w:r>
      <w:r>
        <w:rPr>
          <w:spacing w:val="-10"/>
        </w:rPr>
        <w:t> </w:t>
      </w:r>
      <w:r>
        <w:rPr/>
        <w:t>权益分派方案为以公司总股本</w:t>
      </w:r>
      <w:r>
        <w:rPr>
          <w:rFonts w:ascii="Times New Roman" w:hAnsi="Times New Roman" w:cs="Times New Roman" w:eastAsia="Times New Roman" w:hint="default"/>
        </w:rPr>
        <w:t>5,350</w:t>
      </w:r>
      <w:r>
        <w:rPr/>
        <w:t>万股为基数向全体股东每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2</w:t>
      </w:r>
      <w:r>
        <w:rPr/>
        <w:t>元人</w:t>
      </w:r>
      <w:r>
        <w:rPr>
          <w:spacing w:val="-3"/>
          <w:w w:val="100"/>
        </w:rPr>
        <w:t> </w:t>
      </w:r>
      <w:r>
        <w:rPr>
          <w:spacing w:val="-3"/>
        </w:rPr>
        <w:t>民币（含税），同时进行资本公积金转增股本，以</w:t>
      </w:r>
      <w:r>
        <w:rPr>
          <w:rFonts w:ascii="Times New Roman" w:hAnsi="Times New Roman" w:cs="Times New Roman" w:eastAsia="Times New Roman" w:hint="default"/>
          <w:spacing w:val="-3"/>
        </w:rPr>
        <w:t>5,350</w:t>
      </w:r>
      <w:r>
        <w:rPr>
          <w:spacing w:val="-3"/>
        </w:rPr>
        <w:t>万股为基数向全体股东每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10</w:t>
      </w:r>
      <w:r>
        <w:rPr>
          <w:spacing w:val="-3"/>
        </w:rPr>
        <w:t>股，共计转增</w:t>
      </w:r>
      <w:r>
        <w:rPr>
          <w:spacing w:val="-38"/>
        </w:rPr>
        <w:t> </w:t>
      </w:r>
      <w:r>
        <w:rPr>
          <w:spacing w:val="-38"/>
        </w:rPr>
      </w:r>
      <w:r>
        <w:rPr>
          <w:rFonts w:ascii="Times New Roman" w:hAnsi="Times New Roman" w:cs="Times New Roman" w:eastAsia="Times New Roman" w:hint="default"/>
        </w:rPr>
        <w:t>5,350</w:t>
      </w:r>
      <w:r>
        <w:rPr/>
        <w:t>万股，转增后公司总股本增加至</w:t>
      </w:r>
      <w:r>
        <w:rPr>
          <w:rFonts w:ascii="Times New Roman" w:hAnsi="Times New Roman" w:cs="Times New Roman" w:eastAsia="Times New Roman" w:hint="default"/>
        </w:rPr>
        <w:t>10,700</w:t>
      </w:r>
      <w:r>
        <w:rPr/>
        <w:t>万股。</w:t>
      </w:r>
    </w:p>
    <w:p>
      <w:pPr>
        <w:pStyle w:val="BodyText"/>
        <w:spacing w:line="386" w:lineRule="auto" w:before="35"/>
        <w:ind w:left="152" w:right="127" w:firstLine="420"/>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2012</w:t>
      </w:r>
      <w:r>
        <w:rPr>
          <w:spacing w:val="-2"/>
        </w:rPr>
        <w:t>年度：权益分派方案为以公司总股本</w:t>
      </w:r>
      <w:r>
        <w:rPr>
          <w:rFonts w:ascii="Times New Roman" w:hAnsi="Times New Roman" w:cs="Times New Roman" w:eastAsia="Times New Roman" w:hint="default"/>
          <w:spacing w:val="-2"/>
        </w:rPr>
        <w:t>11,090.66</w:t>
      </w:r>
      <w:r>
        <w:rPr>
          <w:spacing w:val="-2"/>
        </w:rPr>
        <w:t>万股为基数向全体股东每</w:t>
      </w:r>
      <w:r>
        <w:rPr>
          <w:rFonts w:ascii="Times New Roman" w:hAnsi="Times New Roman" w:cs="Times New Roman" w:eastAsia="Times New Roman" w:hint="default"/>
          <w:spacing w:val="-2"/>
        </w:rPr>
        <w:t>10</w:t>
      </w:r>
      <w:r>
        <w:rPr>
          <w:spacing w:val="-2"/>
        </w:rPr>
        <w:t>股派发现金股利</w:t>
      </w:r>
      <w:r>
        <w:rPr>
          <w:rFonts w:ascii="Times New Roman" w:hAnsi="Times New Roman" w:cs="Times New Roman" w:eastAsia="Times New Roman" w:hint="default"/>
          <w:spacing w:val="-2"/>
        </w:rPr>
        <w:t>1.5</w:t>
      </w:r>
      <w:r>
        <w:rPr>
          <w:rFonts w:ascii="Times New Roman" w:hAnsi="Times New Roman" w:cs="Times New Roman" w:eastAsia="Times New Roman" w:hint="default"/>
          <w:w w:val="100"/>
        </w:rPr>
        <w:t> </w:t>
      </w:r>
      <w:r>
        <w:rPr>
          <w:spacing w:val="-2"/>
        </w:rPr>
        <w:t>元人民币（含税），同时进行资本公积金转增股本，以</w:t>
      </w:r>
      <w:r>
        <w:rPr>
          <w:rFonts w:ascii="Times New Roman" w:hAnsi="Times New Roman" w:cs="Times New Roman" w:eastAsia="Times New Roman" w:hint="default"/>
          <w:spacing w:val="-2"/>
        </w:rPr>
        <w:t>11,090.66</w:t>
      </w:r>
      <w:r>
        <w:rPr>
          <w:spacing w:val="-2"/>
        </w:rPr>
        <w:t>万股为基数向全体股东每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w:t>
      </w:r>
      <w:r>
        <w:rPr>
          <w:spacing w:val="-10"/>
        </w:rPr>
        <w:t> </w:t>
      </w:r>
      <w:r>
        <w:rPr/>
        <w:t>共计转增</w:t>
      </w:r>
      <w:r>
        <w:rPr>
          <w:rFonts w:ascii="Times New Roman" w:hAnsi="Times New Roman" w:cs="Times New Roman" w:eastAsia="Times New Roman" w:hint="default"/>
        </w:rPr>
        <w:t>11,090.66</w:t>
      </w:r>
      <w:r>
        <w:rPr/>
        <w:t>万股，转增后公司总股本将增加至</w:t>
      </w:r>
      <w:r>
        <w:rPr>
          <w:rFonts w:ascii="Times New Roman" w:hAnsi="Times New Roman" w:cs="Times New Roman" w:eastAsia="Times New Roman" w:hint="default"/>
        </w:rPr>
        <w:t>22,181.32</w:t>
      </w:r>
      <w:r>
        <w:rPr/>
        <w:t>万股。</w:t>
      </w:r>
    </w:p>
    <w:p>
      <w:pPr>
        <w:pStyle w:val="BodyText"/>
        <w:spacing w:line="240" w:lineRule="auto" w:before="35"/>
        <w:ind w:left="573" w:right="0"/>
        <w:jc w:val="left"/>
      </w:pPr>
      <w:r>
        <w:rPr/>
        <w:t>公司近三年现金分红情况表：</w:t>
      </w:r>
    </w:p>
    <w:p>
      <w:pPr>
        <w:spacing w:before="178"/>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163"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290" w:right="111"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36" w:right="36"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1" w:hRule="exact"/>
        </w:trPr>
        <w:tc>
          <w:tcPr>
            <w:tcW w:w="2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16,635,990.00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78,431,616.50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21.21%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61,504,981.78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17.4%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41,045,570.47</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footerReference w:type="default" r:id="rId22"/>
          <w:pgSz w:w="11910" w:h="16840"/>
          <w:pgMar w:footer="1227" w:header="877" w:top="1100" w:bottom="1420" w:left="980" w:right="980"/>
          <w:pgNumType w:start="34"/>
        </w:sectPr>
      </w:pPr>
    </w:p>
    <w:p>
      <w:pPr>
        <w:spacing w:line="240" w:lineRule="auto" w:before="9"/>
        <w:rPr>
          <w:rFonts w:ascii="宋体" w:hAnsi="宋体" w:cs="宋体" w:eastAsia="宋体" w:hint="default"/>
          <w:sz w:val="19"/>
          <w:szCs w:val="19"/>
        </w:rPr>
      </w:pPr>
      <w:r>
        <w:rPr/>
        <w:pict>
          <v:shape style="position:absolute;margin-left:333.764008pt;margin-top:736.961609pt;width:200.1pt;height:21.3pt;mso-position-horizontal-relative:page;mso-position-vertical-relative:page;z-index:-80423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民生证券、</w:t>
                  </w:r>
                </w:p>
              </w:txbxContent>
            </v:textbox>
            <w10:wrap type="none"/>
          </v:shape>
        </w:pict>
      </w:r>
      <w:r>
        <w:rPr/>
        <w:pict>
          <v:group style="position:absolute;margin-left:377.109985pt;margin-top:725.019958pt;width:161.2pt;height:33.25pt;mso-position-horizontal-relative:page;mso-position-vertical-relative:page;z-index:-804184" coordorigin="7542,14500" coordsize="3224,665">
            <v:group style="position:absolute;left:7542;top:14500;width:3135;height:312" coordorigin="7542,14500" coordsize="3135,312">
              <v:shape style="position:absolute;left:7542;top:14500;width:3135;height:312" coordorigin="7542,14500" coordsize="3135,312" path="m7542,14812l10677,14812,10677,14500,7542,14500,7542,14812xe" filled="true" fillcolor="#ffffff" stroked="false">
                <v:path arrowok="t"/>
                <v:fill type="solid"/>
              </v:shape>
            </v:group>
            <v:group style="position:absolute;left:7542;top:14812;width:3135;height:353" coordorigin="7542,14812" coordsize="3135,353">
              <v:shape style="position:absolute;left:7542;top:14812;width:3135;height:353" coordorigin="7542,14812" coordsize="3135,353" path="m7542,15165l10677,15165,10677,14812,7542,14812,7542,15165xe" filled="true" fillcolor="#ffffff" stroked="false">
                <v:path arrowok="t"/>
                <v:fill type="solid"/>
              </v:shape>
              <v:shape style="position:absolute;left:10585;top:14564;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p>
    <w:p>
      <w:pPr>
        <w:pStyle w:val="Heading2"/>
        <w:spacing w:line="240" w:lineRule="auto" w:before="26"/>
        <w:ind w:right="99"/>
        <w:jc w:val="left"/>
        <w:rPr>
          <w:b w:val="0"/>
          <w:bCs w:val="0"/>
        </w:rPr>
      </w:pPr>
      <w:r>
        <w:rPr/>
        <w:t>七、内幕信息知情人管理制度的建立和执行情况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left="573" w:right="99"/>
        <w:jc w:val="left"/>
      </w:pPr>
      <w:r>
        <w:rPr/>
        <w:t>（一）内幕信息知情人管理制度的制定情况</w:t>
      </w:r>
      <w:r>
        <w:rPr>
          <w:w w:val="100"/>
        </w:rPr>
        <w:t> </w:t>
      </w:r>
      <w:r>
        <w:rPr>
          <w:spacing w:val="-2"/>
        </w:rPr>
        <w:t>为了规范公司的内幕信息管理，加强内幕信息保密工作，维护信息披露公平性原则，根据《中华人民</w:t>
      </w:r>
    </w:p>
    <w:p>
      <w:pPr>
        <w:pStyle w:val="BodyText"/>
        <w:spacing w:line="398" w:lineRule="auto" w:before="46"/>
        <w:ind w:left="152" w:right="99"/>
        <w:jc w:val="left"/>
      </w:pPr>
      <w:r>
        <w:rPr>
          <w:spacing w:val="-2"/>
        </w:rPr>
        <w:t>共和国公司法》、《中华人民共和国证券法》、《上市公司信息披露管理办法》、《深圳证券交易所创业</w:t>
      </w:r>
      <w:r>
        <w:rPr>
          <w:spacing w:val="-42"/>
        </w:rPr>
        <w:t> </w:t>
      </w:r>
      <w:r>
        <w:rPr>
          <w:spacing w:val="-42"/>
        </w:rPr>
      </w:r>
      <w:r>
        <w:rPr/>
        <w:t>板股票上市规则》等有关法律、法规、规范性文件和《公司章程》的有关规定，公司于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t>日第</w:t>
      </w:r>
      <w:r>
        <w:rPr>
          <w:spacing w:val="-3"/>
          <w:w w:val="100"/>
        </w:rPr>
        <w:t> </w:t>
      </w:r>
      <w:r>
        <w:rPr/>
        <w:t>一届董事会第十二次会议审议制定了《内幕信息知情人登记制度》，并于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日第一届董事会第</w:t>
      </w:r>
      <w:r>
        <w:rPr>
          <w:w w:val="100"/>
        </w:rPr>
        <w:t> </w:t>
      </w:r>
      <w:r>
        <w:rPr>
          <w:spacing w:val="-2"/>
        </w:rPr>
        <w:t>十八次会议对上述《内幕信息知情人登记制度》进行了修订、完善，并改名为《内幕信息知情人登记管理</w:t>
      </w:r>
      <w:r>
        <w:rPr>
          <w:spacing w:val="-43"/>
        </w:rPr>
        <w:t> </w:t>
      </w:r>
      <w:r>
        <w:rPr>
          <w:spacing w:val="-43"/>
        </w:rPr>
      </w:r>
      <w:r>
        <w:rPr/>
        <w:t>制度》。</w:t>
      </w:r>
    </w:p>
    <w:p>
      <w:pPr>
        <w:pStyle w:val="BodyText"/>
        <w:spacing w:line="408" w:lineRule="auto" w:before="55"/>
        <w:ind w:left="573" w:right="99"/>
        <w:jc w:val="left"/>
      </w:pPr>
      <w:r>
        <w:rPr/>
        <w:t>（二）内幕信息知情人管理制度的执行情况</w:t>
      </w:r>
      <w:r>
        <w:rPr>
          <w:w w:val="100"/>
        </w:rPr>
        <w:t> </w:t>
      </w:r>
      <w:r>
        <w:rPr>
          <w:spacing w:val="-2"/>
        </w:rPr>
        <w:t>报告期内，公司严格执行《内幕信息知情人登记管理制度》，对于未公开信息，严格控制内幕信息知</w:t>
      </w:r>
    </w:p>
    <w:p>
      <w:pPr>
        <w:pStyle w:val="BodyText"/>
        <w:spacing w:line="408" w:lineRule="auto" w:before="46"/>
        <w:ind w:left="573" w:right="99" w:hanging="421"/>
        <w:jc w:val="left"/>
      </w:pPr>
      <w:r>
        <w:rPr/>
        <w:t>情人范围并填写《内幕信息知情人登记表》，并由证券部按照相关规定向深交所和证监局报备。</w:t>
      </w:r>
      <w:r>
        <w:rPr>
          <w:w w:val="100"/>
        </w:rPr>
        <w:t> </w:t>
      </w:r>
      <w:r>
        <w:rPr>
          <w:spacing w:val="-5"/>
        </w:rPr>
        <w:t>在定期报告及重大事项披露敏感期内，公司尽量避免接待投资者调研。在日常接待投资者调研过程中，</w:t>
      </w:r>
    </w:p>
    <w:p>
      <w:pPr>
        <w:pStyle w:val="BodyText"/>
        <w:spacing w:line="408" w:lineRule="auto" w:before="46"/>
        <w:ind w:left="152" w:right="99"/>
        <w:jc w:val="left"/>
      </w:pPr>
      <w:r>
        <w:rPr>
          <w:spacing w:val="-2"/>
        </w:rPr>
        <w:t>所有调研人员均按要求登记身份信息并签署承诺函，详细调研记录由证券部按照相关规定及时向深交所报</w:t>
      </w:r>
      <w:r>
        <w:rPr>
          <w:spacing w:val="-43"/>
        </w:rPr>
        <w:t> </w:t>
      </w:r>
      <w:r>
        <w:rPr>
          <w:spacing w:val="-43"/>
        </w:rPr>
      </w:r>
      <w:r>
        <w:rPr/>
        <w:t>备，并在互动易平台公布。</w:t>
      </w:r>
    </w:p>
    <w:p>
      <w:pPr>
        <w:pStyle w:val="BodyText"/>
        <w:spacing w:line="408" w:lineRule="auto" w:before="46"/>
        <w:ind w:left="573" w:right="99"/>
        <w:jc w:val="left"/>
      </w:pPr>
      <w:r>
        <w:rPr/>
        <w:t>（三）报告期内自查内幕信息知情人涉嫌内幕交易及监管部门的查处和整改情况</w:t>
      </w:r>
      <w:r>
        <w:rPr>
          <w:w w:val="100"/>
        </w:rPr>
        <w:t> </w:t>
      </w:r>
      <w:r>
        <w:rPr>
          <w:spacing w:val="-2"/>
        </w:rPr>
        <w:t>报告期内，未发现公司董事、监事及高级管理人员和其他相关内幕信息知情人利用内幕信息买卖本公</w:t>
      </w:r>
    </w:p>
    <w:p>
      <w:pPr>
        <w:pStyle w:val="BodyText"/>
        <w:spacing w:line="408" w:lineRule="auto" w:before="43"/>
        <w:ind w:left="573" w:right="99" w:hanging="421"/>
        <w:jc w:val="left"/>
      </w:pPr>
      <w:r>
        <w:rPr/>
        <w:t>司股票的情况。</w:t>
      </w:r>
      <w:r>
        <w:rPr>
          <w:spacing w:val="-103"/>
        </w:rPr>
        <w:t> </w:t>
      </w:r>
      <w:r>
        <w:rPr>
          <w:spacing w:val="-103"/>
        </w:rPr>
      </w:r>
      <w:r>
        <w:rPr>
          <w:spacing w:val="-2"/>
        </w:rPr>
        <w:t>报告期内，公司组织了所有董事、监事、高级管理人员参加了证监局举办的内幕信息交易警示图片展</w:t>
      </w:r>
    </w:p>
    <w:p>
      <w:pPr>
        <w:pStyle w:val="BodyText"/>
        <w:spacing w:line="408" w:lineRule="auto" w:before="46"/>
        <w:ind w:left="152" w:right="99"/>
        <w:jc w:val="left"/>
      </w:pPr>
      <w:r>
        <w:rPr>
          <w:spacing w:val="-2"/>
        </w:rPr>
        <w:t>和培训学习，并聘请公司的持续督导项目负责人和法律顾问针对内幕交易、关联交易等重要法律法规进行</w:t>
      </w:r>
      <w:r>
        <w:rPr>
          <w:spacing w:val="-43"/>
        </w:rPr>
        <w:t> </w:t>
      </w:r>
      <w:r>
        <w:rPr>
          <w:spacing w:val="-43"/>
        </w:rPr>
      </w:r>
      <w:r>
        <w:rPr/>
        <w:t>了</w:t>
      </w:r>
      <w:r>
        <w:rPr>
          <w:rFonts w:ascii="Times New Roman" w:hAnsi="Times New Roman" w:cs="Times New Roman" w:eastAsia="Times New Roman" w:hint="default"/>
        </w:rPr>
        <w:t>3</w:t>
      </w:r>
      <w:r>
        <w:rPr/>
        <w:t>场专题培训，以不断加强公司管理层的规范运作意识。</w:t>
      </w:r>
    </w:p>
    <w:p>
      <w:pPr>
        <w:spacing w:line="240" w:lineRule="auto" w:before="3"/>
        <w:rPr>
          <w:rFonts w:ascii="宋体" w:hAnsi="宋体" w:cs="宋体" w:eastAsia="宋体" w:hint="default"/>
          <w:sz w:val="16"/>
          <w:szCs w:val="16"/>
        </w:rPr>
      </w:pPr>
    </w:p>
    <w:p>
      <w:pPr>
        <w:pStyle w:val="Heading2"/>
        <w:spacing w:line="240" w:lineRule="auto"/>
        <w:ind w:right="99"/>
        <w:jc w:val="left"/>
        <w:rPr>
          <w:b w:val="0"/>
          <w:bCs w:val="0"/>
        </w:rPr>
      </w:pPr>
      <w:r>
        <w:rPr/>
        <w:t>八、报告期内接待调研、沟通、采访等活动登记表</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52"/>
        <w:gridCol w:w="991"/>
        <w:gridCol w:w="1419"/>
        <w:gridCol w:w="850"/>
        <w:gridCol w:w="2268"/>
        <w:gridCol w:w="3190"/>
      </w:tblGrid>
      <w:tr>
        <w:trPr>
          <w:trHeight w:val="716"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接待地点</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接待方式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0" w:right="59" w:hanging="180"/>
              <w:jc w:val="left"/>
              <w:rPr>
                <w:rFonts w:ascii="宋体" w:hAnsi="宋体" w:cs="宋体" w:eastAsia="宋体" w:hint="default"/>
                <w:sz w:val="18"/>
                <w:szCs w:val="18"/>
              </w:rPr>
            </w:pPr>
            <w:r>
              <w:rPr>
                <w:rFonts w:ascii="宋体" w:hAnsi="宋体" w:cs="宋体" w:eastAsia="宋体" w:hint="default"/>
                <w:sz w:val="18"/>
                <w:szCs w:val="18"/>
              </w:rPr>
              <w:t>接待对象 类型</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谈论的主要内容及提供的资料</w:t>
            </w:r>
          </w:p>
        </w:tc>
      </w:tr>
      <w:tr>
        <w:trPr>
          <w:trHeight w:val="71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5"/>
              <w:jc w:val="left"/>
              <w:rPr>
                <w:rFonts w:ascii="宋体" w:hAnsi="宋体" w:cs="宋体" w:eastAsia="宋体" w:hint="default"/>
                <w:sz w:val="18"/>
                <w:szCs w:val="18"/>
              </w:rPr>
            </w:pPr>
            <w:r>
              <w:rPr>
                <w:rFonts w:ascii="宋体" w:hAnsi="宋体" w:cs="宋体" w:eastAsia="宋体" w:hint="default"/>
                <w:spacing w:val="4"/>
                <w:sz w:val="18"/>
                <w:szCs w:val="18"/>
              </w:rPr>
              <w:t>上海泽熙投资、北京宏源证 </w:t>
            </w:r>
            <w:r>
              <w:rPr>
                <w:rFonts w:ascii="宋体" w:hAnsi="宋体" w:cs="宋体" w:eastAsia="宋体" w:hint="default"/>
                <w:sz w:val="18"/>
                <w:szCs w:val="18"/>
              </w:rPr>
              <w:t>券共计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5"/>
              <w:jc w:val="left"/>
              <w:rPr>
                <w:rFonts w:ascii="宋体" w:hAnsi="宋体" w:cs="宋体" w:eastAsia="宋体" w:hint="default"/>
                <w:sz w:val="18"/>
                <w:szCs w:val="18"/>
              </w:rPr>
            </w:pPr>
            <w:r>
              <w:rPr>
                <w:rFonts w:ascii="宋体" w:hAnsi="宋体" w:cs="宋体" w:eastAsia="宋体" w:hint="default"/>
                <w:spacing w:val="3"/>
                <w:sz w:val="18"/>
                <w:szCs w:val="18"/>
              </w:rPr>
              <w:t>公司生产经营情况，市场及行业发展情</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况等。</w:t>
            </w: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15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北京华夏基金共计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
              <w:jc w:val="left"/>
              <w:rPr>
                <w:rFonts w:ascii="宋体" w:hAnsi="宋体" w:cs="宋体" w:eastAsia="宋体" w:hint="default"/>
                <w:sz w:val="18"/>
                <w:szCs w:val="18"/>
              </w:rPr>
            </w:pPr>
            <w:r>
              <w:rPr>
                <w:rFonts w:ascii="宋体" w:hAnsi="宋体" w:cs="宋体" w:eastAsia="宋体" w:hint="default"/>
                <w:spacing w:val="3"/>
                <w:sz w:val="18"/>
                <w:szCs w:val="18"/>
              </w:rPr>
              <w:t>公司经营情况、市场规模、竞争对手情</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况及营销战略等。</w:t>
            </w:r>
          </w:p>
        </w:tc>
      </w:tr>
      <w:tr>
        <w:trPr>
          <w:trHeight w:val="129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240" w:lineRule="auto" w:before="62"/>
              <w:ind w:left="15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268"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3" w:right="3"/>
              <w:jc w:val="both"/>
              <w:rPr>
                <w:rFonts w:ascii="宋体" w:hAnsi="宋体" w:cs="宋体" w:eastAsia="宋体" w:hint="default"/>
                <w:sz w:val="18"/>
                <w:szCs w:val="18"/>
              </w:rPr>
            </w:pPr>
            <w:r>
              <w:rPr>
                <w:rFonts w:ascii="宋体" w:hAnsi="宋体" w:cs="宋体" w:eastAsia="宋体" w:hint="default"/>
                <w:spacing w:val="4"/>
                <w:sz w:val="18"/>
                <w:szCs w:val="18"/>
              </w:rPr>
              <w:t>华林证券、第一创业证券、 长城基金、星石投资、富国 </w:t>
            </w:r>
            <w:r>
              <w:rPr>
                <w:rFonts w:ascii="宋体" w:hAnsi="宋体" w:cs="宋体" w:eastAsia="宋体" w:hint="default"/>
                <w:spacing w:val="-3"/>
                <w:sz w:val="18"/>
                <w:szCs w:val="18"/>
              </w:rPr>
              <w:t>基金、鼎诺投资、</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pacing w:val="4"/>
                <w:sz w:val="18"/>
                <w:szCs w:val="18"/>
              </w:rPr>
              <w:t>中欧基金、宝盈基金、申银</w:t>
            </w:r>
            <w:r>
              <w:rPr>
                <w:rFonts w:ascii="宋体" w:hAnsi="宋体" w:cs="宋体" w:eastAsia="宋体" w:hint="default"/>
                <w:sz w:val="18"/>
                <w:szCs w:val="18"/>
              </w:rPr>
            </w:r>
          </w:p>
        </w:tc>
        <w:tc>
          <w:tcPr>
            <w:tcW w:w="319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316" w:lineRule="auto"/>
              <w:ind w:left="12" w:right="15"/>
              <w:jc w:val="left"/>
              <w:rPr>
                <w:rFonts w:ascii="宋体" w:hAnsi="宋体" w:cs="宋体" w:eastAsia="宋体" w:hint="default"/>
                <w:sz w:val="18"/>
                <w:szCs w:val="18"/>
              </w:rPr>
            </w:pPr>
            <w:r>
              <w:rPr>
                <w:rFonts w:ascii="宋体" w:hAnsi="宋体" w:cs="宋体" w:eastAsia="宋体" w:hint="default"/>
                <w:spacing w:val="3"/>
                <w:sz w:val="18"/>
                <w:szCs w:val="18"/>
              </w:rPr>
              <w:t>公司生产经营情况、行业拓展情况、竞</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争对手情况、现有业务未来的发展空间</w:t>
            </w:r>
            <w:r>
              <w:rPr>
                <w:rFonts w:ascii="宋体" w:hAnsi="宋体" w:cs="宋体" w:eastAsia="宋体" w:hint="default"/>
                <w:sz w:val="18"/>
                <w:szCs w:val="18"/>
              </w:rPr>
              <w:t> 投资并购情况及股权激励等。</w:t>
            </w:r>
          </w:p>
        </w:tc>
      </w:tr>
    </w:tbl>
    <w:p>
      <w:pPr>
        <w:spacing w:after="0" w:line="316" w:lineRule="auto"/>
        <w:jc w:val="left"/>
        <w:rPr>
          <w:rFonts w:ascii="宋体" w:hAnsi="宋体" w:cs="宋体" w:eastAsia="宋体" w:hint="default"/>
          <w:sz w:val="18"/>
          <w:szCs w:val="18"/>
        </w:rPr>
        <w:sectPr>
          <w:pgSz w:w="11910" w:h="16840"/>
          <w:pgMar w:header="877" w:footer="1227" w:top="1100" w:bottom="1420" w:left="980" w:right="920"/>
        </w:sectPr>
      </w:pPr>
    </w:p>
    <w:p>
      <w:pPr>
        <w:spacing w:line="240" w:lineRule="auto" w:before="7"/>
        <w:rPr>
          <w:rFonts w:ascii="宋体" w:hAnsi="宋体" w:cs="宋体" w:eastAsia="宋体" w:hint="default"/>
          <w:b/>
          <w:bCs/>
          <w:sz w:val="22"/>
          <w:szCs w:val="22"/>
        </w:rPr>
      </w:pPr>
    </w:p>
    <w:p>
      <w:pPr>
        <w:spacing w:before="44"/>
        <w:ind w:left="2241" w:right="2066" w:firstLine="0"/>
        <w:jc w:val="center"/>
        <w:rPr>
          <w:rFonts w:ascii="宋体" w:hAnsi="宋体" w:cs="宋体" w:eastAsia="宋体" w:hint="default"/>
          <w:sz w:val="18"/>
          <w:szCs w:val="18"/>
        </w:rPr>
      </w:pPr>
      <w:r>
        <w:rPr>
          <w:rFonts w:ascii="宋体" w:hAnsi="宋体" w:cs="宋体" w:eastAsia="宋体" w:hint="default"/>
          <w:sz w:val="18"/>
          <w:szCs w:val="18"/>
        </w:rPr>
        <w:t>万国证券共计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p>
      <w:pPr>
        <w:spacing w:line="240" w:lineRule="auto" w:before="5"/>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877" w:footer="1227" w:top="1100" w:bottom="1420" w:left="980" w:right="980"/>
        </w:sectPr>
      </w:pPr>
    </w:p>
    <w:p>
      <w:pPr>
        <w:spacing w:line="316" w:lineRule="auto" w:before="44"/>
        <w:ind w:left="4293" w:right="-10" w:firstLine="0"/>
        <w:jc w:val="left"/>
        <w:rPr>
          <w:rFonts w:ascii="宋体" w:hAnsi="宋体" w:cs="宋体" w:eastAsia="宋体" w:hint="default"/>
          <w:sz w:val="18"/>
          <w:szCs w:val="18"/>
        </w:rPr>
      </w:pPr>
      <w:r>
        <w:rPr/>
        <w:pict>
          <v:shape style="position:absolute;margin-left:333.764008pt;margin-top:15.351746pt;width:200.1pt;height:17.650pt;mso-position-horizontal-relative:page;mso-position-vertical-relative:paragraph;z-index:-804160"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国泰基金、</w:t>
                  </w:r>
                </w:p>
              </w:txbxContent>
            </v:textbox>
            <w10:wrap type="none"/>
          </v:shape>
        </w:pict>
      </w:r>
      <w:r>
        <w:rPr>
          <w:rFonts w:ascii="宋体" w:hAnsi="宋体" w:cs="宋体" w:eastAsia="宋体" w:hint="default"/>
          <w:spacing w:val="4"/>
          <w:sz w:val="18"/>
          <w:szCs w:val="18"/>
        </w:rPr>
        <w:t>东莞证券、厦门证券、厦门 </w:t>
      </w:r>
      <w:r>
        <w:rPr>
          <w:rFonts w:ascii="宋体" w:hAnsi="宋体" w:cs="宋体" w:eastAsia="宋体" w:hint="default"/>
          <w:spacing w:val="-3"/>
          <w:sz w:val="18"/>
          <w:szCs w:val="18"/>
        </w:rPr>
        <w:t>证券、光大证券、</w:t>
      </w:r>
    </w:p>
    <w:p>
      <w:pPr>
        <w:spacing w:line="240" w:lineRule="auto" w:before="0"/>
        <w:rPr>
          <w:rFonts w:ascii="宋体" w:hAnsi="宋体" w:cs="宋体" w:eastAsia="宋体" w:hint="default"/>
          <w:sz w:val="18"/>
          <w:szCs w:val="18"/>
        </w:rPr>
      </w:pPr>
      <w:r>
        <w:rPr/>
        <w:br w:type="column"/>
      </w:r>
      <w:r>
        <w:rPr>
          <w:rFonts w:ascii="宋体"/>
          <w:sz w:val="18"/>
        </w:rPr>
      </w:r>
    </w:p>
    <w:p>
      <w:pPr>
        <w:spacing w:before="121"/>
        <w:ind w:left="10" w:right="143" w:firstLine="0"/>
        <w:jc w:val="left"/>
        <w:rPr>
          <w:rFonts w:ascii="宋体" w:hAnsi="宋体" w:cs="宋体" w:eastAsia="宋体" w:hint="default"/>
          <w:sz w:val="18"/>
          <w:szCs w:val="18"/>
        </w:rPr>
      </w:pPr>
      <w:r>
        <w:rPr>
          <w:rFonts w:ascii="宋体" w:hAnsi="宋体" w:cs="宋体" w:eastAsia="宋体" w:hint="default"/>
          <w:spacing w:val="3"/>
          <w:sz w:val="18"/>
          <w:szCs w:val="18"/>
        </w:rPr>
        <w:t>公司各大业务的经营发展情况、市场拓</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880" w:bottom="280" w:left="980" w:right="980"/>
          <w:cols w:num="2" w:equalWidth="0">
            <w:col w:w="6512" w:space="40"/>
            <w:col w:w="3398"/>
          </w:cols>
        </w:sectPr>
      </w:pPr>
    </w:p>
    <w:p>
      <w:pPr>
        <w:spacing w:before="19"/>
        <w:ind w:left="217" w:right="-18"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spacing w:before="63"/>
        <w:ind w:left="263" w:right="-18"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5"/>
        <w:rPr>
          <w:rFonts w:ascii="宋体" w:hAnsi="宋体" w:cs="宋体" w:eastAsia="宋体" w:hint="default"/>
          <w:sz w:val="13"/>
          <w:szCs w:val="13"/>
        </w:rPr>
      </w:pPr>
      <w:r>
        <w:rPr/>
        <w:br w:type="column"/>
      </w:r>
      <w:r>
        <w:rPr>
          <w:rFonts w:ascii="宋体"/>
          <w:sz w:val="13"/>
        </w:rPr>
      </w:r>
    </w:p>
    <w:p>
      <w:pPr>
        <w:tabs>
          <w:tab w:pos="1367" w:val="left" w:leader="none"/>
          <w:tab w:pos="2680" w:val="left" w:leader="none"/>
        </w:tabs>
        <w:spacing w:before="0"/>
        <w:ind w:left="71" w:right="-20" w:firstLine="0"/>
        <w:jc w:val="left"/>
        <w:rPr>
          <w:rFonts w:ascii="宋体" w:hAnsi="宋体" w:cs="宋体" w:eastAsia="宋体" w:hint="default"/>
          <w:sz w:val="18"/>
          <w:szCs w:val="18"/>
        </w:rPr>
      </w:pPr>
      <w:r>
        <w:rPr>
          <w:rFonts w:ascii="宋体" w:hAnsi="宋体" w:cs="宋体" w:eastAsia="宋体" w:hint="default"/>
          <w:sz w:val="18"/>
          <w:szCs w:val="18"/>
        </w:rPr>
        <w:t>公司会议室</w:t>
        <w:tab/>
        <w:t>实地调研</w:t>
        <w:tab/>
        <w:t>机构</w:t>
      </w:r>
    </w:p>
    <w:p>
      <w:pPr>
        <w:spacing w:line="316" w:lineRule="auto" w:before="19"/>
        <w:ind w:left="217" w:right="151" w:firstLine="0"/>
        <w:jc w:val="left"/>
        <w:rPr>
          <w:rFonts w:ascii="宋体" w:hAnsi="宋体" w:cs="宋体" w:eastAsia="宋体" w:hint="default"/>
          <w:sz w:val="18"/>
          <w:szCs w:val="18"/>
        </w:rPr>
      </w:pPr>
      <w:r>
        <w:rPr>
          <w:spacing w:val="3"/>
        </w:rPr>
        <w:br w:type="column"/>
      </w:r>
      <w:r>
        <w:rPr>
          <w:rFonts w:ascii="宋体" w:hAnsi="宋体" w:cs="宋体" w:eastAsia="宋体" w:hint="default"/>
          <w:spacing w:val="3"/>
          <w:sz w:val="18"/>
          <w:szCs w:val="18"/>
        </w:rPr>
        <w:t>诺安基金、南京嘉业投资、</w:t>
      </w:r>
      <w:r>
        <w:rPr>
          <w:rFonts w:ascii="宋体" w:hAnsi="宋体" w:cs="宋体" w:eastAsia="宋体" w:hint="default"/>
          <w:spacing w:val="-44"/>
          <w:sz w:val="18"/>
          <w:szCs w:val="18"/>
        </w:rPr>
        <w:t> </w:t>
      </w:r>
      <w:r>
        <w:rPr>
          <w:rFonts w:ascii="宋体" w:hAnsi="宋体" w:cs="宋体" w:eastAsia="宋体" w:hint="default"/>
          <w:sz w:val="18"/>
          <w:szCs w:val="18"/>
        </w:rPr>
        <w:t>展情况、竞争对手情况、人员增长情况、</w:t>
      </w:r>
      <w:r>
        <w:rPr>
          <w:rFonts w:ascii="宋体" w:hAnsi="宋体" w:cs="宋体" w:eastAsia="宋体" w:hint="default"/>
          <w:sz w:val="18"/>
          <w:szCs w:val="18"/>
        </w:rPr>
        <w:t> </w:t>
      </w:r>
      <w:r>
        <w:rPr>
          <w:rFonts w:ascii="宋体" w:hAnsi="宋体" w:cs="宋体" w:eastAsia="宋体" w:hint="default"/>
          <w:spacing w:val="3"/>
          <w:sz w:val="18"/>
          <w:szCs w:val="18"/>
        </w:rPr>
        <w:t>和泓地产、摩根士丹利华鑫</w:t>
      </w:r>
      <w:r>
        <w:rPr>
          <w:rFonts w:ascii="宋体" w:hAnsi="宋体" w:cs="宋体" w:eastAsia="宋体" w:hint="default"/>
          <w:spacing w:val="-28"/>
          <w:sz w:val="18"/>
          <w:szCs w:val="18"/>
        </w:rPr>
        <w:t> </w:t>
      </w:r>
      <w:r>
        <w:rPr>
          <w:rFonts w:ascii="宋体" w:hAnsi="宋体" w:cs="宋体" w:eastAsia="宋体" w:hint="default"/>
          <w:spacing w:val="3"/>
          <w:sz w:val="18"/>
          <w:szCs w:val="18"/>
        </w:rPr>
        <w:t>公证云、超算中心、舆情搜索的发展情</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基金、方正富邦基金共计</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况等。</w:t>
      </w:r>
    </w:p>
    <w:p>
      <w:pPr>
        <w:spacing w:line="235" w:lineRule="exact" w:before="0"/>
        <w:ind w:left="217" w:right="151" w:firstLine="0"/>
        <w:jc w:val="left"/>
        <w:rPr>
          <w:rFonts w:ascii="宋体" w:hAnsi="宋体" w:cs="宋体" w:eastAsia="宋体" w:hint="default"/>
          <w:sz w:val="18"/>
          <w:szCs w:val="18"/>
        </w:rPr>
      </w:pPr>
      <w:r>
        <w:rPr>
          <w:rFonts w:ascii="宋体" w:hAnsi="宋体" w:cs="宋体" w:eastAsia="宋体" w:hint="default"/>
          <w:sz w:val="18"/>
          <w:szCs w:val="18"/>
        </w:rPr>
        <w:t>人</w:t>
      </w:r>
    </w:p>
    <w:p>
      <w:pPr>
        <w:spacing w:after="0" w:line="235" w:lineRule="exact"/>
        <w:jc w:val="left"/>
        <w:rPr>
          <w:rFonts w:ascii="宋体" w:hAnsi="宋体" w:cs="宋体" w:eastAsia="宋体" w:hint="default"/>
          <w:sz w:val="18"/>
          <w:szCs w:val="18"/>
        </w:rPr>
        <w:sectPr>
          <w:type w:val="continuous"/>
          <w:pgSz w:w="11910" w:h="16840"/>
          <w:pgMar w:top="880" w:bottom="280" w:left="980" w:right="980"/>
          <w:cols w:num="3" w:equalWidth="0">
            <w:col w:w="940" w:space="40"/>
            <w:col w:w="3041" w:space="55"/>
            <w:col w:w="5874"/>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880" w:bottom="280" w:left="980" w:right="980"/>
        </w:sectPr>
      </w:pPr>
    </w:p>
    <w:p>
      <w:pPr>
        <w:spacing w:line="240" w:lineRule="auto" w:before="4"/>
        <w:rPr>
          <w:rFonts w:ascii="宋体" w:hAnsi="宋体" w:cs="宋体" w:eastAsia="宋体" w:hint="default"/>
          <w:sz w:val="15"/>
          <w:szCs w:val="15"/>
        </w:rPr>
      </w:pPr>
    </w:p>
    <w:p>
      <w:pPr>
        <w:spacing w:before="0"/>
        <w:ind w:left="217" w:right="-18"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spacing w:line="212" w:lineRule="exact" w:before="63"/>
        <w:ind w:left="263" w:right="-18"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tabs>
          <w:tab w:pos="1367" w:val="left" w:leader="none"/>
          <w:tab w:pos="2680" w:val="left" w:leader="none"/>
        </w:tabs>
        <w:spacing w:before="121"/>
        <w:ind w:left="71" w:right="-20" w:firstLine="0"/>
        <w:jc w:val="left"/>
        <w:rPr>
          <w:rFonts w:ascii="宋体" w:hAnsi="宋体" w:cs="宋体" w:eastAsia="宋体" w:hint="default"/>
          <w:sz w:val="18"/>
          <w:szCs w:val="18"/>
        </w:rPr>
      </w:pPr>
      <w:r>
        <w:rPr>
          <w:rFonts w:ascii="宋体" w:hAnsi="宋体" w:cs="宋体" w:eastAsia="宋体" w:hint="default"/>
          <w:sz w:val="18"/>
          <w:szCs w:val="18"/>
        </w:rPr>
        <w:t>公司会议室</w:t>
        <w:tab/>
        <w:t>实地调研</w:t>
        <w:tab/>
        <w:t>机构</w:t>
      </w:r>
    </w:p>
    <w:p>
      <w:pPr>
        <w:spacing w:line="316" w:lineRule="auto" w:before="44"/>
        <w:ind w:left="217" w:right="151" w:firstLine="0"/>
        <w:jc w:val="left"/>
        <w:rPr>
          <w:rFonts w:ascii="宋体" w:hAnsi="宋体" w:cs="宋体" w:eastAsia="宋体" w:hint="default"/>
          <w:sz w:val="18"/>
          <w:szCs w:val="18"/>
        </w:rPr>
      </w:pPr>
      <w:r>
        <w:rPr>
          <w:spacing w:val="3"/>
        </w:rPr>
        <w:br w:type="column"/>
      </w:r>
      <w:r>
        <w:rPr>
          <w:rFonts w:ascii="宋体" w:hAnsi="宋体" w:cs="宋体" w:eastAsia="宋体" w:hint="default"/>
          <w:spacing w:val="3"/>
          <w:sz w:val="18"/>
          <w:szCs w:val="18"/>
        </w:rPr>
        <w:t>中信证券、国投瑞银、新华</w:t>
      </w:r>
      <w:r>
        <w:rPr>
          <w:rFonts w:ascii="宋体" w:hAnsi="宋体" w:cs="宋体" w:eastAsia="宋体" w:hint="default"/>
          <w:spacing w:val="-21"/>
          <w:sz w:val="18"/>
          <w:szCs w:val="18"/>
        </w:rPr>
        <w:t> </w:t>
      </w:r>
      <w:r>
        <w:rPr>
          <w:rFonts w:ascii="宋体" w:hAnsi="宋体" w:cs="宋体" w:eastAsia="宋体" w:hint="default"/>
          <w:spacing w:val="3"/>
          <w:sz w:val="18"/>
          <w:szCs w:val="18"/>
        </w:rPr>
        <w:t>公司生产经营情况、财务相关问题、行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基金、民生证券、富国基金</w:t>
      </w:r>
      <w:r>
        <w:rPr>
          <w:rFonts w:ascii="宋体" w:hAnsi="宋体" w:cs="宋体" w:eastAsia="宋体" w:hint="default"/>
          <w:spacing w:val="-13"/>
          <w:sz w:val="18"/>
          <w:szCs w:val="18"/>
        </w:rPr>
        <w:t> </w:t>
      </w:r>
      <w:r>
        <w:rPr>
          <w:rFonts w:ascii="宋体" w:hAnsi="宋体" w:cs="宋体" w:eastAsia="宋体" w:hint="default"/>
          <w:spacing w:val="3"/>
          <w:sz w:val="18"/>
          <w:szCs w:val="18"/>
        </w:rPr>
        <w:t>业拓展情况、舆情产品和维权服务的收</w:t>
      </w:r>
      <w:r>
        <w:rPr>
          <w:rFonts w:ascii="宋体" w:hAnsi="宋体" w:cs="宋体" w:eastAsia="宋体" w:hint="default"/>
          <w:sz w:val="18"/>
          <w:szCs w:val="18"/>
        </w:rPr>
      </w:r>
    </w:p>
    <w:p>
      <w:pPr>
        <w:spacing w:after="0" w:line="316" w:lineRule="auto"/>
        <w:jc w:val="left"/>
        <w:rPr>
          <w:rFonts w:ascii="宋体" w:hAnsi="宋体" w:cs="宋体" w:eastAsia="宋体" w:hint="default"/>
          <w:sz w:val="18"/>
          <w:szCs w:val="18"/>
        </w:rPr>
        <w:sectPr>
          <w:type w:val="continuous"/>
          <w:pgSz w:w="11910" w:h="16840"/>
          <w:pgMar w:top="880" w:bottom="280" w:left="980" w:right="980"/>
          <w:cols w:num="3" w:equalWidth="0">
            <w:col w:w="940" w:space="40"/>
            <w:col w:w="3041" w:space="55"/>
            <w:col w:w="5874"/>
          </w:cols>
        </w:sectPr>
      </w:pPr>
    </w:p>
    <w:p>
      <w:pPr>
        <w:tabs>
          <w:tab w:pos="6562" w:val="left" w:leader="none"/>
        </w:tabs>
        <w:spacing w:line="194" w:lineRule="exact" w:before="0"/>
        <w:ind w:left="4293" w:right="0" w:firstLine="0"/>
        <w:jc w:val="left"/>
        <w:rPr>
          <w:rFonts w:ascii="宋体" w:hAnsi="宋体" w:cs="宋体" w:eastAsia="宋体" w:hint="default"/>
          <w:sz w:val="18"/>
          <w:szCs w:val="18"/>
        </w:rPr>
      </w:pPr>
      <w:r>
        <w:rPr>
          <w:rFonts w:ascii="宋体" w:hAnsi="宋体" w:cs="宋体" w:eastAsia="宋体" w:hint="default"/>
          <w:sz w:val="18"/>
          <w:szCs w:val="18"/>
        </w:rPr>
        <w:t>共计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tab/>
        <w:t>费模式、股权激励等。</w:t>
      </w:r>
    </w:p>
    <w:p>
      <w:pPr>
        <w:spacing w:line="240" w:lineRule="auto" w:before="5"/>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880" w:bottom="280" w:left="980" w:right="980"/>
        </w:sectPr>
      </w:pPr>
    </w:p>
    <w:p>
      <w:pPr>
        <w:spacing w:line="240" w:lineRule="auto" w:before="4"/>
        <w:rPr>
          <w:rFonts w:ascii="宋体" w:hAnsi="宋体" w:cs="宋体" w:eastAsia="宋体" w:hint="default"/>
          <w:sz w:val="15"/>
          <w:szCs w:val="15"/>
        </w:rPr>
      </w:pPr>
    </w:p>
    <w:p>
      <w:pPr>
        <w:spacing w:before="0"/>
        <w:ind w:left="217" w:right="-18"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spacing w:before="63"/>
        <w:ind w:left="263" w:right="-18"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tabs>
          <w:tab w:pos="1367" w:val="left" w:leader="none"/>
          <w:tab w:pos="2680" w:val="left" w:leader="none"/>
        </w:tabs>
        <w:spacing w:before="121"/>
        <w:ind w:left="71" w:right="-20" w:firstLine="0"/>
        <w:jc w:val="left"/>
        <w:rPr>
          <w:rFonts w:ascii="宋体" w:hAnsi="宋体" w:cs="宋体" w:eastAsia="宋体" w:hint="default"/>
          <w:sz w:val="18"/>
          <w:szCs w:val="18"/>
        </w:rPr>
      </w:pPr>
      <w:r>
        <w:rPr>
          <w:rFonts w:ascii="宋体" w:hAnsi="宋体" w:cs="宋体" w:eastAsia="宋体" w:hint="default"/>
          <w:sz w:val="18"/>
          <w:szCs w:val="18"/>
        </w:rPr>
        <w:t>公司会议室</w:t>
        <w:tab/>
        <w:t>实地调研</w:t>
        <w:tab/>
        <w:t>机构</w:t>
      </w:r>
    </w:p>
    <w:p>
      <w:pPr>
        <w:spacing w:line="240" w:lineRule="auto" w:before="4"/>
        <w:rPr>
          <w:rFonts w:ascii="宋体" w:hAnsi="宋体" w:cs="宋体" w:eastAsia="宋体" w:hint="default"/>
          <w:sz w:val="15"/>
          <w:szCs w:val="15"/>
        </w:rPr>
      </w:pPr>
      <w:r>
        <w:rPr/>
        <w:br w:type="column"/>
      </w:r>
      <w:r>
        <w:rPr>
          <w:rFonts w:ascii="宋体"/>
          <w:sz w:val="15"/>
        </w:rPr>
      </w:r>
    </w:p>
    <w:p>
      <w:pPr>
        <w:spacing w:before="0"/>
        <w:ind w:left="217" w:right="-11" w:firstLine="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长江证券、广发证券共计</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3</w:t>
      </w:r>
    </w:p>
    <w:p>
      <w:pPr>
        <w:spacing w:before="63"/>
        <w:ind w:left="217" w:right="-11" w:firstLine="0"/>
        <w:jc w:val="left"/>
        <w:rPr>
          <w:rFonts w:ascii="宋体" w:hAnsi="宋体" w:cs="宋体" w:eastAsia="宋体" w:hint="default"/>
          <w:sz w:val="18"/>
          <w:szCs w:val="18"/>
        </w:rPr>
      </w:pPr>
      <w:r>
        <w:rPr>
          <w:rFonts w:ascii="宋体" w:hAnsi="宋体" w:cs="宋体" w:eastAsia="宋体" w:hint="default"/>
          <w:sz w:val="18"/>
          <w:szCs w:val="18"/>
        </w:rPr>
        <w:t>人</w:t>
      </w:r>
    </w:p>
    <w:p>
      <w:pPr>
        <w:spacing w:line="319" w:lineRule="auto" w:before="44"/>
        <w:ind w:left="16" w:right="242" w:firstLine="0"/>
        <w:jc w:val="both"/>
        <w:rPr>
          <w:rFonts w:ascii="宋体" w:hAnsi="宋体" w:cs="宋体" w:eastAsia="宋体" w:hint="default"/>
          <w:sz w:val="18"/>
          <w:szCs w:val="18"/>
        </w:rPr>
      </w:pPr>
      <w:r>
        <w:rPr>
          <w:spacing w:val="3"/>
        </w:rPr>
        <w:br w:type="column"/>
      </w:r>
      <w:r>
        <w:rPr>
          <w:rFonts w:ascii="宋体" w:hAnsi="宋体" w:cs="宋体" w:eastAsia="宋体" w:hint="default"/>
          <w:spacing w:val="3"/>
          <w:sz w:val="18"/>
          <w:szCs w:val="18"/>
        </w:rPr>
        <w:t>公司生产经营情况、产品和服务的发展</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空间、行业拓展情况、市场竞争状况、</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财务方面问题、营销模式等。</w:t>
      </w:r>
    </w:p>
    <w:p>
      <w:pPr>
        <w:spacing w:after="0" w:line="319" w:lineRule="auto"/>
        <w:jc w:val="both"/>
        <w:rPr>
          <w:rFonts w:ascii="宋体" w:hAnsi="宋体" w:cs="宋体" w:eastAsia="宋体" w:hint="default"/>
          <w:sz w:val="18"/>
          <w:szCs w:val="18"/>
        </w:rPr>
        <w:sectPr>
          <w:type w:val="continuous"/>
          <w:pgSz w:w="11910" w:h="16840"/>
          <w:pgMar w:top="880" w:bottom="280" w:left="980" w:right="980"/>
          <w:cols w:num="4" w:equalWidth="0">
            <w:col w:w="940" w:space="40"/>
            <w:col w:w="3041" w:space="55"/>
            <w:col w:w="2430" w:space="40"/>
            <w:col w:w="3404"/>
          </w:cols>
        </w:sect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5"/>
          <w:szCs w:val="25"/>
        </w:rPr>
      </w:pPr>
    </w:p>
    <w:p>
      <w:pPr>
        <w:spacing w:line="212" w:lineRule="exact" w:before="0"/>
        <w:ind w:left="217" w:right="-18" w:firstLine="0"/>
        <w:jc w:val="left"/>
        <w:rPr>
          <w:rFonts w:ascii="Times New Roman" w:hAnsi="Times New Roman" w:cs="Times New Roman" w:eastAsia="Times New Roman" w:hint="default"/>
          <w:sz w:val="18"/>
          <w:szCs w:val="18"/>
        </w:rPr>
      </w:pPr>
      <w:r>
        <w:rPr/>
        <w:pict>
          <v:shape style="position:absolute;margin-left:333.764008pt;margin-top:-10.248261pt;width:200.1pt;height:17.650pt;mso-position-horizontal-relative:page;mso-position-vertical-relative:paragraph;z-index:-80413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宏源证券、</w:t>
                  </w:r>
                </w:p>
              </w:txbxContent>
            </v:textbox>
            <w10:wrap type="none"/>
          </v:shape>
        </w:pic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spacing w:line="316" w:lineRule="auto" w:before="106"/>
        <w:ind w:left="217" w:right="-10" w:firstLine="0"/>
        <w:jc w:val="left"/>
        <w:rPr>
          <w:rFonts w:ascii="宋体" w:hAnsi="宋体" w:cs="宋体" w:eastAsia="宋体" w:hint="default"/>
          <w:sz w:val="18"/>
          <w:szCs w:val="18"/>
        </w:rPr>
      </w:pPr>
      <w:r>
        <w:rPr>
          <w:spacing w:val="4"/>
        </w:rPr>
        <w:br w:type="column"/>
      </w:r>
      <w:r>
        <w:rPr>
          <w:rFonts w:ascii="宋体" w:hAnsi="宋体" w:cs="宋体" w:eastAsia="宋体" w:hint="default"/>
          <w:spacing w:val="4"/>
          <w:sz w:val="18"/>
          <w:szCs w:val="18"/>
        </w:rPr>
        <w:t>东方证券、东方基金、上投 </w:t>
      </w:r>
      <w:r>
        <w:rPr>
          <w:rFonts w:ascii="宋体" w:hAnsi="宋体" w:cs="宋体" w:eastAsia="宋体" w:hint="default"/>
          <w:spacing w:val="-3"/>
          <w:sz w:val="18"/>
          <w:szCs w:val="18"/>
        </w:rPr>
        <w:t>摩根、南方基金、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3"/>
          <w:szCs w:val="13"/>
        </w:rPr>
      </w:pPr>
    </w:p>
    <w:p>
      <w:pPr>
        <w:spacing w:before="0"/>
        <w:ind w:left="10" w:right="143" w:firstLine="0"/>
        <w:jc w:val="left"/>
        <w:rPr>
          <w:rFonts w:ascii="宋体" w:hAnsi="宋体" w:cs="宋体" w:eastAsia="宋体" w:hint="default"/>
          <w:sz w:val="18"/>
          <w:szCs w:val="18"/>
        </w:rPr>
      </w:pPr>
      <w:r>
        <w:rPr>
          <w:rFonts w:ascii="宋体" w:hAnsi="宋体" w:cs="宋体" w:eastAsia="宋体" w:hint="default"/>
          <w:spacing w:val="3"/>
          <w:sz w:val="18"/>
          <w:szCs w:val="18"/>
        </w:rPr>
        <w:t>公司的生产经营情况、产品和服务的核</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880" w:bottom="280" w:left="980" w:right="980"/>
          <w:cols w:num="3" w:equalWidth="0">
            <w:col w:w="940" w:space="3136"/>
            <w:col w:w="2436" w:space="40"/>
            <w:col w:w="3398"/>
          </w:cols>
        </w:sectPr>
      </w:pPr>
    </w:p>
    <w:p>
      <w:pPr>
        <w:spacing w:before="100"/>
        <w:ind w:left="263" w:right="-18"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tabs>
          <w:tab w:pos="1409" w:val="left" w:leader="none"/>
          <w:tab w:pos="2722" w:val="left" w:leader="none"/>
        </w:tabs>
        <w:spacing w:line="180" w:lineRule="exact" w:before="0"/>
        <w:ind w:left="113"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公司会议室</w:t>
        <w:tab/>
        <w:t>实地调研</w:t>
        <w:tab/>
        <w:t>机构</w:t>
      </w:r>
    </w:p>
    <w:p>
      <w:pPr>
        <w:spacing w:line="180" w:lineRule="exact" w:before="0"/>
        <w:ind w:left="233" w:right="0" w:firstLine="0"/>
        <w:jc w:val="left"/>
        <w:rPr>
          <w:rFonts w:ascii="宋体" w:hAnsi="宋体" w:cs="宋体" w:eastAsia="宋体" w:hint="default"/>
          <w:sz w:val="18"/>
          <w:szCs w:val="18"/>
        </w:rPr>
      </w:pPr>
      <w:r>
        <w:rPr>
          <w:spacing w:val="3"/>
        </w:rPr>
        <w:br w:type="column"/>
      </w:r>
      <w:r>
        <w:rPr>
          <w:rFonts w:ascii="宋体" w:hAnsi="宋体" w:cs="宋体" w:eastAsia="宋体" w:hint="default"/>
          <w:spacing w:val="3"/>
          <w:sz w:val="18"/>
          <w:szCs w:val="18"/>
        </w:rPr>
        <w:t>国泰基金、南京证券、华夏</w:t>
      </w:r>
      <w:r>
        <w:rPr>
          <w:rFonts w:ascii="宋体" w:hAnsi="宋体" w:cs="宋体" w:eastAsia="宋体" w:hint="default"/>
          <w:spacing w:val="-13"/>
          <w:sz w:val="18"/>
          <w:szCs w:val="18"/>
        </w:rPr>
        <w:t> </w:t>
      </w:r>
      <w:r>
        <w:rPr>
          <w:rFonts w:ascii="宋体" w:hAnsi="宋体" w:cs="宋体" w:eastAsia="宋体" w:hint="default"/>
          <w:spacing w:val="3"/>
          <w:sz w:val="18"/>
          <w:szCs w:val="18"/>
        </w:rPr>
        <w:t>心竞争力、收费模式、营销拓展情况、</w:t>
      </w:r>
      <w:r>
        <w:rPr>
          <w:rFonts w:ascii="宋体" w:hAnsi="宋体" w:cs="宋体" w:eastAsia="宋体" w:hint="default"/>
          <w:sz w:val="18"/>
          <w:szCs w:val="18"/>
        </w:rPr>
      </w:r>
    </w:p>
    <w:p>
      <w:pPr>
        <w:spacing w:line="316" w:lineRule="auto" w:before="76"/>
        <w:ind w:left="233" w:right="316" w:firstLine="0"/>
        <w:jc w:val="left"/>
        <w:rPr>
          <w:rFonts w:ascii="宋体" w:hAnsi="宋体" w:cs="宋体" w:eastAsia="宋体" w:hint="default"/>
          <w:sz w:val="18"/>
          <w:szCs w:val="18"/>
        </w:rPr>
      </w:pPr>
      <w:r>
        <w:rPr>
          <w:rFonts w:ascii="宋体" w:hAnsi="宋体" w:cs="宋体" w:eastAsia="宋体" w:hint="default"/>
          <w:spacing w:val="3"/>
          <w:sz w:val="18"/>
          <w:szCs w:val="18"/>
        </w:rPr>
        <w:t>基金、华商基金、上海申银</w:t>
      </w:r>
      <w:r>
        <w:rPr>
          <w:rFonts w:ascii="宋体" w:hAnsi="宋体" w:cs="宋体" w:eastAsia="宋体" w:hint="default"/>
          <w:spacing w:val="-29"/>
          <w:sz w:val="18"/>
          <w:szCs w:val="18"/>
        </w:rPr>
        <w:t> </w:t>
      </w:r>
      <w:r>
        <w:rPr>
          <w:rFonts w:ascii="宋体" w:hAnsi="宋体" w:cs="宋体" w:eastAsia="宋体" w:hint="default"/>
          <w:sz w:val="18"/>
          <w:szCs w:val="18"/>
        </w:rPr>
        <w:t>一季度业绩情况、未来的市场空间等。</w:t>
      </w:r>
      <w:r>
        <w:rPr>
          <w:rFonts w:ascii="宋体" w:hAnsi="宋体" w:cs="宋体" w:eastAsia="宋体" w:hint="default"/>
          <w:sz w:val="18"/>
          <w:szCs w:val="18"/>
        </w:rPr>
        <w:t> 万国共计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p>
      <w:pPr>
        <w:spacing w:after="0" w:line="316" w:lineRule="auto"/>
        <w:jc w:val="left"/>
        <w:rPr>
          <w:rFonts w:ascii="宋体" w:hAnsi="宋体" w:cs="宋体" w:eastAsia="宋体" w:hint="default"/>
          <w:sz w:val="18"/>
          <w:szCs w:val="18"/>
        </w:rPr>
        <w:sectPr>
          <w:type w:val="continuous"/>
          <w:pgSz w:w="11910" w:h="16840"/>
          <w:pgMar w:top="880" w:bottom="280" w:left="980" w:right="980"/>
          <w:cols w:num="3" w:equalWidth="0">
            <w:col w:w="898" w:space="40"/>
            <w:col w:w="3083" w:space="40"/>
            <w:col w:w="5889"/>
          </w:cols>
        </w:sect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2"/>
          <w:szCs w:val="12"/>
        </w:rPr>
      </w:pPr>
    </w:p>
    <w:p>
      <w:pPr>
        <w:spacing w:before="0"/>
        <w:ind w:left="217" w:right="-18"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spacing w:before="63"/>
        <w:ind w:left="263" w:right="-18"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24"/>
          <w:szCs w:val="24"/>
        </w:rPr>
      </w:pPr>
    </w:p>
    <w:p>
      <w:pPr>
        <w:tabs>
          <w:tab w:pos="1367" w:val="left" w:leader="none"/>
          <w:tab w:pos="2680" w:val="left" w:leader="none"/>
        </w:tabs>
        <w:spacing w:before="0"/>
        <w:ind w:left="71" w:right="-20" w:firstLine="0"/>
        <w:jc w:val="left"/>
        <w:rPr>
          <w:rFonts w:ascii="宋体" w:hAnsi="宋体" w:cs="宋体" w:eastAsia="宋体" w:hint="default"/>
          <w:sz w:val="18"/>
          <w:szCs w:val="18"/>
        </w:rPr>
      </w:pPr>
      <w:r>
        <w:rPr>
          <w:rFonts w:ascii="宋体" w:hAnsi="宋体" w:cs="宋体" w:eastAsia="宋体" w:hint="default"/>
          <w:sz w:val="18"/>
          <w:szCs w:val="18"/>
        </w:rPr>
        <w:t>公司会议室</w:t>
        <w:tab/>
        <w:t>实地调研</w:t>
        <w:tab/>
        <w:t>机构</w:t>
      </w:r>
    </w:p>
    <w:p>
      <w:pPr>
        <w:spacing w:line="240" w:lineRule="auto" w:before="11"/>
        <w:rPr>
          <w:rFonts w:ascii="宋体" w:hAnsi="宋体" w:cs="宋体" w:eastAsia="宋体" w:hint="default"/>
          <w:sz w:val="18"/>
          <w:szCs w:val="18"/>
        </w:rPr>
      </w:pPr>
      <w:r>
        <w:rPr/>
        <w:br w:type="column"/>
      </w:r>
      <w:r>
        <w:rPr>
          <w:rFonts w:ascii="宋体"/>
          <w:sz w:val="18"/>
        </w:rPr>
      </w:r>
    </w:p>
    <w:p>
      <w:pPr>
        <w:spacing w:line="316" w:lineRule="auto" w:before="0"/>
        <w:ind w:left="217" w:right="0" w:firstLine="0"/>
        <w:jc w:val="both"/>
        <w:rPr>
          <w:rFonts w:ascii="宋体" w:hAnsi="宋体" w:cs="宋体" w:eastAsia="宋体" w:hint="default"/>
          <w:sz w:val="18"/>
          <w:szCs w:val="18"/>
        </w:rPr>
      </w:pPr>
      <w:r>
        <w:rPr>
          <w:rFonts w:ascii="宋体" w:hAnsi="宋体" w:cs="宋体" w:eastAsia="宋体" w:hint="default"/>
          <w:spacing w:val="4"/>
          <w:sz w:val="18"/>
          <w:szCs w:val="18"/>
        </w:rPr>
        <w:t>光大证券、兴业基金、信诚 基金、华创证券、广发证券 </w:t>
      </w:r>
      <w:r>
        <w:rPr>
          <w:rFonts w:ascii="宋体" w:hAnsi="宋体" w:cs="宋体" w:eastAsia="宋体" w:hint="default"/>
          <w:sz w:val="18"/>
          <w:szCs w:val="18"/>
        </w:rPr>
        <w:t>及银华基金共计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p>
      <w:pPr>
        <w:spacing w:line="316" w:lineRule="auto" w:before="90"/>
        <w:ind w:left="10" w:right="143" w:firstLine="0"/>
        <w:jc w:val="left"/>
        <w:rPr>
          <w:rFonts w:ascii="宋体" w:hAnsi="宋体" w:cs="宋体" w:eastAsia="宋体" w:hint="default"/>
          <w:sz w:val="18"/>
          <w:szCs w:val="18"/>
        </w:rPr>
      </w:pPr>
      <w:r>
        <w:rPr>
          <w:spacing w:val="-1"/>
        </w:rPr>
        <w:br w:type="column"/>
      </w:r>
      <w:r>
        <w:rPr>
          <w:rFonts w:ascii="宋体" w:hAnsi="宋体" w:cs="宋体" w:eastAsia="宋体" w:hint="default"/>
          <w:spacing w:val="-1"/>
          <w:sz w:val="18"/>
          <w:szCs w:val="18"/>
        </w:rPr>
        <w:t>公司的发展沿革、市场需求、行业拓展、</w:t>
      </w:r>
      <w:r>
        <w:rPr>
          <w:rFonts w:ascii="宋体" w:hAnsi="宋体" w:cs="宋体" w:eastAsia="宋体" w:hint="default"/>
          <w:sz w:val="18"/>
          <w:szCs w:val="18"/>
        </w:rPr>
        <w:t> </w:t>
      </w:r>
      <w:r>
        <w:rPr>
          <w:rFonts w:ascii="宋体" w:hAnsi="宋体" w:cs="宋体" w:eastAsia="宋体" w:hint="default"/>
          <w:spacing w:val="3"/>
          <w:sz w:val="18"/>
          <w:szCs w:val="18"/>
        </w:rPr>
        <w:t>营销收费模式、竞争对手情况、公证云</w:t>
      </w:r>
      <w:r>
        <w:rPr>
          <w:rFonts w:ascii="宋体" w:hAnsi="宋体" w:cs="宋体" w:eastAsia="宋体" w:hint="default"/>
          <w:sz w:val="18"/>
          <w:szCs w:val="18"/>
        </w:rPr>
      </w:r>
    </w:p>
    <w:p>
      <w:pPr>
        <w:spacing w:line="316" w:lineRule="auto" w:before="19"/>
        <w:ind w:left="10" w:right="143" w:firstLine="0"/>
        <w:jc w:val="left"/>
        <w:rPr>
          <w:rFonts w:ascii="宋体" w:hAnsi="宋体" w:cs="宋体" w:eastAsia="宋体" w:hint="default"/>
          <w:sz w:val="18"/>
          <w:szCs w:val="18"/>
        </w:rPr>
      </w:pPr>
      <w:r>
        <w:rPr>
          <w:rFonts w:ascii="宋体" w:hAnsi="宋体" w:cs="宋体" w:eastAsia="宋体" w:hint="default"/>
          <w:spacing w:val="3"/>
          <w:sz w:val="18"/>
          <w:szCs w:val="18"/>
        </w:rPr>
        <w:t>和无人机的进展、发展瓶颈和存在的问</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题等。</w:t>
      </w:r>
    </w:p>
    <w:p>
      <w:pPr>
        <w:spacing w:after="0" w:line="316" w:lineRule="auto"/>
        <w:jc w:val="left"/>
        <w:rPr>
          <w:rFonts w:ascii="宋体" w:hAnsi="宋体" w:cs="宋体" w:eastAsia="宋体" w:hint="default"/>
          <w:sz w:val="18"/>
          <w:szCs w:val="18"/>
        </w:rPr>
        <w:sectPr>
          <w:type w:val="continuous"/>
          <w:pgSz w:w="11910" w:h="16840"/>
          <w:pgMar w:top="880" w:bottom="280" w:left="980" w:right="980"/>
          <w:cols w:num="4" w:equalWidth="0">
            <w:col w:w="940" w:space="40"/>
            <w:col w:w="3041" w:space="55"/>
            <w:col w:w="2436" w:space="40"/>
            <w:col w:w="3398"/>
          </w:cols>
        </w:sect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spacing w:before="0"/>
        <w:ind w:left="217" w:right="-18"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4"/>
          <w:szCs w:val="14"/>
        </w:rPr>
      </w:pPr>
    </w:p>
    <w:p>
      <w:pPr>
        <w:tabs>
          <w:tab w:pos="1367" w:val="left" w:leader="none"/>
          <w:tab w:pos="2680" w:val="left" w:leader="none"/>
        </w:tabs>
        <w:spacing w:line="212" w:lineRule="exact" w:before="0"/>
        <w:ind w:left="71" w:right="-20" w:firstLine="0"/>
        <w:jc w:val="left"/>
        <w:rPr>
          <w:rFonts w:ascii="宋体" w:hAnsi="宋体" w:cs="宋体" w:eastAsia="宋体" w:hint="default"/>
          <w:sz w:val="18"/>
          <w:szCs w:val="18"/>
        </w:rPr>
      </w:pPr>
      <w:r>
        <w:rPr>
          <w:rFonts w:ascii="宋体" w:hAnsi="宋体" w:cs="宋体" w:eastAsia="宋体" w:hint="default"/>
          <w:sz w:val="18"/>
          <w:szCs w:val="18"/>
        </w:rPr>
        <w:t>公司会议室</w:t>
        <w:tab/>
        <w:t>实地调研</w:t>
        <w:tab/>
        <w:t>机构</w:t>
      </w:r>
    </w:p>
    <w:p>
      <w:pPr>
        <w:spacing w:line="316" w:lineRule="auto" w:before="108"/>
        <w:ind w:left="217" w:right="151" w:firstLine="2268"/>
        <w:jc w:val="left"/>
        <w:rPr>
          <w:rFonts w:ascii="宋体" w:hAnsi="宋体" w:cs="宋体" w:eastAsia="宋体" w:hint="default"/>
          <w:sz w:val="18"/>
          <w:szCs w:val="18"/>
        </w:rPr>
      </w:pPr>
      <w:r>
        <w:rPr>
          <w:spacing w:val="3"/>
        </w:rPr>
        <w:br w:type="column"/>
      </w:r>
      <w:r>
        <w:rPr>
          <w:rFonts w:ascii="宋体" w:hAnsi="宋体" w:cs="宋体" w:eastAsia="宋体" w:hint="default"/>
          <w:spacing w:val="3"/>
          <w:sz w:val="18"/>
          <w:szCs w:val="18"/>
        </w:rPr>
        <w:t>公司的生产经营情况、发展重点、政府</w:t>
      </w:r>
      <w:r>
        <w:rPr>
          <w:rFonts w:ascii="宋体" w:hAnsi="宋体" w:cs="宋体" w:eastAsia="宋体" w:hint="default"/>
          <w:spacing w:val="4"/>
          <w:sz w:val="18"/>
          <w:szCs w:val="18"/>
        </w:rPr>
        <w:t> </w:t>
      </w:r>
      <w:r>
        <w:rPr>
          <w:rFonts w:ascii="宋体" w:hAnsi="宋体" w:cs="宋体" w:eastAsia="宋体" w:hint="default"/>
          <w:spacing w:val="3"/>
          <w:sz w:val="18"/>
          <w:szCs w:val="18"/>
        </w:rPr>
        <w:t>光大证券、富国基金共计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3"/>
          <w:sz w:val="18"/>
          <w:szCs w:val="18"/>
        </w:rPr>
        <w:t> </w:t>
      </w:r>
      <w:r>
        <w:rPr>
          <w:rFonts w:ascii="宋体" w:hAnsi="宋体" w:cs="宋体" w:eastAsia="宋体" w:hint="default"/>
          <w:spacing w:val="3"/>
          <w:sz w:val="18"/>
          <w:szCs w:val="18"/>
        </w:rPr>
        <w:t>部门采购的资金来源、公证云和无人机</w:t>
      </w:r>
      <w:r>
        <w:rPr>
          <w:rFonts w:ascii="宋体" w:hAnsi="宋体" w:cs="宋体" w:eastAsia="宋体" w:hint="default"/>
          <w:sz w:val="18"/>
          <w:szCs w:val="18"/>
        </w:rPr>
      </w:r>
    </w:p>
    <w:p>
      <w:pPr>
        <w:spacing w:after="0" w:line="316" w:lineRule="auto"/>
        <w:jc w:val="left"/>
        <w:rPr>
          <w:rFonts w:ascii="宋体" w:hAnsi="宋体" w:cs="宋体" w:eastAsia="宋体" w:hint="default"/>
          <w:sz w:val="18"/>
          <w:szCs w:val="18"/>
        </w:rPr>
        <w:sectPr>
          <w:type w:val="continuous"/>
          <w:pgSz w:w="11910" w:h="16840"/>
          <w:pgMar w:top="880" w:bottom="280" w:left="980" w:right="980"/>
          <w:cols w:num="3" w:equalWidth="0">
            <w:col w:w="940" w:space="40"/>
            <w:col w:w="3041" w:space="55"/>
            <w:col w:w="5874"/>
          </w:cols>
        </w:sectPr>
      </w:pPr>
    </w:p>
    <w:p>
      <w:pPr>
        <w:spacing w:line="194" w:lineRule="exact" w:before="0"/>
        <w:ind w:left="263" w:right="-18"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tabs>
          <w:tab w:pos="2531" w:val="left" w:leader="none"/>
        </w:tabs>
        <w:spacing w:line="180" w:lineRule="exact" w:before="0"/>
        <w:ind w:left="26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人</w:t>
        <w:tab/>
      </w:r>
      <w:r>
        <w:rPr>
          <w:rFonts w:ascii="宋体" w:hAnsi="宋体" w:cs="宋体" w:eastAsia="宋体" w:hint="default"/>
          <w:spacing w:val="3"/>
          <w:sz w:val="18"/>
          <w:szCs w:val="18"/>
        </w:rPr>
        <w:t>项目研发进展情况、产品的营销推广模</w:t>
      </w:r>
      <w:r>
        <w:rPr>
          <w:rFonts w:ascii="宋体" w:hAnsi="宋体" w:cs="宋体" w:eastAsia="宋体" w:hint="default"/>
          <w:sz w:val="18"/>
          <w:szCs w:val="18"/>
        </w:rPr>
      </w:r>
    </w:p>
    <w:p>
      <w:pPr>
        <w:spacing w:before="76"/>
        <w:ind w:left="2512" w:right="2822" w:firstLine="0"/>
        <w:jc w:val="center"/>
        <w:rPr>
          <w:rFonts w:ascii="宋体" w:hAnsi="宋体" w:cs="宋体" w:eastAsia="宋体" w:hint="default"/>
          <w:sz w:val="18"/>
          <w:szCs w:val="18"/>
        </w:rPr>
      </w:pPr>
      <w:r>
        <w:rPr>
          <w:rFonts w:ascii="宋体" w:hAnsi="宋体" w:cs="宋体" w:eastAsia="宋体" w:hint="default"/>
          <w:sz w:val="18"/>
          <w:szCs w:val="18"/>
        </w:rPr>
        <w:t>式等。</w:t>
      </w:r>
    </w:p>
    <w:p>
      <w:pPr>
        <w:spacing w:after="0"/>
        <w:jc w:val="center"/>
        <w:rPr>
          <w:rFonts w:ascii="宋体" w:hAnsi="宋体" w:cs="宋体" w:eastAsia="宋体" w:hint="default"/>
          <w:sz w:val="18"/>
          <w:szCs w:val="18"/>
        </w:rPr>
        <w:sectPr>
          <w:type w:val="continuous"/>
          <w:pgSz w:w="11910" w:h="16840"/>
          <w:pgMar w:top="880" w:bottom="280" w:left="980" w:right="980"/>
          <w:cols w:num="2" w:equalWidth="0">
            <w:col w:w="898" w:space="3133"/>
            <w:col w:w="5919"/>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880" w:bottom="280" w:left="980" w:right="980"/>
        </w:sectPr>
      </w:pPr>
    </w:p>
    <w:p>
      <w:pPr>
        <w:spacing w:line="240" w:lineRule="auto" w:before="4"/>
        <w:rPr>
          <w:rFonts w:ascii="宋体" w:hAnsi="宋体" w:cs="宋体" w:eastAsia="宋体" w:hint="default"/>
          <w:sz w:val="15"/>
          <w:szCs w:val="15"/>
        </w:rPr>
      </w:pPr>
    </w:p>
    <w:p>
      <w:pPr>
        <w:spacing w:before="0"/>
        <w:ind w:left="217" w:right="-18"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spacing w:line="212" w:lineRule="exact" w:before="63"/>
        <w:ind w:left="263" w:right="-18"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tabs>
          <w:tab w:pos="1367" w:val="left" w:leader="none"/>
          <w:tab w:pos="2680" w:val="left" w:leader="none"/>
        </w:tabs>
        <w:spacing w:before="121"/>
        <w:ind w:left="71" w:right="-20" w:firstLine="0"/>
        <w:jc w:val="left"/>
        <w:rPr>
          <w:rFonts w:ascii="宋体" w:hAnsi="宋体" w:cs="宋体" w:eastAsia="宋体" w:hint="default"/>
          <w:sz w:val="18"/>
          <w:szCs w:val="18"/>
        </w:rPr>
      </w:pPr>
      <w:r>
        <w:rPr>
          <w:rFonts w:ascii="宋体" w:hAnsi="宋体" w:cs="宋体" w:eastAsia="宋体" w:hint="default"/>
          <w:sz w:val="18"/>
          <w:szCs w:val="18"/>
        </w:rPr>
        <w:t>公司会议室</w:t>
        <w:tab/>
        <w:t>实地调研</w:t>
        <w:tab/>
        <w:t>机构</w:t>
      </w:r>
    </w:p>
    <w:p>
      <w:pPr>
        <w:spacing w:line="316" w:lineRule="auto" w:before="44"/>
        <w:ind w:left="217" w:right="151" w:firstLine="0"/>
        <w:jc w:val="left"/>
        <w:rPr>
          <w:rFonts w:ascii="宋体" w:hAnsi="宋体" w:cs="宋体" w:eastAsia="宋体" w:hint="default"/>
          <w:sz w:val="18"/>
          <w:szCs w:val="18"/>
        </w:rPr>
      </w:pPr>
      <w:r>
        <w:rPr>
          <w:spacing w:val="3"/>
        </w:rPr>
        <w:br w:type="column"/>
      </w:r>
      <w:r>
        <w:rPr>
          <w:rFonts w:ascii="宋体" w:hAnsi="宋体" w:cs="宋体" w:eastAsia="宋体" w:hint="default"/>
          <w:spacing w:val="3"/>
          <w:sz w:val="18"/>
          <w:szCs w:val="18"/>
        </w:rPr>
        <w:t>鹏华基金凡，长江证券，海</w:t>
      </w:r>
      <w:r>
        <w:rPr>
          <w:rFonts w:ascii="宋体" w:hAnsi="宋体" w:cs="宋体" w:eastAsia="宋体" w:hint="default"/>
          <w:spacing w:val="-21"/>
          <w:sz w:val="18"/>
          <w:szCs w:val="18"/>
        </w:rPr>
        <w:t> </w:t>
      </w:r>
      <w:r>
        <w:rPr>
          <w:rFonts w:ascii="宋体" w:hAnsi="宋体" w:cs="宋体" w:eastAsia="宋体" w:hint="default"/>
          <w:spacing w:val="3"/>
          <w:sz w:val="18"/>
          <w:szCs w:val="18"/>
        </w:rPr>
        <w:t>公司新产品的销售情况、财务方面的问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富通基金，广发证券共计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3"/>
          <w:sz w:val="18"/>
          <w:szCs w:val="18"/>
        </w:rPr>
        <w:t> </w:t>
      </w:r>
      <w:r>
        <w:rPr>
          <w:rFonts w:ascii="宋体" w:hAnsi="宋体" w:cs="宋体" w:eastAsia="宋体" w:hint="default"/>
          <w:spacing w:val="3"/>
          <w:sz w:val="18"/>
          <w:szCs w:val="18"/>
        </w:rPr>
        <w:t>题、市场占比、人员增长情况、客户分</w:t>
      </w:r>
      <w:r>
        <w:rPr>
          <w:rFonts w:ascii="宋体" w:hAnsi="宋体" w:cs="宋体" w:eastAsia="宋体" w:hint="default"/>
          <w:sz w:val="18"/>
          <w:szCs w:val="18"/>
        </w:rPr>
      </w:r>
    </w:p>
    <w:p>
      <w:pPr>
        <w:spacing w:after="0" w:line="316" w:lineRule="auto"/>
        <w:jc w:val="left"/>
        <w:rPr>
          <w:rFonts w:ascii="宋体" w:hAnsi="宋体" w:cs="宋体" w:eastAsia="宋体" w:hint="default"/>
          <w:sz w:val="18"/>
          <w:szCs w:val="18"/>
        </w:rPr>
        <w:sectPr>
          <w:type w:val="continuous"/>
          <w:pgSz w:w="11910" w:h="16840"/>
          <w:pgMar w:top="880" w:bottom="280" w:left="980" w:right="980"/>
          <w:cols w:num="3" w:equalWidth="0">
            <w:col w:w="940" w:space="40"/>
            <w:col w:w="3041" w:space="55"/>
            <w:col w:w="5874"/>
          </w:cols>
        </w:sectPr>
      </w:pPr>
    </w:p>
    <w:p>
      <w:pPr>
        <w:tabs>
          <w:tab w:pos="6562" w:val="left" w:leader="none"/>
        </w:tabs>
        <w:spacing w:line="180" w:lineRule="exact" w:before="0"/>
        <w:ind w:left="4293" w:right="0" w:firstLine="0"/>
        <w:jc w:val="left"/>
        <w:rPr>
          <w:rFonts w:ascii="宋体" w:hAnsi="宋体" w:cs="宋体" w:eastAsia="宋体" w:hint="default"/>
          <w:sz w:val="18"/>
          <w:szCs w:val="18"/>
        </w:rPr>
      </w:pPr>
      <w:r>
        <w:rPr>
          <w:rFonts w:ascii="宋体" w:hAnsi="宋体" w:cs="宋体" w:eastAsia="宋体" w:hint="default"/>
          <w:sz w:val="18"/>
          <w:szCs w:val="18"/>
        </w:rPr>
        <w:t>人</w:t>
        <w:tab/>
        <w:t>布、行业拓展情况等。</w:t>
      </w: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880" w:bottom="280" w:left="980" w:right="980"/>
        </w:sectPr>
      </w:pPr>
    </w:p>
    <w:p>
      <w:pPr>
        <w:spacing w:before="44"/>
        <w:ind w:left="217" w:right="-18"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p>
      <w:pPr>
        <w:spacing w:line="240" w:lineRule="auto" w:before="5"/>
        <w:rPr>
          <w:rFonts w:ascii="Times New Roman" w:hAnsi="Times New Roman" w:cs="Times New Roman" w:eastAsia="Times New Roman" w:hint="default"/>
          <w:sz w:val="17"/>
          <w:szCs w:val="17"/>
        </w:rPr>
      </w:pPr>
      <w:r>
        <w:rPr/>
        <w:br w:type="column"/>
      </w:r>
      <w:r>
        <w:rPr>
          <w:rFonts w:ascii="Times New Roman"/>
          <w:sz w:val="17"/>
        </w:rPr>
      </w:r>
    </w:p>
    <w:p>
      <w:pPr>
        <w:tabs>
          <w:tab w:pos="1367" w:val="left" w:leader="none"/>
          <w:tab w:pos="2680" w:val="left" w:leader="none"/>
        </w:tabs>
        <w:spacing w:line="212" w:lineRule="exact" w:before="0"/>
        <w:ind w:left="71" w:right="-20" w:firstLine="0"/>
        <w:jc w:val="left"/>
        <w:rPr>
          <w:rFonts w:ascii="宋体" w:hAnsi="宋体" w:cs="宋体" w:eastAsia="宋体" w:hint="default"/>
          <w:sz w:val="18"/>
          <w:szCs w:val="18"/>
        </w:rPr>
      </w:pPr>
      <w:r>
        <w:rPr>
          <w:rFonts w:ascii="宋体" w:hAnsi="宋体" w:cs="宋体" w:eastAsia="宋体" w:hint="default"/>
          <w:sz w:val="18"/>
          <w:szCs w:val="18"/>
        </w:rPr>
        <w:t>公司会议室</w:t>
        <w:tab/>
        <w:t>实地调研</w:t>
        <w:tab/>
        <w:t>机构</w:t>
      </w:r>
    </w:p>
    <w:p>
      <w:pPr>
        <w:spacing w:before="44"/>
        <w:ind w:left="217" w:right="151" w:firstLine="0"/>
        <w:jc w:val="left"/>
        <w:rPr>
          <w:rFonts w:ascii="宋体" w:hAnsi="宋体" w:cs="宋体" w:eastAsia="宋体" w:hint="default"/>
          <w:sz w:val="18"/>
          <w:szCs w:val="18"/>
        </w:rPr>
      </w:pPr>
      <w:r>
        <w:rPr>
          <w:spacing w:val="3"/>
        </w:rPr>
        <w:br w:type="column"/>
      </w:r>
      <w:r>
        <w:rPr>
          <w:rFonts w:ascii="宋体" w:hAnsi="宋体" w:cs="宋体" w:eastAsia="宋体" w:hint="default"/>
          <w:spacing w:val="3"/>
          <w:sz w:val="18"/>
          <w:szCs w:val="18"/>
        </w:rPr>
        <w:t>兴业证券，杭州银河私募基</w:t>
      </w:r>
      <w:r>
        <w:rPr>
          <w:rFonts w:ascii="宋体" w:hAnsi="宋体" w:cs="宋体" w:eastAsia="宋体" w:hint="default"/>
          <w:spacing w:val="-13"/>
          <w:sz w:val="18"/>
          <w:szCs w:val="18"/>
        </w:rPr>
        <w:t> </w:t>
      </w:r>
      <w:r>
        <w:rPr>
          <w:rFonts w:ascii="宋体" w:hAnsi="宋体" w:cs="宋体" w:eastAsia="宋体" w:hint="default"/>
          <w:spacing w:val="3"/>
          <w:sz w:val="18"/>
          <w:szCs w:val="18"/>
        </w:rPr>
        <w:t>公司的战略发展目标、市场占有率、竞</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880" w:bottom="280" w:left="980" w:right="980"/>
          <w:cols w:num="3" w:equalWidth="0">
            <w:col w:w="940" w:space="40"/>
            <w:col w:w="3041" w:space="55"/>
            <w:col w:w="5874"/>
          </w:cols>
        </w:sectPr>
      </w:pPr>
    </w:p>
    <w:p>
      <w:pPr>
        <w:spacing w:line="194" w:lineRule="exact" w:before="0"/>
        <w:ind w:left="309" w:right="-19"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194" w:lineRule="exact" w:before="0"/>
        <w:ind w:left="309"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金共计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p>
      <w:pPr>
        <w:spacing w:line="180" w:lineRule="exact" w:before="0"/>
        <w:ind w:left="30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争优势和壁垒、主营业务的发展情况等。</w:t>
      </w:r>
    </w:p>
    <w:p>
      <w:pPr>
        <w:spacing w:after="0" w:line="180" w:lineRule="exact"/>
        <w:jc w:val="left"/>
        <w:rPr>
          <w:rFonts w:ascii="宋体" w:hAnsi="宋体" w:cs="宋体" w:eastAsia="宋体" w:hint="default"/>
          <w:sz w:val="18"/>
          <w:szCs w:val="18"/>
        </w:rPr>
        <w:sectPr>
          <w:type w:val="continuous"/>
          <w:pgSz w:w="11910" w:h="16840"/>
          <w:pgMar w:top="880" w:bottom="280" w:left="980" w:right="980"/>
          <w:cols w:num="3" w:equalWidth="0">
            <w:col w:w="852" w:space="3132"/>
            <w:col w:w="1212" w:space="1056"/>
            <w:col w:w="3698"/>
          </w:cols>
        </w:sectPr>
      </w:pPr>
    </w:p>
    <w:p>
      <w:pPr>
        <w:spacing w:line="240" w:lineRule="auto" w:before="5"/>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880" w:bottom="280" w:left="980" w:right="980"/>
        </w:sectPr>
      </w:pPr>
    </w:p>
    <w:p>
      <w:pPr>
        <w:spacing w:line="240" w:lineRule="auto" w:before="4"/>
        <w:rPr>
          <w:rFonts w:ascii="宋体" w:hAnsi="宋体" w:cs="宋体" w:eastAsia="宋体" w:hint="default"/>
          <w:sz w:val="15"/>
          <w:szCs w:val="15"/>
        </w:rPr>
      </w:pPr>
    </w:p>
    <w:p>
      <w:pPr>
        <w:spacing w:before="0"/>
        <w:ind w:left="217" w:right="-18"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p>
      <w:pPr>
        <w:spacing w:before="63"/>
        <w:ind w:left="309" w:right="-18"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tabs>
          <w:tab w:pos="1367" w:val="left" w:leader="none"/>
          <w:tab w:pos="2680" w:val="left" w:leader="none"/>
        </w:tabs>
        <w:spacing w:before="121"/>
        <w:ind w:left="71" w:right="-20" w:firstLine="0"/>
        <w:jc w:val="left"/>
        <w:rPr>
          <w:rFonts w:ascii="宋体" w:hAnsi="宋体" w:cs="宋体" w:eastAsia="宋体" w:hint="default"/>
          <w:sz w:val="18"/>
          <w:szCs w:val="18"/>
        </w:rPr>
      </w:pPr>
      <w:r>
        <w:rPr>
          <w:rFonts w:ascii="宋体" w:hAnsi="宋体" w:cs="宋体" w:eastAsia="宋体" w:hint="default"/>
          <w:sz w:val="18"/>
          <w:szCs w:val="18"/>
        </w:rPr>
        <w:t>公司会议室</w:t>
        <w:tab/>
        <w:t>实地调研</w:t>
        <w:tab/>
        <w:t>机构</w:t>
      </w:r>
    </w:p>
    <w:p>
      <w:pPr>
        <w:spacing w:line="240" w:lineRule="auto" w:before="4"/>
        <w:rPr>
          <w:rFonts w:ascii="宋体" w:hAnsi="宋体" w:cs="宋体" w:eastAsia="宋体" w:hint="default"/>
          <w:sz w:val="15"/>
          <w:szCs w:val="15"/>
        </w:rPr>
      </w:pPr>
      <w:r>
        <w:rPr/>
        <w:br w:type="column"/>
      </w:r>
      <w:r>
        <w:rPr>
          <w:rFonts w:ascii="宋体"/>
          <w:sz w:val="15"/>
        </w:rPr>
      </w:r>
    </w:p>
    <w:p>
      <w:pPr>
        <w:spacing w:before="0"/>
        <w:ind w:left="217" w:right="-11" w:firstLine="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光大证券，富国基金共计</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2</w:t>
      </w:r>
    </w:p>
    <w:p>
      <w:pPr>
        <w:spacing w:before="63"/>
        <w:ind w:left="217" w:right="-11" w:firstLine="0"/>
        <w:jc w:val="left"/>
        <w:rPr>
          <w:rFonts w:ascii="宋体" w:hAnsi="宋体" w:cs="宋体" w:eastAsia="宋体" w:hint="default"/>
          <w:sz w:val="18"/>
          <w:szCs w:val="18"/>
        </w:rPr>
      </w:pPr>
      <w:r>
        <w:rPr>
          <w:rFonts w:ascii="宋体" w:hAnsi="宋体" w:cs="宋体" w:eastAsia="宋体" w:hint="default"/>
          <w:sz w:val="18"/>
          <w:szCs w:val="18"/>
        </w:rPr>
        <w:t>人</w:t>
      </w:r>
    </w:p>
    <w:p>
      <w:pPr>
        <w:spacing w:line="319" w:lineRule="auto" w:before="44"/>
        <w:ind w:left="16" w:right="142" w:firstLine="0"/>
        <w:jc w:val="left"/>
        <w:rPr>
          <w:rFonts w:ascii="宋体" w:hAnsi="宋体" w:cs="宋体" w:eastAsia="宋体" w:hint="default"/>
          <w:sz w:val="18"/>
          <w:szCs w:val="18"/>
        </w:rPr>
      </w:pPr>
      <w:r>
        <w:rPr>
          <w:spacing w:val="-1"/>
        </w:rPr>
        <w:br w:type="column"/>
      </w:r>
      <w:r>
        <w:rPr>
          <w:rFonts w:ascii="宋体" w:hAnsi="宋体" w:cs="宋体" w:eastAsia="宋体" w:hint="default"/>
          <w:spacing w:val="-1"/>
          <w:sz w:val="18"/>
          <w:szCs w:val="18"/>
        </w:rPr>
        <w:t>公司产品和服务的优势、市场需求情况、</w:t>
      </w:r>
      <w:r>
        <w:rPr>
          <w:rFonts w:ascii="宋体" w:hAnsi="宋体" w:cs="宋体" w:eastAsia="宋体" w:hint="default"/>
          <w:sz w:val="18"/>
          <w:szCs w:val="18"/>
        </w:rPr>
        <w:t> </w:t>
      </w:r>
      <w:r>
        <w:rPr>
          <w:rFonts w:ascii="宋体" w:hAnsi="宋体" w:cs="宋体" w:eastAsia="宋体" w:hint="default"/>
          <w:spacing w:val="3"/>
          <w:sz w:val="18"/>
          <w:szCs w:val="18"/>
        </w:rPr>
        <w:t>服务推广思路、核心技术优势、公证云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项目情况等。</w:t>
      </w:r>
    </w:p>
    <w:p>
      <w:pPr>
        <w:spacing w:after="0" w:line="319" w:lineRule="auto"/>
        <w:jc w:val="left"/>
        <w:rPr>
          <w:rFonts w:ascii="宋体" w:hAnsi="宋体" w:cs="宋体" w:eastAsia="宋体" w:hint="default"/>
          <w:sz w:val="18"/>
          <w:szCs w:val="18"/>
        </w:rPr>
        <w:sectPr>
          <w:type w:val="continuous"/>
          <w:pgSz w:w="11910" w:h="16840"/>
          <w:pgMar w:top="880" w:bottom="280" w:left="980" w:right="980"/>
          <w:cols w:num="4" w:equalWidth="0">
            <w:col w:w="940" w:space="40"/>
            <w:col w:w="3041" w:space="55"/>
            <w:col w:w="2430" w:space="40"/>
            <w:col w:w="3404"/>
          </w:cols>
        </w:sectPr>
      </w:pPr>
    </w:p>
    <w:p>
      <w:pPr>
        <w:spacing w:line="240" w:lineRule="auto" w:before="0"/>
        <w:rPr>
          <w:rFonts w:ascii="宋体" w:hAnsi="宋体" w:cs="宋体" w:eastAsia="宋体" w:hint="default"/>
          <w:sz w:val="20"/>
          <w:szCs w:val="20"/>
        </w:rPr>
      </w:pPr>
    </w:p>
    <w:p>
      <w:pPr>
        <w:spacing w:before="0"/>
        <w:ind w:left="217" w:right="-18"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spacing w:before="63"/>
        <w:ind w:left="263" w:right="-18"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3"/>
          <w:szCs w:val="13"/>
        </w:rPr>
      </w:pPr>
    </w:p>
    <w:p>
      <w:pPr>
        <w:tabs>
          <w:tab w:pos="1367" w:val="left" w:leader="none"/>
          <w:tab w:pos="2680" w:val="left" w:leader="none"/>
          <w:tab w:pos="3314" w:val="left" w:leader="none"/>
        </w:tabs>
        <w:spacing w:before="0"/>
        <w:ind w:left="71" w:right="-19" w:firstLine="0"/>
        <w:jc w:val="left"/>
        <w:rPr>
          <w:rFonts w:ascii="宋体" w:hAnsi="宋体" w:cs="宋体" w:eastAsia="宋体" w:hint="default"/>
          <w:sz w:val="18"/>
          <w:szCs w:val="18"/>
        </w:rPr>
      </w:pPr>
      <w:r>
        <w:rPr>
          <w:rFonts w:ascii="宋体" w:hAnsi="宋体" w:cs="宋体" w:eastAsia="宋体" w:hint="default"/>
          <w:sz w:val="18"/>
          <w:szCs w:val="18"/>
        </w:rPr>
        <w:t>公司会议室</w:t>
        <w:tab/>
        <w:t>实地调研</w:t>
        <w:tab/>
        <w:t>机构</w:t>
        <w:tab/>
        <w:t>湘财证券共计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p>
      <w:pPr>
        <w:spacing w:line="316" w:lineRule="auto" w:before="106"/>
        <w:ind w:left="217" w:right="242" w:firstLine="0"/>
        <w:jc w:val="both"/>
        <w:rPr>
          <w:rFonts w:ascii="宋体" w:hAnsi="宋体" w:cs="宋体" w:eastAsia="宋体" w:hint="default"/>
          <w:sz w:val="18"/>
          <w:szCs w:val="18"/>
        </w:rPr>
      </w:pPr>
      <w:r>
        <w:rPr>
          <w:spacing w:val="3"/>
        </w:rPr>
        <w:br w:type="column"/>
      </w:r>
      <w:r>
        <w:rPr>
          <w:rFonts w:ascii="宋体" w:hAnsi="宋体" w:cs="宋体" w:eastAsia="宋体" w:hint="default"/>
          <w:spacing w:val="3"/>
          <w:sz w:val="18"/>
          <w:szCs w:val="18"/>
        </w:rPr>
        <w:t>公司生产经营情况、未来的发展空间、</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产品和服务的收费模式、营销模式和公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证云项目进展情况等。</w:t>
      </w:r>
    </w:p>
    <w:p>
      <w:pPr>
        <w:spacing w:after="0" w:line="316" w:lineRule="auto"/>
        <w:jc w:val="both"/>
        <w:rPr>
          <w:rFonts w:ascii="宋体" w:hAnsi="宋体" w:cs="宋体" w:eastAsia="宋体" w:hint="default"/>
          <w:sz w:val="18"/>
          <w:szCs w:val="18"/>
        </w:rPr>
        <w:sectPr>
          <w:type w:val="continuous"/>
          <w:pgSz w:w="11910" w:h="16840"/>
          <w:pgMar w:top="880" w:bottom="280" w:left="980" w:right="980"/>
          <w:cols w:num="3" w:equalWidth="0">
            <w:col w:w="940" w:space="40"/>
            <w:col w:w="4758" w:space="607"/>
            <w:col w:w="3605"/>
          </w:cols>
        </w:sectPr>
      </w:pPr>
    </w:p>
    <w:p>
      <w:pPr>
        <w:spacing w:line="240" w:lineRule="auto" w:before="0"/>
        <w:rPr>
          <w:rFonts w:ascii="宋体" w:hAnsi="宋体" w:cs="宋体" w:eastAsia="宋体" w:hint="default"/>
          <w:sz w:val="18"/>
          <w:szCs w:val="18"/>
        </w:rPr>
      </w:pPr>
      <w:r>
        <w:rPr/>
        <w:pict>
          <v:group style="position:absolute;margin-left:56.400002pt;margin-top:71.759979pt;width:479.05pt;height:692.65pt;mso-position-horizontal-relative:page;mso-position-vertical-relative:page;z-index:-804088" coordorigin="1128,1435" coordsize="9581,13853">
            <v:group style="position:absolute;left:1138;top:1445;width:843;height:2" coordorigin="1138,1445" coordsize="843,2">
              <v:shape style="position:absolute;left:1138;top:1445;width:843;height:2" coordorigin="1138,1445" coordsize="843,0" path="m1138,1445l1980,1445e" filled="false" stroked="true" strokeweight=".48pt" strokecolor="#000000">
                <v:path arrowok="t"/>
              </v:shape>
            </v:group>
            <v:group style="position:absolute;left:1990;top:1445;width:982;height:2" coordorigin="1990,1445" coordsize="982,2">
              <v:shape style="position:absolute;left:1990;top:1445;width:982;height:2" coordorigin="1990,1445" coordsize="982,0" path="m1990,1445l2972,1445e" filled="false" stroked="true" strokeweight=".48pt" strokecolor="#000000">
                <v:path arrowok="t"/>
              </v:shape>
            </v:group>
            <v:group style="position:absolute;left:2981;top:1445;width:1410;height:2" coordorigin="2981,1445" coordsize="1410,2">
              <v:shape style="position:absolute;left:2981;top:1445;width:1410;height:2" coordorigin="2981,1445" coordsize="1410,0" path="m2981,1445l4390,1445e" filled="false" stroked="true" strokeweight=".48pt" strokecolor="#000000">
                <v:path arrowok="t"/>
              </v:shape>
            </v:group>
            <v:group style="position:absolute;left:4400;top:1445;width:840;height:2" coordorigin="4400,1445" coordsize="840,2">
              <v:shape style="position:absolute;left:4400;top:1445;width:840;height:2" coordorigin="4400,1445" coordsize="840,0" path="m4400,1445l5240,1445e" filled="false" stroked="true" strokeweight=".48pt" strokecolor="#000000">
                <v:path arrowok="t"/>
              </v:shape>
            </v:group>
            <v:group style="position:absolute;left:5250;top:1445;width:2259;height:2" coordorigin="5250,1445" coordsize="2259,2">
              <v:shape style="position:absolute;left:5250;top:1445;width:2259;height:2" coordorigin="5250,1445" coordsize="2259,0" path="m5250,1445l7509,1445e" filled="false" stroked="true" strokeweight=".48pt" strokecolor="#000000">
                <v:path arrowok="t"/>
              </v:shape>
            </v:group>
            <v:group style="position:absolute;left:7518;top:1445;width:3181;height:2" coordorigin="7518,1445" coordsize="3181,2">
              <v:shape style="position:absolute;left:7518;top:1445;width:3181;height:2" coordorigin="7518,1445" coordsize="3181,0" path="m7518,1445l10699,1445e" filled="false" stroked="true" strokeweight=".48pt" strokecolor="#000000">
                <v:path arrowok="t"/>
              </v:shape>
            </v:group>
            <v:group style="position:absolute;left:1138;top:1808;width:843;height:2" coordorigin="1138,1808" coordsize="843,2">
              <v:shape style="position:absolute;left:1138;top:1808;width:843;height:2" coordorigin="1138,1808" coordsize="843,0" path="m1138,1808l1980,1808e" filled="false" stroked="true" strokeweight=".48pt" strokecolor="#000000">
                <v:path arrowok="t"/>
              </v:shape>
            </v:group>
            <v:group style="position:absolute;left:1990;top:1808;width:982;height:2" coordorigin="1990,1808" coordsize="982,2">
              <v:shape style="position:absolute;left:1990;top:1808;width:982;height:2" coordorigin="1990,1808" coordsize="982,0" path="m1990,1808l2972,1808e" filled="false" stroked="true" strokeweight=".48pt" strokecolor="#000000">
                <v:path arrowok="t"/>
              </v:shape>
            </v:group>
            <v:group style="position:absolute;left:2981;top:1808;width:1410;height:2" coordorigin="2981,1808" coordsize="1410,2">
              <v:shape style="position:absolute;left:2981;top:1808;width:1410;height:2" coordorigin="2981,1808" coordsize="1410,0" path="m2981,1808l4390,1808e" filled="false" stroked="true" strokeweight=".48pt" strokecolor="#000000">
                <v:path arrowok="t"/>
              </v:shape>
            </v:group>
            <v:group style="position:absolute;left:4400;top:1808;width:840;height:2" coordorigin="4400,1808" coordsize="840,2">
              <v:shape style="position:absolute;left:4400;top:1808;width:840;height:2" coordorigin="4400,1808" coordsize="840,0" path="m4400,1808l5240,1808e" filled="false" stroked="true" strokeweight=".48pt" strokecolor="#000000">
                <v:path arrowok="t"/>
              </v:shape>
            </v:group>
            <v:group style="position:absolute;left:5250;top:1808;width:2259;height:2" coordorigin="5250,1808" coordsize="2259,2">
              <v:shape style="position:absolute;left:5250;top:1808;width:2259;height:2" coordorigin="5250,1808" coordsize="2259,0" path="m5250,1808l7509,1808e" filled="false" stroked="true" strokeweight=".48pt" strokecolor="#000000">
                <v:path arrowok="t"/>
              </v:shape>
            </v:group>
            <v:group style="position:absolute;left:7518;top:1808;width:3181;height:2" coordorigin="7518,1808" coordsize="3181,2">
              <v:shape style="position:absolute;left:7518;top:1808;width:3181;height:2" coordorigin="7518,1808" coordsize="3181,0" path="m7518,1808l10699,1808e" filled="false" stroked="true" strokeweight=".48pt" strokecolor="#000000">
                <v:path arrowok="t"/>
              </v:shape>
            </v:group>
            <v:group style="position:absolute;left:1138;top:3768;width:843;height:2" coordorigin="1138,3768" coordsize="843,2">
              <v:shape style="position:absolute;left:1138;top:3768;width:843;height:2" coordorigin="1138,3768" coordsize="843,0" path="m1138,3768l1980,3768e" filled="false" stroked="true" strokeweight=".48pt" strokecolor="#000000">
                <v:path arrowok="t"/>
              </v:shape>
            </v:group>
            <v:group style="position:absolute;left:1990;top:3768;width:982;height:2" coordorigin="1990,3768" coordsize="982,2">
              <v:shape style="position:absolute;left:1990;top:3768;width:982;height:2" coordorigin="1990,3768" coordsize="982,0" path="m1990,3768l2972,3768e" filled="false" stroked="true" strokeweight=".48pt" strokecolor="#000000">
                <v:path arrowok="t"/>
              </v:shape>
            </v:group>
            <v:group style="position:absolute;left:2981;top:3768;width:1410;height:2" coordorigin="2981,3768" coordsize="1410,2">
              <v:shape style="position:absolute;left:2981;top:3768;width:1410;height:2" coordorigin="2981,3768" coordsize="1410,0" path="m2981,3768l4390,3768e" filled="false" stroked="true" strokeweight=".48pt" strokecolor="#000000">
                <v:path arrowok="t"/>
              </v:shape>
            </v:group>
            <v:group style="position:absolute;left:4400;top:3768;width:840;height:2" coordorigin="4400,3768" coordsize="840,2">
              <v:shape style="position:absolute;left:4400;top:3768;width:840;height:2" coordorigin="4400,3768" coordsize="840,0" path="m4400,3768l5240,3768e" filled="false" stroked="true" strokeweight=".48pt" strokecolor="#000000">
                <v:path arrowok="t"/>
              </v:shape>
            </v:group>
            <v:group style="position:absolute;left:5250;top:3768;width:2259;height:2" coordorigin="5250,3768" coordsize="2259,2">
              <v:shape style="position:absolute;left:5250;top:3768;width:2259;height:2" coordorigin="5250,3768" coordsize="2259,0" path="m5250,3768l7509,3768e" filled="false" stroked="true" strokeweight=".48pt" strokecolor="#000000">
                <v:path arrowok="t"/>
              </v:shape>
            </v:group>
            <v:group style="position:absolute;left:7518;top:3768;width:3181;height:2" coordorigin="7518,3768" coordsize="3181,2">
              <v:shape style="position:absolute;left:7518;top:3768;width:3181;height:2" coordorigin="7518,3768" coordsize="3181,0" path="m7518,3768l10699,3768e" filled="false" stroked="true" strokeweight=".48pt" strokecolor="#000000">
                <v:path arrowok="t"/>
              </v:shape>
            </v:group>
            <v:group style="position:absolute;left:1138;top:4796;width:843;height:2" coordorigin="1138,4796" coordsize="843,2">
              <v:shape style="position:absolute;left:1138;top:4796;width:843;height:2" coordorigin="1138,4796" coordsize="843,0" path="m1138,4796l1980,4796e" filled="false" stroked="true" strokeweight=".48pt" strokecolor="#000000">
                <v:path arrowok="t"/>
              </v:shape>
            </v:group>
            <v:group style="position:absolute;left:1990;top:4796;width:982;height:2" coordorigin="1990,4796" coordsize="982,2">
              <v:shape style="position:absolute;left:1990;top:4796;width:982;height:2" coordorigin="1990,4796" coordsize="982,0" path="m1990,4796l2972,4796e" filled="false" stroked="true" strokeweight=".48pt" strokecolor="#000000">
                <v:path arrowok="t"/>
              </v:shape>
            </v:group>
            <v:group style="position:absolute;left:2981;top:4796;width:1410;height:2" coordorigin="2981,4796" coordsize="1410,2">
              <v:shape style="position:absolute;left:2981;top:4796;width:1410;height:2" coordorigin="2981,4796" coordsize="1410,0" path="m2981,4796l4390,4796e" filled="false" stroked="true" strokeweight=".48pt" strokecolor="#000000">
                <v:path arrowok="t"/>
              </v:shape>
            </v:group>
            <v:group style="position:absolute;left:4400;top:4796;width:840;height:2" coordorigin="4400,4796" coordsize="840,2">
              <v:shape style="position:absolute;left:4400;top:4796;width:840;height:2" coordorigin="4400,4796" coordsize="840,0" path="m4400,4796l5240,4796e" filled="false" stroked="true" strokeweight=".48pt" strokecolor="#000000">
                <v:path arrowok="t"/>
              </v:shape>
            </v:group>
            <v:group style="position:absolute;left:5250;top:4796;width:2259;height:2" coordorigin="5250,4796" coordsize="2259,2">
              <v:shape style="position:absolute;left:5250;top:4796;width:2259;height:2" coordorigin="5250,4796" coordsize="2259,0" path="m5250,4796l7509,4796e" filled="false" stroked="true" strokeweight=".48pt" strokecolor="#000000">
                <v:path arrowok="t"/>
              </v:shape>
            </v:group>
            <v:group style="position:absolute;left:7518;top:4796;width:3181;height:2" coordorigin="7518,4796" coordsize="3181,2">
              <v:shape style="position:absolute;left:7518;top:4796;width:3181;height:2" coordorigin="7518,4796" coordsize="3181,0" path="m7518,4796l10699,4796e" filled="false" stroked="true" strokeweight=".48pt" strokecolor="#000000">
                <v:path arrowok="t"/>
              </v:shape>
            </v:group>
            <v:group style="position:absolute;left:1138;top:5821;width:843;height:2" coordorigin="1138,5821" coordsize="843,2">
              <v:shape style="position:absolute;left:1138;top:5821;width:843;height:2" coordorigin="1138,5821" coordsize="843,0" path="m1138,5821l1980,5821e" filled="false" stroked="true" strokeweight=".48pt" strokecolor="#000000">
                <v:path arrowok="t"/>
              </v:shape>
            </v:group>
            <v:group style="position:absolute;left:1990;top:5821;width:982;height:2" coordorigin="1990,5821" coordsize="982,2">
              <v:shape style="position:absolute;left:1990;top:5821;width:982;height:2" coordorigin="1990,5821" coordsize="982,0" path="m1990,5821l2972,5821e" filled="false" stroked="true" strokeweight=".48pt" strokecolor="#000000">
                <v:path arrowok="t"/>
              </v:shape>
            </v:group>
            <v:group style="position:absolute;left:2981;top:5821;width:1410;height:2" coordorigin="2981,5821" coordsize="1410,2">
              <v:shape style="position:absolute;left:2981;top:5821;width:1410;height:2" coordorigin="2981,5821" coordsize="1410,0" path="m2981,5821l4390,5821e" filled="false" stroked="true" strokeweight=".48pt" strokecolor="#000000">
                <v:path arrowok="t"/>
              </v:shape>
            </v:group>
            <v:group style="position:absolute;left:4400;top:5821;width:840;height:2" coordorigin="4400,5821" coordsize="840,2">
              <v:shape style="position:absolute;left:4400;top:5821;width:840;height:2" coordorigin="4400,5821" coordsize="840,0" path="m4400,5821l5240,5821e" filled="false" stroked="true" strokeweight=".48pt" strokecolor="#000000">
                <v:path arrowok="t"/>
              </v:shape>
            </v:group>
            <v:group style="position:absolute;left:5250;top:5821;width:2259;height:2" coordorigin="5250,5821" coordsize="2259,2">
              <v:shape style="position:absolute;left:5250;top:5821;width:2259;height:2" coordorigin="5250,5821" coordsize="2259,0" path="m5250,5821l7509,5821e" filled="false" stroked="true" strokeweight=".48pt" strokecolor="#000000">
                <v:path arrowok="t"/>
              </v:shape>
            </v:group>
            <v:group style="position:absolute;left:7518;top:5821;width:3181;height:2" coordorigin="7518,5821" coordsize="3181,2">
              <v:shape style="position:absolute;left:7518;top:5821;width:3181;height:2" coordorigin="7518,5821" coordsize="3181,0" path="m7518,5821l10699,5821e" filled="false" stroked="true" strokeweight=".48pt" strokecolor="#000000">
                <v:path arrowok="t"/>
              </v:shape>
            </v:group>
            <v:group style="position:absolute;left:1138;top:7472;width:843;height:2" coordorigin="1138,7472" coordsize="843,2">
              <v:shape style="position:absolute;left:1138;top:7472;width:843;height:2" coordorigin="1138,7472" coordsize="843,0" path="m1138,7472l1980,7472e" filled="false" stroked="true" strokeweight=".48pt" strokecolor="#000000">
                <v:path arrowok="t"/>
              </v:shape>
            </v:group>
            <v:group style="position:absolute;left:1990;top:7472;width:982;height:2" coordorigin="1990,7472" coordsize="982,2">
              <v:shape style="position:absolute;left:1990;top:7472;width:982;height:2" coordorigin="1990,7472" coordsize="982,0" path="m1990,7472l2972,7472e" filled="false" stroked="true" strokeweight=".48pt" strokecolor="#000000">
                <v:path arrowok="t"/>
              </v:shape>
            </v:group>
            <v:group style="position:absolute;left:2981;top:7472;width:1410;height:2" coordorigin="2981,7472" coordsize="1410,2">
              <v:shape style="position:absolute;left:2981;top:7472;width:1410;height:2" coordorigin="2981,7472" coordsize="1410,0" path="m2981,7472l4390,7472e" filled="false" stroked="true" strokeweight=".48pt" strokecolor="#000000">
                <v:path arrowok="t"/>
              </v:shape>
            </v:group>
            <v:group style="position:absolute;left:4400;top:7472;width:840;height:2" coordorigin="4400,7472" coordsize="840,2">
              <v:shape style="position:absolute;left:4400;top:7472;width:840;height:2" coordorigin="4400,7472" coordsize="840,0" path="m4400,7472l5240,7472e" filled="false" stroked="true" strokeweight=".48pt" strokecolor="#000000">
                <v:path arrowok="t"/>
              </v:shape>
            </v:group>
            <v:group style="position:absolute;left:5250;top:7472;width:2259;height:2" coordorigin="5250,7472" coordsize="2259,2">
              <v:shape style="position:absolute;left:5250;top:7472;width:2259;height:2" coordorigin="5250,7472" coordsize="2259,0" path="m5250,7472l7509,7472e" filled="false" stroked="true" strokeweight=".48pt" strokecolor="#000000">
                <v:path arrowok="t"/>
              </v:shape>
            </v:group>
            <v:group style="position:absolute;left:7518;top:7472;width:3181;height:2" coordorigin="7518,7472" coordsize="3181,2">
              <v:shape style="position:absolute;left:7518;top:7472;width:3181;height:2" coordorigin="7518,7472" coordsize="3181,0" path="m7518,7472l10699,7472e" filled="false" stroked="true" strokeweight=".48pt" strokecolor="#000000">
                <v:path arrowok="t"/>
              </v:shape>
            </v:group>
            <v:group style="position:absolute;left:1138;top:8809;width:843;height:2" coordorigin="1138,8809" coordsize="843,2">
              <v:shape style="position:absolute;left:1138;top:8809;width:843;height:2" coordorigin="1138,8809" coordsize="843,0" path="m1138,8809l1980,8809e" filled="false" stroked="true" strokeweight=".48pt" strokecolor="#000000">
                <v:path arrowok="t"/>
              </v:shape>
            </v:group>
            <v:group style="position:absolute;left:1990;top:8809;width:982;height:2" coordorigin="1990,8809" coordsize="982,2">
              <v:shape style="position:absolute;left:1990;top:8809;width:982;height:2" coordorigin="1990,8809" coordsize="982,0" path="m1990,8809l2972,8809e" filled="false" stroked="true" strokeweight=".48pt" strokecolor="#000000">
                <v:path arrowok="t"/>
              </v:shape>
            </v:group>
            <v:group style="position:absolute;left:2981;top:8809;width:1410;height:2" coordorigin="2981,8809" coordsize="1410,2">
              <v:shape style="position:absolute;left:2981;top:8809;width:1410;height:2" coordorigin="2981,8809" coordsize="1410,0" path="m2981,8809l4390,8809e" filled="false" stroked="true" strokeweight=".48pt" strokecolor="#000000">
                <v:path arrowok="t"/>
              </v:shape>
            </v:group>
            <v:group style="position:absolute;left:4400;top:8809;width:840;height:2" coordorigin="4400,8809" coordsize="840,2">
              <v:shape style="position:absolute;left:4400;top:8809;width:840;height:2" coordorigin="4400,8809" coordsize="840,0" path="m4400,8809l5240,8809e" filled="false" stroked="true" strokeweight=".48pt" strokecolor="#000000">
                <v:path arrowok="t"/>
              </v:shape>
            </v:group>
            <v:group style="position:absolute;left:5250;top:8809;width:2259;height:2" coordorigin="5250,8809" coordsize="2259,2">
              <v:shape style="position:absolute;left:5250;top:8809;width:2259;height:2" coordorigin="5250,8809" coordsize="2259,0" path="m5250,8809l7509,8809e" filled="false" stroked="true" strokeweight=".48pt" strokecolor="#000000">
                <v:path arrowok="t"/>
              </v:shape>
            </v:group>
            <v:group style="position:absolute;left:7518;top:8809;width:3181;height:2" coordorigin="7518,8809" coordsize="3181,2">
              <v:shape style="position:absolute;left:7518;top:8809;width:3181;height:2" coordorigin="7518,8809" coordsize="3181,0" path="m7518,8809l10699,8809e" filled="false" stroked="true" strokeweight=".48pt" strokecolor="#000000">
                <v:path arrowok="t"/>
              </v:shape>
            </v:group>
            <v:group style="position:absolute;left:1138;top:10149;width:843;height:2" coordorigin="1138,10149" coordsize="843,2">
              <v:shape style="position:absolute;left:1138;top:10149;width:843;height:2" coordorigin="1138,10149" coordsize="843,0" path="m1138,10149l1980,10149e" filled="false" stroked="true" strokeweight=".48pt" strokecolor="#000000">
                <v:path arrowok="t"/>
              </v:shape>
            </v:group>
            <v:group style="position:absolute;left:1990;top:10149;width:982;height:2" coordorigin="1990,10149" coordsize="982,2">
              <v:shape style="position:absolute;left:1990;top:10149;width:982;height:2" coordorigin="1990,10149" coordsize="982,0" path="m1990,10149l2972,10149e" filled="false" stroked="true" strokeweight=".48pt" strokecolor="#000000">
                <v:path arrowok="t"/>
              </v:shape>
            </v:group>
            <v:group style="position:absolute;left:2981;top:10149;width:1410;height:2" coordorigin="2981,10149" coordsize="1410,2">
              <v:shape style="position:absolute;left:2981;top:10149;width:1410;height:2" coordorigin="2981,10149" coordsize="1410,0" path="m2981,10149l4390,10149e" filled="false" stroked="true" strokeweight=".48pt" strokecolor="#000000">
                <v:path arrowok="t"/>
              </v:shape>
            </v:group>
            <v:group style="position:absolute;left:4400;top:10149;width:840;height:2" coordorigin="4400,10149" coordsize="840,2">
              <v:shape style="position:absolute;left:4400;top:10149;width:840;height:2" coordorigin="4400,10149" coordsize="840,0" path="m4400,10149l5240,10149e" filled="false" stroked="true" strokeweight=".48pt" strokecolor="#000000">
                <v:path arrowok="t"/>
              </v:shape>
            </v:group>
            <v:group style="position:absolute;left:5250;top:10149;width:2259;height:2" coordorigin="5250,10149" coordsize="2259,2">
              <v:shape style="position:absolute;left:5250;top:10149;width:2259;height:2" coordorigin="5250,10149" coordsize="2259,0" path="m5250,10149l7509,10149e" filled="false" stroked="true" strokeweight=".48pt" strokecolor="#000000">
                <v:path arrowok="t"/>
              </v:shape>
            </v:group>
            <v:group style="position:absolute;left:7518;top:10149;width:3181;height:2" coordorigin="7518,10149" coordsize="3181,2">
              <v:shape style="position:absolute;left:7518;top:10149;width:3181;height:2" coordorigin="7518,10149" coordsize="3181,0" path="m7518,10149l10699,10149e" filled="false" stroked="true" strokeweight=".48pt" strokecolor="#000000">
                <v:path arrowok="t"/>
              </v:shape>
            </v:group>
            <v:group style="position:absolute;left:1138;top:11173;width:843;height:2" coordorigin="1138,11173" coordsize="843,2">
              <v:shape style="position:absolute;left:1138;top:11173;width:843;height:2" coordorigin="1138,11173" coordsize="843,0" path="m1138,11173l1980,11173e" filled="false" stroked="true" strokeweight=".48pt" strokecolor="#000000">
                <v:path arrowok="t"/>
              </v:shape>
            </v:group>
            <v:group style="position:absolute;left:1990;top:11173;width:982;height:2" coordorigin="1990,11173" coordsize="982,2">
              <v:shape style="position:absolute;left:1990;top:11173;width:982;height:2" coordorigin="1990,11173" coordsize="982,0" path="m1990,11173l2972,11173e" filled="false" stroked="true" strokeweight=".48pt" strokecolor="#000000">
                <v:path arrowok="t"/>
              </v:shape>
            </v:group>
            <v:group style="position:absolute;left:2981;top:11173;width:1410;height:2" coordorigin="2981,11173" coordsize="1410,2">
              <v:shape style="position:absolute;left:2981;top:11173;width:1410;height:2" coordorigin="2981,11173" coordsize="1410,0" path="m2981,11173l4390,11173e" filled="false" stroked="true" strokeweight=".48pt" strokecolor="#000000">
                <v:path arrowok="t"/>
              </v:shape>
            </v:group>
            <v:group style="position:absolute;left:4400;top:11173;width:840;height:2" coordorigin="4400,11173" coordsize="840,2">
              <v:shape style="position:absolute;left:4400;top:11173;width:840;height:2" coordorigin="4400,11173" coordsize="840,0" path="m4400,11173l5240,11173e" filled="false" stroked="true" strokeweight=".48pt" strokecolor="#000000">
                <v:path arrowok="t"/>
              </v:shape>
            </v:group>
            <v:group style="position:absolute;left:5250;top:11173;width:2259;height:2" coordorigin="5250,11173" coordsize="2259,2">
              <v:shape style="position:absolute;left:5250;top:11173;width:2259;height:2" coordorigin="5250,11173" coordsize="2259,0" path="m5250,11173l7509,11173e" filled="false" stroked="true" strokeweight=".48pt" strokecolor="#000000">
                <v:path arrowok="t"/>
              </v:shape>
            </v:group>
            <v:group style="position:absolute;left:7518;top:11173;width:3181;height:2" coordorigin="7518,11173" coordsize="3181,2">
              <v:shape style="position:absolute;left:7518;top:11173;width:3181;height:2" coordorigin="7518,11173" coordsize="3181,0" path="m7518,11173l10699,11173e" filled="false" stroked="true" strokeweight=".48pt" strokecolor="#000000">
                <v:path arrowok="t"/>
              </v:shape>
            </v:group>
            <v:group style="position:absolute;left:1138;top:11889;width:843;height:2" coordorigin="1138,11889" coordsize="843,2">
              <v:shape style="position:absolute;left:1138;top:11889;width:843;height:2" coordorigin="1138,11889" coordsize="843,0" path="m1138,11889l1980,11889e" filled="false" stroked="true" strokeweight=".48pt" strokecolor="#000000">
                <v:path arrowok="t"/>
              </v:shape>
            </v:group>
            <v:group style="position:absolute;left:1990;top:11889;width:982;height:2" coordorigin="1990,11889" coordsize="982,2">
              <v:shape style="position:absolute;left:1990;top:11889;width:982;height:2" coordorigin="1990,11889" coordsize="982,0" path="m1990,11889l2972,11889e" filled="false" stroked="true" strokeweight=".48pt" strokecolor="#000000">
                <v:path arrowok="t"/>
              </v:shape>
            </v:group>
            <v:group style="position:absolute;left:2981;top:11889;width:1410;height:2" coordorigin="2981,11889" coordsize="1410,2">
              <v:shape style="position:absolute;left:2981;top:11889;width:1410;height:2" coordorigin="2981,11889" coordsize="1410,0" path="m2981,11889l4390,11889e" filled="false" stroked="true" strokeweight=".48pt" strokecolor="#000000">
                <v:path arrowok="t"/>
              </v:shape>
            </v:group>
            <v:group style="position:absolute;left:4400;top:11889;width:840;height:2" coordorigin="4400,11889" coordsize="840,2">
              <v:shape style="position:absolute;left:4400;top:11889;width:840;height:2" coordorigin="4400,11889" coordsize="840,0" path="m4400,11889l5240,11889e" filled="false" stroked="true" strokeweight=".48pt" strokecolor="#000000">
                <v:path arrowok="t"/>
              </v:shape>
            </v:group>
            <v:group style="position:absolute;left:5250;top:11889;width:2259;height:2" coordorigin="5250,11889" coordsize="2259,2">
              <v:shape style="position:absolute;left:5250;top:11889;width:2259;height:2" coordorigin="5250,11889" coordsize="2259,0" path="m5250,11889l7509,11889e" filled="false" stroked="true" strokeweight=".48pt" strokecolor="#000000">
                <v:path arrowok="t"/>
              </v:shape>
            </v:group>
            <v:group style="position:absolute;left:7518;top:11889;width:3181;height:2" coordorigin="7518,11889" coordsize="3181,2">
              <v:shape style="position:absolute;left:7518;top:11889;width:3181;height:2" coordorigin="7518,11889" coordsize="3181,0" path="m7518,11889l10699,11889e" filled="false" stroked="true" strokeweight=".48pt" strokecolor="#000000">
                <v:path arrowok="t"/>
              </v:shape>
            </v:group>
            <v:group style="position:absolute;left:1138;top:12914;width:843;height:2" coordorigin="1138,12914" coordsize="843,2">
              <v:shape style="position:absolute;left:1138;top:12914;width:843;height:2" coordorigin="1138,12914" coordsize="843,0" path="m1138,12914l1980,12914e" filled="false" stroked="true" strokeweight=".48pt" strokecolor="#000000">
                <v:path arrowok="t"/>
              </v:shape>
            </v:group>
            <v:group style="position:absolute;left:1990;top:12914;width:982;height:2" coordorigin="1990,12914" coordsize="982,2">
              <v:shape style="position:absolute;left:1990;top:12914;width:982;height:2" coordorigin="1990,12914" coordsize="982,0" path="m1990,12914l2972,12914e" filled="false" stroked="true" strokeweight=".48pt" strokecolor="#000000">
                <v:path arrowok="t"/>
              </v:shape>
            </v:group>
            <v:group style="position:absolute;left:2981;top:12914;width:1410;height:2" coordorigin="2981,12914" coordsize="1410,2">
              <v:shape style="position:absolute;left:2981;top:12914;width:1410;height:2" coordorigin="2981,12914" coordsize="1410,0" path="m2981,12914l4390,12914e" filled="false" stroked="true" strokeweight=".48pt" strokecolor="#000000">
                <v:path arrowok="t"/>
              </v:shape>
            </v:group>
            <v:group style="position:absolute;left:4400;top:12914;width:840;height:2" coordorigin="4400,12914" coordsize="840,2">
              <v:shape style="position:absolute;left:4400;top:12914;width:840;height:2" coordorigin="4400,12914" coordsize="840,0" path="m4400,12914l5240,12914e" filled="false" stroked="true" strokeweight=".48pt" strokecolor="#000000">
                <v:path arrowok="t"/>
              </v:shape>
            </v:group>
            <v:group style="position:absolute;left:5250;top:12914;width:2259;height:2" coordorigin="5250,12914" coordsize="2259,2">
              <v:shape style="position:absolute;left:5250;top:12914;width:2259;height:2" coordorigin="5250,12914" coordsize="2259,0" path="m5250,12914l7509,12914e" filled="false" stroked="true" strokeweight=".48pt" strokecolor="#000000">
                <v:path arrowok="t"/>
              </v:shape>
            </v:group>
            <v:group style="position:absolute;left:7518;top:12914;width:3181;height:2" coordorigin="7518,12914" coordsize="3181,2">
              <v:shape style="position:absolute;left:7518;top:12914;width:3181;height:2" coordorigin="7518,12914" coordsize="3181,0" path="m7518,12914l10699,12914e" filled="false" stroked="true" strokeweight=".48pt" strokecolor="#000000">
                <v:path arrowok="t"/>
              </v:shape>
            </v:group>
            <v:group style="position:absolute;left:7530;top:13946;width:2;height:1328" coordorigin="7530,13946" coordsize="2,1328">
              <v:shape style="position:absolute;left:7530;top:13946;width:2;height:1328" coordorigin="7530,13946" coordsize="0,1328" path="m7530,13946l7530,15273e" filled="false" stroked="true" strokeweight="1.2pt" strokecolor="#ffffff">
                <v:path arrowok="t"/>
              </v:shape>
            </v:group>
            <v:group style="position:absolute;left:7542;top:14299;width:3135;height:312" coordorigin="7542,14299" coordsize="3135,312">
              <v:shape style="position:absolute;left:7542;top:14299;width:3135;height:312" coordorigin="7542,14299" coordsize="3135,312" path="m7542,14611l10677,14611,10677,14299,7542,14299,7542,14611xe" filled="true" fillcolor="#ffffff" stroked="false">
                <v:path arrowok="t"/>
                <v:fill type="solid"/>
              </v:shape>
            </v:group>
            <v:group style="position:absolute;left:1138;top:13941;width:843;height:2" coordorigin="1138,13941" coordsize="843,2">
              <v:shape style="position:absolute;left:1138;top:13941;width:843;height:2" coordorigin="1138,13941" coordsize="843,0" path="m1138,13941l1980,13941e" filled="false" stroked="true" strokeweight=".48pt" strokecolor="#000000">
                <v:path arrowok="t"/>
              </v:shape>
            </v:group>
            <v:group style="position:absolute;left:1990;top:13941;width:982;height:2" coordorigin="1990,13941" coordsize="982,2">
              <v:shape style="position:absolute;left:1990;top:13941;width:982;height:2" coordorigin="1990,13941" coordsize="982,0" path="m1990,13941l2972,13941e" filled="false" stroked="true" strokeweight=".48pt" strokecolor="#000000">
                <v:path arrowok="t"/>
              </v:shape>
            </v:group>
            <v:group style="position:absolute;left:2981;top:13941;width:1410;height:2" coordorigin="2981,13941" coordsize="1410,2">
              <v:shape style="position:absolute;left:2981;top:13941;width:1410;height:2" coordorigin="2981,13941" coordsize="1410,0" path="m2981,13941l4390,13941e" filled="false" stroked="true" strokeweight=".48pt" strokecolor="#000000">
                <v:path arrowok="t"/>
              </v:shape>
            </v:group>
            <v:group style="position:absolute;left:4400;top:13941;width:840;height:2" coordorigin="4400,13941" coordsize="840,2">
              <v:shape style="position:absolute;left:4400;top:13941;width:840;height:2" coordorigin="4400,13941" coordsize="840,0" path="m4400,13941l5240,13941e" filled="false" stroked="true" strokeweight=".48pt" strokecolor="#000000">
                <v:path arrowok="t"/>
              </v:shape>
            </v:group>
            <v:group style="position:absolute;left:5250;top:13941;width:2259;height:2" coordorigin="5250,13941" coordsize="2259,2">
              <v:shape style="position:absolute;left:5250;top:13941;width:2259;height:2" coordorigin="5250,13941" coordsize="2259,0" path="m5250,13941l7509,13941e" filled="false" stroked="true" strokeweight=".48pt" strokecolor="#000000">
                <v:path arrowok="t"/>
              </v:shape>
            </v:group>
            <v:group style="position:absolute;left:7518;top:13941;width:3181;height:2" coordorigin="7518,13941" coordsize="3181,2">
              <v:shape style="position:absolute;left:7518;top:13941;width:3181;height:2" coordorigin="7518,13941" coordsize="3181,0" path="m7518,13941l10699,13941e" filled="false" stroked="true" strokeweight=".48pt" strokecolor="#000000">
                <v:path arrowok="t"/>
              </v:shape>
            </v:group>
            <v:group style="position:absolute;left:1133;top:1440;width:2;height:13843" coordorigin="1133,1440" coordsize="2,13843">
              <v:shape style="position:absolute;left:1133;top:1440;width:2;height:13843" coordorigin="1133,1440" coordsize="0,13843" path="m1133,1440l1133,15283e" filled="false" stroked="true" strokeweight=".48pt" strokecolor="#000000">
                <v:path arrowok="t"/>
              </v:shape>
            </v:group>
            <v:group style="position:absolute;left:1138;top:15278;width:843;height:2" coordorigin="1138,15278" coordsize="843,2">
              <v:shape style="position:absolute;left:1138;top:15278;width:843;height:2" coordorigin="1138,15278" coordsize="843,0" path="m1138,15278l1980,15278e" filled="false" stroked="true" strokeweight=".48pt" strokecolor="#000000">
                <v:path arrowok="t"/>
              </v:shape>
            </v:group>
            <v:group style="position:absolute;left:1985;top:1440;width:2;height:13843" coordorigin="1985,1440" coordsize="2,13843">
              <v:shape style="position:absolute;left:1985;top:1440;width:2;height:13843" coordorigin="1985,1440" coordsize="0,13843" path="m1985,1440l1985,15283e" filled="false" stroked="true" strokeweight=".48pt" strokecolor="#000000">
                <v:path arrowok="t"/>
              </v:shape>
            </v:group>
            <v:group style="position:absolute;left:1990;top:15278;width:982;height:2" coordorigin="1990,15278" coordsize="982,2">
              <v:shape style="position:absolute;left:1990;top:15278;width:982;height:2" coordorigin="1990,15278" coordsize="982,0" path="m1990,15278l2972,15278e" filled="false" stroked="true" strokeweight=".48pt" strokecolor="#000000">
                <v:path arrowok="t"/>
              </v:shape>
            </v:group>
            <v:group style="position:absolute;left:2976;top:1440;width:2;height:13843" coordorigin="2976,1440" coordsize="2,13843">
              <v:shape style="position:absolute;left:2976;top:1440;width:2;height:13843" coordorigin="2976,1440" coordsize="0,13843" path="m2976,1440l2976,15283e" filled="false" stroked="true" strokeweight=".48pt" strokecolor="#000000">
                <v:path arrowok="t"/>
              </v:shape>
            </v:group>
            <v:group style="position:absolute;left:2981;top:15278;width:1410;height:2" coordorigin="2981,15278" coordsize="1410,2">
              <v:shape style="position:absolute;left:2981;top:15278;width:1410;height:2" coordorigin="2981,15278" coordsize="1410,0" path="m2981,15278l4390,15278e" filled="false" stroked="true" strokeweight=".48pt" strokecolor="#000000">
                <v:path arrowok="t"/>
              </v:shape>
            </v:group>
            <v:group style="position:absolute;left:4395;top:1440;width:2;height:13843" coordorigin="4395,1440" coordsize="2,13843">
              <v:shape style="position:absolute;left:4395;top:1440;width:2;height:13843" coordorigin="4395,1440" coordsize="0,13843" path="m4395,1440l4395,15283e" filled="false" stroked="true" strokeweight=".48pt" strokecolor="#000000">
                <v:path arrowok="t"/>
              </v:shape>
            </v:group>
            <v:group style="position:absolute;left:4400;top:15278;width:840;height:2" coordorigin="4400,15278" coordsize="840,2">
              <v:shape style="position:absolute;left:4400;top:15278;width:840;height:2" coordorigin="4400,15278" coordsize="840,0" path="m4400,15278l5240,15278e" filled="false" stroked="true" strokeweight=".48pt" strokecolor="#000000">
                <v:path arrowok="t"/>
              </v:shape>
            </v:group>
            <v:group style="position:absolute;left:5245;top:1440;width:2;height:13843" coordorigin="5245,1440" coordsize="2,13843">
              <v:shape style="position:absolute;left:5245;top:1440;width:2;height:13843" coordorigin="5245,1440" coordsize="0,13843" path="m5245,1440l5245,15283e" filled="false" stroked="true" strokeweight=".48pt" strokecolor="#000000">
                <v:path arrowok="t"/>
              </v:shape>
            </v:group>
            <v:group style="position:absolute;left:5250;top:15278;width:2259;height:2" coordorigin="5250,15278" coordsize="2259,2">
              <v:shape style="position:absolute;left:5250;top:15278;width:2259;height:2" coordorigin="5250,15278" coordsize="2259,0" path="m5250,15278l7509,15278e" filled="false" stroked="true" strokeweight=".48pt" strokecolor="#000000">
                <v:path arrowok="t"/>
              </v:shape>
            </v:group>
            <v:group style="position:absolute;left:7530;top:2124;width:2;height:1328" coordorigin="7530,2124" coordsize="2,1328">
              <v:shape style="position:absolute;left:7530;top:2124;width:2;height:1328" coordorigin="7530,2124" coordsize="0,1328" path="m7530,2124l7530,3452e" filled="false" stroked="true" strokeweight="1.2pt" strokecolor="#ffffff">
                <v:path arrowok="t"/>
              </v:shape>
            </v:group>
            <v:group style="position:absolute;left:7542;top:2124;width:3135;height:353" coordorigin="7542,2124" coordsize="3135,353">
              <v:shape style="position:absolute;left:7542;top:2124;width:3135;height:353" coordorigin="7542,2124" coordsize="3135,353" path="m7542,2477l10677,2477,10677,2124,7542,2124,7542,2477xe" filled="true" fillcolor="#ffffff" stroked="false">
                <v:path arrowok="t"/>
                <v:fill type="solid"/>
              </v:shape>
            </v:group>
            <v:group style="position:absolute;left:7530;top:6138;width:2;height:1018" coordorigin="7530,6138" coordsize="2,1018">
              <v:shape style="position:absolute;left:7530;top:6138;width:2;height:1018" coordorigin="7530,6138" coordsize="0,1018" path="m7530,6138l7530,7155e" filled="false" stroked="true" strokeweight="1.2pt" strokecolor="#ffffff">
                <v:path arrowok="t"/>
              </v:shape>
            </v:group>
            <v:group style="position:absolute;left:7542;top:6138;width:3135;height:353" coordorigin="7542,6138" coordsize="3135,353">
              <v:shape style="position:absolute;left:7542;top:6138;width:3135;height:353" coordorigin="7542,6138" coordsize="3135,353" path="m7542,6491l10677,6491,10677,6138,7542,6138,7542,6491xe" filled="true" fillcolor="#ffffff" stroked="false">
                <v:path arrowok="t"/>
                <v:fill type="solid"/>
              </v:shape>
            </v:group>
            <v:group style="position:absolute;left:7513;top:1440;width:2;height:13843" coordorigin="7513,1440" coordsize="2,13843">
              <v:shape style="position:absolute;left:7513;top:1440;width:2;height:13843" coordorigin="7513,1440" coordsize="0,13843" path="m7513,1440l7513,15283e" filled="false" stroked="true" strokeweight=".48pt" strokecolor="#000000">
                <v:path arrowok="t"/>
              </v:shape>
            </v:group>
            <v:group style="position:absolute;left:7518;top:15278;width:3181;height:2" coordorigin="7518,15278" coordsize="3181,2">
              <v:shape style="position:absolute;left:7518;top:15278;width:3181;height:2" coordorigin="7518,15278" coordsize="3181,0" path="m7518,15278l10699,15278e" filled="false" stroked="true" strokeweight=".48pt" strokecolor="#000000">
                <v:path arrowok="t"/>
              </v:shape>
            </v:group>
            <v:group style="position:absolute;left:10704;top:1440;width:2;height:13843" coordorigin="10704,1440" coordsize="2,13843">
              <v:shape style="position:absolute;left:10704;top:1440;width:2;height:13843" coordorigin="10704,1440" coordsize="0,13843" path="m10704,1440l10704,15283e" filled="false" stroked="true" strokeweight=".48pt" strokecolor="#000000">
                <v:path arrowok="t"/>
              </v:shape>
            </v:group>
            <w10:wrap type="none"/>
          </v:group>
        </w:pict>
      </w:r>
    </w:p>
    <w:p>
      <w:pPr>
        <w:spacing w:line="240" w:lineRule="auto" w:before="3"/>
        <w:rPr>
          <w:rFonts w:ascii="宋体" w:hAnsi="宋体" w:cs="宋体" w:eastAsia="宋体" w:hint="default"/>
          <w:sz w:val="14"/>
          <w:szCs w:val="14"/>
        </w:rPr>
      </w:pPr>
    </w:p>
    <w:p>
      <w:pPr>
        <w:spacing w:before="0"/>
        <w:ind w:left="217" w:right="-18"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p>
    <w:p>
      <w:pPr>
        <w:spacing w:before="63"/>
        <w:ind w:left="263" w:right="-18"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6"/>
          <w:szCs w:val="26"/>
        </w:rPr>
      </w:pPr>
    </w:p>
    <w:p>
      <w:pPr>
        <w:tabs>
          <w:tab w:pos="1367" w:val="left" w:leader="none"/>
          <w:tab w:pos="2680" w:val="left" w:leader="none"/>
        </w:tabs>
        <w:spacing w:before="0"/>
        <w:ind w:left="71" w:right="-20" w:firstLine="0"/>
        <w:jc w:val="left"/>
        <w:rPr>
          <w:rFonts w:ascii="宋体" w:hAnsi="宋体" w:cs="宋体" w:eastAsia="宋体" w:hint="default"/>
          <w:sz w:val="18"/>
          <w:szCs w:val="18"/>
        </w:rPr>
      </w:pPr>
      <w:r>
        <w:rPr>
          <w:rFonts w:ascii="宋体" w:hAnsi="宋体" w:cs="宋体" w:eastAsia="宋体" w:hint="default"/>
          <w:sz w:val="18"/>
          <w:szCs w:val="18"/>
        </w:rPr>
        <w:t>公司会议室</w:t>
        <w:tab/>
        <w:t>实地调研</w:t>
        <w:tab/>
        <w:t>机构</w:t>
      </w:r>
    </w:p>
    <w:p>
      <w:pPr>
        <w:spacing w:line="240" w:lineRule="auto" w:before="4"/>
        <w:rPr>
          <w:rFonts w:ascii="宋体" w:hAnsi="宋体" w:cs="宋体" w:eastAsia="宋体" w:hint="default"/>
          <w:sz w:val="20"/>
          <w:szCs w:val="20"/>
        </w:rPr>
      </w:pPr>
      <w:r>
        <w:rPr/>
        <w:br w:type="column"/>
      </w:r>
      <w:r>
        <w:rPr>
          <w:rFonts w:ascii="宋体"/>
          <w:sz w:val="20"/>
        </w:rPr>
      </w:r>
    </w:p>
    <w:p>
      <w:pPr>
        <w:spacing w:line="316" w:lineRule="auto" w:before="0"/>
        <w:ind w:left="217" w:right="-10" w:firstLine="0"/>
        <w:jc w:val="left"/>
        <w:rPr>
          <w:rFonts w:ascii="宋体" w:hAnsi="宋体" w:cs="宋体" w:eastAsia="宋体" w:hint="default"/>
          <w:sz w:val="18"/>
          <w:szCs w:val="18"/>
        </w:rPr>
      </w:pPr>
      <w:r>
        <w:rPr>
          <w:rFonts w:ascii="宋体" w:hAnsi="宋体" w:cs="宋体" w:eastAsia="宋体" w:hint="default"/>
          <w:spacing w:val="4"/>
          <w:sz w:val="18"/>
          <w:szCs w:val="18"/>
        </w:rPr>
        <w:t>安信证券、光大证券、富国 </w:t>
      </w:r>
      <w:r>
        <w:rPr>
          <w:rFonts w:ascii="宋体" w:hAnsi="宋体" w:cs="宋体" w:eastAsia="宋体" w:hint="default"/>
          <w:spacing w:val="-3"/>
          <w:sz w:val="18"/>
          <w:szCs w:val="18"/>
        </w:rPr>
        <w:t>基金、国元证券、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泽熙投资共计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p>
      <w:pPr>
        <w:spacing w:line="316" w:lineRule="auto" w:before="110"/>
        <w:ind w:left="10" w:right="143" w:firstLine="0"/>
        <w:jc w:val="left"/>
        <w:rPr>
          <w:rFonts w:ascii="宋体" w:hAnsi="宋体" w:cs="宋体" w:eastAsia="宋体" w:hint="default"/>
          <w:sz w:val="18"/>
          <w:szCs w:val="18"/>
        </w:rPr>
      </w:pPr>
      <w:r>
        <w:rPr>
          <w:spacing w:val="-1"/>
        </w:rPr>
        <w:br w:type="column"/>
      </w:r>
      <w:r>
        <w:rPr>
          <w:rFonts w:ascii="宋体" w:hAnsi="宋体" w:cs="宋体" w:eastAsia="宋体" w:hint="default"/>
          <w:spacing w:val="-1"/>
          <w:sz w:val="18"/>
          <w:szCs w:val="18"/>
        </w:rPr>
        <w:t>公司生产经营情况、服务用户增长情况、</w:t>
      </w:r>
      <w:r>
        <w:rPr>
          <w:rFonts w:ascii="宋体" w:hAnsi="宋体" w:cs="宋体" w:eastAsia="宋体" w:hint="default"/>
          <w:sz w:val="18"/>
          <w:szCs w:val="18"/>
        </w:rPr>
        <w:t> </w:t>
      </w:r>
      <w:r>
        <w:rPr>
          <w:rFonts w:ascii="宋体" w:hAnsi="宋体" w:cs="宋体" w:eastAsia="宋体" w:hint="default"/>
          <w:spacing w:val="3"/>
          <w:sz w:val="18"/>
          <w:szCs w:val="18"/>
        </w:rPr>
        <w:t>行业拓展情况、核心技术、企业调查及</w:t>
      </w:r>
      <w:r>
        <w:rPr>
          <w:rFonts w:ascii="宋体" w:hAnsi="宋体" w:cs="宋体" w:eastAsia="宋体" w:hint="default"/>
          <w:sz w:val="18"/>
          <w:szCs w:val="18"/>
        </w:rPr>
      </w:r>
    </w:p>
    <w:p>
      <w:pPr>
        <w:spacing w:line="316" w:lineRule="auto" w:before="19"/>
        <w:ind w:left="10" w:right="143" w:firstLine="0"/>
        <w:jc w:val="left"/>
        <w:rPr>
          <w:rFonts w:ascii="宋体" w:hAnsi="宋体" w:cs="宋体" w:eastAsia="宋体" w:hint="default"/>
          <w:sz w:val="18"/>
          <w:szCs w:val="18"/>
        </w:rPr>
      </w:pPr>
      <w:r>
        <w:rPr/>
        <w:pict>
          <v:shape style="position:absolute;margin-left:333.764008pt;margin-top:-15.058282pt;width:200.1pt;height:20pt;mso-position-horizontal-relative:page;mso-position-vertical-relative:paragraph;z-index:-804112" type="#_x0000_t202" filled="false" stroked="false">
            <v:textbox inset="0,0,0,0">
              <w:txbxContent>
                <w:p>
                  <w:pPr>
                    <w:spacing w:line="240" w:lineRule="auto" w:before="7"/>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航天证券、</w:t>
                  </w:r>
                </w:p>
              </w:txbxContent>
            </v:textbox>
            <w10:wrap type="none"/>
          </v:shape>
        </w:pict>
      </w:r>
      <w:r>
        <w:rPr>
          <w:rFonts w:ascii="宋体" w:hAnsi="宋体" w:cs="宋体" w:eastAsia="宋体" w:hint="default"/>
          <w:spacing w:val="3"/>
          <w:sz w:val="18"/>
          <w:szCs w:val="18"/>
        </w:rPr>
        <w:t>公证云进展情况、股权激励及人员变动</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情况等。</w:t>
      </w:r>
    </w:p>
    <w:p>
      <w:pPr>
        <w:spacing w:after="0" w:line="316" w:lineRule="auto"/>
        <w:jc w:val="left"/>
        <w:rPr>
          <w:rFonts w:ascii="宋体" w:hAnsi="宋体" w:cs="宋体" w:eastAsia="宋体" w:hint="default"/>
          <w:sz w:val="18"/>
          <w:szCs w:val="18"/>
        </w:rPr>
        <w:sectPr>
          <w:type w:val="continuous"/>
          <w:pgSz w:w="11910" w:h="16840"/>
          <w:pgMar w:top="880" w:bottom="280" w:left="980" w:right="980"/>
          <w:cols w:num="4" w:equalWidth="0">
            <w:col w:w="940" w:space="40"/>
            <w:col w:w="3041" w:space="55"/>
            <w:col w:w="2436" w:space="40"/>
            <w:col w:w="3398"/>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p>
      <w:pPr>
        <w:spacing w:line="312" w:lineRule="exact"/>
        <w:ind w:left="6562"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56.75pt;height:15.6pt;mso-position-horizontal-relative:char;mso-position-vertical-relative:line" coordorigin="0,0" coordsize="3135,312">
            <v:group style="position:absolute;left:0;top:0;width:3135;height:312" coordorigin="0,0" coordsize="3135,312">
              <v:shape style="position:absolute;left:0;top:0;width:3135;height:312" coordorigin="0,0" coordsize="3135,312" path="m0,312l3135,312,3135,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before="44"/>
        <w:ind w:left="0" w:right="158" w:firstLine="0"/>
        <w:jc w:val="right"/>
        <w:rPr>
          <w:rFonts w:ascii="宋体" w:hAnsi="宋体" w:cs="宋体" w:eastAsia="宋体" w:hint="default"/>
          <w:sz w:val="18"/>
          <w:szCs w:val="18"/>
        </w:rPr>
      </w:pPr>
      <w:r>
        <w:rPr/>
        <w:pict>
          <v:shape style="position:absolute;margin-left:333.764008pt;margin-top:-65.048264pt;width:200.1pt;height:15.6pt;mso-position-horizontal-relative:page;mso-position-vertical-relative:paragraph;z-index:-804040"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光大证券、</w:t>
                  </w:r>
                </w:p>
              </w:txbxContent>
            </v:textbox>
            <w10:wrap type="none"/>
          </v:shape>
        </w:pict>
      </w:r>
      <w:r>
        <w:rPr/>
        <w:pict>
          <v:shape style="position:absolute;margin-left:56.400002pt;margin-top:-83.188263pt;width:479.3pt;height:339.55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2"/>
                    <w:gridCol w:w="991"/>
                    <w:gridCol w:w="1419"/>
                    <w:gridCol w:w="850"/>
                    <w:gridCol w:w="2268"/>
                    <w:gridCol w:w="3190"/>
                  </w:tblGrid>
                  <w:tr>
                    <w:trPr>
                      <w:trHeight w:val="133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268"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49"/>
                          <w:ind w:left="23" w:right="3"/>
                          <w:jc w:val="left"/>
                          <w:rPr>
                            <w:rFonts w:ascii="宋体" w:hAnsi="宋体" w:cs="宋体" w:eastAsia="宋体" w:hint="default"/>
                            <w:sz w:val="18"/>
                            <w:szCs w:val="18"/>
                          </w:rPr>
                        </w:pPr>
                        <w:r>
                          <w:rPr>
                            <w:rFonts w:ascii="宋体" w:hAnsi="宋体" w:cs="宋体" w:eastAsia="宋体" w:hint="default"/>
                            <w:spacing w:val="4"/>
                            <w:sz w:val="18"/>
                            <w:szCs w:val="18"/>
                          </w:rPr>
                          <w:t>兴业证券、银华基金、光大 </w:t>
                        </w:r>
                        <w:r>
                          <w:rPr>
                            <w:rFonts w:ascii="宋体" w:hAnsi="宋体" w:cs="宋体" w:eastAsia="宋体" w:hint="default"/>
                            <w:spacing w:val="-3"/>
                            <w:sz w:val="18"/>
                            <w:szCs w:val="18"/>
                          </w:rPr>
                          <w:t>证券、普尔投资、</w:t>
                        </w:r>
                      </w:p>
                      <w:p>
                        <w:pPr>
                          <w:pStyle w:val="TableParagraph"/>
                          <w:spacing w:line="316" w:lineRule="auto" w:before="17"/>
                          <w:ind w:left="23" w:right="3"/>
                          <w:jc w:val="left"/>
                          <w:rPr>
                            <w:rFonts w:ascii="宋体" w:hAnsi="宋体" w:cs="宋体" w:eastAsia="宋体" w:hint="default"/>
                            <w:sz w:val="18"/>
                            <w:szCs w:val="18"/>
                          </w:rPr>
                        </w:pPr>
                        <w:r>
                          <w:rPr>
                            <w:rFonts w:ascii="宋体" w:hAnsi="宋体" w:cs="宋体" w:eastAsia="宋体" w:hint="default"/>
                            <w:spacing w:val="4"/>
                            <w:sz w:val="18"/>
                            <w:szCs w:val="18"/>
                          </w:rPr>
                          <w:t>铭远投资、平安证券、泽熙 </w:t>
                        </w:r>
                        <w:r>
                          <w:rPr>
                            <w:rFonts w:ascii="宋体" w:hAnsi="宋体" w:cs="宋体" w:eastAsia="宋体" w:hint="default"/>
                            <w:sz w:val="18"/>
                            <w:szCs w:val="18"/>
                          </w:rPr>
                          <w:t>投资共计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c>
                      <w:tcPr>
                        <w:tcW w:w="3190" w:type="dxa"/>
                        <w:tcBorders>
                          <w:top w:val="single" w:sz="4" w:space="0" w:color="000000"/>
                          <w:left w:val="single" w:sz="13" w:space="0" w:color="FFFFFF"/>
                          <w:bottom w:val="single" w:sz="4" w:space="0" w:color="000000"/>
                          <w:right w:val="single" w:sz="4" w:space="0" w:color="000000"/>
                        </w:tcBorders>
                      </w:tcPr>
                      <w:p>
                        <w:pPr>
                          <w:pStyle w:val="TableParagraph"/>
                          <w:spacing w:line="319" w:lineRule="auto" w:before="49"/>
                          <w:ind w:left="12" w:right="15"/>
                          <w:jc w:val="both"/>
                          <w:rPr>
                            <w:rFonts w:ascii="宋体" w:hAnsi="宋体" w:cs="宋体" w:eastAsia="宋体" w:hint="default"/>
                            <w:sz w:val="18"/>
                            <w:szCs w:val="18"/>
                          </w:rPr>
                        </w:pPr>
                        <w:r>
                          <w:rPr>
                            <w:rFonts w:ascii="宋体" w:hAnsi="宋体" w:cs="宋体" w:eastAsia="宋体" w:hint="default"/>
                            <w:spacing w:val="3"/>
                            <w:sz w:val="18"/>
                            <w:szCs w:val="18"/>
                          </w:rPr>
                          <w:t>政策法律环境对公司的影响、市场行业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拓展情况、产品和服务的销售情况、主</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要客户群体、实验室建设情况、人员增</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长情况、公证云项目相关情况。</w:t>
                        </w:r>
                      </w:p>
                    </w:tc>
                  </w:tr>
                  <w:tr>
                    <w:trPr>
                      <w:trHeight w:val="102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光大证券、长城证券共计</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
                          <w:jc w:val="left"/>
                          <w:rPr>
                            <w:rFonts w:ascii="宋体" w:hAnsi="宋体" w:cs="宋体" w:eastAsia="宋体" w:hint="default"/>
                            <w:sz w:val="18"/>
                            <w:szCs w:val="18"/>
                          </w:rPr>
                        </w:pPr>
                        <w:r>
                          <w:rPr>
                            <w:rFonts w:ascii="宋体" w:hAnsi="宋体" w:cs="宋体" w:eastAsia="宋体" w:hint="default"/>
                            <w:spacing w:val="3"/>
                            <w:sz w:val="18"/>
                            <w:szCs w:val="18"/>
                          </w:rPr>
                          <w:t>公司主要产品的销售情况、培训情况、</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市场空间、政策法律环境对公司的影响</w:t>
                        </w:r>
                        <w:r>
                          <w:rPr>
                            <w:rFonts w:ascii="宋体" w:hAnsi="宋体" w:cs="宋体" w:eastAsia="宋体" w:hint="default"/>
                            <w:sz w:val="18"/>
                            <w:szCs w:val="18"/>
                          </w:rPr>
                          <w:t> 研发大楼投入情况、超算中心应用等。</w:t>
                        </w:r>
                      </w:p>
                    </w:tc>
                  </w:tr>
                  <w:tr>
                    <w:trPr>
                      <w:trHeight w:val="71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长江证券共计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
                          <w:jc w:val="left"/>
                          <w:rPr>
                            <w:rFonts w:ascii="宋体" w:hAnsi="宋体" w:cs="宋体" w:eastAsia="宋体" w:hint="default"/>
                            <w:sz w:val="18"/>
                            <w:szCs w:val="18"/>
                          </w:rPr>
                        </w:pPr>
                        <w:r>
                          <w:rPr>
                            <w:rFonts w:ascii="宋体" w:hAnsi="宋体" w:cs="宋体" w:eastAsia="宋体" w:hint="default"/>
                            <w:spacing w:val="3"/>
                            <w:sz w:val="18"/>
                            <w:szCs w:val="18"/>
                          </w:rPr>
                          <w:t>公司的生产经营情况、市场竞争格局、</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民用领域的拓展情况等。</w:t>
                        </w:r>
                      </w:p>
                    </w:tc>
                  </w:tr>
                  <w:tr>
                    <w:trPr>
                      <w:trHeight w:val="134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1"/>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太平洋证券</w:t>
                        </w:r>
                        <w:r>
                          <w:rPr>
                            <w:rFonts w:ascii="宋体" w:hAnsi="宋体" w:cs="宋体" w:eastAsia="宋体" w:hint="default"/>
                            <w:spacing w:val="-85"/>
                            <w:sz w:val="18"/>
                            <w:szCs w:val="18"/>
                          </w:rPr>
                          <w:t>、</w:t>
                        </w:r>
                        <w:r>
                          <w:rPr>
                            <w:rFonts w:ascii="宋体" w:hAnsi="宋体" w:cs="宋体" w:eastAsia="宋体" w:hint="default"/>
                            <w:sz w:val="18"/>
                            <w:szCs w:val="18"/>
                          </w:rPr>
                          <w:t>银华基金共计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
                          <w:jc w:val="both"/>
                          <w:rPr>
                            <w:rFonts w:ascii="宋体" w:hAnsi="宋体" w:cs="宋体" w:eastAsia="宋体" w:hint="default"/>
                            <w:sz w:val="18"/>
                            <w:szCs w:val="18"/>
                          </w:rPr>
                        </w:pPr>
                        <w:r>
                          <w:rPr>
                            <w:rFonts w:ascii="宋体" w:hAnsi="宋体" w:cs="宋体" w:eastAsia="宋体" w:hint="default"/>
                            <w:spacing w:val="3"/>
                            <w:sz w:val="18"/>
                            <w:szCs w:val="18"/>
                          </w:rPr>
                          <w:t>公司主营业务的经营情况、十八大对公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司的影响、公证云和舆情业务的进展情</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况、行业拓展情况、营销模式、实验室</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的建设规模、竞争对手情况等。</w:t>
                        </w:r>
                      </w:p>
                    </w:tc>
                  </w:tr>
                  <w:tr>
                    <w:trPr>
                      <w:trHeight w:val="102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41"/>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英大基金共计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
                          <w:jc w:val="both"/>
                          <w:rPr>
                            <w:rFonts w:ascii="宋体" w:hAnsi="宋体" w:cs="宋体" w:eastAsia="宋体" w:hint="default"/>
                            <w:sz w:val="18"/>
                            <w:szCs w:val="18"/>
                          </w:rPr>
                        </w:pPr>
                        <w:r>
                          <w:rPr>
                            <w:rFonts w:ascii="宋体" w:hAnsi="宋体" w:cs="宋体" w:eastAsia="宋体" w:hint="default"/>
                            <w:spacing w:val="3"/>
                            <w:sz w:val="18"/>
                            <w:szCs w:val="18"/>
                          </w:rPr>
                          <w:t>公司三季度业绩具体情况、财务方面问</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题、客户区域覆盖情况、竞争优势、培</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训情况、超算中心费用情况等。</w:t>
                        </w:r>
                      </w:p>
                    </w:tc>
                  </w:tr>
                  <w:tr>
                    <w:trPr>
                      <w:trHeight w:val="1339"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招商证券、磐厚基金共计</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
                          <w:jc w:val="left"/>
                          <w:rPr>
                            <w:rFonts w:ascii="宋体" w:hAnsi="宋体" w:cs="宋体" w:eastAsia="宋体" w:hint="default"/>
                            <w:sz w:val="18"/>
                            <w:szCs w:val="18"/>
                          </w:rPr>
                        </w:pPr>
                        <w:r>
                          <w:rPr>
                            <w:rFonts w:ascii="宋体" w:hAnsi="宋体" w:cs="宋体" w:eastAsia="宋体" w:hint="default"/>
                            <w:spacing w:val="3"/>
                            <w:sz w:val="18"/>
                            <w:szCs w:val="18"/>
                          </w:rPr>
                          <w:t>公司超算中心使用情况、电子数据取证</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的发展瓶颈、政府部门采购的资金来源</w:t>
                        </w:r>
                      </w:p>
                      <w:p>
                        <w:pPr>
                          <w:pStyle w:val="TableParagraph"/>
                          <w:spacing w:line="316" w:lineRule="auto" w:before="20"/>
                          <w:ind w:left="23" w:right="15"/>
                          <w:jc w:val="left"/>
                          <w:rPr>
                            <w:rFonts w:ascii="宋体" w:hAnsi="宋体" w:cs="宋体" w:eastAsia="宋体" w:hint="default"/>
                            <w:sz w:val="18"/>
                            <w:szCs w:val="18"/>
                          </w:rPr>
                        </w:pPr>
                        <w:r>
                          <w:rPr>
                            <w:rFonts w:ascii="宋体" w:hAnsi="宋体" w:cs="宋体" w:eastAsia="宋体" w:hint="default"/>
                            <w:spacing w:val="3"/>
                            <w:sz w:val="18"/>
                            <w:szCs w:val="18"/>
                          </w:rPr>
                          <w:t>募投项目的建设情况、投资并购方面、</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公证云用户情况及推广等。</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before="0"/>
        <w:ind w:left="0" w:right="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1227" w:top="1100" w:bottom="14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2240"/>
        <w:jc w:val="center"/>
        <w:rPr>
          <w:b w:val="0"/>
          <w:bCs w:val="0"/>
        </w:rPr>
      </w:pPr>
      <w:bookmarkStart w:name="_TOC_250005" w:id="4"/>
      <w:r>
        <w:rPr/>
        <w:t>第五节</w:t>
      </w:r>
      <w:r>
        <w:rPr>
          <w:spacing w:val="-2"/>
        </w:rPr>
        <w:t> </w:t>
      </w:r>
      <w:r>
        <w:rPr/>
        <w:t>重要事项</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一、重大诉讼仲裁事项</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68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w:t>
      </w:r>
      <w:r>
        <w:rPr>
          <w:rFonts w:ascii="宋体" w:hAnsi="宋体" w:cs="宋体" w:eastAsia="宋体" w:hint="default"/>
          <w:spacing w:val="1"/>
          <w:sz w:val="18"/>
          <w:szCs w:val="18"/>
        </w:rPr>
        <w:t> </w:t>
      </w:r>
      <w:r>
        <w:rPr>
          <w:rFonts w:ascii="宋体" w:hAnsi="宋体" w:cs="宋体" w:eastAsia="宋体" w:hint="default"/>
          <w:sz w:val="18"/>
          <w:szCs w:val="18"/>
        </w:rPr>
        <w:t>√不适用</w:t>
      </w:r>
      <w:r>
        <w:rPr>
          <w:rFonts w:ascii="宋体" w:hAnsi="宋体" w:cs="宋体" w:eastAsia="宋体" w:hint="default"/>
          <w:w w:val="99"/>
          <w:sz w:val="18"/>
          <w:szCs w:val="18"/>
        </w:rPr>
        <w:t> </w:t>
      </w:r>
      <w:r>
        <w:rPr>
          <w:rFonts w:ascii="宋体" w:hAnsi="宋体" w:cs="宋体" w:eastAsia="宋体" w:hint="default"/>
          <w:sz w:val="18"/>
          <w:szCs w:val="18"/>
        </w:rPr>
        <w:t>本年度公司无重大诉讼、仲裁事项。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二、上市公司发生控股股东及其关联方非经营性占用资金情况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w:t>
      </w:r>
      <w:r>
        <w:rPr>
          <w:rFonts w:ascii="宋体" w:hAnsi="宋体" w:cs="宋体" w:eastAsia="宋体" w:hint="default"/>
          <w:spacing w:val="1"/>
          <w:sz w:val="18"/>
          <w:szCs w:val="18"/>
        </w:rPr>
        <w:t> </w:t>
      </w:r>
      <w:r>
        <w:rPr>
          <w:rFonts w:ascii="宋体" w:hAnsi="宋体" w:cs="宋体" w:eastAsia="宋体" w:hint="default"/>
          <w:sz w:val="18"/>
          <w:szCs w:val="18"/>
        </w:rPr>
        <w:t>√不适用</w:t>
      </w:r>
    </w:p>
    <w:p>
      <w:pPr>
        <w:pStyle w:val="BodyText"/>
        <w:spacing w:line="408" w:lineRule="auto" w:before="160"/>
        <w:ind w:left="573" w:right="0"/>
        <w:jc w:val="left"/>
      </w:pPr>
      <w:r>
        <w:rPr/>
        <w:t>会计师事务所对资金占用的专项审核意见：</w:t>
      </w:r>
      <w:r>
        <w:rPr>
          <w:w w:val="100"/>
        </w:rPr>
        <w:t> </w:t>
      </w:r>
      <w:r>
        <w:rPr>
          <w:spacing w:val="-2"/>
        </w:rPr>
        <w:t>致同会计师事务所（特殊普通合伙）对控股股东及其关联方非经营性占用资金的核查意见：编制和对</w:t>
      </w:r>
    </w:p>
    <w:p>
      <w:pPr>
        <w:pStyle w:val="BodyText"/>
        <w:spacing w:line="396" w:lineRule="auto" w:before="46"/>
        <w:ind w:left="152" w:right="0"/>
        <w:jc w:val="left"/>
      </w:pPr>
      <w:r>
        <w:rPr>
          <w:spacing w:val="-2"/>
        </w:rPr>
        <w:t>外披露占用资金情况表，并确保其真实性、合法性及完整性是美亚柏科公司管理层的责任。我们对占用资</w:t>
      </w:r>
      <w:r>
        <w:rPr>
          <w:spacing w:val="-44"/>
        </w:rPr>
        <w:t> </w:t>
      </w:r>
      <w:r>
        <w:rPr>
          <w:spacing w:val="-44"/>
        </w:rPr>
      </w:r>
      <w:r>
        <w:rPr/>
        <w:t>金情况表所载资料与我们审计美亚柏科公司</w:t>
      </w:r>
      <w:r>
        <w:rPr>
          <w:rFonts w:ascii="Times New Roman" w:hAnsi="Times New Roman" w:cs="Times New Roman" w:eastAsia="Times New Roman" w:hint="default"/>
        </w:rPr>
        <w:t>2012</w:t>
      </w:r>
      <w:r>
        <w:rPr/>
        <w:t>年度财务报表时所复核的会计资料和经审计的财务报表</w:t>
      </w:r>
      <w:r>
        <w:rPr>
          <w:w w:val="100"/>
        </w:rPr>
        <w:t> </w:t>
      </w:r>
      <w:r>
        <w:rPr>
          <w:spacing w:val="-2"/>
        </w:rPr>
        <w:t>的相关内容进行了核对，在所有重大方面没有发现不一致。除了对美亚柏科公司实施于</w:t>
      </w:r>
      <w:r>
        <w:rPr>
          <w:rFonts w:ascii="Times New Roman" w:hAnsi="Times New Roman" w:cs="Times New Roman" w:eastAsia="Times New Roman" w:hint="default"/>
          <w:spacing w:val="-2"/>
        </w:rPr>
        <w:t>2012</w:t>
      </w:r>
      <w:r>
        <w:rPr>
          <w:spacing w:val="-2"/>
        </w:rPr>
        <w:t>年度财务报表</w:t>
      </w:r>
      <w:r>
        <w:rPr>
          <w:spacing w:val="-38"/>
        </w:rPr>
        <w:t> </w:t>
      </w:r>
      <w:r>
        <w:rPr>
          <w:spacing w:val="-38"/>
        </w:rPr>
      </w:r>
      <w:r>
        <w:rPr>
          <w:spacing w:val="-2"/>
        </w:rPr>
        <w:t>审计中所执行的对关联方往来的相关审计程序外，我们并未对占用资金情况表所载资料执行额外的审计程</w:t>
      </w:r>
      <w:r>
        <w:rPr>
          <w:spacing w:val="-43"/>
        </w:rPr>
        <w:t> </w:t>
      </w:r>
      <w:r>
        <w:rPr>
          <w:spacing w:val="-43"/>
        </w:rPr>
      </w:r>
      <w:r>
        <w:rPr>
          <w:spacing w:val="-2"/>
        </w:rPr>
        <w:t>序。为了更好地理解</w:t>
      </w:r>
      <w:r>
        <w:rPr>
          <w:rFonts w:ascii="Times New Roman" w:hAnsi="Times New Roman" w:cs="Times New Roman" w:eastAsia="Times New Roman" w:hint="default"/>
          <w:spacing w:val="-2"/>
        </w:rPr>
        <w:t>2012</w:t>
      </w:r>
      <w:r>
        <w:rPr>
          <w:spacing w:val="-2"/>
        </w:rPr>
        <w:t>年度美亚柏科公司控股股东及其他关联方占用上市公司资金情况，占用资金情况</w:t>
      </w:r>
      <w:r>
        <w:rPr>
          <w:spacing w:val="-39"/>
        </w:rPr>
        <w:t> </w:t>
      </w:r>
      <w:r>
        <w:rPr>
          <w:spacing w:val="-39"/>
        </w:rPr>
      </w:r>
      <w:r>
        <w:rPr/>
        <w:t>表应当与已审计的财务报表一并阅读。</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三、破产重整相关事项</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left="573" w:right="0"/>
        <w:jc w:val="left"/>
      </w:pPr>
      <w:r>
        <w:rPr/>
        <w:t>无。</w:t>
      </w:r>
    </w:p>
    <w:p>
      <w:pPr>
        <w:spacing w:line="240" w:lineRule="auto" w:before="11"/>
        <w:rPr>
          <w:rFonts w:ascii="宋体" w:hAnsi="宋体" w:cs="宋体" w:eastAsia="宋体" w:hint="default"/>
          <w:sz w:val="29"/>
          <w:szCs w:val="29"/>
        </w:rPr>
      </w:pPr>
    </w:p>
    <w:p>
      <w:pPr>
        <w:pStyle w:val="Heading2"/>
        <w:spacing w:line="240" w:lineRule="auto"/>
        <w:ind w:right="0"/>
        <w:jc w:val="left"/>
        <w:rPr>
          <w:b w:val="0"/>
          <w:bCs w:val="0"/>
        </w:rPr>
      </w:pPr>
      <w:r>
        <w:rPr/>
        <w:t>四、资产交易事项</w:t>
      </w:r>
      <w:r>
        <w:rPr>
          <w:b w:val="0"/>
          <w:bCs w:val="0"/>
        </w:rPr>
      </w:r>
    </w:p>
    <w:p>
      <w:pPr>
        <w:spacing w:line="240" w:lineRule="auto" w:before="9"/>
        <w:rPr>
          <w:rFonts w:ascii="宋体" w:hAnsi="宋体" w:cs="宋体" w:eastAsia="宋体" w:hint="default"/>
          <w:b/>
          <w:bCs/>
          <w:sz w:val="24"/>
          <w:szCs w:val="24"/>
        </w:rPr>
      </w:pPr>
    </w:p>
    <w:p>
      <w:pPr>
        <w:pStyle w:val="Heading3"/>
        <w:spacing w:line="571" w:lineRule="auto"/>
        <w:ind w:left="573" w:right="8193" w:hanging="421"/>
        <w:jc w:val="left"/>
        <w:rPr>
          <w:rFonts w:ascii="宋体" w:hAnsi="宋体" w:cs="宋体" w:eastAsia="宋体" w:hint="default"/>
          <w:b w:val="0"/>
          <w:bCs w:val="0"/>
        </w:rPr>
      </w:pPr>
      <w:r>
        <w:rPr>
          <w:rFonts w:ascii="Times New Roman" w:hAnsi="Times New Roman" w:cs="Times New Roman" w:eastAsia="Times New Roman" w:hint="default"/>
        </w:rPr>
        <w:t>1</w:t>
      </w:r>
      <w:r>
        <w:rPr/>
        <w:t>、收购资产情况</w:t>
      </w:r>
      <w:r>
        <w:rPr>
          <w:spacing w:val="-103"/>
        </w:rPr>
        <w:t> </w:t>
      </w:r>
      <w:r>
        <w:rPr>
          <w:rFonts w:ascii="宋体" w:hAnsi="宋体" w:cs="宋体" w:eastAsia="宋体" w:hint="default"/>
          <w:b w:val="0"/>
          <w:bCs w:val="0"/>
        </w:rPr>
        <w:t>无。</w:t>
      </w:r>
    </w:p>
    <w:p>
      <w:pPr>
        <w:pStyle w:val="Heading3"/>
        <w:spacing w:line="568" w:lineRule="auto" w:before="127"/>
        <w:ind w:left="573" w:right="8193" w:hanging="421"/>
        <w:jc w:val="left"/>
        <w:rPr>
          <w:rFonts w:ascii="宋体" w:hAnsi="宋体" w:cs="宋体" w:eastAsia="宋体" w:hint="default"/>
          <w:b w:val="0"/>
          <w:bCs w:val="0"/>
        </w:rPr>
      </w:pPr>
      <w:r>
        <w:rPr>
          <w:rFonts w:ascii="Times New Roman" w:hAnsi="Times New Roman" w:cs="Times New Roman" w:eastAsia="Times New Roman" w:hint="default"/>
        </w:rPr>
        <w:t>2</w:t>
      </w:r>
      <w:r>
        <w:rPr/>
        <w:t>、出售资产情况</w:t>
      </w:r>
      <w:r>
        <w:rPr>
          <w:spacing w:val="-103"/>
        </w:rPr>
        <w:t> </w:t>
      </w:r>
      <w:r>
        <w:rPr>
          <w:rFonts w:ascii="宋体" w:hAnsi="宋体" w:cs="宋体" w:eastAsia="宋体" w:hint="default"/>
          <w:b w:val="0"/>
          <w:bCs w:val="0"/>
        </w:rPr>
        <w:t>无。</w:t>
      </w:r>
    </w:p>
    <w:p>
      <w:pPr>
        <w:pStyle w:val="Heading3"/>
        <w:spacing w:line="240" w:lineRule="auto" w:before="128"/>
        <w:ind w:left="152" w:right="0"/>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573" w:right="0"/>
        <w:jc w:val="left"/>
        <w:rPr>
          <w:rFonts w:ascii="Times New Roman" w:hAnsi="Times New Roman" w:cs="Times New Roman" w:eastAsia="Times New Roman" w:hint="default"/>
        </w:rPr>
      </w:pPr>
      <w:r>
        <w:rPr/>
        <w:t>报告期内，本公司取得了厦门美亚中敏电子科技有限公司</w:t>
      </w:r>
      <w:r>
        <w:rPr>
          <w:rFonts w:ascii="Times New Roman" w:hAnsi="Times New Roman" w:cs="Times New Roman" w:eastAsia="Times New Roman" w:hint="default"/>
        </w:rPr>
        <w:t>67.73%</w:t>
      </w:r>
      <w:r>
        <w:rPr/>
        <w:t>股权，合并成本为现金</w:t>
      </w:r>
      <w:r>
        <w:rPr>
          <w:rFonts w:ascii="Times New Roman" w:hAnsi="Times New Roman" w:cs="Times New Roman" w:eastAsia="Times New Roman" w:hint="default"/>
        </w:rPr>
        <w:t>4,470,000.00</w:t>
      </w:r>
    </w:p>
    <w:p>
      <w:pPr>
        <w:spacing w:after="0" w:line="240" w:lineRule="auto"/>
        <w:jc w:val="left"/>
        <w:rPr>
          <w:rFonts w:ascii="Times New Roman" w:hAnsi="Times New Roman" w:cs="Times New Roman" w:eastAsia="Times New Roman" w:hint="default"/>
        </w:rPr>
        <w:sectPr>
          <w:pgSz w:w="11910" w:h="16840"/>
          <w:pgMar w:header="877" w:footer="1227" w:top="1100" w:bottom="1420" w:left="980" w:right="98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56"/>
        <w:ind w:left="152" w:right="99"/>
        <w:jc w:val="left"/>
      </w:pPr>
      <w:r>
        <w:rPr/>
        <w:t>元，合并成本的公允价值</w:t>
      </w:r>
      <w:r>
        <w:rPr>
          <w:rFonts w:ascii="Times New Roman" w:hAnsi="Times New Roman" w:cs="Times New Roman" w:eastAsia="Times New Roman" w:hint="default"/>
        </w:rPr>
        <w:t>4,626,825.00</w:t>
      </w:r>
      <w:r>
        <w:rPr/>
        <w:t>元，购买日确定为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w:t>
      </w:r>
    </w:p>
    <w:p>
      <w:pPr>
        <w:pStyle w:val="BodyText"/>
        <w:spacing w:line="386" w:lineRule="auto" w:before="177"/>
        <w:ind w:left="152" w:right="99" w:firstLine="42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26</w:t>
      </w:r>
      <w:r>
        <w:rPr/>
        <w:t>日，本公司、沈丽芳与厦门中敏电子科技有限公司（现改名为厦门美亚中敏电子科技有</w:t>
      </w:r>
      <w:r>
        <w:rPr>
          <w:w w:val="100"/>
        </w:rPr>
        <w:t> </w:t>
      </w:r>
      <w:r>
        <w:rPr/>
        <w:t>限公司，以下简称美亚中敏公司）原股东魏鹏、潘银盆签订《投资协议书》，本公司使用自有资金</w:t>
      </w:r>
      <w:r>
        <w:rPr>
          <w:rFonts w:ascii="Times New Roman" w:hAnsi="Times New Roman" w:cs="Times New Roman" w:eastAsia="Times New Roman" w:hint="default"/>
        </w:rPr>
        <w:t>447</w:t>
      </w:r>
      <w:r>
        <w:rPr/>
        <w:t>万</w:t>
      </w:r>
      <w:r>
        <w:rPr>
          <w:w w:val="100"/>
        </w:rPr>
        <w:t> </w:t>
      </w:r>
      <w:r>
        <w:rPr>
          <w:spacing w:val="-5"/>
        </w:rPr>
        <w:t>元、采用不溢价的方式对美亚中敏公司进行增资，此次增资完成后，本公司持有美亚中敏公司</w:t>
      </w:r>
      <w:r>
        <w:rPr>
          <w:rFonts w:ascii="Times New Roman" w:hAnsi="Times New Roman" w:cs="Times New Roman" w:eastAsia="Times New Roman" w:hint="default"/>
          <w:spacing w:val="-5"/>
        </w:rPr>
        <w:t>67.73%</w:t>
      </w:r>
      <w:r>
        <w:rPr>
          <w:spacing w:val="-5"/>
        </w:rPr>
        <w:t>股权。</w:t>
      </w:r>
      <w:r>
        <w:rPr/>
      </w:r>
    </w:p>
    <w:p>
      <w:pPr>
        <w:pStyle w:val="BodyText"/>
        <w:spacing w:line="398" w:lineRule="auto" w:before="35"/>
        <w:ind w:left="152" w:right="206" w:firstLine="420"/>
        <w:jc w:val="both"/>
      </w:pPr>
      <w:r>
        <w:rPr>
          <w:spacing w:val="-2"/>
        </w:rPr>
        <w:t>本公司于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20</w:t>
      </w:r>
      <w:r>
        <w:rPr>
          <w:spacing w:val="-2"/>
        </w:rPr>
        <w:t>日付清上述增资款。美亚中敏公司于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24</w:t>
      </w:r>
      <w:r>
        <w:rPr>
          <w:spacing w:val="-2"/>
        </w:rPr>
        <w:t>日完成工商变更登记手续。由</w:t>
      </w:r>
      <w:r>
        <w:rPr>
          <w:w w:val="100"/>
        </w:rPr>
        <w:t> </w:t>
      </w:r>
      <w:r>
        <w:rPr>
          <w:spacing w:val="-2"/>
        </w:rPr>
        <w:t>于本公司及现控股股东与美亚中敏公司原控股股东不存在任何控制关系，因此上述合并属于非同一控制下</w:t>
      </w:r>
      <w:r>
        <w:rPr>
          <w:spacing w:val="-43"/>
        </w:rPr>
        <w:t> </w:t>
      </w:r>
      <w:r>
        <w:rPr>
          <w:spacing w:val="-43"/>
        </w:rPr>
      </w:r>
      <w:r>
        <w:rPr/>
        <w:t>的企业合并，合并日确定为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w:t>
      </w:r>
    </w:p>
    <w:p>
      <w:pPr>
        <w:spacing w:line="240" w:lineRule="auto" w:before="11"/>
        <w:rPr>
          <w:rFonts w:ascii="宋体" w:hAnsi="宋体" w:cs="宋体" w:eastAsia="宋体" w:hint="default"/>
          <w:sz w:val="18"/>
          <w:szCs w:val="18"/>
        </w:rPr>
      </w:pPr>
    </w:p>
    <w:p>
      <w:pPr>
        <w:pStyle w:val="Heading3"/>
        <w:spacing w:line="259" w:lineRule="auto"/>
        <w:ind w:left="152" w:right="99"/>
        <w:jc w:val="left"/>
        <w:rPr>
          <w:b w:val="0"/>
          <w:bCs w:val="0"/>
        </w:rPr>
      </w:pPr>
      <w:r>
        <w:rPr>
          <w:rFonts w:ascii="Times New Roman" w:hAnsi="Times New Roman" w:cs="Times New Roman" w:eastAsia="Times New Roman" w:hint="default"/>
        </w:rPr>
        <w:t>4</w:t>
      </w:r>
      <w:r>
        <w:rPr/>
        <w:t>、自资产重组报告书或收购出售资产公告刊登后，该事项的进展情况及对报告期经营成果与财务状况的</w:t>
      </w:r>
      <w:r>
        <w:rPr>
          <w:spacing w:val="-65"/>
        </w:rPr>
        <w:t> </w:t>
      </w:r>
      <w:r>
        <w:rPr>
          <w:spacing w:val="-65"/>
        </w:rPr>
      </w:r>
      <w:r>
        <w:rPr/>
        <w:t>影响</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35"/>
        <w:ind w:left="573" w:right="99"/>
        <w:jc w:val="left"/>
      </w:pPr>
      <w:r>
        <w:rPr/>
        <w:t>无。</w:t>
      </w:r>
    </w:p>
    <w:p>
      <w:pPr>
        <w:spacing w:line="240" w:lineRule="auto" w:before="11"/>
        <w:rPr>
          <w:rFonts w:ascii="宋体" w:hAnsi="宋体" w:cs="宋体" w:eastAsia="宋体" w:hint="default"/>
          <w:sz w:val="29"/>
          <w:szCs w:val="29"/>
        </w:rPr>
      </w:pPr>
    </w:p>
    <w:p>
      <w:pPr>
        <w:pStyle w:val="Heading2"/>
        <w:spacing w:line="240" w:lineRule="auto"/>
        <w:ind w:right="99"/>
        <w:jc w:val="left"/>
        <w:rPr>
          <w:b w:val="0"/>
          <w:bCs w:val="0"/>
        </w:rPr>
      </w:pPr>
      <w:r>
        <w:rPr/>
        <w:t>五、公司股权激励的实施情况及其影响</w:t>
      </w:r>
      <w:r>
        <w:rPr>
          <w:b w:val="0"/>
          <w:bCs w:val="0"/>
        </w:rPr>
      </w:r>
    </w:p>
    <w:p>
      <w:pPr>
        <w:spacing w:line="240" w:lineRule="auto" w:before="10"/>
        <w:rPr>
          <w:rFonts w:ascii="宋体" w:hAnsi="宋体" w:cs="宋体" w:eastAsia="宋体" w:hint="default"/>
          <w:b/>
          <w:bCs/>
          <w:sz w:val="30"/>
          <w:szCs w:val="30"/>
        </w:rPr>
      </w:pPr>
    </w:p>
    <w:p>
      <w:pPr>
        <w:pStyle w:val="BodyText"/>
        <w:spacing w:line="398" w:lineRule="auto"/>
        <w:ind w:left="152" w:right="99" w:firstLine="420"/>
        <w:jc w:val="left"/>
      </w:pPr>
      <w:r>
        <w:rPr>
          <w:spacing w:val="-2"/>
        </w:rPr>
        <w:t>为进一步完善公司治理结构，建立、健全激励约束机制，将股东利益、公司利益和员工个人利益有效</w:t>
      </w:r>
      <w:r>
        <w:rPr>
          <w:w w:val="100"/>
        </w:rPr>
        <w:t> </w:t>
      </w:r>
      <w:r>
        <w:rPr/>
        <w:t>结合起来，充分调动公司员工的积极性和创造性，公司于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月份启动了限制性股票激励计划。本次</w:t>
      </w:r>
      <w:r>
        <w:rPr>
          <w:w w:val="100"/>
        </w:rPr>
        <w:t> </w:t>
      </w:r>
      <w:r>
        <w:rPr/>
        <w:t>限制性股票激励计划的主要实施过程如下：</w:t>
      </w:r>
    </w:p>
    <w:p>
      <w:pPr>
        <w:pStyle w:val="BodyText"/>
        <w:spacing w:line="386" w:lineRule="auto" w:before="55"/>
        <w:ind w:left="152" w:right="99" w:firstLine="42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日公司第一届董事会第十六次会议审议通过了《厦门市美亚柏科信息股份有限公司</w:t>
      </w:r>
      <w:r>
        <w:rPr>
          <w:w w:val="100"/>
        </w:rPr>
        <w:t> </w:t>
      </w:r>
      <w:r>
        <w:rPr>
          <w:spacing w:val="-2"/>
        </w:rPr>
        <w:t>限制性股票激励计划（草案）及摘要》；</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月，公司限制性股票激励计划经中国证监会无异议备案。</w:t>
      </w:r>
    </w:p>
    <w:p>
      <w:pPr>
        <w:pStyle w:val="BodyText"/>
        <w:spacing w:line="393" w:lineRule="auto" w:before="35"/>
        <w:ind w:left="152" w:right="99" w:firstLine="420"/>
        <w:jc w:val="left"/>
      </w:pPr>
      <w:r>
        <w:rPr/>
        <w:t>（</w:t>
      </w:r>
      <w:r>
        <w:rPr>
          <w:rFonts w:ascii="Times New Roman" w:hAnsi="Times New Roman" w:cs="Times New Roman" w:eastAsia="Times New Roman" w:hint="default"/>
        </w:rPr>
        <w:t>2</w:t>
      </w:r>
      <w:r>
        <w:rPr/>
        <w:t>）因原激励对象名单中叶向荣因个人原因已离职，其已不具备激励对象资格；卢珍因个人原因自</w:t>
      </w:r>
      <w:r>
        <w:rPr>
          <w:w w:val="100"/>
        </w:rPr>
        <w:t> </w:t>
      </w:r>
      <w:r>
        <w:rPr/>
        <w:t>愿放弃拟授予的全部限制性股票。</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日，公司召开第一届董事会第二十次会议审议通过了《厦</w:t>
      </w:r>
      <w:r>
        <w:rPr>
          <w:w w:val="100"/>
        </w:rPr>
        <w:t> </w:t>
      </w:r>
      <w:r>
        <w:rPr>
          <w:spacing w:val="-2"/>
        </w:rPr>
        <w:t>门市美亚柏科信息股份有限公司限制性股票激励计划（草案修订稿）及其摘要》和《关于调整限制性股票</w:t>
      </w:r>
      <w:r>
        <w:rPr>
          <w:spacing w:val="-44"/>
        </w:rPr>
        <w:t> </w:t>
      </w:r>
      <w:r>
        <w:rPr>
          <w:spacing w:val="-44"/>
        </w:rPr>
      </w:r>
      <w:r>
        <w:rPr/>
        <w:t>激励计划激励对象名单的议案》。</w:t>
      </w:r>
    </w:p>
    <w:p>
      <w:pPr>
        <w:pStyle w:val="BodyText"/>
        <w:spacing w:line="386" w:lineRule="auto" w:before="58"/>
        <w:ind w:left="152" w:right="99" w:firstLine="420"/>
        <w:jc w:val="left"/>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15</w:t>
      </w:r>
      <w:r>
        <w:rPr>
          <w:spacing w:val="-2"/>
        </w:rPr>
        <w:t>日，公司</w:t>
      </w:r>
      <w:r>
        <w:rPr>
          <w:rFonts w:ascii="Times New Roman" w:hAnsi="Times New Roman" w:cs="Times New Roman" w:eastAsia="Times New Roman" w:hint="default"/>
          <w:spacing w:val="-2"/>
        </w:rPr>
        <w:t>2012</w:t>
      </w:r>
      <w:r>
        <w:rPr>
          <w:spacing w:val="-2"/>
        </w:rPr>
        <w:t>年第一次临时股东大会审议通过了《厦门市美亚柏科信息股份有限公</w:t>
      </w:r>
      <w:r>
        <w:rPr>
          <w:w w:val="100"/>
        </w:rPr>
        <w:t> </w:t>
      </w:r>
      <w:r>
        <w:rPr/>
        <w:t>司限制性股票激励计划（草案修订稿）</w:t>
      </w:r>
      <w:r>
        <w:rPr>
          <w:rFonts w:ascii="Times New Roman" w:hAnsi="Times New Roman" w:cs="Times New Roman" w:eastAsia="Times New Roman" w:hint="default"/>
        </w:rPr>
        <w:t>&gt;</w:t>
      </w:r>
      <w:r>
        <w:rPr/>
        <w:t>及其摘要》。</w:t>
      </w:r>
    </w:p>
    <w:p>
      <w:pPr>
        <w:pStyle w:val="BodyText"/>
        <w:spacing w:line="391" w:lineRule="auto" w:before="36"/>
        <w:ind w:left="152" w:right="99" w:firstLine="420"/>
        <w:jc w:val="left"/>
      </w:pPr>
      <w:r>
        <w:rPr/>
        <w:t>（</w:t>
      </w:r>
      <w:r>
        <w:rPr>
          <w:rFonts w:ascii="Times New Roman" w:hAnsi="Times New Roman" w:cs="Times New Roman" w:eastAsia="Times New Roman" w:hint="default"/>
        </w:rPr>
        <w:t>4</w:t>
      </w:r>
      <w:r>
        <w:rPr/>
        <w:t>）因原激励对象名单中李青离职，王炜自愿放弃拟授予的全部限制性股票，以及公司</w:t>
      </w:r>
      <w:r>
        <w:rPr>
          <w:rFonts w:ascii="Times New Roman" w:hAnsi="Times New Roman" w:cs="Times New Roman" w:eastAsia="Times New Roman" w:hint="default"/>
        </w:rPr>
        <w:t>2011</w:t>
      </w:r>
      <w:r>
        <w:rPr/>
        <w:t>年度权</w:t>
      </w:r>
      <w:r>
        <w:rPr>
          <w:w w:val="100"/>
        </w:rPr>
        <w:t> </w:t>
      </w:r>
      <w:r>
        <w:rPr>
          <w:spacing w:val="-2"/>
        </w:rPr>
        <w:t>益分派实施完成，</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6</w:t>
      </w:r>
      <w:r>
        <w:rPr>
          <w:spacing w:val="-2"/>
        </w:rPr>
        <w:t>日公司第一届董事会第二十一次会议审议通过了《关于第二次调整限制性股</w:t>
      </w:r>
      <w:r>
        <w:rPr>
          <w:spacing w:val="-40"/>
        </w:rPr>
        <w:t> </w:t>
      </w:r>
      <w:r>
        <w:rPr>
          <w:spacing w:val="-40"/>
        </w:rPr>
      </w:r>
      <w:r>
        <w:rPr>
          <w:spacing w:val="-2"/>
        </w:rPr>
        <w:t>票激励计划激励对象名单的议案》、《关于调整限制性股票激励计划授予价格和授予数量的议案》和《关</w:t>
      </w:r>
      <w:r>
        <w:rPr>
          <w:spacing w:val="-43"/>
        </w:rPr>
        <w:t> </w:t>
      </w:r>
      <w:r>
        <w:rPr>
          <w:spacing w:val="-43"/>
        </w:rPr>
      </w:r>
      <w:r>
        <w:rPr>
          <w:spacing w:val="-2"/>
        </w:rPr>
        <w:t>于向激励对象授予限制性股票的议案》，确定</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6</w:t>
      </w:r>
      <w:r>
        <w:rPr>
          <w:spacing w:val="-2"/>
        </w:rPr>
        <w:t>日为股份授予日，对激励对象授予相应额度的限</w:t>
      </w:r>
      <w:r>
        <w:rPr>
          <w:spacing w:val="-36"/>
        </w:rPr>
        <w:t> </w:t>
      </w:r>
      <w:r>
        <w:rPr>
          <w:spacing w:val="-36"/>
        </w:rPr>
      </w:r>
      <w:r>
        <w:rPr/>
        <w:t>制性股票。</w:t>
      </w:r>
    </w:p>
    <w:p>
      <w:pPr>
        <w:pStyle w:val="BodyText"/>
        <w:spacing w:line="240" w:lineRule="auto" w:before="61"/>
        <w:ind w:left="573" w:right="99"/>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日，公司第二届董事会第三次（临时）会议审议通过了《关于回购注销已不符合</w:t>
      </w:r>
    </w:p>
    <w:p>
      <w:pPr>
        <w:spacing w:after="0" w:line="240" w:lineRule="auto"/>
        <w:jc w:val="left"/>
        <w:sectPr>
          <w:footerReference w:type="default" r:id="rId23"/>
          <w:pgSz w:w="11910" w:h="16840"/>
          <w:pgMar w:footer="1227" w:header="877" w:top="1100" w:bottom="1420" w:left="980" w:right="920"/>
          <w:pgNumType w:start="39"/>
        </w:sectPr>
      </w:pPr>
    </w:p>
    <w:p>
      <w:pPr>
        <w:spacing w:line="240" w:lineRule="auto" w:before="9"/>
        <w:rPr>
          <w:rFonts w:ascii="宋体" w:hAnsi="宋体" w:cs="宋体" w:eastAsia="宋体" w:hint="default"/>
          <w:sz w:val="26"/>
          <w:szCs w:val="26"/>
        </w:rPr>
      </w:pPr>
    </w:p>
    <w:p>
      <w:pPr>
        <w:pStyle w:val="BodyText"/>
        <w:spacing w:line="393" w:lineRule="auto" w:before="36"/>
        <w:ind w:left="152" w:right="99"/>
        <w:jc w:val="left"/>
      </w:pPr>
      <w:r>
        <w:rPr>
          <w:spacing w:val="-2"/>
        </w:rPr>
        <w:t>激励条件的原激励对象已获授的限制性股票的议案》。因公司原激励对象胡荣因离职已不符合激励条件，</w:t>
      </w:r>
      <w:r>
        <w:rPr>
          <w:spacing w:val="-21"/>
        </w:rPr>
        <w:t> </w:t>
      </w:r>
      <w:r>
        <w:rPr>
          <w:spacing w:val="-21"/>
        </w:rPr>
      </w:r>
      <w:r>
        <w:rPr/>
        <w:t>公司董事会同意将其已获授但未解锁的全部限制性股票</w:t>
      </w:r>
      <w:r>
        <w:rPr>
          <w:rFonts w:ascii="Times New Roman" w:hAnsi="Times New Roman" w:cs="Times New Roman" w:eastAsia="Times New Roman" w:hint="default"/>
        </w:rPr>
        <w:t>14,000</w:t>
      </w:r>
      <w:r>
        <w:rPr/>
        <w:t>股进行回购注销，回购价格为授予价格</w:t>
      </w:r>
      <w:r>
        <w:rPr>
          <w:rFonts w:ascii="Times New Roman" w:hAnsi="Times New Roman" w:cs="Times New Roman" w:eastAsia="Times New Roman" w:hint="default"/>
        </w:rPr>
        <w:t>8.58</w:t>
      </w:r>
      <w:r>
        <w:rPr>
          <w:rFonts w:ascii="Times New Roman" w:hAnsi="Times New Roman" w:cs="Times New Roman" w:eastAsia="Times New Roman" w:hint="default"/>
          <w:w w:val="100"/>
        </w:rPr>
        <w:t> </w:t>
      </w:r>
      <w:r>
        <w:rPr>
          <w:spacing w:val="-3"/>
        </w:rPr>
        <w:t>元</w:t>
      </w:r>
      <w:r>
        <w:rPr>
          <w:rFonts w:ascii="Times New Roman" w:hAnsi="Times New Roman" w:cs="Times New Roman" w:eastAsia="Times New Roman" w:hint="default"/>
          <w:spacing w:val="-3"/>
        </w:rPr>
        <w:t>/</w:t>
      </w:r>
      <w:r>
        <w:rPr>
          <w:spacing w:val="-3"/>
        </w:rPr>
        <w:t>股。本次回购注销完成后，公司总股本将从</w:t>
      </w:r>
      <w:r>
        <w:rPr>
          <w:rFonts w:ascii="Times New Roman" w:hAnsi="Times New Roman" w:cs="Times New Roman" w:eastAsia="Times New Roman" w:hint="default"/>
          <w:spacing w:val="-3"/>
        </w:rPr>
        <w:t>110,906,600</w:t>
      </w:r>
      <w:r>
        <w:rPr>
          <w:spacing w:val="-3"/>
        </w:rPr>
        <w:t>股变更为</w:t>
      </w:r>
      <w:r>
        <w:rPr>
          <w:rFonts w:ascii="Times New Roman" w:hAnsi="Times New Roman" w:cs="Times New Roman" w:eastAsia="Times New Roman" w:hint="default"/>
          <w:spacing w:val="-3"/>
        </w:rPr>
        <w:t>110,892,600</w:t>
      </w:r>
      <w:r>
        <w:rPr>
          <w:spacing w:val="-3"/>
        </w:rPr>
        <w:t>股。截至本报告期末，上述</w:t>
      </w:r>
      <w:r>
        <w:rPr>
          <w:spacing w:val="-23"/>
        </w:rPr>
        <w:t> </w:t>
      </w:r>
      <w:r>
        <w:rPr>
          <w:spacing w:val="-23"/>
        </w:rPr>
      </w:r>
      <w:r>
        <w:rPr/>
        <w:t>回购注销手续尚未完成。本次回购注销不影响公司限制性股票激励计划的实施。</w:t>
      </w:r>
    </w:p>
    <w:p>
      <w:pPr>
        <w:pStyle w:val="BodyText"/>
        <w:spacing w:line="240" w:lineRule="auto" w:before="58"/>
        <w:ind w:left="573" w:right="99"/>
        <w:jc w:val="left"/>
      </w:pPr>
      <w:r>
        <w:rPr/>
        <w:t>本次限制性股票激励计划的具体情况如下：</w:t>
      </w:r>
    </w:p>
    <w:p>
      <w:pPr>
        <w:spacing w:line="240" w:lineRule="auto" w:before="10"/>
        <w:rPr>
          <w:rFonts w:ascii="宋体" w:hAnsi="宋体" w:cs="宋体" w:eastAsia="宋体" w:hint="default"/>
          <w:sz w:val="14"/>
          <w:szCs w:val="14"/>
        </w:rPr>
      </w:pPr>
    </w:p>
    <w:p>
      <w:pPr>
        <w:pStyle w:val="BodyText"/>
        <w:spacing w:line="386" w:lineRule="auto"/>
        <w:ind w:left="152" w:right="99" w:firstLine="420"/>
        <w:jc w:val="left"/>
      </w:pPr>
      <w:r>
        <w:rPr>
          <w:rFonts w:ascii="Times New Roman" w:hAnsi="Times New Roman" w:cs="Times New Roman" w:eastAsia="Times New Roman" w:hint="default"/>
          <w:spacing w:val="-2"/>
        </w:rPr>
        <w:t>1</w:t>
      </w:r>
      <w:r>
        <w:rPr>
          <w:spacing w:val="-2"/>
        </w:rPr>
        <w:t>、本次激励计划的首次授予日期为</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6</w:t>
      </w:r>
      <w:r>
        <w:rPr>
          <w:spacing w:val="-2"/>
        </w:rPr>
        <w:t>日，登记完成日期为</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20</w:t>
      </w:r>
      <w:r>
        <w:rPr>
          <w:spacing w:val="-2"/>
        </w:rPr>
        <w:t>日，授予股份的上市</w:t>
      </w:r>
      <w:r>
        <w:rPr>
          <w:w w:val="100"/>
        </w:rPr>
        <w:t> </w:t>
      </w:r>
      <w:r>
        <w:rPr/>
        <w:t>日期为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w:t>
      </w:r>
    </w:p>
    <w:p>
      <w:pPr>
        <w:pStyle w:val="BodyText"/>
        <w:spacing w:line="386" w:lineRule="auto" w:before="35"/>
        <w:ind w:left="152" w:right="99" w:firstLine="420"/>
        <w:jc w:val="left"/>
      </w:pPr>
      <w:r>
        <w:rPr>
          <w:rFonts w:ascii="Times New Roman" w:hAnsi="Times New Roman" w:cs="Times New Roman" w:eastAsia="Times New Roman" w:hint="default"/>
          <w:spacing w:val="-2"/>
        </w:rPr>
        <w:t>2</w:t>
      </w:r>
      <w:r>
        <w:rPr>
          <w:spacing w:val="-2"/>
        </w:rPr>
        <w:t>、激励对象及授予数量：首次限制性股票授予对象为公司高管及核心技术（业务）人员共计</w:t>
      </w:r>
      <w:r>
        <w:rPr>
          <w:rFonts w:ascii="Times New Roman" w:hAnsi="Times New Roman" w:cs="Times New Roman" w:eastAsia="Times New Roman" w:hint="default"/>
          <w:spacing w:val="-2"/>
        </w:rPr>
        <w:t>201</w:t>
      </w:r>
      <w:r>
        <w:rPr>
          <w:spacing w:val="-2"/>
        </w:rPr>
        <w:t>人；</w:t>
      </w:r>
      <w:r>
        <w:rPr>
          <w:w w:val="100"/>
        </w:rPr>
        <w:t> </w:t>
      </w:r>
      <w:r>
        <w:rPr/>
        <w:t>授予的限制性股票数量为</w:t>
      </w:r>
      <w:r>
        <w:rPr>
          <w:rFonts w:ascii="Times New Roman" w:hAnsi="Times New Roman" w:cs="Times New Roman" w:eastAsia="Times New Roman" w:hint="default"/>
        </w:rPr>
        <w:t>390.66</w:t>
      </w:r>
      <w:r>
        <w:rPr/>
        <w:t>万股，占当前股本总额的</w:t>
      </w:r>
      <w:r>
        <w:rPr>
          <w:rFonts w:ascii="Times New Roman" w:hAnsi="Times New Roman" w:cs="Times New Roman" w:eastAsia="Times New Roman" w:hint="default"/>
        </w:rPr>
        <w:t>3.65%</w:t>
      </w:r>
      <w:r>
        <w:rPr/>
        <w:t>；预留限制性股票数量为</w:t>
      </w:r>
      <w:r>
        <w:rPr>
          <w:rFonts w:ascii="Times New Roman" w:hAnsi="Times New Roman" w:cs="Times New Roman" w:eastAsia="Times New Roman" w:hint="default"/>
        </w:rPr>
        <w:t>42.94</w:t>
      </w:r>
      <w:r>
        <w:rPr/>
        <w:t>万股，占当</w:t>
      </w:r>
      <w:r>
        <w:rPr>
          <w:w w:val="100"/>
        </w:rPr>
        <w:t> </w:t>
      </w:r>
      <w:r>
        <w:rPr/>
        <w:t>前股本总额的</w:t>
      </w:r>
      <w:r>
        <w:rPr>
          <w:rFonts w:ascii="Times New Roman" w:hAnsi="Times New Roman" w:cs="Times New Roman" w:eastAsia="Times New Roman" w:hint="default"/>
        </w:rPr>
        <w:t>0.40%</w:t>
      </w:r>
      <w:r>
        <w:rPr/>
        <w:t>。</w:t>
      </w:r>
    </w:p>
    <w:p>
      <w:pPr>
        <w:pStyle w:val="BodyText"/>
        <w:spacing w:line="240" w:lineRule="auto" w:before="35"/>
        <w:ind w:left="573" w:right="99"/>
        <w:jc w:val="left"/>
      </w:pPr>
      <w:r>
        <w:rPr>
          <w:rFonts w:ascii="Times New Roman" w:hAnsi="Times New Roman" w:cs="Times New Roman" w:eastAsia="Times New Roman" w:hint="default"/>
        </w:rPr>
        <w:t>3</w:t>
      </w:r>
      <w:r>
        <w:rPr/>
        <w:t>、授予价格：每股</w:t>
      </w:r>
      <w:r>
        <w:rPr>
          <w:rFonts w:ascii="Times New Roman" w:hAnsi="Times New Roman" w:cs="Times New Roman" w:eastAsia="Times New Roman" w:hint="default"/>
        </w:rPr>
        <w:t>8.58</w:t>
      </w:r>
      <w:r>
        <w:rPr/>
        <w:t>元。</w:t>
      </w:r>
    </w:p>
    <w:p>
      <w:pPr>
        <w:pStyle w:val="BodyText"/>
        <w:spacing w:line="240" w:lineRule="auto" w:before="177"/>
        <w:ind w:left="573" w:right="99"/>
        <w:jc w:val="left"/>
      </w:pPr>
      <w:r>
        <w:rPr>
          <w:rFonts w:ascii="Times New Roman" w:hAnsi="Times New Roman" w:cs="Times New Roman" w:eastAsia="Times New Roman" w:hint="default"/>
          <w:spacing w:val="-2"/>
        </w:rPr>
        <w:t>4</w:t>
      </w:r>
      <w:r>
        <w:rPr>
          <w:spacing w:val="-2"/>
        </w:rPr>
        <w:t>、股票来源：本次授予激励对象的标的股票来源为美亚柏科向激励对象定向发行人民币普通股股票。</w:t>
      </w:r>
    </w:p>
    <w:p>
      <w:pPr>
        <w:pStyle w:val="BodyText"/>
        <w:spacing w:line="240" w:lineRule="auto" w:before="177"/>
        <w:ind w:left="573" w:right="99"/>
        <w:jc w:val="left"/>
      </w:pPr>
      <w:r>
        <w:rPr>
          <w:rFonts w:ascii="Times New Roman" w:hAnsi="Times New Roman" w:cs="Times New Roman" w:eastAsia="Times New Roman" w:hint="default"/>
        </w:rPr>
        <w:t>5</w:t>
      </w:r>
      <w:r>
        <w:rPr/>
        <w:t>、激励计划的有效期、锁定期和解锁期：本计划有效期</w:t>
      </w:r>
      <w:r>
        <w:rPr>
          <w:rFonts w:ascii="Times New Roman" w:hAnsi="Times New Roman" w:cs="Times New Roman" w:eastAsia="Times New Roman" w:hint="default"/>
        </w:rPr>
        <w:t>4</w:t>
      </w:r>
      <w:r>
        <w:rPr/>
        <w:t>年，自限制性股票授予日起计，其中锁定期</w:t>
      </w:r>
    </w:p>
    <w:p>
      <w:pPr>
        <w:pStyle w:val="BodyText"/>
        <w:spacing w:line="386" w:lineRule="auto" w:before="177"/>
        <w:ind w:left="152" w:right="99"/>
        <w:jc w:val="left"/>
      </w:pPr>
      <w:r>
        <w:rPr>
          <w:rFonts w:ascii="Times New Roman" w:hAnsi="Times New Roman" w:cs="Times New Roman" w:eastAsia="Times New Roman" w:hint="default"/>
        </w:rPr>
        <w:t>1</w:t>
      </w:r>
      <w:r>
        <w:rPr/>
        <w:t>年，解锁期</w:t>
      </w:r>
      <w:r>
        <w:rPr>
          <w:rFonts w:ascii="Times New Roman" w:hAnsi="Times New Roman" w:cs="Times New Roman" w:eastAsia="Times New Roman" w:hint="default"/>
        </w:rPr>
        <w:t>3</w:t>
      </w:r>
      <w:r>
        <w:rPr/>
        <w:t>年。（</w:t>
      </w:r>
      <w:r>
        <w:rPr>
          <w:rFonts w:ascii="Times New Roman" w:hAnsi="Times New Roman" w:cs="Times New Roman" w:eastAsia="Times New Roman" w:hint="default"/>
        </w:rPr>
        <w:t>1</w:t>
      </w:r>
      <w:r>
        <w:rPr/>
        <w:t>）自董事会确定的限制性股票授予日起</w:t>
      </w:r>
      <w:r>
        <w:rPr>
          <w:rFonts w:ascii="Times New Roman" w:hAnsi="Times New Roman" w:cs="Times New Roman" w:eastAsia="Times New Roman" w:hint="default"/>
        </w:rPr>
        <w:t>12</w:t>
      </w:r>
      <w:r>
        <w:rPr/>
        <w:t>个月内为锁定期。在锁定期内，激励对象</w:t>
      </w:r>
      <w:r>
        <w:rPr>
          <w:w w:val="100"/>
        </w:rPr>
        <w:t> </w:t>
      </w:r>
      <w:r>
        <w:rPr/>
        <w:t>根据本计划获授的限制性股票予以锁定，不得转让；（</w:t>
      </w:r>
      <w:r>
        <w:rPr>
          <w:rFonts w:ascii="Times New Roman" w:hAnsi="Times New Roman" w:cs="Times New Roman" w:eastAsia="Times New Roman" w:hint="default"/>
        </w:rPr>
        <w:t>2</w:t>
      </w:r>
      <w:r>
        <w:rPr/>
        <w:t>）自限制性股票激励计划授予日起</w:t>
      </w:r>
      <w:r>
        <w:rPr>
          <w:rFonts w:ascii="Times New Roman" w:hAnsi="Times New Roman" w:cs="Times New Roman" w:eastAsia="Times New Roman" w:hint="default"/>
        </w:rPr>
        <w:t>12</w:t>
      </w:r>
      <w:r>
        <w:rPr/>
        <w:t>个月后，满</w:t>
      </w:r>
      <w:r>
        <w:rPr>
          <w:w w:val="100"/>
        </w:rPr>
        <w:t> </w:t>
      </w:r>
      <w:r>
        <w:rPr>
          <w:spacing w:val="-2"/>
        </w:rPr>
        <w:t>足解锁条件的，激励对象可以分三期申请解锁，分别自授予日起</w:t>
      </w:r>
      <w:r>
        <w:rPr>
          <w:rFonts w:ascii="Times New Roman" w:hAnsi="Times New Roman" w:cs="Times New Roman" w:eastAsia="Times New Roman" w:hint="default"/>
          <w:spacing w:val="-2"/>
        </w:rPr>
        <w:t>12</w:t>
      </w:r>
      <w:r>
        <w:rPr>
          <w:spacing w:val="-2"/>
        </w:rPr>
        <w:t>个月后、</w:t>
      </w:r>
      <w:r>
        <w:rPr>
          <w:rFonts w:ascii="Times New Roman" w:hAnsi="Times New Roman" w:cs="Times New Roman" w:eastAsia="Times New Roman" w:hint="default"/>
          <w:spacing w:val="-2"/>
        </w:rPr>
        <w:t>24</w:t>
      </w:r>
      <w:r>
        <w:rPr>
          <w:spacing w:val="-2"/>
        </w:rPr>
        <w:t>个月后及</w:t>
      </w:r>
      <w:r>
        <w:rPr>
          <w:rFonts w:ascii="Times New Roman" w:hAnsi="Times New Roman" w:cs="Times New Roman" w:eastAsia="Times New Roman" w:hint="default"/>
          <w:spacing w:val="-2"/>
        </w:rPr>
        <w:t>36</w:t>
      </w:r>
      <w:r>
        <w:rPr>
          <w:spacing w:val="-2"/>
        </w:rPr>
        <w:t>个月后分别申请</w:t>
      </w:r>
      <w:r>
        <w:rPr>
          <w:spacing w:val="-41"/>
        </w:rPr>
        <w:t> </w:t>
      </w:r>
      <w:r>
        <w:rPr>
          <w:spacing w:val="-41"/>
        </w:rPr>
      </w:r>
      <w:r>
        <w:rPr>
          <w:spacing w:val="-2"/>
        </w:rPr>
        <w:t>解锁所获授限制性股票总量的</w:t>
      </w:r>
      <w:r>
        <w:rPr>
          <w:rFonts w:ascii="Times New Roman" w:hAnsi="Times New Roman" w:cs="Times New Roman" w:eastAsia="Times New Roman" w:hint="default"/>
          <w:spacing w:val="-2"/>
        </w:rPr>
        <w:t>40%</w:t>
      </w:r>
      <w:r>
        <w:rPr>
          <w:spacing w:val="-2"/>
        </w:rPr>
        <w:t>、</w:t>
      </w:r>
      <w:r>
        <w:rPr>
          <w:rFonts w:ascii="Times New Roman" w:hAnsi="Times New Roman" w:cs="Times New Roman" w:eastAsia="Times New Roman" w:hint="default"/>
          <w:spacing w:val="-2"/>
        </w:rPr>
        <w:t>30%</w:t>
      </w:r>
      <w:r>
        <w:rPr>
          <w:spacing w:val="-2"/>
        </w:rPr>
        <w:t>、</w:t>
      </w:r>
      <w:r>
        <w:rPr>
          <w:rFonts w:ascii="Times New Roman" w:hAnsi="Times New Roman" w:cs="Times New Roman" w:eastAsia="Times New Roman" w:hint="default"/>
          <w:spacing w:val="-2"/>
        </w:rPr>
        <w:t>30%</w:t>
      </w:r>
      <w:r>
        <w:rPr>
          <w:spacing w:val="-2"/>
        </w:rPr>
        <w:t>。（</w:t>
      </w:r>
      <w:r>
        <w:rPr>
          <w:rFonts w:ascii="Times New Roman" w:hAnsi="Times New Roman" w:cs="Times New Roman" w:eastAsia="Times New Roman" w:hint="default"/>
          <w:spacing w:val="-2"/>
        </w:rPr>
        <w:t>3</w:t>
      </w:r>
      <w:r>
        <w:rPr>
          <w:spacing w:val="-2"/>
        </w:rPr>
        <w:t>）解锁条件对于按照本股权激励计划授予的限制性股</w:t>
      </w:r>
      <w:r>
        <w:rPr>
          <w:spacing w:val="-38"/>
        </w:rPr>
        <w:t> </w:t>
      </w:r>
      <w:r>
        <w:rPr>
          <w:spacing w:val="-38"/>
        </w:rPr>
      </w:r>
      <w:r>
        <w:rPr/>
        <w:t>票，激励对象每一次申请标的股票解锁的公司业绩条件为：（</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2013 </w:t>
      </w:r>
      <w:r>
        <w:rPr/>
        <w:t>年、</w:t>
      </w:r>
      <w:r>
        <w:rPr>
          <w:rFonts w:ascii="Times New Roman" w:hAnsi="Times New Roman" w:cs="Times New Roman" w:eastAsia="Times New Roman" w:hint="default"/>
        </w:rPr>
        <w:t>2014</w:t>
      </w:r>
      <w:r>
        <w:rPr>
          <w:rFonts w:ascii="Times New Roman" w:hAnsi="Times New Roman" w:cs="Times New Roman" w:eastAsia="Times New Roman" w:hint="default"/>
          <w:spacing w:val="22"/>
        </w:rPr>
        <w:t> </w:t>
      </w:r>
      <w:r>
        <w:rPr/>
        <w:t>年公司加权平</w:t>
      </w:r>
      <w:r>
        <w:rPr>
          <w:w w:val="100"/>
        </w:rPr>
        <w:t> </w:t>
      </w:r>
      <w:r>
        <w:rPr/>
        <w:t>均净资产收益率分别不低于 </w:t>
      </w:r>
      <w:r>
        <w:rPr>
          <w:rFonts w:ascii="Times New Roman" w:hAnsi="Times New Roman" w:cs="Times New Roman" w:eastAsia="Times New Roman" w:hint="default"/>
          <w:spacing w:val="-3"/>
        </w:rPr>
        <w:t>8%</w:t>
      </w:r>
      <w:r>
        <w:rPr>
          <w:spacing w:val="-3"/>
        </w:rPr>
        <w:t>、</w:t>
      </w:r>
      <w:r>
        <w:rPr>
          <w:rFonts w:ascii="Times New Roman" w:hAnsi="Times New Roman" w:cs="Times New Roman" w:eastAsia="Times New Roman" w:hint="default"/>
          <w:spacing w:val="-3"/>
        </w:rPr>
        <w:t>8.5%</w:t>
      </w:r>
      <w:r>
        <w:rPr>
          <w:spacing w:val="-3"/>
        </w:rPr>
        <w:t>、</w:t>
      </w:r>
      <w:r>
        <w:rPr>
          <w:rFonts w:ascii="Times New Roman" w:hAnsi="Times New Roman" w:cs="Times New Roman" w:eastAsia="Times New Roman" w:hint="default"/>
          <w:spacing w:val="-3"/>
        </w:rPr>
        <w:t>9%</w:t>
      </w:r>
      <w:r>
        <w:rPr>
          <w:spacing w:val="-3"/>
        </w:rPr>
        <w:t>；（</w:t>
      </w:r>
      <w:r>
        <w:rPr>
          <w:rFonts w:ascii="Times New Roman" w:hAnsi="Times New Roman" w:cs="Times New Roman" w:eastAsia="Times New Roman" w:hint="default"/>
          <w:spacing w:val="-3"/>
        </w:rPr>
        <w:t>2</w:t>
      </w:r>
      <w:r>
        <w:rPr>
          <w:spacing w:val="-3"/>
        </w:rPr>
        <w:t>）以 </w:t>
      </w:r>
      <w:r>
        <w:rPr>
          <w:rFonts w:ascii="Times New Roman" w:hAnsi="Times New Roman" w:cs="Times New Roman" w:eastAsia="Times New Roman" w:hint="default"/>
        </w:rPr>
        <w:t>2011 </w:t>
      </w:r>
      <w:r>
        <w:rPr/>
        <w:t>年度净利润为基数</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2013</w:t>
      </w:r>
      <w:r>
        <w:rPr>
          <w:rFonts w:ascii="Times New Roman" w:hAnsi="Times New Roman" w:cs="Times New Roman" w:eastAsia="Times New Roman" w:hint="default"/>
          <w:spacing w:val="11"/>
        </w:rPr>
        <w:t> </w:t>
      </w:r>
      <w:r>
        <w:rPr/>
        <w:t>年、</w:t>
      </w:r>
      <w:r>
        <w:rPr>
          <w:rFonts w:ascii="Times New Roman" w:hAnsi="Times New Roman" w:cs="Times New Roman" w:eastAsia="Times New Roman" w:hint="default"/>
        </w:rPr>
        <w:t>2014</w:t>
      </w:r>
      <w:r>
        <w:rPr>
          <w:rFonts w:ascii="Times New Roman" w:hAnsi="Times New Roman" w:cs="Times New Roman" w:eastAsia="Times New Roman" w:hint="default"/>
          <w:w w:val="100"/>
        </w:rPr>
        <w:t> </w:t>
      </w:r>
      <w:r>
        <w:rPr/>
        <w:t>年公司每年净利润不低于基准年净利润的</w:t>
      </w:r>
      <w:r>
        <w:rPr>
          <w:rFonts w:ascii="Times New Roman" w:hAnsi="Times New Roman" w:cs="Times New Roman" w:eastAsia="Times New Roman" w:hint="default"/>
        </w:rPr>
        <w:t>120%</w:t>
      </w:r>
      <w:r>
        <w:rPr/>
        <w:t>、</w:t>
      </w:r>
      <w:r>
        <w:rPr>
          <w:rFonts w:ascii="Times New Roman" w:hAnsi="Times New Roman" w:cs="Times New Roman" w:eastAsia="Times New Roman" w:hint="default"/>
        </w:rPr>
        <w:t>140%</w:t>
      </w:r>
      <w:r>
        <w:rPr/>
        <w:t>、</w:t>
      </w:r>
      <w:r>
        <w:rPr>
          <w:rFonts w:ascii="Times New Roman" w:hAnsi="Times New Roman" w:cs="Times New Roman" w:eastAsia="Times New Roman" w:hint="default"/>
        </w:rPr>
        <w:t>160%</w:t>
      </w:r>
      <w:r>
        <w:rPr/>
        <w:t>。</w:t>
      </w:r>
    </w:p>
    <w:p>
      <w:pPr>
        <w:pStyle w:val="BodyText"/>
        <w:spacing w:line="400" w:lineRule="auto" w:before="35"/>
        <w:ind w:left="152" w:right="99" w:firstLine="420"/>
        <w:jc w:val="left"/>
      </w:pPr>
      <w:r>
        <w:rPr>
          <w:spacing w:val="-2"/>
        </w:rPr>
        <w:t>在解锁期内，若当期达到解锁条件，激励对象可对相应比例的限制性股票申请解锁。未按期申请解锁</w:t>
      </w:r>
      <w:r>
        <w:rPr>
          <w:w w:val="100"/>
        </w:rPr>
        <w:t> </w:t>
      </w:r>
      <w:r>
        <w:rPr>
          <w:spacing w:val="-2"/>
        </w:rPr>
        <w:t>的部分，公司有权不予解锁并回购注销；若解锁期内任何一期未达到解锁条件，则当期可申请解锁的相应</w:t>
      </w:r>
      <w:r>
        <w:rPr>
          <w:spacing w:val="-43"/>
        </w:rPr>
        <w:t> </w:t>
      </w:r>
      <w:r>
        <w:rPr>
          <w:spacing w:val="-43"/>
        </w:rPr>
      </w:r>
      <w:r>
        <w:rPr/>
        <w:t>比例的限制性股票可以递延到下一年</w:t>
      </w:r>
      <w:r>
        <w:rPr>
          <w:rFonts w:ascii="Times New Roman" w:hAnsi="Times New Roman" w:cs="Times New Roman" w:eastAsia="Times New Roman" w:hint="default"/>
        </w:rPr>
        <w:t>,</w:t>
      </w:r>
      <w:r>
        <w:rPr/>
        <w:t>在下一年达到解锁条件时一并解锁。若下一年仍未达到解锁条件</w:t>
      </w:r>
      <w:r>
        <w:rPr>
          <w:rFonts w:ascii="Times New Roman" w:hAnsi="Times New Roman" w:cs="Times New Roman" w:eastAsia="Times New Roman" w:hint="default"/>
        </w:rPr>
        <w:t>,</w:t>
      </w:r>
      <w:r>
        <w:rPr/>
        <w:t>公</w:t>
      </w:r>
      <w:r>
        <w:rPr>
          <w:w w:val="100"/>
        </w:rPr>
        <w:t> </w:t>
      </w:r>
      <w:r>
        <w:rPr/>
        <w:t>司有权不予解锁并回购注销该部分股票。</w:t>
      </w:r>
    </w:p>
    <w:p>
      <w:pPr>
        <w:pStyle w:val="BodyText"/>
        <w:spacing w:line="240" w:lineRule="auto" w:before="52"/>
        <w:ind w:left="573" w:right="99"/>
        <w:jc w:val="left"/>
      </w:pPr>
      <w:r>
        <w:rPr>
          <w:rFonts w:ascii="Times New Roman" w:hAnsi="Times New Roman" w:cs="Times New Roman" w:eastAsia="Times New Roman" w:hint="default"/>
        </w:rPr>
        <w:t>6</w:t>
      </w:r>
      <w:r>
        <w:rPr/>
        <w:t>、激励对象名单、授予数量情况：</w:t>
      </w:r>
    </w:p>
    <w:p>
      <w:pPr>
        <w:spacing w:line="240" w:lineRule="auto" w:before="8"/>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589"/>
        <w:gridCol w:w="2410"/>
        <w:gridCol w:w="1822"/>
        <w:gridCol w:w="1937"/>
        <w:gridCol w:w="1939"/>
      </w:tblGrid>
      <w:tr>
        <w:trPr>
          <w:trHeight w:val="713" w:hRule="exact"/>
        </w:trPr>
        <w:tc>
          <w:tcPr>
            <w:tcW w:w="15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岗位名称</w:t>
            </w:r>
          </w:p>
        </w:tc>
        <w:tc>
          <w:tcPr>
            <w:tcW w:w="18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获授限制性股票数量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（万股）</w:t>
            </w:r>
          </w:p>
        </w:tc>
        <w:tc>
          <w:tcPr>
            <w:tcW w:w="19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696" w:right="62" w:hanging="632"/>
              <w:jc w:val="left"/>
              <w:rPr>
                <w:rFonts w:ascii="宋体" w:hAnsi="宋体" w:cs="宋体" w:eastAsia="宋体" w:hint="default"/>
                <w:sz w:val="18"/>
                <w:szCs w:val="18"/>
              </w:rPr>
            </w:pPr>
            <w:r>
              <w:rPr>
                <w:rFonts w:ascii="宋体" w:hAnsi="宋体" w:cs="宋体" w:eastAsia="宋体" w:hint="default"/>
                <w:sz w:val="18"/>
                <w:szCs w:val="18"/>
              </w:rPr>
              <w:t>占授予限制性股票总数 的比例</w:t>
            </w:r>
          </w:p>
        </w:tc>
        <w:tc>
          <w:tcPr>
            <w:tcW w:w="19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占目前总股本的比例</w:t>
            </w:r>
          </w:p>
        </w:tc>
      </w:tr>
      <w:tr>
        <w:trPr>
          <w:trHeight w:val="403"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申强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常务副总经理</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8</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2.05%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0.07%</w:t>
            </w:r>
          </w:p>
        </w:tc>
      </w:tr>
      <w:tr>
        <w:trPr>
          <w:trHeight w:val="401"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丛艳芬</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8</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2.05%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0.07%</w:t>
            </w:r>
          </w:p>
        </w:tc>
      </w:tr>
      <w:tr>
        <w:trPr>
          <w:trHeight w:val="403"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张雪峰</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8</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2.05%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0.07%</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227" w:top="1100" w:bottom="1420" w:left="980" w:right="920"/>
        </w:sectPr>
      </w:pPr>
    </w:p>
    <w:p>
      <w:pPr>
        <w:spacing w:line="240" w:lineRule="auto" w:before="8"/>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1589"/>
        <w:gridCol w:w="2410"/>
        <w:gridCol w:w="1822"/>
        <w:gridCol w:w="1937"/>
        <w:gridCol w:w="1939"/>
      </w:tblGrid>
      <w:tr>
        <w:trPr>
          <w:trHeight w:val="401"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吴鸿伟</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8</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2" w:right="0"/>
              <w:jc w:val="left"/>
              <w:rPr>
                <w:rFonts w:ascii="Times New Roman" w:hAnsi="Times New Roman" w:cs="Times New Roman" w:eastAsia="Times New Roman" w:hint="default"/>
                <w:sz w:val="18"/>
                <w:szCs w:val="18"/>
              </w:rPr>
            </w:pPr>
            <w:r>
              <w:rPr>
                <w:rFonts w:ascii="Times New Roman"/>
                <w:sz w:val="18"/>
              </w:rPr>
              <w:t>2.05%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0.07%</w:t>
            </w:r>
          </w:p>
        </w:tc>
      </w:tr>
      <w:tr>
        <w:trPr>
          <w:trHeight w:val="403"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赵庸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8</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2" w:right="0"/>
              <w:jc w:val="left"/>
              <w:rPr>
                <w:rFonts w:ascii="Times New Roman" w:hAnsi="Times New Roman" w:cs="Times New Roman" w:eastAsia="Times New Roman" w:hint="default"/>
                <w:sz w:val="18"/>
                <w:szCs w:val="18"/>
              </w:rPr>
            </w:pPr>
            <w:r>
              <w:rPr>
                <w:rFonts w:ascii="Times New Roman"/>
                <w:sz w:val="18"/>
              </w:rPr>
              <w:t>2.05%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0.07%</w:t>
            </w:r>
          </w:p>
        </w:tc>
      </w:tr>
      <w:tr>
        <w:trPr>
          <w:trHeight w:val="401"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高峰</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8</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2" w:right="0"/>
              <w:jc w:val="left"/>
              <w:rPr>
                <w:rFonts w:ascii="Times New Roman" w:hAnsi="Times New Roman" w:cs="Times New Roman" w:eastAsia="Times New Roman" w:hint="default"/>
                <w:sz w:val="18"/>
                <w:szCs w:val="18"/>
              </w:rPr>
            </w:pPr>
            <w:r>
              <w:rPr>
                <w:rFonts w:ascii="Times New Roman"/>
                <w:sz w:val="18"/>
              </w:rPr>
              <w:t>2.05%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0.07%</w:t>
            </w:r>
          </w:p>
        </w:tc>
      </w:tr>
      <w:tr>
        <w:trPr>
          <w:trHeight w:val="403"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黄基鹏</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8</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2" w:right="0"/>
              <w:jc w:val="left"/>
              <w:rPr>
                <w:rFonts w:ascii="Times New Roman" w:hAnsi="Times New Roman" w:cs="Times New Roman" w:eastAsia="Times New Roman" w:hint="default"/>
                <w:sz w:val="18"/>
                <w:szCs w:val="18"/>
              </w:rPr>
            </w:pPr>
            <w:r>
              <w:rPr>
                <w:rFonts w:ascii="Times New Roman"/>
                <w:sz w:val="18"/>
              </w:rPr>
              <w:t>2.05%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0.07%</w:t>
            </w:r>
          </w:p>
        </w:tc>
      </w:tr>
      <w:tr>
        <w:trPr>
          <w:trHeight w:val="401"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吴世雄</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8</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2" w:right="0"/>
              <w:jc w:val="left"/>
              <w:rPr>
                <w:rFonts w:ascii="Times New Roman" w:hAnsi="Times New Roman" w:cs="Times New Roman" w:eastAsia="Times New Roman" w:hint="default"/>
                <w:sz w:val="18"/>
                <w:szCs w:val="18"/>
              </w:rPr>
            </w:pPr>
            <w:r>
              <w:rPr>
                <w:rFonts w:ascii="Times New Roman"/>
                <w:sz w:val="18"/>
              </w:rPr>
              <w:t>2.05%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0.07%</w:t>
            </w:r>
          </w:p>
        </w:tc>
      </w:tr>
      <w:tr>
        <w:trPr>
          <w:trHeight w:val="403"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栾江霞</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8</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2" w:right="0"/>
              <w:jc w:val="left"/>
              <w:rPr>
                <w:rFonts w:ascii="Times New Roman" w:hAnsi="Times New Roman" w:cs="Times New Roman" w:eastAsia="Times New Roman" w:hint="default"/>
                <w:sz w:val="18"/>
                <w:szCs w:val="18"/>
              </w:rPr>
            </w:pPr>
            <w:r>
              <w:rPr>
                <w:rFonts w:ascii="Times New Roman"/>
                <w:sz w:val="18"/>
              </w:rPr>
              <w:t>2.05%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0.07%</w:t>
            </w:r>
          </w:p>
        </w:tc>
      </w:tr>
      <w:tr>
        <w:trPr>
          <w:trHeight w:val="401"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张乃军</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8</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2" w:right="0"/>
              <w:jc w:val="left"/>
              <w:rPr>
                <w:rFonts w:ascii="Times New Roman" w:hAnsi="Times New Roman" w:cs="Times New Roman" w:eastAsia="Times New Roman" w:hint="default"/>
                <w:sz w:val="18"/>
                <w:szCs w:val="18"/>
              </w:rPr>
            </w:pPr>
            <w:r>
              <w:rPr>
                <w:rFonts w:ascii="Times New Roman"/>
                <w:sz w:val="18"/>
              </w:rPr>
              <w:t>2.05%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0.07%</w:t>
            </w:r>
          </w:p>
        </w:tc>
      </w:tr>
      <w:tr>
        <w:trPr>
          <w:trHeight w:val="403"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王斌</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董秘</w:t>
            </w:r>
            <w:r>
              <w:rPr>
                <w:rFonts w:ascii="Times New Roman" w:hAnsi="Times New Roman" w:cs="Times New Roman" w:eastAsia="Times New Roman" w:hint="default"/>
                <w:sz w:val="18"/>
                <w:szCs w:val="18"/>
              </w:rPr>
              <w:t>,</w:t>
            </w:r>
            <w:r>
              <w:rPr>
                <w:rFonts w:ascii="宋体" w:hAnsi="宋体" w:cs="宋体" w:eastAsia="宋体" w:hint="default"/>
                <w:sz w:val="18"/>
                <w:szCs w:val="18"/>
              </w:rPr>
              <w:t>副总经理</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8</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2" w:right="0"/>
              <w:jc w:val="left"/>
              <w:rPr>
                <w:rFonts w:ascii="Times New Roman" w:hAnsi="Times New Roman" w:cs="Times New Roman" w:eastAsia="Times New Roman" w:hint="default"/>
                <w:sz w:val="18"/>
                <w:szCs w:val="18"/>
              </w:rPr>
            </w:pPr>
            <w:r>
              <w:rPr>
                <w:rFonts w:ascii="Times New Roman"/>
                <w:sz w:val="18"/>
              </w:rPr>
              <w:t>2.05%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0.07%</w:t>
            </w:r>
          </w:p>
        </w:tc>
      </w:tr>
      <w:tr>
        <w:trPr>
          <w:trHeight w:val="401" w:hRule="exact"/>
        </w:trPr>
        <w:tc>
          <w:tcPr>
            <w:tcW w:w="39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88</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8" w:right="0"/>
              <w:jc w:val="left"/>
              <w:rPr>
                <w:rFonts w:ascii="Times New Roman" w:hAnsi="Times New Roman" w:cs="Times New Roman" w:eastAsia="Times New Roman" w:hint="default"/>
                <w:sz w:val="18"/>
                <w:szCs w:val="18"/>
              </w:rPr>
            </w:pPr>
            <w:r>
              <w:rPr>
                <w:rFonts w:ascii="Times New Roman"/>
                <w:sz w:val="18"/>
              </w:rPr>
              <w:t>22.53%</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0.82%</w:t>
            </w:r>
          </w:p>
        </w:tc>
      </w:tr>
      <w:tr>
        <w:trPr>
          <w:trHeight w:val="404" w:hRule="exact"/>
        </w:trPr>
        <w:tc>
          <w:tcPr>
            <w:tcW w:w="39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中层管理人员及核心技术（业务）人员 </w:t>
            </w:r>
            <w:r>
              <w:rPr>
                <w:rFonts w:ascii="Times New Roman" w:hAnsi="Times New Roman" w:cs="Times New Roman" w:eastAsia="Times New Roman" w:hint="default"/>
                <w:sz w:val="18"/>
                <w:szCs w:val="18"/>
              </w:rPr>
              <w:t>(190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人</w:t>
            </w:r>
            <w:r>
              <w:rPr>
                <w:rFonts w:ascii="Times New Roman" w:hAnsi="Times New Roman" w:cs="Times New Roman" w:eastAsia="Times New Roman" w:hint="default"/>
                <w:sz w:val="18"/>
                <w:szCs w:val="18"/>
              </w:rPr>
              <w:t>)</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302.66</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88" w:right="0"/>
              <w:jc w:val="left"/>
              <w:rPr>
                <w:rFonts w:ascii="Times New Roman" w:hAnsi="Times New Roman" w:cs="Times New Roman" w:eastAsia="Times New Roman" w:hint="default"/>
                <w:sz w:val="18"/>
                <w:szCs w:val="18"/>
              </w:rPr>
            </w:pPr>
            <w:r>
              <w:rPr>
                <w:rFonts w:ascii="Times New Roman"/>
                <w:sz w:val="18"/>
              </w:rPr>
              <w:t>77.47%</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2.83%</w:t>
            </w:r>
          </w:p>
        </w:tc>
      </w:tr>
      <w:tr>
        <w:trPr>
          <w:trHeight w:val="403" w:hRule="exact"/>
        </w:trPr>
        <w:tc>
          <w:tcPr>
            <w:tcW w:w="39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(201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r>
              <w:rPr>
                <w:rFonts w:ascii="Times New Roman" w:hAnsi="Times New Roman" w:cs="Times New Roman" w:eastAsia="Times New Roman" w:hint="default"/>
                <w:sz w:val="18"/>
                <w:szCs w:val="18"/>
              </w:rPr>
              <w:t>)</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390.66</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3" w:right="0"/>
              <w:jc w:val="left"/>
              <w:rPr>
                <w:rFonts w:ascii="Times New Roman" w:hAnsi="Times New Roman" w:cs="Times New Roman" w:eastAsia="Times New Roman" w:hint="default"/>
                <w:sz w:val="18"/>
                <w:szCs w:val="18"/>
              </w:rPr>
            </w:pPr>
            <w:r>
              <w:rPr>
                <w:rFonts w:ascii="Times New Roman"/>
                <w:sz w:val="18"/>
              </w:rPr>
              <w:t>100.00%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4.05%</w:t>
            </w:r>
          </w:p>
        </w:tc>
      </w:tr>
    </w:tbl>
    <w:p>
      <w:pPr>
        <w:pStyle w:val="BodyText"/>
        <w:spacing w:line="386" w:lineRule="auto" w:before="64"/>
        <w:ind w:left="573" w:right="99"/>
        <w:jc w:val="left"/>
      </w:pPr>
      <w:r>
        <w:rPr>
          <w:rFonts w:ascii="Times New Roman" w:hAnsi="Times New Roman" w:cs="Times New Roman" w:eastAsia="Times New Roman" w:hint="default"/>
        </w:rPr>
        <w:t>7</w:t>
      </w:r>
      <w:r>
        <w:rPr/>
        <w:t>、实施本次限制性股票激励计划对公司各相关年度财务状况和经营成果的影响：</w:t>
      </w:r>
      <w:r>
        <w:rPr>
          <w:w w:val="100"/>
        </w:rPr>
        <w:t> </w:t>
      </w:r>
      <w:r>
        <w:rPr>
          <w:spacing w:val="-2"/>
        </w:rPr>
        <w:t>根据《企业会计准则第</w:t>
      </w:r>
      <w:r>
        <w:rPr>
          <w:rFonts w:ascii="Times New Roman" w:hAnsi="Times New Roman" w:cs="Times New Roman" w:eastAsia="Times New Roman" w:hint="default"/>
          <w:spacing w:val="-2"/>
        </w:rPr>
        <w:t>11</w:t>
      </w:r>
      <w:r>
        <w:rPr>
          <w:spacing w:val="-2"/>
        </w:rPr>
        <w:t>号股份支付》和《股权激励有关事项备忘录</w:t>
      </w:r>
      <w:r>
        <w:rPr>
          <w:rFonts w:ascii="Times New Roman" w:hAnsi="Times New Roman" w:cs="Times New Roman" w:eastAsia="Times New Roman" w:hint="default"/>
          <w:spacing w:val="-2"/>
        </w:rPr>
        <w:t>3</w:t>
      </w:r>
      <w:r>
        <w:rPr>
          <w:spacing w:val="-2"/>
        </w:rPr>
        <w:t>号》的规定，公司本次限制性</w:t>
      </w:r>
    </w:p>
    <w:p>
      <w:pPr>
        <w:pStyle w:val="BodyText"/>
        <w:spacing w:line="391" w:lineRule="auto" w:before="35"/>
        <w:ind w:left="152" w:right="103"/>
        <w:jc w:val="left"/>
      </w:pPr>
      <w:r>
        <w:rPr>
          <w:spacing w:val="-2"/>
        </w:rPr>
        <w:t>股票激励计划激励股份的授予对公司相关年度的财务状况和经营成果将产生一定的影响。本次限制性股票</w:t>
      </w:r>
      <w:r>
        <w:rPr>
          <w:spacing w:val="-43"/>
        </w:rPr>
        <w:t> </w:t>
      </w:r>
      <w:r>
        <w:rPr>
          <w:spacing w:val="-43"/>
        </w:rPr>
      </w:r>
      <w:r>
        <w:rPr>
          <w:spacing w:val="-7"/>
        </w:rPr>
        <w:t>激励计划的授予日为</w:t>
      </w:r>
      <w:r>
        <w:rPr>
          <w:rFonts w:ascii="Times New Roman" w:hAnsi="Times New Roman" w:cs="Times New Roman" w:eastAsia="Times New Roman" w:hint="default"/>
          <w:spacing w:val="-7"/>
        </w:rPr>
        <w:t>2012</w:t>
      </w:r>
      <w:r>
        <w:rPr>
          <w:spacing w:val="-7"/>
        </w:rPr>
        <w:t>年</w:t>
      </w:r>
      <w:r>
        <w:rPr>
          <w:rFonts w:ascii="Times New Roman" w:hAnsi="Times New Roman" w:cs="Times New Roman" w:eastAsia="Times New Roman" w:hint="default"/>
          <w:spacing w:val="-7"/>
        </w:rPr>
        <w:t>7</w:t>
      </w:r>
      <w:r>
        <w:rPr>
          <w:spacing w:val="-7"/>
        </w:rPr>
        <w:t>月</w:t>
      </w:r>
      <w:r>
        <w:rPr>
          <w:rFonts w:ascii="Times New Roman" w:hAnsi="Times New Roman" w:cs="Times New Roman" w:eastAsia="Times New Roman" w:hint="default"/>
          <w:spacing w:val="-7"/>
        </w:rPr>
        <w:t>6</w:t>
      </w:r>
      <w:r>
        <w:rPr>
          <w:spacing w:val="-7"/>
        </w:rPr>
        <w:t>日，在</w:t>
      </w:r>
      <w:r>
        <w:rPr>
          <w:rFonts w:ascii="Times New Roman" w:hAnsi="Times New Roman" w:cs="Times New Roman" w:eastAsia="Times New Roman" w:hint="default"/>
          <w:spacing w:val="-7"/>
        </w:rPr>
        <w:t>2012</w:t>
      </w:r>
      <w:r>
        <w:rPr>
          <w:spacing w:val="-7"/>
        </w:rPr>
        <w:t>年、</w:t>
      </w:r>
      <w:r>
        <w:rPr>
          <w:rFonts w:ascii="Times New Roman" w:hAnsi="Times New Roman" w:cs="Times New Roman" w:eastAsia="Times New Roman" w:hint="default"/>
          <w:spacing w:val="-7"/>
        </w:rPr>
        <w:t>2013 </w:t>
      </w:r>
      <w:r>
        <w:rPr>
          <w:spacing w:val="-14"/>
        </w:rPr>
        <w:t>年、</w:t>
      </w:r>
      <w:r>
        <w:rPr>
          <w:rFonts w:ascii="Times New Roman" w:hAnsi="Times New Roman" w:cs="Times New Roman" w:eastAsia="Times New Roman" w:hint="default"/>
          <w:spacing w:val="-14"/>
        </w:rPr>
        <w:t>2014 </w:t>
      </w:r>
      <w:r>
        <w:rPr>
          <w:spacing w:val="-5"/>
        </w:rPr>
        <w:t>年将按照各期限制性股票的解锁比例（</w:t>
      </w:r>
      <w:r>
        <w:rPr>
          <w:rFonts w:ascii="Times New Roman" w:hAnsi="Times New Roman" w:cs="Times New Roman" w:eastAsia="Times New Roman" w:hint="default"/>
          <w:spacing w:val="-5"/>
        </w:rPr>
        <w:t>40%</w:t>
      </w:r>
      <w:r>
        <w:rPr>
          <w:spacing w:val="-5"/>
        </w:rPr>
        <w:t>、</w:t>
      </w:r>
      <w:r>
        <w:rPr>
          <w:spacing w:val="-102"/>
        </w:rPr>
        <w:t> </w:t>
      </w:r>
      <w:r>
        <w:rPr>
          <w:rFonts w:ascii="Times New Roman" w:hAnsi="Times New Roman" w:cs="Times New Roman" w:eastAsia="Times New Roman" w:hint="default"/>
          <w:spacing w:val="-3"/>
        </w:rPr>
        <w:t>30%</w:t>
      </w:r>
      <w:r>
        <w:rPr>
          <w:spacing w:val="-3"/>
        </w:rPr>
        <w:t>、</w:t>
      </w:r>
      <w:r>
        <w:rPr>
          <w:rFonts w:ascii="Times New Roman" w:hAnsi="Times New Roman" w:cs="Times New Roman" w:eastAsia="Times New Roman" w:hint="default"/>
          <w:spacing w:val="-3"/>
        </w:rPr>
        <w:t>30%</w:t>
      </w:r>
      <w:r>
        <w:rPr>
          <w:spacing w:val="-3"/>
        </w:rPr>
        <w:t>）和授予日限制性股票的公允价值总额分别确认限制性股票激励成本。经测算，预计</w:t>
      </w:r>
      <w:r>
        <w:rPr>
          <w:rFonts w:ascii="Times New Roman" w:hAnsi="Times New Roman" w:cs="Times New Roman" w:eastAsia="Times New Roman" w:hint="default"/>
          <w:spacing w:val="-3"/>
        </w:rPr>
        <w:t>4</w:t>
      </w:r>
      <w:r>
        <w:rPr>
          <w:spacing w:val="-3"/>
        </w:rPr>
        <w:t>年限制性</w:t>
      </w:r>
      <w:r>
        <w:rPr>
          <w:spacing w:val="-28"/>
        </w:rPr>
        <w:t> </w:t>
      </w:r>
      <w:r>
        <w:rPr>
          <w:spacing w:val="-28"/>
        </w:rPr>
      </w:r>
      <w:r>
        <w:rPr>
          <w:spacing w:val="-2"/>
        </w:rPr>
        <w:t>股票激励成本合计为</w:t>
      </w:r>
      <w:r>
        <w:rPr>
          <w:rFonts w:ascii="Times New Roman" w:hAnsi="Times New Roman" w:cs="Times New Roman" w:eastAsia="Times New Roman" w:hint="default"/>
          <w:spacing w:val="-2"/>
        </w:rPr>
        <w:t>1,233.72</w:t>
      </w:r>
      <w:r>
        <w:rPr>
          <w:spacing w:val="-2"/>
        </w:rPr>
        <w:t>万元，则</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-2015</w:t>
      </w:r>
      <w:r>
        <w:rPr>
          <w:spacing w:val="-2"/>
        </w:rPr>
        <w:t>年需分别摊销限制性股票成本</w:t>
      </w:r>
      <w:r>
        <w:rPr>
          <w:rFonts w:ascii="Times New Roman" w:hAnsi="Times New Roman" w:cs="Times New Roman" w:eastAsia="Times New Roman" w:hint="default"/>
          <w:spacing w:val="-2"/>
        </w:rPr>
        <w:t>400.96</w:t>
      </w:r>
      <w:r>
        <w:rPr>
          <w:spacing w:val="-2"/>
        </w:rPr>
        <w:t>万元、</w:t>
      </w:r>
      <w:r>
        <w:rPr>
          <w:rFonts w:ascii="Times New Roman" w:hAnsi="Times New Roman" w:cs="Times New Roman" w:eastAsia="Times New Roman" w:hint="default"/>
          <w:spacing w:val="-2"/>
        </w:rPr>
        <w:t>555.17</w:t>
      </w:r>
      <w:r>
        <w:rPr>
          <w:spacing w:val="-2"/>
        </w:rPr>
        <w:t>万元、</w:t>
      </w:r>
      <w:r>
        <w:rPr>
          <w:spacing w:val="4"/>
        </w:rPr>
        <w:t> </w:t>
      </w:r>
      <w:r>
        <w:rPr>
          <w:rFonts w:ascii="Times New Roman" w:hAnsi="Times New Roman" w:cs="Times New Roman" w:eastAsia="Times New Roman" w:hint="default"/>
          <w:spacing w:val="-2"/>
        </w:rPr>
        <w:t>215.90</w:t>
      </w:r>
      <w:r>
        <w:rPr>
          <w:spacing w:val="-2"/>
        </w:rPr>
        <w:t>万元和</w:t>
      </w:r>
      <w:r>
        <w:rPr>
          <w:rFonts w:ascii="Times New Roman" w:hAnsi="Times New Roman" w:cs="Times New Roman" w:eastAsia="Times New Roman" w:hint="default"/>
          <w:spacing w:val="-2"/>
        </w:rPr>
        <w:t>61.69</w:t>
      </w:r>
      <w:r>
        <w:rPr>
          <w:spacing w:val="-2"/>
        </w:rPr>
        <w:t>万元。本计划限制性股票的成本将在经常性损益中列支。本次限制性股票激励计划所募</w:t>
      </w:r>
      <w:r>
        <w:rPr>
          <w:spacing w:val="-30"/>
        </w:rPr>
        <w:t> </w:t>
      </w:r>
      <w:r>
        <w:rPr>
          <w:spacing w:val="-30"/>
        </w:rPr>
      </w:r>
      <w:r>
        <w:rPr/>
        <w:t>集的资金将用于补充公司的流动资金。</w:t>
      </w:r>
    </w:p>
    <w:p>
      <w:pPr>
        <w:pStyle w:val="BodyText"/>
        <w:spacing w:line="240" w:lineRule="auto" w:before="61"/>
        <w:ind w:left="573" w:right="99"/>
        <w:jc w:val="left"/>
      </w:pPr>
      <w:r>
        <w:rPr/>
        <w:t>股权激励事项临时报告披露网站查询：</w:t>
      </w:r>
    </w:p>
    <w:p>
      <w:pPr>
        <w:spacing w:line="240" w:lineRule="auto" w:before="11"/>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6239"/>
        <w:gridCol w:w="1561"/>
        <w:gridCol w:w="1771"/>
      </w:tblGrid>
      <w:tr>
        <w:trPr>
          <w:trHeight w:val="401" w:hRule="exact"/>
        </w:trPr>
        <w:tc>
          <w:tcPr>
            <w:tcW w:w="6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临时公告披露日期</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临时公告披露索引</w:t>
            </w:r>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hyperlink r:id="rId24">
              <w:r>
                <w:rPr>
                  <w:rFonts w:ascii="宋体" w:hAnsi="宋体" w:cs="宋体" w:eastAsia="宋体" w:hint="default"/>
                  <w:sz w:val="18"/>
                  <w:szCs w:val="18"/>
                </w:rPr>
                <w:t>限制性股票激励计划（草案）</w:t>
              </w:r>
            </w:hyperlink>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2012-01-20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hyperlink r:id="rId25">
              <w:r>
                <w:rPr>
                  <w:rFonts w:ascii="宋体" w:hAnsi="宋体" w:cs="宋体" w:eastAsia="宋体" w:hint="default"/>
                  <w:sz w:val="18"/>
                  <w:szCs w:val="18"/>
                </w:rPr>
                <w:t>限制性股票激励计划（草案）摘要</w:t>
              </w:r>
            </w:hyperlink>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2012-01-20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hyperlink r:id="rId26">
              <w:r>
                <w:rPr>
                  <w:rFonts w:ascii="宋体" w:hAnsi="宋体" w:cs="宋体" w:eastAsia="宋体" w:hint="default"/>
                  <w:sz w:val="18"/>
                  <w:szCs w:val="18"/>
                </w:rPr>
                <w:t>限制性股票激励计划激励对象名单</w:t>
              </w:r>
            </w:hyperlink>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2012-01-20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hyperlink r:id="rId27">
              <w:r>
                <w:rPr>
                  <w:rFonts w:ascii="宋体" w:hAnsi="宋体" w:cs="宋体" w:eastAsia="宋体" w:hint="default"/>
                  <w:sz w:val="18"/>
                  <w:szCs w:val="18"/>
                </w:rPr>
                <w:t>限制性股票激励计划实施考核管理办法（</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hyperlink>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2012-01-20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404"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hyperlink r:id="rId28">
              <w:r>
                <w:rPr>
                  <w:rFonts w:ascii="宋体" w:hAnsi="宋体" w:cs="宋体" w:eastAsia="宋体" w:hint="default"/>
                  <w:sz w:val="18"/>
                  <w:szCs w:val="18"/>
                </w:rPr>
                <w:t>第一届董事会第十六次会议决议的公告</w:t>
              </w:r>
            </w:hyperlink>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2012-01-20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hyperlink r:id="rId29">
              <w:r>
                <w:rPr>
                  <w:rFonts w:ascii="宋体" w:hAnsi="宋体" w:cs="宋体" w:eastAsia="宋体" w:hint="default"/>
                  <w:sz w:val="18"/>
                  <w:szCs w:val="18"/>
                </w:rPr>
                <w:t>第一届监事会第十一次会议决议的公告</w:t>
              </w:r>
            </w:hyperlink>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2012-01-20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hyperlink r:id="rId30">
              <w:r>
                <w:rPr>
                  <w:rFonts w:ascii="宋体" w:hAnsi="宋体" w:cs="宋体" w:eastAsia="宋体" w:hint="default"/>
                  <w:sz w:val="18"/>
                  <w:szCs w:val="18"/>
                </w:rPr>
                <w:t>独立董事关于限制性股票激励计划（草案）发表的独立意见</w:t>
              </w:r>
            </w:hyperlink>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2012-01-20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hyperlink r:id="rId31">
              <w:r>
                <w:rPr>
                  <w:rFonts w:ascii="宋体" w:hAnsi="宋体" w:cs="宋体" w:eastAsia="宋体" w:hint="default"/>
                  <w:sz w:val="18"/>
                  <w:szCs w:val="18"/>
                </w:rPr>
                <w:t>第一届监事会关于激励对象人员名单的核查意见</w:t>
              </w:r>
            </w:hyperlink>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2012-01-20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hyperlink r:id="rId32">
              <w:r>
                <w:rPr>
                  <w:rFonts w:ascii="宋体" w:hAnsi="宋体" w:cs="宋体" w:eastAsia="宋体" w:hint="default"/>
                  <w:sz w:val="18"/>
                  <w:szCs w:val="18"/>
                </w:rPr>
                <w:t>限制性股票激励计划（草案修订稿）</w:t>
              </w:r>
            </w:hyperlink>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2012-05-30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hyperlink r:id="rId33">
              <w:r>
                <w:rPr>
                  <w:rFonts w:ascii="宋体" w:hAnsi="宋体" w:cs="宋体" w:eastAsia="宋体" w:hint="default"/>
                  <w:sz w:val="18"/>
                  <w:szCs w:val="18"/>
                </w:rPr>
                <w:t>限制性股票激励计划（草案修订稿）摘要</w:t>
              </w:r>
            </w:hyperlink>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2012-05-30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hyperlink r:id="rId34">
              <w:r>
                <w:rPr>
                  <w:rFonts w:ascii="宋体" w:hAnsi="宋体" w:cs="宋体" w:eastAsia="宋体" w:hint="default"/>
                  <w:sz w:val="18"/>
                  <w:szCs w:val="18"/>
                </w:rPr>
                <w:t>限制性股票激励计划激励对象名单</w:t>
              </w:r>
            </w:hyperlink>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2012-05-30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hyperlink r:id="rId35">
              <w:r>
                <w:rPr>
                  <w:rFonts w:ascii="宋体" w:hAnsi="宋体" w:cs="宋体" w:eastAsia="宋体" w:hint="default"/>
                  <w:sz w:val="18"/>
                  <w:szCs w:val="18"/>
                </w:rPr>
                <w:t>关于限制性股票激励计划（草案修订稿）的修订说明</w:t>
              </w:r>
            </w:hyperlink>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2012-05-30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877" w:footer="1227" w:top="1100" w:bottom="1420" w:left="980" w:right="92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6239"/>
        <w:gridCol w:w="1561"/>
        <w:gridCol w:w="1771"/>
      </w:tblGrid>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hyperlink r:id="rId36">
              <w:r>
                <w:rPr>
                  <w:rFonts w:ascii="宋体" w:hAnsi="宋体" w:cs="宋体" w:eastAsia="宋体" w:hint="default"/>
                  <w:sz w:val="18"/>
                  <w:szCs w:val="18"/>
                </w:rPr>
                <w:t>第一届董事会第二十次会议决议的公告</w:t>
              </w:r>
            </w:hyperlink>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2012-05-30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hyperlink r:id="rId37">
              <w:r>
                <w:rPr>
                  <w:rFonts w:ascii="宋体" w:hAnsi="宋体" w:cs="宋体" w:eastAsia="宋体" w:hint="default"/>
                  <w:sz w:val="18"/>
                  <w:szCs w:val="18"/>
                </w:rPr>
                <w:t>第一届监事会第十五次会议决议的公告</w:t>
              </w:r>
            </w:hyperlink>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2012-05-30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hyperlink r:id="rId38">
              <w:r>
                <w:rPr>
                  <w:rFonts w:ascii="宋体" w:hAnsi="宋体" w:cs="宋体" w:eastAsia="宋体" w:hint="default"/>
                  <w:sz w:val="18"/>
                  <w:szCs w:val="18"/>
                </w:rPr>
                <w:t>第一届监事会关于激励对象人员名单的核查意见</w:t>
              </w:r>
            </w:hyperlink>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2012-05-30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715"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7"/>
              <w:jc w:val="left"/>
              <w:rPr>
                <w:rFonts w:ascii="宋体" w:hAnsi="宋体" w:cs="宋体" w:eastAsia="宋体" w:hint="default"/>
                <w:sz w:val="18"/>
                <w:szCs w:val="18"/>
              </w:rPr>
            </w:pPr>
            <w:hyperlink r:id="rId39">
              <w:r>
                <w:rPr>
                  <w:rFonts w:ascii="宋体" w:hAnsi="宋体" w:cs="宋体" w:eastAsia="宋体" w:hint="default"/>
                  <w:sz w:val="18"/>
                  <w:szCs w:val="18"/>
                </w:rPr>
                <w:t>北京市竞天公诚（深圳）律师事务所关于公司限制性股票激励计划的法律意见</w:t>
              </w:r>
            </w:hyperlink>
            <w:r>
              <w:rPr>
                <w:rFonts w:ascii="宋体" w:hAnsi="宋体" w:cs="宋体" w:eastAsia="宋体" w:hint="default"/>
                <w:spacing w:val="-39"/>
                <w:sz w:val="18"/>
                <w:szCs w:val="18"/>
              </w:rPr>
              <w:t> </w:t>
            </w:r>
            <w:r>
              <w:rPr>
                <w:rFonts w:ascii="宋体" w:hAnsi="宋体" w:cs="宋体" w:eastAsia="宋体" w:hint="default"/>
                <w:spacing w:val="-39"/>
                <w:sz w:val="18"/>
                <w:szCs w:val="18"/>
              </w:rPr>
            </w:r>
            <w:hyperlink r:id="rId39">
              <w:r>
                <w:rPr>
                  <w:rFonts w:ascii="宋体" w:hAnsi="宋体" w:cs="宋体" w:eastAsia="宋体" w:hint="default"/>
                  <w:sz w:val="18"/>
                  <w:szCs w:val="18"/>
                </w:rPr>
                <w:t>书</w:t>
              </w:r>
            </w:hyperlink>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2012-05-30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71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7"/>
              <w:jc w:val="left"/>
              <w:rPr>
                <w:rFonts w:ascii="宋体" w:hAnsi="宋体" w:cs="宋体" w:eastAsia="宋体" w:hint="default"/>
                <w:sz w:val="18"/>
                <w:szCs w:val="18"/>
              </w:rPr>
            </w:pPr>
            <w:hyperlink r:id="rId40">
              <w:r>
                <w:rPr>
                  <w:rFonts w:ascii="宋体" w:hAnsi="宋体" w:cs="宋体" w:eastAsia="宋体" w:hint="default"/>
                  <w:sz w:val="18"/>
                  <w:szCs w:val="18"/>
                </w:rPr>
                <w:t>北京市竞天公诚（深圳）律师事务所关于公司限制性股票激励计划的补充法律</w:t>
              </w:r>
            </w:hyperlink>
            <w:r>
              <w:rPr>
                <w:rFonts w:ascii="宋体" w:hAnsi="宋体" w:cs="宋体" w:eastAsia="宋体" w:hint="default"/>
                <w:spacing w:val="-39"/>
                <w:sz w:val="18"/>
                <w:szCs w:val="18"/>
              </w:rPr>
              <w:t> </w:t>
            </w:r>
            <w:r>
              <w:rPr>
                <w:rFonts w:ascii="宋体" w:hAnsi="宋体" w:cs="宋体" w:eastAsia="宋体" w:hint="default"/>
                <w:spacing w:val="-39"/>
                <w:sz w:val="18"/>
                <w:szCs w:val="18"/>
              </w:rPr>
            </w:r>
            <w:hyperlink r:id="rId40">
              <w:r>
                <w:rPr>
                  <w:rFonts w:ascii="宋体" w:hAnsi="宋体" w:cs="宋体" w:eastAsia="宋体" w:hint="default"/>
                  <w:sz w:val="18"/>
                  <w:szCs w:val="18"/>
                </w:rPr>
                <w:t>意见书</w:t>
              </w:r>
            </w:hyperlink>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2012-05-30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hyperlink r:id="rId41">
              <w:r>
                <w:rPr>
                  <w:rFonts w:ascii="宋体" w:hAnsi="宋体" w:cs="宋体" w:eastAsia="宋体" w:hint="default"/>
                  <w:sz w:val="18"/>
                  <w:szCs w:val="18"/>
                </w:rPr>
                <w:t>独立董事公开征集委托投票权报告书</w:t>
              </w:r>
            </w:hyperlink>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2012-05-30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hyperlink r:id="rId42">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年第一次临时股东大会的通知</w:t>
              </w:r>
            </w:hyperlink>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2012-05-30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hyperlink r:id="rId43">
              <w:r>
                <w:rPr>
                  <w:rFonts w:ascii="宋体" w:hAnsi="宋体" w:cs="宋体" w:eastAsia="宋体" w:hint="default"/>
                  <w:sz w:val="18"/>
                  <w:szCs w:val="18"/>
                </w:rPr>
                <w:t>独立董事关于限制性股票激励计划（草案修订稿）发表的独立意见</w:t>
              </w:r>
            </w:hyperlink>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2012-05-30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hyperlink r:id="rId44">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年第一次临时股东大会的提示性公告</w:t>
              </w:r>
            </w:hyperlink>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2012-06-12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hyperlink r:id="rId45">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年第一次临时股东大会的法律意见书</w:t>
              </w:r>
            </w:hyperlink>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2012-06-16</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hyperlink r:id="rId46">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年第一次临时股东大会决议公告</w:t>
              </w:r>
            </w:hyperlink>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2012-06-16</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hyperlink r:id="rId47">
              <w:r>
                <w:rPr>
                  <w:rFonts w:ascii="宋体" w:hAnsi="宋体" w:cs="宋体" w:eastAsia="宋体" w:hint="default"/>
                  <w:sz w:val="18"/>
                  <w:szCs w:val="18"/>
                </w:rPr>
                <w:t>董事会关于限制性股票授予相关事项的公告</w:t>
              </w:r>
            </w:hyperlink>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2012-07-12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hyperlink r:id="rId48">
              <w:r>
                <w:rPr>
                  <w:rFonts w:ascii="宋体" w:hAnsi="宋体" w:cs="宋体" w:eastAsia="宋体" w:hint="default"/>
                  <w:sz w:val="18"/>
                  <w:szCs w:val="18"/>
                </w:rPr>
                <w:t>独立董事关于调整限制性股票激励对象、授予数量及授予价格的独立意见</w:t>
              </w:r>
            </w:hyperlink>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2012-07-12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hyperlink r:id="rId49">
              <w:r>
                <w:rPr>
                  <w:rFonts w:ascii="宋体" w:hAnsi="宋体" w:cs="宋体" w:eastAsia="宋体" w:hint="default"/>
                  <w:sz w:val="18"/>
                  <w:szCs w:val="18"/>
                </w:rPr>
                <w:t>独立董事关于向激励对象授予限制性股票发表的独立意见</w:t>
              </w:r>
            </w:hyperlink>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2012-07-12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hyperlink r:id="rId50">
              <w:r>
                <w:rPr>
                  <w:rFonts w:ascii="宋体" w:hAnsi="宋体" w:cs="宋体" w:eastAsia="宋体" w:hint="default"/>
                  <w:sz w:val="18"/>
                  <w:szCs w:val="18"/>
                </w:rPr>
                <w:t>关于调整限制性股票激励对象、授予数量及授予价格的公告</w:t>
              </w:r>
            </w:hyperlink>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2012-07-12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hyperlink r:id="rId51">
              <w:r>
                <w:rPr>
                  <w:rFonts w:ascii="宋体" w:hAnsi="宋体" w:cs="宋体" w:eastAsia="宋体" w:hint="default"/>
                  <w:sz w:val="18"/>
                  <w:szCs w:val="18"/>
                </w:rPr>
                <w:t>第二次调整后的限制性股票激励对象名单</w:t>
              </w:r>
            </w:hyperlink>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2012-07-12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hyperlink r:id="rId52">
              <w:r>
                <w:rPr>
                  <w:rFonts w:ascii="宋体" w:hAnsi="宋体" w:cs="宋体" w:eastAsia="宋体" w:hint="default"/>
                  <w:sz w:val="18"/>
                  <w:szCs w:val="18"/>
                </w:rPr>
                <w:t>第一届监事会关于第二次调整后激励对象人员名单的核查意见</w:t>
              </w:r>
            </w:hyperlink>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2012-07-12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404"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hyperlink r:id="rId53">
              <w:r>
                <w:rPr>
                  <w:rFonts w:ascii="宋体" w:hAnsi="宋体" w:cs="宋体" w:eastAsia="宋体" w:hint="default"/>
                  <w:sz w:val="18"/>
                  <w:szCs w:val="18"/>
                </w:rPr>
                <w:t>第一届董事会第二十一次会议决议的公告</w:t>
              </w:r>
            </w:hyperlink>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Times New Roman" w:hAnsi="Times New Roman" w:cs="Times New Roman" w:eastAsia="Times New Roman" w:hint="default"/>
                <w:sz w:val="18"/>
                <w:szCs w:val="18"/>
              </w:rPr>
            </w:pPr>
            <w:r>
              <w:rPr>
                <w:rFonts w:ascii="Times New Roman"/>
                <w:sz w:val="18"/>
              </w:rPr>
              <w:t>2012-07-12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hyperlink r:id="rId54">
              <w:r>
                <w:rPr>
                  <w:rFonts w:ascii="宋体" w:hAnsi="宋体" w:cs="宋体" w:eastAsia="宋体" w:hint="default"/>
                  <w:sz w:val="18"/>
                  <w:szCs w:val="18"/>
                </w:rPr>
                <w:t>第一届监事会第十六次会议决议的公告</w:t>
              </w:r>
            </w:hyperlink>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2012-07-12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715"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7"/>
              <w:jc w:val="left"/>
              <w:rPr>
                <w:rFonts w:ascii="宋体" w:hAnsi="宋体" w:cs="宋体" w:eastAsia="宋体" w:hint="default"/>
                <w:sz w:val="18"/>
                <w:szCs w:val="18"/>
              </w:rPr>
            </w:pPr>
            <w:hyperlink r:id="rId55">
              <w:r>
                <w:rPr>
                  <w:rFonts w:ascii="宋体" w:hAnsi="宋体" w:cs="宋体" w:eastAsia="宋体" w:hint="default"/>
                  <w:sz w:val="18"/>
                  <w:szCs w:val="18"/>
                </w:rPr>
                <w:t>北京市竞天公诚（深圳）律师事务所关于公司限制性股票激励计划股票授予事</w:t>
              </w:r>
            </w:hyperlink>
            <w:r>
              <w:rPr>
                <w:rFonts w:ascii="宋体" w:hAnsi="宋体" w:cs="宋体" w:eastAsia="宋体" w:hint="default"/>
                <w:spacing w:val="-39"/>
                <w:sz w:val="18"/>
                <w:szCs w:val="18"/>
              </w:rPr>
              <w:t> </w:t>
            </w:r>
            <w:r>
              <w:rPr>
                <w:rFonts w:ascii="宋体" w:hAnsi="宋体" w:cs="宋体" w:eastAsia="宋体" w:hint="default"/>
                <w:spacing w:val="-39"/>
                <w:sz w:val="18"/>
                <w:szCs w:val="18"/>
              </w:rPr>
            </w:r>
            <w:hyperlink r:id="rId55">
              <w:r>
                <w:rPr>
                  <w:rFonts w:ascii="宋体" w:hAnsi="宋体" w:cs="宋体" w:eastAsia="宋体" w:hint="default"/>
                  <w:sz w:val="18"/>
                  <w:szCs w:val="18"/>
                </w:rPr>
                <w:t>项的法律意见书</w:t>
              </w:r>
            </w:hyperlink>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2012-07-12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71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7"/>
              <w:jc w:val="left"/>
              <w:rPr>
                <w:rFonts w:ascii="宋体" w:hAnsi="宋体" w:cs="宋体" w:eastAsia="宋体" w:hint="default"/>
                <w:sz w:val="18"/>
                <w:szCs w:val="18"/>
              </w:rPr>
            </w:pPr>
            <w:r>
              <w:rPr>
                <w:rFonts w:ascii="宋体" w:hAnsi="宋体" w:cs="宋体" w:eastAsia="宋体" w:hint="default"/>
                <w:sz w:val="18"/>
                <w:szCs w:val="18"/>
              </w:rPr>
              <w:t>北京市竞天公诚（深圳）律师事务所关于公司限制性股票激励计划的补充法律</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意见书（二）</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2012-07-12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40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hyperlink r:id="rId56">
              <w:r>
                <w:rPr>
                  <w:rFonts w:ascii="宋体" w:hAnsi="宋体" w:cs="宋体" w:eastAsia="宋体" w:hint="default"/>
                  <w:sz w:val="18"/>
                  <w:szCs w:val="18"/>
                </w:rPr>
                <w:t>关于限制性股票授予完成的公告</w:t>
              </w:r>
            </w:hyperlink>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2012-07-23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40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hyperlink r:id="rId57">
              <w:r>
                <w:rPr>
                  <w:rFonts w:ascii="宋体" w:hAnsi="宋体" w:cs="宋体" w:eastAsia="宋体" w:hint="default"/>
                  <w:sz w:val="18"/>
                  <w:szCs w:val="18"/>
                </w:rPr>
                <w:t>关于回购注销已不符合激励条件的原激励对象已获授的限制性股票的公告</w:t>
              </w:r>
            </w:hyperlink>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2012-12-13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420"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hyperlink r:id="rId58">
              <w:r>
                <w:rPr>
                  <w:rFonts w:ascii="宋体" w:hAnsi="宋体" w:cs="宋体" w:eastAsia="宋体" w:hint="default"/>
                  <w:sz w:val="18"/>
                  <w:szCs w:val="18"/>
                </w:rPr>
                <w:t>第二届董事会第三次（临时）会议决议的公告</w:t>
              </w:r>
            </w:hyperlink>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2012-12-13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42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hyperlink r:id="rId59">
              <w:r>
                <w:rPr>
                  <w:rFonts w:ascii="宋体" w:hAnsi="宋体" w:cs="宋体" w:eastAsia="宋体" w:hint="default"/>
                  <w:sz w:val="18"/>
                  <w:szCs w:val="18"/>
                </w:rPr>
                <w:t>第二届监事会第三次（临时）会议决议的公告</w:t>
              </w:r>
            </w:hyperlink>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Times New Roman" w:hAnsi="Times New Roman" w:cs="Times New Roman" w:eastAsia="Times New Roman" w:hint="default"/>
                <w:sz w:val="18"/>
                <w:szCs w:val="18"/>
              </w:rPr>
            </w:pPr>
            <w:r>
              <w:rPr>
                <w:rFonts w:ascii="Times New Roman"/>
                <w:sz w:val="18"/>
              </w:rPr>
              <w:t>2012-12-13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715"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7"/>
              <w:jc w:val="left"/>
              <w:rPr>
                <w:rFonts w:ascii="宋体" w:hAnsi="宋体" w:cs="宋体" w:eastAsia="宋体" w:hint="default"/>
                <w:sz w:val="18"/>
                <w:szCs w:val="18"/>
              </w:rPr>
            </w:pPr>
            <w:hyperlink r:id="rId60">
              <w:r>
                <w:rPr>
                  <w:rFonts w:ascii="宋体" w:hAnsi="宋体" w:cs="宋体" w:eastAsia="宋体" w:hint="default"/>
                  <w:sz w:val="18"/>
                  <w:szCs w:val="18"/>
                </w:rPr>
                <w:t>独立董事关于回购注销已不符合激励条件的原激励对象已获授的限制性股票的</w:t>
              </w:r>
            </w:hyperlink>
            <w:r>
              <w:rPr>
                <w:rFonts w:ascii="宋体" w:hAnsi="宋体" w:cs="宋体" w:eastAsia="宋体" w:hint="default"/>
                <w:spacing w:val="-39"/>
                <w:sz w:val="18"/>
                <w:szCs w:val="18"/>
              </w:rPr>
              <w:t> </w:t>
            </w:r>
            <w:r>
              <w:rPr>
                <w:rFonts w:ascii="宋体" w:hAnsi="宋体" w:cs="宋体" w:eastAsia="宋体" w:hint="default"/>
                <w:spacing w:val="-39"/>
                <w:sz w:val="18"/>
                <w:szCs w:val="18"/>
              </w:rPr>
            </w:r>
            <w:hyperlink r:id="rId60">
              <w:r>
                <w:rPr>
                  <w:rFonts w:ascii="宋体" w:hAnsi="宋体" w:cs="宋体" w:eastAsia="宋体" w:hint="default"/>
                  <w:sz w:val="18"/>
                  <w:szCs w:val="18"/>
                </w:rPr>
                <w:t>独立意见</w:t>
              </w:r>
            </w:hyperlink>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2012-12-13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715"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7"/>
              <w:jc w:val="left"/>
              <w:rPr>
                <w:rFonts w:ascii="宋体" w:hAnsi="宋体" w:cs="宋体" w:eastAsia="宋体" w:hint="default"/>
                <w:sz w:val="18"/>
                <w:szCs w:val="18"/>
              </w:rPr>
            </w:pPr>
            <w:hyperlink r:id="rId61">
              <w:r>
                <w:rPr>
                  <w:rFonts w:ascii="宋体" w:hAnsi="宋体" w:cs="宋体" w:eastAsia="宋体" w:hint="default"/>
                  <w:sz w:val="18"/>
                  <w:szCs w:val="18"/>
                </w:rPr>
                <w:t>北京市竞天公诚（深圳）律师事务所关于公司回购注销已不符合激励条件的原</w:t>
              </w:r>
            </w:hyperlink>
            <w:r>
              <w:rPr>
                <w:rFonts w:ascii="宋体" w:hAnsi="宋体" w:cs="宋体" w:eastAsia="宋体" w:hint="default"/>
                <w:spacing w:val="-39"/>
                <w:sz w:val="18"/>
                <w:szCs w:val="18"/>
              </w:rPr>
              <w:t> </w:t>
            </w:r>
            <w:r>
              <w:rPr>
                <w:rFonts w:ascii="宋体" w:hAnsi="宋体" w:cs="宋体" w:eastAsia="宋体" w:hint="default"/>
                <w:spacing w:val="-39"/>
                <w:sz w:val="18"/>
                <w:szCs w:val="18"/>
              </w:rPr>
            </w:r>
            <w:hyperlink r:id="rId61">
              <w:r>
                <w:rPr>
                  <w:rFonts w:ascii="宋体" w:hAnsi="宋体" w:cs="宋体" w:eastAsia="宋体" w:hint="default"/>
                  <w:sz w:val="18"/>
                  <w:szCs w:val="18"/>
                </w:rPr>
                <w:t>激励对象已获授的限制性股票事宜的法律意见书</w:t>
              </w:r>
            </w:hyperlink>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2012-12-13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877" w:footer="1227" w:top="1100" w:bottom="1420" w:left="980" w:right="98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right="0"/>
        <w:jc w:val="left"/>
        <w:rPr>
          <w:b w:val="0"/>
          <w:bCs w:val="0"/>
        </w:rPr>
      </w:pPr>
      <w:r>
        <w:rPr/>
        <w:t>六、重大关联交易</w:t>
      </w:r>
      <w:r>
        <w:rPr>
          <w:b w:val="0"/>
          <w:bCs w:val="0"/>
        </w:rPr>
      </w:r>
    </w:p>
    <w:p>
      <w:pPr>
        <w:spacing w:line="240" w:lineRule="auto" w:before="12"/>
        <w:rPr>
          <w:rFonts w:ascii="宋体" w:hAnsi="宋体" w:cs="宋体" w:eastAsia="宋体" w:hint="default"/>
          <w:b/>
          <w:bCs/>
          <w:sz w:val="24"/>
          <w:szCs w:val="24"/>
        </w:rPr>
      </w:pPr>
    </w:p>
    <w:p>
      <w:pPr>
        <w:pStyle w:val="Heading3"/>
        <w:spacing w:line="568" w:lineRule="auto"/>
        <w:ind w:left="573" w:right="6942" w:hanging="421"/>
        <w:jc w:val="left"/>
        <w:rPr>
          <w:rFonts w:ascii="宋体" w:hAnsi="宋体" w:cs="宋体" w:eastAsia="宋体" w:hint="default"/>
          <w:b w:val="0"/>
          <w:bCs w:val="0"/>
        </w:rPr>
      </w:pPr>
      <w:r>
        <w:rPr>
          <w:rFonts w:ascii="Times New Roman" w:hAnsi="Times New Roman" w:cs="Times New Roman" w:eastAsia="Times New Roman" w:hint="default"/>
          <w:spacing w:val="-1"/>
        </w:rPr>
        <w:t>1</w:t>
      </w:r>
      <w:r>
        <w:rPr>
          <w:spacing w:val="-1"/>
        </w:rPr>
        <w:t>、与日常经营相关的关联交易</w:t>
      </w:r>
      <w:r>
        <w:rPr>
          <w:spacing w:val="-93"/>
        </w:rPr>
        <w:t> </w:t>
      </w:r>
      <w:r>
        <w:rPr>
          <w:spacing w:val="-93"/>
        </w:rPr>
      </w:r>
      <w:r>
        <w:rPr>
          <w:rFonts w:ascii="宋体" w:hAnsi="宋体" w:cs="宋体" w:eastAsia="宋体" w:hint="default"/>
          <w:b w:val="0"/>
          <w:bCs w:val="0"/>
        </w:rPr>
        <w:t>无。</w:t>
      </w:r>
    </w:p>
    <w:p>
      <w:pPr>
        <w:pStyle w:val="Heading3"/>
        <w:spacing w:line="571" w:lineRule="auto" w:before="128"/>
        <w:ind w:left="573" w:right="6143" w:hanging="421"/>
        <w:jc w:val="left"/>
        <w:rPr>
          <w:rFonts w:ascii="宋体" w:hAnsi="宋体" w:cs="宋体" w:eastAsia="宋体" w:hint="default"/>
          <w:b w:val="0"/>
          <w:bCs w:val="0"/>
        </w:rPr>
      </w:pPr>
      <w:r>
        <w:rPr>
          <w:rFonts w:ascii="Times New Roman" w:hAnsi="Times New Roman" w:cs="Times New Roman" w:eastAsia="Times New Roman" w:hint="default"/>
          <w:spacing w:val="-1"/>
        </w:rPr>
        <w:t>2</w:t>
      </w:r>
      <w:r>
        <w:rPr>
          <w:spacing w:val="-1"/>
        </w:rPr>
        <w:t>、资产收购、出售发生的关联交易</w:t>
      </w:r>
      <w:r>
        <w:rPr>
          <w:spacing w:val="-90"/>
        </w:rPr>
        <w:t> </w:t>
      </w:r>
      <w:r>
        <w:rPr>
          <w:spacing w:val="-90"/>
        </w:rPr>
      </w:r>
      <w:r>
        <w:rPr>
          <w:rFonts w:ascii="宋体" w:hAnsi="宋体" w:cs="宋体" w:eastAsia="宋体" w:hint="default"/>
          <w:b w:val="0"/>
          <w:bCs w:val="0"/>
        </w:rPr>
        <w:t>无。</w:t>
      </w:r>
    </w:p>
    <w:p>
      <w:pPr>
        <w:pStyle w:val="Heading3"/>
        <w:spacing w:line="568" w:lineRule="auto" w:before="126"/>
        <w:ind w:left="573" w:right="6732" w:hanging="421"/>
        <w:jc w:val="left"/>
        <w:rPr>
          <w:rFonts w:ascii="宋体" w:hAnsi="宋体" w:cs="宋体" w:eastAsia="宋体" w:hint="default"/>
          <w:b w:val="0"/>
          <w:bCs w:val="0"/>
        </w:rPr>
      </w:pPr>
      <w:r>
        <w:rPr>
          <w:rFonts w:ascii="Times New Roman" w:hAnsi="Times New Roman" w:cs="Times New Roman" w:eastAsia="Times New Roman" w:hint="default"/>
          <w:spacing w:val="-1"/>
        </w:rPr>
        <w:t>3</w:t>
      </w:r>
      <w:r>
        <w:rPr>
          <w:spacing w:val="-1"/>
        </w:rPr>
        <w:t>、共同对外投资的重大关联交易</w:t>
      </w:r>
      <w:r>
        <w:rPr>
          <w:spacing w:val="-91"/>
        </w:rPr>
        <w:t> </w:t>
      </w:r>
      <w:r>
        <w:rPr>
          <w:spacing w:val="-91"/>
        </w:rPr>
      </w:r>
      <w:r>
        <w:rPr>
          <w:rFonts w:ascii="宋体" w:hAnsi="宋体" w:cs="宋体" w:eastAsia="宋体" w:hint="default"/>
          <w:b w:val="0"/>
          <w:bCs w:val="0"/>
        </w:rPr>
        <w:t>无。</w:t>
      </w:r>
    </w:p>
    <w:p>
      <w:pPr>
        <w:pStyle w:val="Heading3"/>
        <w:spacing w:line="240" w:lineRule="auto" w:before="128"/>
        <w:ind w:left="152"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是否存在非经营性关联债权债务往来</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3"/>
        <w:spacing w:line="571" w:lineRule="auto"/>
        <w:ind w:left="573" w:right="7772" w:hanging="421"/>
        <w:jc w:val="left"/>
        <w:rPr>
          <w:rFonts w:ascii="宋体" w:hAnsi="宋体" w:cs="宋体" w:eastAsia="宋体" w:hint="default"/>
          <w:b w:val="0"/>
          <w:bCs w:val="0"/>
        </w:rPr>
      </w:pPr>
      <w:r>
        <w:rPr>
          <w:rFonts w:ascii="Times New Roman" w:hAnsi="Times New Roman" w:cs="Times New Roman" w:eastAsia="Times New Roman" w:hint="default"/>
        </w:rPr>
        <w:t>5</w:t>
      </w:r>
      <w:r>
        <w:rPr/>
        <w:t>、其他重大关联交易</w:t>
      </w:r>
      <w:r>
        <w:rPr>
          <w:w w:val="100"/>
        </w:rPr>
        <w:t> </w:t>
      </w:r>
      <w:r>
        <w:rPr>
          <w:rFonts w:ascii="宋体" w:hAnsi="宋体" w:cs="宋体" w:eastAsia="宋体" w:hint="default"/>
          <w:b w:val="0"/>
          <w:bCs w:val="0"/>
        </w:rPr>
        <w:t>无。</w:t>
      </w:r>
    </w:p>
    <w:p>
      <w:pPr>
        <w:pStyle w:val="Heading2"/>
        <w:spacing w:line="240" w:lineRule="auto" w:before="101"/>
        <w:ind w:right="0"/>
        <w:jc w:val="left"/>
        <w:rPr>
          <w:b w:val="0"/>
          <w:bCs w:val="0"/>
        </w:rPr>
      </w:pPr>
      <w:r>
        <w:rPr/>
        <w:t>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571" w:lineRule="auto"/>
        <w:ind w:left="573" w:right="1345" w:hanging="421"/>
        <w:jc w:val="left"/>
        <w:rPr>
          <w:rFonts w:ascii="宋体" w:hAnsi="宋体" w:cs="宋体" w:eastAsia="宋体" w:hint="default"/>
          <w:b w:val="0"/>
          <w:bCs w:val="0"/>
        </w:rPr>
      </w:pPr>
      <w:r>
        <w:rPr>
          <w:rFonts w:ascii="Times New Roman" w:hAnsi="Times New Roman" w:cs="Times New Roman" w:eastAsia="Times New Roman" w:hint="default"/>
        </w:rPr>
        <w:t>1</w:t>
      </w:r>
      <w:r>
        <w:rPr/>
        <w:t>、为公司带来的利润达到公司本期利润总额</w:t>
      </w:r>
      <w:r>
        <w:rPr>
          <w:spacing w:val="-54"/>
        </w:rPr>
        <w:t> </w:t>
      </w:r>
      <w:r>
        <w:rPr>
          <w:rFonts w:ascii="Times New Roman" w:hAnsi="Times New Roman" w:cs="Times New Roman" w:eastAsia="Times New Roman" w:hint="default"/>
        </w:rPr>
        <w:t>10</w:t>
      </w:r>
      <w:r>
        <w:rPr/>
        <w:t>％以上（含</w:t>
      </w:r>
      <w:r>
        <w:rPr>
          <w:spacing w:val="-54"/>
        </w:rPr>
        <w:t> </w:t>
      </w:r>
      <w:r>
        <w:rPr>
          <w:rFonts w:ascii="Times New Roman" w:hAnsi="Times New Roman" w:cs="Times New Roman" w:eastAsia="Times New Roman" w:hint="default"/>
        </w:rPr>
        <w:t>10</w:t>
      </w:r>
      <w:r>
        <w:rPr/>
        <w:t>％）的托管、承包、租赁事项</w:t>
      </w:r>
      <w:r>
        <w:rPr>
          <w:w w:val="100"/>
        </w:rPr>
        <w:t> </w:t>
      </w:r>
      <w:r>
        <w:rPr>
          <w:rFonts w:ascii="宋体" w:hAnsi="宋体" w:cs="宋体" w:eastAsia="宋体" w:hint="default"/>
          <w:b w:val="0"/>
          <w:bCs w:val="0"/>
        </w:rPr>
        <w:t>无。</w:t>
      </w:r>
    </w:p>
    <w:p>
      <w:pPr>
        <w:spacing w:line="571" w:lineRule="auto" w:before="126"/>
        <w:ind w:left="573" w:right="8615"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、担保情况</w:t>
      </w:r>
      <w:r>
        <w:rPr>
          <w:rFonts w:ascii="宋体" w:hAnsi="宋体" w:cs="宋体" w:eastAsia="宋体" w:hint="default"/>
          <w:b/>
          <w:bCs/>
          <w:spacing w:val="-104"/>
          <w:sz w:val="21"/>
          <w:szCs w:val="21"/>
        </w:rPr>
        <w:t> </w:t>
      </w:r>
      <w:r>
        <w:rPr>
          <w:rFonts w:ascii="宋体" w:hAnsi="宋体" w:cs="宋体" w:eastAsia="宋体" w:hint="default"/>
          <w:sz w:val="21"/>
          <w:szCs w:val="21"/>
        </w:rPr>
        <w:t>无。</w:t>
      </w:r>
    </w:p>
    <w:p>
      <w:pPr>
        <w:pStyle w:val="Heading3"/>
        <w:spacing w:line="240" w:lineRule="auto" w:before="127"/>
        <w:ind w:left="152" w:right="0"/>
        <w:jc w:val="left"/>
        <w:rPr>
          <w:b w:val="0"/>
          <w:bCs w:val="0"/>
        </w:rPr>
      </w:pPr>
      <w:r>
        <w:rPr>
          <w:rFonts w:ascii="Times New Roman" w:hAnsi="Times New Roman" w:cs="Times New Roman" w:eastAsia="Times New Roman" w:hint="default"/>
        </w:rPr>
        <w:t>3</w:t>
      </w:r>
      <w:r>
        <w:rPr/>
        <w:t>、报告期内或报告期继续发生的委托理财情况</w:t>
      </w:r>
      <w:r>
        <w:rPr>
          <w:b w:val="0"/>
          <w:bCs w:val="0"/>
        </w:rPr>
      </w:r>
    </w:p>
    <w:p>
      <w:pPr>
        <w:spacing w:line="240" w:lineRule="auto" w:before="7"/>
        <w:rPr>
          <w:rFonts w:ascii="宋体" w:hAnsi="宋体" w:cs="宋体" w:eastAsia="宋体" w:hint="default"/>
          <w:b/>
          <w:bCs/>
          <w:sz w:val="24"/>
          <w:szCs w:val="24"/>
        </w:rPr>
      </w:pPr>
    </w:p>
    <w:p>
      <w:pPr>
        <w:pStyle w:val="Heading3"/>
        <w:spacing w:line="571" w:lineRule="auto"/>
        <w:ind w:left="573" w:right="7982" w:hanging="421"/>
        <w:jc w:val="left"/>
        <w:rPr>
          <w:rFonts w:ascii="宋体" w:hAnsi="宋体" w:cs="宋体" w:eastAsia="宋体" w:hint="default"/>
          <w:b w:val="0"/>
          <w:bCs w:val="0"/>
        </w:rPr>
      </w:pPr>
      <w:r>
        <w:rPr/>
        <w:t>（</w:t>
      </w:r>
      <w:r>
        <w:rPr>
          <w:rFonts w:ascii="Times New Roman" w:hAnsi="Times New Roman" w:cs="Times New Roman" w:eastAsia="Times New Roman" w:hint="default"/>
        </w:rPr>
        <w:t>1</w:t>
      </w:r>
      <w:r>
        <w:rPr/>
        <w:t>）委托理财情况</w:t>
      </w:r>
      <w:r>
        <w:rPr>
          <w:spacing w:val="-104"/>
        </w:rPr>
        <w:t> </w:t>
      </w:r>
      <w:r>
        <w:rPr>
          <w:rFonts w:ascii="宋体" w:hAnsi="宋体" w:cs="宋体" w:eastAsia="宋体" w:hint="default"/>
          <w:b w:val="0"/>
          <w:bCs w:val="0"/>
        </w:rPr>
        <w:t>无。</w:t>
      </w:r>
    </w:p>
    <w:p>
      <w:pPr>
        <w:spacing w:after="0" w:line="571" w:lineRule="auto"/>
        <w:jc w:val="left"/>
        <w:rPr>
          <w:rFonts w:ascii="宋体" w:hAnsi="宋体" w:cs="宋体" w:eastAsia="宋体" w:hint="default"/>
        </w:rPr>
        <w:sectPr>
          <w:pgSz w:w="11910" w:h="16840"/>
          <w:pgMar w:header="877" w:footer="1227" w:top="1100" w:bottom="1420" w:left="980" w:right="980"/>
        </w:sectPr>
      </w:pPr>
    </w:p>
    <w:p>
      <w:pPr>
        <w:spacing w:line="240" w:lineRule="auto" w:before="11"/>
        <w:rPr>
          <w:rFonts w:ascii="宋体" w:hAnsi="宋体" w:cs="宋体" w:eastAsia="宋体" w:hint="default"/>
          <w:sz w:val="20"/>
          <w:szCs w:val="20"/>
        </w:rPr>
      </w:pPr>
      <w:r>
        <w:rPr/>
        <w:pict>
          <v:shape style="position:absolute;margin-left:167.654007pt;margin-top:632.859985pt;width:220.9pt;height:20pt;mso-position-horizontal-relative:page;mso-position-vertical-relative:page;z-index:-803992" type="#_x0000_t202" filled="false" stroked="false">
            <v:textbox inset="0,0,0,0">
              <w:txbxContent>
                <w:p>
                  <w:pPr>
                    <w:spacing w:line="240" w:lineRule="auto" w:before="7"/>
                    <w:rPr>
                      <w:rFonts w:ascii="宋体" w:hAnsi="宋体" w:cs="宋体" w:eastAsia="宋体" w:hint="default"/>
                      <w:b/>
                      <w:bCs/>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高峰、</w:t>
                  </w:r>
                </w:p>
              </w:txbxContent>
            </v:textbox>
            <w10:wrap type="none"/>
          </v:shape>
        </w:pict>
      </w:r>
      <w:r>
        <w:rPr/>
        <w:pict>
          <v:group style="position:absolute;margin-left:191.690002pt;margin-top:632.859985pt;width:198.05pt;height:56.55pt;mso-position-horizontal-relative:page;mso-position-vertical-relative:page;z-index:-803968" coordorigin="3834,12657" coordsize="3961,1131">
            <v:group style="position:absolute;left:3834;top:13008;width:3961;height:780" coordorigin="3834,13008" coordsize="3961,780">
              <v:shape style="position:absolute;left:3834;top:13008;width:3961;height:780" coordorigin="3834,13008" coordsize="3961,780" path="m3834,13788l7794,13788,7794,13008,3834,13008,3834,13788xe" filled="true" fillcolor="#ffffff" stroked="false">
                <v:path arrowok="t"/>
                <v:fill type="solid"/>
              </v:shape>
            </v:group>
            <v:group style="position:absolute;left:3858;top:12657;width:3913;height:351" coordorigin="3858,12657" coordsize="3913,351">
              <v:shape style="position:absolute;left:3858;top:12657;width:3913;height:351" coordorigin="3858,12657" coordsize="3913,351" path="m3858,13008l7770,13008,7770,12657,3858,12657,3858,13008xe" filled="true" fillcolor="#ffffff" stroked="false">
                <v:path arrowok="t"/>
                <v:fill type="solid"/>
              </v:shape>
            </v:group>
            <w10:wrap type="none"/>
          </v:group>
        </w:pict>
      </w:r>
    </w:p>
    <w:p>
      <w:pPr>
        <w:pStyle w:val="Heading3"/>
        <w:spacing w:line="240" w:lineRule="auto" w:before="36"/>
        <w:ind w:left="152" w:right="0"/>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报告期末衍生品投资的持仓情况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571" w:lineRule="auto"/>
        <w:ind w:left="573" w:right="7982" w:hanging="421"/>
        <w:jc w:val="left"/>
        <w:rPr>
          <w:rFonts w:ascii="宋体" w:hAnsi="宋体" w:cs="宋体" w:eastAsia="宋体" w:hint="default"/>
          <w:b w:val="0"/>
          <w:bCs w:val="0"/>
        </w:rPr>
      </w:pPr>
      <w:r>
        <w:rPr/>
        <w:t>（</w:t>
      </w:r>
      <w:r>
        <w:rPr>
          <w:rFonts w:ascii="Times New Roman" w:hAnsi="Times New Roman" w:cs="Times New Roman" w:eastAsia="Times New Roman" w:hint="default"/>
        </w:rPr>
        <w:t>3</w:t>
      </w:r>
      <w:r>
        <w:rPr/>
        <w:t>）委托贷款情况</w:t>
      </w:r>
      <w:r>
        <w:rPr>
          <w:spacing w:val="-104"/>
        </w:rPr>
        <w:t> </w:t>
      </w:r>
      <w:r>
        <w:rPr>
          <w:rFonts w:ascii="宋体" w:hAnsi="宋体" w:cs="宋体" w:eastAsia="宋体" w:hint="default"/>
          <w:b w:val="0"/>
          <w:bCs w:val="0"/>
        </w:rPr>
        <w:t>无。</w:t>
      </w:r>
    </w:p>
    <w:p>
      <w:pPr>
        <w:pStyle w:val="Heading3"/>
        <w:spacing w:line="568" w:lineRule="auto" w:before="126"/>
        <w:ind w:left="573" w:right="8193" w:hanging="421"/>
        <w:jc w:val="left"/>
        <w:rPr>
          <w:rFonts w:ascii="宋体" w:hAnsi="宋体" w:cs="宋体" w:eastAsia="宋体" w:hint="default"/>
          <w:b w:val="0"/>
          <w:bCs w:val="0"/>
        </w:rPr>
      </w:pPr>
      <w:r>
        <w:rPr>
          <w:rFonts w:ascii="Times New Roman" w:hAnsi="Times New Roman" w:cs="Times New Roman" w:eastAsia="Times New Roman" w:hint="default"/>
        </w:rPr>
        <w:t>4</w:t>
      </w:r>
      <w:r>
        <w:rPr/>
        <w:t>、其他重大合同</w:t>
      </w:r>
      <w:r>
        <w:rPr>
          <w:spacing w:val="-103"/>
        </w:rPr>
        <w:t> </w:t>
      </w:r>
      <w:r>
        <w:rPr>
          <w:rFonts w:ascii="宋体" w:hAnsi="宋体" w:cs="宋体" w:eastAsia="宋体" w:hint="default"/>
          <w:b w:val="0"/>
          <w:bCs w:val="0"/>
        </w:rPr>
        <w:t>无。</w:t>
      </w:r>
    </w:p>
    <w:p>
      <w:pPr>
        <w:pStyle w:val="Heading2"/>
        <w:spacing w:line="240" w:lineRule="auto" w:before="104"/>
        <w:ind w:right="0"/>
        <w:jc w:val="left"/>
        <w:rPr>
          <w:b w:val="0"/>
          <w:bCs w:val="0"/>
        </w:rPr>
      </w:pPr>
      <w:r>
        <w:rPr/>
        <w:t>八、承诺事项履行情况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52" w:right="0"/>
        <w:jc w:val="left"/>
        <w:rPr>
          <w:b w:val="0"/>
          <w:bCs w:val="0"/>
        </w:rPr>
      </w:pPr>
      <w:r>
        <w:rPr>
          <w:rFonts w:ascii="Times New Roman" w:hAnsi="Times New Roman" w:cs="Times New Roman" w:eastAsia="Times New Roman" w:hint="default"/>
        </w:rPr>
        <w:t>1</w:t>
      </w:r>
      <w:r>
        <w:rPr/>
        <w:t>、公司或持股</w:t>
      </w:r>
      <w:r>
        <w:rPr>
          <w:spacing w:val="-52"/>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134"/>
        <w:gridCol w:w="1561"/>
        <w:gridCol w:w="3968"/>
        <w:gridCol w:w="994"/>
        <w:gridCol w:w="992"/>
        <w:gridCol w:w="922"/>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承诺事项</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6" w:right="0"/>
              <w:jc w:val="left"/>
              <w:rPr>
                <w:rFonts w:ascii="宋体" w:hAnsi="宋体" w:cs="宋体" w:eastAsia="宋体" w:hint="default"/>
                <w:sz w:val="18"/>
                <w:szCs w:val="18"/>
              </w:rPr>
            </w:pPr>
            <w:r>
              <w:rPr>
                <w:rFonts w:ascii="宋体" w:hAnsi="宋体" w:cs="宋体" w:eastAsia="宋体" w:hint="default"/>
                <w:sz w:val="18"/>
                <w:szCs w:val="18"/>
              </w:rPr>
              <w:t>承诺人</w:t>
            </w:r>
          </w:p>
        </w:tc>
        <w:tc>
          <w:tcPr>
            <w:tcW w:w="3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5"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1"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340"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收购报告书 或权益变动 报告书中所 作承诺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201"/>
              <w:jc w:val="left"/>
              <w:rPr>
                <w:rFonts w:ascii="宋体" w:hAnsi="宋体" w:cs="宋体" w:eastAsia="宋体" w:hint="default"/>
                <w:sz w:val="18"/>
                <w:szCs w:val="18"/>
              </w:rPr>
            </w:pPr>
            <w:r>
              <w:rPr>
                <w:rFonts w:ascii="宋体" w:hAnsi="宋体" w:cs="宋体" w:eastAsia="宋体" w:hint="default"/>
                <w:sz w:val="18"/>
                <w:szCs w:val="18"/>
              </w:rPr>
              <w:t>资产置换时 所作承诺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339" w:hRule="exact"/>
        </w:trPr>
        <w:tc>
          <w:tcPr>
            <w:tcW w:w="113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316" w:lineRule="auto"/>
              <w:ind w:left="22" w:right="201"/>
              <w:jc w:val="left"/>
              <w:rPr>
                <w:rFonts w:ascii="宋体" w:hAnsi="宋体" w:cs="宋体" w:eastAsia="宋体" w:hint="default"/>
                <w:sz w:val="18"/>
                <w:szCs w:val="18"/>
              </w:rPr>
            </w:pPr>
            <w:r>
              <w:rPr>
                <w:rFonts w:ascii="宋体" w:hAnsi="宋体" w:cs="宋体" w:eastAsia="宋体" w:hint="default"/>
                <w:sz w:val="18"/>
                <w:szCs w:val="18"/>
              </w:rPr>
              <w:t>发行时所作 承诺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8"/>
              <w:ind w:left="23" w:right="86"/>
              <w:jc w:val="left"/>
              <w:rPr>
                <w:rFonts w:ascii="宋体" w:hAnsi="宋体" w:cs="宋体" w:eastAsia="宋体" w:hint="default"/>
                <w:sz w:val="18"/>
                <w:szCs w:val="18"/>
              </w:rPr>
            </w:pPr>
            <w:r>
              <w:rPr>
                <w:rFonts w:ascii="宋体" w:hAnsi="宋体" w:cs="宋体" w:eastAsia="宋体" w:hint="default"/>
                <w:sz w:val="18"/>
                <w:szCs w:val="18"/>
              </w:rPr>
              <w:t>发行前公司全体股 东</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3" w:right="20"/>
              <w:jc w:val="both"/>
              <w:rPr>
                <w:rFonts w:ascii="宋体" w:hAnsi="宋体" w:cs="宋体" w:eastAsia="宋体" w:hint="default"/>
                <w:sz w:val="18"/>
                <w:szCs w:val="18"/>
              </w:rPr>
            </w:pPr>
            <w:r>
              <w:rPr>
                <w:rFonts w:ascii="宋体" w:hAnsi="宋体" w:cs="宋体" w:eastAsia="宋体" w:hint="default"/>
                <w:spacing w:val="-3"/>
                <w:sz w:val="18"/>
                <w:szCs w:val="18"/>
              </w:rPr>
              <w:t>自公司股票上市之日起三十六个月内，不转让或者</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委托他人管理本次发行前已持有的发行人股份，也</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不由发行人收购该部分股份。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2588" w:hRule="exact"/>
        </w:trPr>
        <w:tc>
          <w:tcPr>
            <w:tcW w:w="1134" w:type="dxa"/>
            <w:vMerge/>
            <w:tcBorders>
              <w:left w:val="single" w:sz="4" w:space="0" w:color="000000"/>
              <w:bottom w:val="nil" w:sz="6" w:space="0" w:color="auto"/>
              <w:right w:val="single" w:sz="4" w:space="0" w:color="000000"/>
            </w:tcBorders>
            <w:shd w:val="clear" w:color="auto" w:fill="D9D9D9"/>
          </w:tcPr>
          <w:p>
            <w:pPr/>
          </w:p>
        </w:tc>
        <w:tc>
          <w:tcPr>
            <w:tcW w:w="1561"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持有公司股份的董 事、高级管理人员 郭永芳、李国林、 刘祥南、申强、丛 艳芬、张雪峰、吴 </w:t>
            </w:r>
            <w:r>
              <w:rPr>
                <w:rFonts w:ascii="宋体" w:hAnsi="宋体" w:cs="宋体" w:eastAsia="宋体" w:hint="default"/>
                <w:spacing w:val="-3"/>
                <w:sz w:val="18"/>
                <w:szCs w:val="18"/>
              </w:rPr>
              <w:t>鸿伟、赵庸、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黄基鹏、张乃军、 郭泓</w:t>
            </w:r>
          </w:p>
        </w:tc>
        <w:tc>
          <w:tcPr>
            <w:tcW w:w="396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9" w:lineRule="auto" w:before="122"/>
              <w:ind w:left="11" w:right="17"/>
              <w:jc w:val="left"/>
              <w:rPr>
                <w:rFonts w:ascii="宋体" w:hAnsi="宋体" w:cs="宋体" w:eastAsia="宋体" w:hint="default"/>
                <w:sz w:val="18"/>
                <w:szCs w:val="18"/>
              </w:rPr>
            </w:pPr>
            <w:r>
              <w:rPr>
                <w:rFonts w:ascii="宋体" w:hAnsi="宋体" w:cs="宋体" w:eastAsia="宋体" w:hint="default"/>
                <w:sz w:val="18"/>
                <w:szCs w:val="18"/>
              </w:rPr>
              <w:t>任职期间每年转让直接或间接持有的发行人股份 不超过其所持有发行人股份总数的</w:t>
            </w:r>
            <w:r>
              <w:rPr>
                <w:rFonts w:ascii="宋体" w:hAnsi="宋体" w:cs="宋体" w:eastAsia="宋体" w:hint="default"/>
                <w:spacing w:val="-44"/>
                <w:sz w:val="18"/>
                <w:szCs w:val="18"/>
              </w:rPr>
              <w:t> </w:t>
            </w:r>
            <w:r>
              <w:rPr>
                <w:rFonts w:ascii="Times New Roman" w:hAnsi="Times New Roman" w:cs="Times New Roman" w:eastAsia="Times New Roman" w:hint="default"/>
                <w:spacing w:val="-8"/>
                <w:sz w:val="18"/>
                <w:szCs w:val="18"/>
              </w:rPr>
              <w:t>25%</w:t>
            </w:r>
            <w:r>
              <w:rPr>
                <w:rFonts w:ascii="宋体" w:hAnsi="宋体" w:cs="宋体" w:eastAsia="宋体" w:hint="default"/>
                <w:spacing w:val="-8"/>
                <w:sz w:val="18"/>
                <w:szCs w:val="18"/>
              </w:rPr>
              <w:t>；离职后半</w:t>
            </w:r>
            <w:r>
              <w:rPr>
                <w:rFonts w:ascii="宋体" w:hAnsi="宋体" w:cs="宋体" w:eastAsia="宋体" w:hint="default"/>
                <w:sz w:val="18"/>
                <w:szCs w:val="18"/>
              </w:rPr>
              <w:t> 年内，不转让其直接或间接持有的发行人股份。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2"/>
              <w:ind w:left="24" w:right="55"/>
              <w:jc w:val="both"/>
              <w:rPr>
                <w:rFonts w:ascii="宋体" w:hAnsi="宋体" w:cs="宋体" w:eastAsia="宋体" w:hint="default"/>
                <w:sz w:val="18"/>
                <w:szCs w:val="18"/>
              </w:rPr>
            </w:pPr>
            <w:r>
              <w:rPr>
                <w:rFonts w:ascii="宋体" w:hAnsi="宋体" w:cs="宋体" w:eastAsia="宋体" w:hint="default"/>
                <w:sz w:val="18"/>
                <w:szCs w:val="18"/>
              </w:rPr>
              <w:t>任职期间至 离职后半年 内</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877"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134"/>
        <w:gridCol w:w="1561"/>
        <w:gridCol w:w="3968"/>
        <w:gridCol w:w="994"/>
        <w:gridCol w:w="992"/>
        <w:gridCol w:w="924"/>
      </w:tblGrid>
      <w:tr>
        <w:trPr>
          <w:trHeight w:val="4458" w:hRule="exact"/>
        </w:trPr>
        <w:tc>
          <w:tcPr>
            <w:tcW w:w="1134" w:type="dxa"/>
            <w:vMerge w:val="restart"/>
            <w:tcBorders>
              <w:top w:val="single" w:sz="4" w:space="0" w:color="000000"/>
              <w:left w:val="single" w:sz="4" w:space="0" w:color="000000"/>
              <w:right w:val="single" w:sz="4" w:space="0" w:color="000000"/>
            </w:tcBorders>
            <w:shd w:val="clear" w:color="auto" w:fill="D9D9D9"/>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公司实际控制人郭 永芳、滕达和刘祥 </w:t>
            </w:r>
            <w:r>
              <w:rPr>
                <w:rFonts w:ascii="宋体" w:hAnsi="宋体" w:cs="宋体" w:eastAsia="宋体" w:hint="default"/>
                <w:spacing w:val="-11"/>
                <w:sz w:val="18"/>
                <w:szCs w:val="18"/>
              </w:rPr>
              <w:t>南、持有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 份的股东李国林、 广州通连及作为股 东的董事、监事、 高级管理人员申 强、吴鸿伟、丛艳 芬、黄基鹏、张雪 峰、赵庸、高峰、 张乃军</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Times New Roman" w:hAnsi="Times New Roman" w:cs="Times New Roman" w:eastAsia="Times New Roman" w:hint="default"/>
                <w:sz w:val="18"/>
                <w:szCs w:val="18"/>
              </w:rPr>
            </w:pPr>
            <w:r>
              <w:rPr>
                <w:rFonts w:ascii="宋体" w:hAnsi="宋体" w:cs="宋体" w:eastAsia="宋体" w:hint="default"/>
                <w:spacing w:val="-6"/>
                <w:w w:val="100"/>
                <w:sz w:val="18"/>
                <w:szCs w:val="18"/>
              </w:rPr>
              <w:t>《避免同业竞争承诺函》：承诺：</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确认及保证在承</w:t>
            </w:r>
            <w:r>
              <w:rPr>
                <w:rFonts w:ascii="宋体" w:hAnsi="宋体" w:cs="宋体" w:eastAsia="宋体" w:hint="default"/>
                <w:spacing w:val="-82"/>
                <w:w w:val="100"/>
                <w:sz w:val="18"/>
                <w:szCs w:val="18"/>
              </w:rPr>
              <w:t> </w:t>
            </w:r>
            <w:r>
              <w:rPr>
                <w:rFonts w:ascii="宋体" w:hAnsi="宋体" w:cs="宋体" w:eastAsia="宋体" w:hint="default"/>
                <w:sz w:val="18"/>
                <w:szCs w:val="18"/>
              </w:rPr>
              <w:t>诺函签署之日前与美亚柏科不存在直接或间接的 </w:t>
            </w:r>
            <w:r>
              <w:rPr>
                <w:rFonts w:ascii="宋体" w:hAnsi="宋体" w:cs="宋体" w:eastAsia="宋体" w:hint="default"/>
                <w:spacing w:val="-3"/>
                <w:sz w:val="18"/>
                <w:szCs w:val="18"/>
              </w:rPr>
              <w:t>同业竞争情形；承诺不直接或间接从事或发展与美</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亚柏科经营范围相同或相类似的业务或项目，也不</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为自身或代表任何第三方与美亚柏科进行直接或 </w:t>
            </w:r>
            <w:r>
              <w:rPr>
                <w:rFonts w:ascii="宋体" w:hAnsi="宋体" w:cs="宋体" w:eastAsia="宋体" w:hint="default"/>
                <w:spacing w:val="-3"/>
                <w:sz w:val="18"/>
                <w:szCs w:val="18"/>
              </w:rPr>
              <w:t>间接的竞争；承诺不利用从美亚柏科获取的信息从</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事、直接或间接参与与美亚柏科相竞争的活动，并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承诺不进行任何损害或可能损害美亚柏科利益的 </w:t>
            </w:r>
            <w:r>
              <w:rPr>
                <w:rFonts w:ascii="宋体" w:hAnsi="宋体" w:cs="宋体" w:eastAsia="宋体" w:hint="default"/>
                <w:spacing w:val="-3"/>
                <w:sz w:val="18"/>
                <w:szCs w:val="18"/>
              </w:rPr>
              <w:t>其他竞争行为；从任何第三方获得的任何商业机会</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与美亚柏科所从事的业务有实质性竞争或可能有 </w:t>
            </w:r>
            <w:r>
              <w:rPr>
                <w:rFonts w:ascii="宋体" w:hAnsi="宋体" w:cs="宋体" w:eastAsia="宋体" w:hint="default"/>
                <w:spacing w:val="-3"/>
                <w:sz w:val="18"/>
                <w:szCs w:val="18"/>
              </w:rPr>
              <w:t>实质性竞争，将立即通知美亚柏科，并将该商业机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会让与美亚柏科；如出现违反上述承诺与保证而导</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致美亚柏科或其他股东权益受到损害的情况，承诺</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人将依法承担相应的赔偿责任。</w:t>
            </w:r>
            <w:r>
              <w:rPr>
                <w:rFonts w:ascii="Times New Roman" w:hAnsi="Times New Roman" w:cs="Times New Roman" w:eastAsia="Times New Roman"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60"/>
              <w:ind w:left="24" w:right="55"/>
              <w:jc w:val="left"/>
              <w:rPr>
                <w:rFonts w:ascii="宋体" w:hAnsi="宋体" w:cs="宋体" w:eastAsia="宋体" w:hint="default"/>
                <w:sz w:val="18"/>
                <w:szCs w:val="18"/>
              </w:rPr>
            </w:pPr>
            <w:r>
              <w:rPr>
                <w:rFonts w:ascii="宋体" w:hAnsi="宋体" w:cs="宋体" w:eastAsia="宋体" w:hint="default"/>
                <w:sz w:val="18"/>
                <w:szCs w:val="18"/>
              </w:rPr>
              <w:t>任职期间或 持有公司股 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期间</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8485" w:hRule="exact"/>
        </w:trPr>
        <w:tc>
          <w:tcPr>
            <w:tcW w:w="1134" w:type="dxa"/>
            <w:vMerge/>
            <w:tcBorders>
              <w:left w:val="single" w:sz="4" w:space="0" w:color="000000"/>
              <w:bottom w:val="nil" w:sz="6" w:space="0" w:color="auto"/>
              <w:right w:val="single" w:sz="4" w:space="0" w:color="000000"/>
            </w:tcBorders>
            <w:shd w:val="clear" w:color="auto" w:fill="D9D9D9"/>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4"/>
              <w:ind w:left="23" w:right="20"/>
              <w:jc w:val="left"/>
              <w:rPr>
                <w:rFonts w:ascii="宋体" w:hAnsi="宋体" w:cs="宋体" w:eastAsia="宋体" w:hint="default"/>
                <w:sz w:val="18"/>
                <w:szCs w:val="18"/>
              </w:rPr>
            </w:pPr>
            <w:r>
              <w:rPr>
                <w:rFonts w:ascii="宋体" w:hAnsi="宋体" w:cs="宋体" w:eastAsia="宋体" w:hint="default"/>
                <w:sz w:val="18"/>
                <w:szCs w:val="18"/>
              </w:rPr>
              <w:t>公司实际控制人郭 永芳、滕达和刘祥 </w:t>
            </w:r>
            <w:r>
              <w:rPr>
                <w:rFonts w:ascii="宋体" w:hAnsi="宋体" w:cs="宋体" w:eastAsia="宋体" w:hint="default"/>
                <w:spacing w:val="-11"/>
                <w:sz w:val="18"/>
                <w:szCs w:val="18"/>
              </w:rPr>
              <w:t>南、持有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 份的股东李国林</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both"/>
              <w:rPr>
                <w:rFonts w:ascii="宋体" w:hAnsi="宋体" w:cs="宋体" w:eastAsia="宋体" w:hint="default"/>
                <w:sz w:val="18"/>
                <w:szCs w:val="18"/>
              </w:rPr>
            </w:pPr>
            <w:r>
              <w:rPr>
                <w:rFonts w:ascii="宋体" w:hAnsi="宋体" w:cs="宋体" w:eastAsia="宋体" w:hint="default"/>
                <w:spacing w:val="-3"/>
                <w:sz w:val="18"/>
                <w:szCs w:val="18"/>
              </w:rPr>
              <w:t>为保持公司经营决策的一致性，郭永芳、滕达、刘</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祥南三人签订了《一致行动协议》，互为一致行动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人。</w:t>
            </w:r>
          </w:p>
          <w:p>
            <w:pPr>
              <w:pStyle w:val="TableParagraph"/>
              <w:spacing w:line="240" w:lineRule="auto" w:before="59"/>
              <w:ind w:left="23" w:right="0"/>
              <w:jc w:val="both"/>
              <w:rPr>
                <w:rFonts w:ascii="宋体" w:hAnsi="宋体" w:cs="宋体" w:eastAsia="宋体" w:hint="default"/>
                <w:sz w:val="18"/>
                <w:szCs w:val="18"/>
              </w:rPr>
            </w:pPr>
            <w:r>
              <w:rPr>
                <w:rFonts w:ascii="宋体" w:hAnsi="宋体" w:cs="宋体" w:eastAsia="宋体" w:hint="default"/>
                <w:sz w:val="18"/>
                <w:szCs w:val="18"/>
              </w:rPr>
              <w:t>《一致行动协议》具体内容如下：</w:t>
            </w:r>
          </w:p>
          <w:p>
            <w:pPr>
              <w:pStyle w:val="TableParagraph"/>
              <w:spacing w:line="309" w:lineRule="auto" w:before="117"/>
              <w:ind w:left="23"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、根据公司法等有关法律法规和公司章程需要由 </w:t>
            </w:r>
            <w:r>
              <w:rPr>
                <w:rFonts w:ascii="宋体" w:hAnsi="宋体" w:cs="宋体" w:eastAsia="宋体" w:hint="default"/>
                <w:spacing w:val="-3"/>
                <w:sz w:val="18"/>
                <w:szCs w:val="18"/>
              </w:rPr>
              <w:t>公司股东大会、董事会作出决议的事项，均为各方</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应一致行动进行表决的内容。</w:t>
            </w:r>
          </w:p>
          <w:p>
            <w:pPr>
              <w:pStyle w:val="TableParagraph"/>
              <w:spacing w:line="300" w:lineRule="auto" w:before="62"/>
              <w:ind w:left="23" w:right="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、各方遵照有关法律、法规的规定和协议的约定 以及各自所作出的承诺行使权利。</w:t>
            </w:r>
          </w:p>
          <w:p>
            <w:pPr>
              <w:pStyle w:val="TableParagraph"/>
              <w:spacing w:line="314" w:lineRule="auto" w:before="72"/>
              <w:ind w:left="23" w:right="-27"/>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、在协议有效期内，除关联交易需要回避的情形 </w:t>
            </w:r>
            <w:r>
              <w:rPr>
                <w:rFonts w:ascii="宋体" w:hAnsi="宋体" w:cs="宋体" w:eastAsia="宋体" w:hint="default"/>
                <w:spacing w:val="-3"/>
                <w:sz w:val="18"/>
                <w:szCs w:val="18"/>
              </w:rPr>
              <w:t>外，一致行动人为公司股东的，各方保证在参加公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司股东大会行使表决权时与本协议他方保持一致。 </w:t>
            </w:r>
            <w:r>
              <w:rPr>
                <w:rFonts w:ascii="宋体" w:hAnsi="宋体" w:cs="宋体" w:eastAsia="宋体" w:hint="default"/>
                <w:spacing w:val="-3"/>
                <w:sz w:val="18"/>
                <w:szCs w:val="18"/>
              </w:rPr>
              <w:t>在协议有效期内，各方可以亲自参加公司召开的股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东大会，也可以委托协议他方代为参加股东大会并</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行使表决权。</w:t>
            </w:r>
          </w:p>
          <w:p>
            <w:pPr>
              <w:pStyle w:val="TableParagraph"/>
              <w:spacing w:line="314" w:lineRule="auto" w:before="61"/>
              <w:ind w:left="23"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、在协议有效期内，除关联交易需要回避的情形 </w:t>
            </w:r>
            <w:r>
              <w:rPr>
                <w:rFonts w:ascii="宋体" w:hAnsi="宋体" w:cs="宋体" w:eastAsia="宋体" w:hint="default"/>
                <w:spacing w:val="-3"/>
                <w:sz w:val="18"/>
                <w:szCs w:val="18"/>
              </w:rPr>
              <w:t>外，在董事会召开会议表决时，各方亦与协议他方</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保持一致。如担任董事的一方不能参加董事会需要</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委托其他董事参加会议时，应委托协议他方代为投</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票表决。</w:t>
            </w:r>
          </w:p>
          <w:p>
            <w:pPr>
              <w:pStyle w:val="TableParagraph"/>
              <w:spacing w:line="300" w:lineRule="auto" w:before="59"/>
              <w:ind w:left="23"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、协议自签署之日起生效，至公司股票上市之日 起满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个月时止。协议一经签订即不可撤销，除 非协议所规定的期限届满。</w:t>
            </w:r>
          </w:p>
          <w:p>
            <w:pPr>
              <w:pStyle w:val="TableParagraph"/>
              <w:spacing w:line="309" w:lineRule="auto" w:before="72"/>
              <w:ind w:left="23" w:right="19"/>
              <w:jc w:val="both"/>
              <w:rPr>
                <w:rFonts w:ascii="宋体" w:hAnsi="宋体" w:cs="宋体" w:eastAsia="宋体" w:hint="default"/>
                <w:sz w:val="18"/>
                <w:szCs w:val="18"/>
              </w:rPr>
            </w:pPr>
            <w:r>
              <w:rPr>
                <w:rFonts w:ascii="宋体" w:hAnsi="宋体" w:cs="宋体" w:eastAsia="宋体" w:hint="default"/>
                <w:spacing w:val="-3"/>
                <w:sz w:val="18"/>
                <w:szCs w:val="18"/>
              </w:rPr>
              <w:t>除上述《一致行动协议》外，李国林也承诺公司股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票上市之日起满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个月内在股东大会、董事会行 使表决权时与郭永芳保持一致。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877"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134"/>
        <w:gridCol w:w="1561"/>
        <w:gridCol w:w="3968"/>
        <w:gridCol w:w="994"/>
        <w:gridCol w:w="992"/>
        <w:gridCol w:w="922"/>
      </w:tblGrid>
      <w:tr>
        <w:trPr>
          <w:trHeight w:val="3209" w:hRule="exact"/>
        </w:trPr>
        <w:tc>
          <w:tcPr>
            <w:tcW w:w="1134" w:type="dxa"/>
            <w:vMerge w:val="restart"/>
            <w:tcBorders>
              <w:top w:val="single" w:sz="4" w:space="0" w:color="000000"/>
              <w:left w:val="single" w:sz="4" w:space="0" w:color="000000"/>
              <w:right w:val="single" w:sz="4" w:space="0" w:color="000000"/>
            </w:tcBorders>
            <w:shd w:val="clear" w:color="auto" w:fill="D9D9D9"/>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3" w:right="86"/>
              <w:jc w:val="left"/>
              <w:rPr>
                <w:rFonts w:ascii="宋体" w:hAnsi="宋体" w:cs="宋体" w:eastAsia="宋体" w:hint="default"/>
                <w:sz w:val="18"/>
                <w:szCs w:val="18"/>
              </w:rPr>
            </w:pPr>
            <w:r>
              <w:rPr>
                <w:rFonts w:ascii="宋体" w:hAnsi="宋体" w:cs="宋体" w:eastAsia="宋体" w:hint="default"/>
                <w:sz w:val="18"/>
                <w:szCs w:val="18"/>
              </w:rPr>
              <w:t>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股份的股东郭永 芳、刘祥南、李国 林、广州通连投资 咨询有限公司</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关于关联交易的承诺：在本人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本公司持有美亚柏 科股份期间，本人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本公司投资的全 </w:t>
            </w:r>
            <w:r>
              <w:rPr>
                <w:rFonts w:ascii="宋体" w:hAnsi="宋体" w:cs="宋体" w:eastAsia="宋体" w:hint="default"/>
                <w:spacing w:val="-3"/>
                <w:sz w:val="18"/>
                <w:szCs w:val="18"/>
              </w:rPr>
              <w:t>资、控股子企业或公司将尽量避免与美亚柏科发生</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关联交易，如与美亚柏科发生不可避免的关联交 易，本人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本公司下属全资、控股子 </w:t>
            </w:r>
            <w:r>
              <w:rPr>
                <w:rFonts w:ascii="宋体" w:hAnsi="宋体" w:cs="宋体" w:eastAsia="宋体" w:hint="default"/>
                <w:spacing w:val="-18"/>
                <w:sz w:val="18"/>
                <w:szCs w:val="18"/>
              </w:rPr>
              <w:t>企业或公司将严格按照《公司法》、《证券法》、《厦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门市美亚柏科信息股份有限公司章程》和《厦门市</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美亚柏科信息股份有限公司关联交易管理制度》的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规定规范关联交易行为。如违反上述承诺，本人</w:t>
            </w:r>
            <w:r>
              <w:rPr>
                <w:rFonts w:ascii="Times New Roman" w:hAnsi="Times New Roman" w:cs="Times New Roman" w:eastAsia="Times New Roman" w:hint="default"/>
                <w:sz w:val="18"/>
                <w:szCs w:val="18"/>
              </w:rPr>
              <w:t>/ </w:t>
            </w:r>
            <w:r>
              <w:rPr>
                <w:rFonts w:ascii="宋体" w:hAnsi="宋体" w:cs="宋体" w:eastAsia="宋体" w:hint="default"/>
                <w:sz w:val="18"/>
                <w:szCs w:val="18"/>
              </w:rPr>
              <w:t>本公司愿承担由此产生的一切法律责任。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2588" w:hRule="exact"/>
        </w:trPr>
        <w:tc>
          <w:tcPr>
            <w:tcW w:w="1134" w:type="dxa"/>
            <w:vMerge/>
            <w:tcBorders>
              <w:left w:val="single" w:sz="4" w:space="0" w:color="000000"/>
              <w:right w:val="single" w:sz="4" w:space="0" w:color="000000"/>
            </w:tcBorders>
            <w:shd w:val="clear" w:color="auto" w:fill="D9D9D9"/>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60"/>
              <w:ind w:left="23" w:right="86"/>
              <w:jc w:val="left"/>
              <w:rPr>
                <w:rFonts w:ascii="宋体" w:hAnsi="宋体" w:cs="宋体" w:eastAsia="宋体" w:hint="default"/>
                <w:sz w:val="18"/>
                <w:szCs w:val="18"/>
              </w:rPr>
            </w:pPr>
            <w:r>
              <w:rPr>
                <w:rFonts w:ascii="宋体" w:hAnsi="宋体" w:cs="宋体" w:eastAsia="宋体" w:hint="default"/>
                <w:sz w:val="18"/>
                <w:szCs w:val="18"/>
              </w:rPr>
              <w:t>公司高管滕达、张 雪峰</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滕达及张雪峰将</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年申请注册的名称为</w:t>
            </w:r>
            <w:r>
              <w:rPr>
                <w:rFonts w:ascii="Times New Roman" w:hAnsi="Times New Roman" w:cs="Times New Roman" w:eastAsia="Times New Roman" w:hint="default"/>
                <w:sz w:val="18"/>
                <w:szCs w:val="18"/>
              </w:rPr>
              <w:t>"</w:t>
            </w:r>
            <w:r>
              <w:rPr>
                <w:rFonts w:ascii="宋体" w:hAnsi="宋体" w:cs="宋体" w:eastAsia="宋体" w:hint="default"/>
                <w:sz w:val="18"/>
                <w:szCs w:val="18"/>
              </w:rPr>
              <w:t>一种计 算机勘察取证专用机</w:t>
            </w:r>
            <w:r>
              <w:rPr>
                <w:rFonts w:ascii="Times New Roman" w:hAnsi="Times New Roman" w:cs="Times New Roman" w:eastAsia="Times New Roman" w:hint="default"/>
                <w:sz w:val="18"/>
                <w:szCs w:val="18"/>
              </w:rPr>
              <w:t>"</w:t>
            </w:r>
            <w:r>
              <w:rPr>
                <w:rFonts w:ascii="宋体" w:hAnsi="宋体" w:cs="宋体" w:eastAsia="宋体" w:hint="default"/>
                <w:sz w:val="18"/>
                <w:szCs w:val="18"/>
              </w:rPr>
              <w:t>（专利申请号为 </w:t>
            </w:r>
            <w:r>
              <w:rPr>
                <w:rFonts w:ascii="Times New Roman" w:hAnsi="Times New Roman" w:cs="Times New Roman" w:eastAsia="Times New Roman" w:hint="default"/>
                <w:spacing w:val="-1"/>
                <w:sz w:val="18"/>
                <w:szCs w:val="18"/>
              </w:rPr>
              <w:t>"ZL03253565.1"</w:t>
            </w:r>
            <w:r>
              <w:rPr>
                <w:rFonts w:ascii="宋体" w:hAnsi="宋体" w:cs="宋体" w:eastAsia="宋体" w:hint="default"/>
                <w:spacing w:val="-1"/>
                <w:sz w:val="18"/>
                <w:szCs w:val="18"/>
              </w:rPr>
              <w:t>）的实用新型专利权无偿转让给公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司，并作出承诺：</w:t>
            </w:r>
            <w:r>
              <w:rPr>
                <w:rFonts w:ascii="Times New Roman" w:hAnsi="Times New Roman" w:cs="Times New Roman" w:eastAsia="Times New Roman" w:hint="default"/>
                <w:sz w:val="18"/>
                <w:szCs w:val="18"/>
              </w:rPr>
              <w:t>"</w:t>
            </w:r>
            <w:r>
              <w:rPr>
                <w:rFonts w:ascii="宋体" w:hAnsi="宋体" w:cs="宋体" w:eastAsia="宋体" w:hint="default"/>
                <w:sz w:val="18"/>
                <w:szCs w:val="18"/>
              </w:rPr>
              <w:t>无偿转让给厦门市美亚柏科信 </w:t>
            </w:r>
            <w:r>
              <w:rPr>
                <w:rFonts w:ascii="宋体" w:hAnsi="宋体" w:cs="宋体" w:eastAsia="宋体" w:hint="default"/>
                <w:spacing w:val="-3"/>
                <w:sz w:val="18"/>
                <w:szCs w:val="18"/>
              </w:rPr>
              <w:t>息股份有限公司是本人自愿的，不会基于此前持有</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该专利及</w:t>
            </w:r>
            <w:r>
              <w:rPr>
                <w:rFonts w:ascii="Times New Roman" w:hAnsi="Times New Roman" w:cs="Times New Roman" w:eastAsia="Times New Roman" w:hint="default"/>
                <w:sz w:val="18"/>
                <w:szCs w:val="18"/>
              </w:rPr>
              <w:t>/</w:t>
            </w:r>
            <w:r>
              <w:rPr>
                <w:rFonts w:ascii="宋体" w:hAnsi="宋体" w:cs="宋体" w:eastAsia="宋体" w:hint="default"/>
                <w:sz w:val="18"/>
                <w:szCs w:val="18"/>
              </w:rPr>
              <w:t>或将该专利转让的事实对厦门市美亚柏 </w:t>
            </w:r>
            <w:r>
              <w:rPr>
                <w:rFonts w:ascii="宋体" w:hAnsi="宋体" w:cs="宋体" w:eastAsia="宋体" w:hint="default"/>
                <w:spacing w:val="-3"/>
                <w:sz w:val="18"/>
                <w:szCs w:val="18"/>
              </w:rPr>
              <w:t>科信息股份有限公司提出任何争议、补偿、索赔或</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其他权利主张。</w:t>
            </w:r>
            <w:r>
              <w:rPr>
                <w:rFonts w:ascii="Times New Roman" w:hAnsi="Times New Roman" w:cs="Times New Roman" w:eastAsia="Times New Roman"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2585" w:hRule="exact"/>
        </w:trPr>
        <w:tc>
          <w:tcPr>
            <w:tcW w:w="1134" w:type="dxa"/>
            <w:vMerge/>
            <w:tcBorders>
              <w:left w:val="single" w:sz="4" w:space="0" w:color="000000"/>
              <w:bottom w:val="nil" w:sz="6" w:space="0" w:color="auto"/>
              <w:right w:val="single" w:sz="4" w:space="0" w:color="000000"/>
            </w:tcBorders>
            <w:shd w:val="clear" w:color="auto" w:fill="D9D9D9"/>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86"/>
              <w:jc w:val="left"/>
              <w:rPr>
                <w:rFonts w:ascii="宋体" w:hAnsi="宋体" w:cs="宋体" w:eastAsia="宋体" w:hint="default"/>
                <w:sz w:val="18"/>
                <w:szCs w:val="18"/>
              </w:rPr>
            </w:pPr>
            <w:r>
              <w:rPr>
                <w:rFonts w:ascii="宋体" w:hAnsi="宋体" w:cs="宋体" w:eastAsia="宋体" w:hint="default"/>
                <w:sz w:val="18"/>
                <w:szCs w:val="18"/>
              </w:rPr>
              <w:t>公司高管滕达、自 然人田耕</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滕达及田耕将</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年申请注册的名称为</w:t>
            </w:r>
            <w:r>
              <w:rPr>
                <w:rFonts w:ascii="Times New Roman" w:hAnsi="Times New Roman" w:cs="Times New Roman" w:eastAsia="Times New Roman" w:hint="default"/>
                <w:sz w:val="18"/>
                <w:szCs w:val="18"/>
              </w:rPr>
              <w:t>“</w:t>
            </w:r>
            <w:r>
              <w:rPr>
                <w:rFonts w:ascii="宋体" w:hAnsi="宋体" w:cs="宋体" w:eastAsia="宋体" w:hint="default"/>
                <w:sz w:val="18"/>
                <w:szCs w:val="18"/>
              </w:rPr>
              <w:t>一种计算 机取证勘察工具箱</w:t>
            </w:r>
            <w:r>
              <w:rPr>
                <w:rFonts w:ascii="Times New Roman" w:hAnsi="Times New Roman" w:cs="Times New Roman" w:eastAsia="Times New Roman" w:hint="default"/>
                <w:sz w:val="18"/>
                <w:szCs w:val="18"/>
              </w:rPr>
              <w:t>”</w:t>
            </w:r>
            <w:r>
              <w:rPr>
                <w:rFonts w:ascii="宋体" w:hAnsi="宋体" w:cs="宋体" w:eastAsia="宋体" w:hint="default"/>
                <w:sz w:val="18"/>
                <w:szCs w:val="18"/>
              </w:rPr>
              <w:t>（专利申请号为 </w:t>
            </w:r>
            <w:r>
              <w:rPr>
                <w:rFonts w:ascii="Times New Roman" w:hAnsi="Times New Roman" w:cs="Times New Roman" w:eastAsia="Times New Roman" w:hint="default"/>
                <w:spacing w:val="-1"/>
                <w:sz w:val="18"/>
                <w:szCs w:val="18"/>
              </w:rPr>
              <w:t>“ZL03214778.3”</w:t>
            </w:r>
            <w:r>
              <w:rPr>
                <w:rFonts w:ascii="宋体" w:hAnsi="宋体" w:cs="宋体" w:eastAsia="宋体" w:hint="default"/>
                <w:spacing w:val="-1"/>
                <w:sz w:val="18"/>
                <w:szCs w:val="18"/>
              </w:rPr>
              <w:t>）的实用新型专利权无偿转让给公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司，并作出承诺：</w:t>
            </w:r>
            <w:r>
              <w:rPr>
                <w:rFonts w:ascii="Times New Roman" w:hAnsi="Times New Roman" w:cs="Times New Roman" w:eastAsia="Times New Roman" w:hint="default"/>
                <w:sz w:val="18"/>
                <w:szCs w:val="18"/>
              </w:rPr>
              <w:t>“</w:t>
            </w:r>
            <w:r>
              <w:rPr>
                <w:rFonts w:ascii="宋体" w:hAnsi="宋体" w:cs="宋体" w:eastAsia="宋体" w:hint="default"/>
                <w:sz w:val="18"/>
                <w:szCs w:val="18"/>
              </w:rPr>
              <w:t>无偿转让给厦门市美亚柏科信 </w:t>
            </w:r>
            <w:r>
              <w:rPr>
                <w:rFonts w:ascii="宋体" w:hAnsi="宋体" w:cs="宋体" w:eastAsia="宋体" w:hint="default"/>
                <w:spacing w:val="-3"/>
                <w:sz w:val="18"/>
                <w:szCs w:val="18"/>
              </w:rPr>
              <w:t>息股份有限公司是本人自愿的，不会基于此前持有</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该专利及</w:t>
            </w:r>
            <w:r>
              <w:rPr>
                <w:rFonts w:ascii="Times New Roman" w:hAnsi="Times New Roman" w:cs="Times New Roman" w:eastAsia="Times New Roman" w:hint="default"/>
                <w:sz w:val="18"/>
                <w:szCs w:val="18"/>
              </w:rPr>
              <w:t>/</w:t>
            </w:r>
            <w:r>
              <w:rPr>
                <w:rFonts w:ascii="宋体" w:hAnsi="宋体" w:cs="宋体" w:eastAsia="宋体" w:hint="default"/>
                <w:sz w:val="18"/>
                <w:szCs w:val="18"/>
              </w:rPr>
              <w:t>或将该专利转让的事实对厦门市美亚柏 </w:t>
            </w:r>
            <w:r>
              <w:rPr>
                <w:rFonts w:ascii="宋体" w:hAnsi="宋体" w:cs="宋体" w:eastAsia="宋体" w:hint="default"/>
                <w:spacing w:val="-3"/>
                <w:sz w:val="18"/>
                <w:szCs w:val="18"/>
              </w:rPr>
              <w:t>科信息股份有限公司提出任何争议、补偿、索赔或</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其他权利主张。</w:t>
            </w:r>
            <w:r>
              <w:rPr>
                <w:rFonts w:ascii="Times New Roman" w:hAnsi="Times New Roman" w:cs="Times New Roman" w:eastAsia="Times New Roman"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7" w:hRule="exact"/>
        </w:trPr>
        <w:tc>
          <w:tcPr>
            <w:tcW w:w="1134"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316" w:lineRule="auto" w:before="56"/>
              <w:ind w:left="22" w:right="201"/>
              <w:jc w:val="both"/>
              <w:rPr>
                <w:rFonts w:ascii="宋体" w:hAnsi="宋体" w:cs="宋体" w:eastAsia="宋体" w:hint="default"/>
                <w:sz w:val="18"/>
                <w:szCs w:val="18"/>
              </w:rPr>
            </w:pPr>
            <w:r>
              <w:rPr>
                <w:rFonts w:ascii="宋体" w:hAnsi="宋体" w:cs="宋体" w:eastAsia="宋体" w:hint="default"/>
                <w:sz w:val="18"/>
                <w:szCs w:val="18"/>
              </w:rPr>
              <w:t>其他对公司 中小股东所 作承诺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201"/>
              <w:jc w:val="left"/>
              <w:rPr>
                <w:rFonts w:ascii="宋体" w:hAnsi="宋体" w:cs="宋体" w:eastAsia="宋体" w:hint="default"/>
                <w:sz w:val="18"/>
                <w:szCs w:val="18"/>
              </w:rPr>
            </w:pPr>
            <w:r>
              <w:rPr>
                <w:rFonts w:ascii="宋体" w:hAnsi="宋体" w:cs="宋体" w:eastAsia="宋体" w:hint="default"/>
                <w:sz w:val="18"/>
                <w:szCs w:val="18"/>
              </w:rPr>
              <w:t>承诺是否及 时履行</w:t>
            </w:r>
          </w:p>
        </w:tc>
        <w:tc>
          <w:tcPr>
            <w:tcW w:w="84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40"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未完成履行 的具体原因 及下一步计 划</w:t>
            </w:r>
          </w:p>
        </w:tc>
        <w:tc>
          <w:tcPr>
            <w:tcW w:w="84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49"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201"/>
              <w:jc w:val="both"/>
              <w:rPr>
                <w:rFonts w:ascii="宋体" w:hAnsi="宋体" w:cs="宋体" w:eastAsia="宋体" w:hint="default"/>
                <w:sz w:val="18"/>
                <w:szCs w:val="18"/>
              </w:rPr>
            </w:pPr>
            <w:r>
              <w:rPr>
                <w:rFonts w:ascii="宋体" w:hAnsi="宋体" w:cs="宋体" w:eastAsia="宋体" w:hint="default"/>
                <w:sz w:val="18"/>
                <w:szCs w:val="18"/>
              </w:rPr>
              <w:t>是否就导致 的同业竞争 和关联交易 问题作出承 诺</w:t>
            </w:r>
          </w:p>
        </w:tc>
        <w:tc>
          <w:tcPr>
            <w:tcW w:w="84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22" w:right="201"/>
              <w:jc w:val="left"/>
              <w:rPr>
                <w:rFonts w:ascii="宋体" w:hAnsi="宋体" w:cs="宋体" w:eastAsia="宋体" w:hint="default"/>
                <w:sz w:val="18"/>
                <w:szCs w:val="18"/>
              </w:rPr>
            </w:pPr>
            <w:r>
              <w:rPr>
                <w:rFonts w:ascii="宋体" w:hAnsi="宋体" w:cs="宋体" w:eastAsia="宋体" w:hint="default"/>
                <w:sz w:val="18"/>
                <w:szCs w:val="18"/>
              </w:rPr>
              <w:t>承诺的履行 情况</w:t>
            </w:r>
          </w:p>
        </w:tc>
        <w:tc>
          <w:tcPr>
            <w:tcW w:w="84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截至报告期末，上述各承诺方均严格履行相关承诺。</w:t>
            </w:r>
          </w:p>
        </w:tc>
      </w:tr>
    </w:tbl>
    <w:p>
      <w:pPr>
        <w:spacing w:after="0" w:line="240" w:lineRule="auto"/>
        <w:jc w:val="left"/>
        <w:rPr>
          <w:rFonts w:ascii="宋体" w:hAnsi="宋体" w:cs="宋体" w:eastAsia="宋体" w:hint="default"/>
          <w:sz w:val="18"/>
          <w:szCs w:val="18"/>
        </w:rPr>
        <w:sectPr>
          <w:pgSz w:w="11910" w:h="16840"/>
          <w:pgMar w:header="877" w:footer="1227" w:top="1100" w:bottom="1420" w:left="980" w:right="980"/>
        </w:sectPr>
      </w:pPr>
    </w:p>
    <w:p>
      <w:pPr>
        <w:spacing w:line="240" w:lineRule="auto" w:before="8"/>
        <w:rPr>
          <w:rFonts w:ascii="Times New Roman" w:hAnsi="Times New Roman" w:cs="Times New Roman" w:eastAsia="Times New Roman" w:hint="default"/>
          <w:sz w:val="23"/>
          <w:szCs w:val="23"/>
        </w:rPr>
      </w:pPr>
    </w:p>
    <w:p>
      <w:pPr>
        <w:pStyle w:val="Heading3"/>
        <w:spacing w:line="259" w:lineRule="auto" w:before="36"/>
        <w:ind w:left="152"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35"/>
        <w:ind w:left="573" w:right="0"/>
        <w:jc w:val="left"/>
      </w:pPr>
      <w:r>
        <w:rPr/>
        <w:t>无。</w:t>
      </w:r>
    </w:p>
    <w:p>
      <w:pPr>
        <w:spacing w:line="240" w:lineRule="auto" w:before="11"/>
        <w:rPr>
          <w:rFonts w:ascii="宋体" w:hAnsi="宋体" w:cs="宋体" w:eastAsia="宋体" w:hint="default"/>
          <w:sz w:val="29"/>
          <w:szCs w:val="29"/>
        </w:rPr>
      </w:pPr>
    </w:p>
    <w:p>
      <w:pPr>
        <w:pStyle w:val="Heading2"/>
        <w:spacing w:line="240" w:lineRule="auto"/>
        <w:ind w:right="0"/>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45</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刘维</w:t>
            </w:r>
            <w:r>
              <w:rPr>
                <w:rFonts w:ascii="宋体" w:hAnsi="宋体" w:cs="宋体" w:eastAsia="宋体" w:hint="default"/>
                <w:spacing w:val="1"/>
                <w:sz w:val="18"/>
                <w:szCs w:val="18"/>
              </w:rPr>
              <w:t> </w:t>
            </w:r>
            <w:r>
              <w:rPr>
                <w:rFonts w:ascii="宋体" w:hAnsi="宋体" w:cs="宋体" w:eastAsia="宋体" w:hint="default"/>
                <w:sz w:val="18"/>
                <w:szCs w:val="18"/>
              </w:rPr>
              <w:t>、吴莉莉</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38" w:lineRule="auto" w:before="117"/>
        <w:ind w:left="152" w:right="8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原聘任的会计事务所</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天健正信会计师事务所有限公司</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28</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周俊超、吴莉莉</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是否在审计期间改聘会计师事务所</w:t>
      </w:r>
    </w:p>
    <w:p>
      <w:pPr>
        <w:spacing w:line="338" w:lineRule="auto" w:before="117"/>
        <w:ind w:left="152" w:right="68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更换会计师事务所是否履行审批程序</w:t>
      </w:r>
    </w:p>
    <w:p>
      <w:pPr>
        <w:spacing w:line="340" w:lineRule="auto" w:before="43"/>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聘任、解聘会计师事务所情况说明</w:t>
      </w:r>
    </w:p>
    <w:p>
      <w:pPr>
        <w:spacing w:line="304" w:lineRule="auto" w:before="39"/>
        <w:ind w:left="152" w:right="153"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日公司第一届董事会第二十三次会议审议通过了《关于变更会计师事务所的议案》，因公司聘请的天健正信会 </w:t>
      </w:r>
      <w:r>
        <w:rPr>
          <w:rFonts w:ascii="宋体" w:hAnsi="宋体" w:cs="宋体" w:eastAsia="宋体" w:hint="default"/>
          <w:spacing w:val="-2"/>
          <w:sz w:val="18"/>
          <w:szCs w:val="18"/>
        </w:rPr>
        <w:t>计师事务所有限公司（以下简称“天健正信”）与京都天华会计师事务所（特殊普通合伙）合并并更名为“致同会计师事务</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所（特殊普通合伙）”，为保持公司外部审计工作的连续性和稳定性，保证公司财务报表的审计质量，公司将</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年度外部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审计机构由“天健正信</w:t>
      </w:r>
      <w:r>
        <w:rPr>
          <w:rFonts w:ascii="Times New Roman" w:hAnsi="Times New Roman" w:cs="Times New Roman" w:eastAsia="Times New Roman" w:hint="default"/>
          <w:sz w:val="18"/>
          <w:szCs w:val="18"/>
        </w:rPr>
        <w:t>”</w:t>
      </w:r>
      <w:r>
        <w:rPr>
          <w:rFonts w:ascii="宋体" w:hAnsi="宋体" w:cs="宋体" w:eastAsia="宋体" w:hint="default"/>
          <w:sz w:val="18"/>
          <w:szCs w:val="18"/>
        </w:rPr>
        <w:t>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致同会计师事务所（特殊普通合伙）”，聘期一年。</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日公司</w:t>
      </w: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年第三次临时 股东大会审议通过了上述议案，详情请查阅公司于</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日在巨潮资讯网</w:t>
      </w:r>
      <w:hyperlink r:id="rId62">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上的相关公告。</w:t>
        </w:r>
      </w:hyperlink>
    </w:p>
    <w:p>
      <w:pPr>
        <w:spacing w:line="240" w:lineRule="auto" w:before="1"/>
        <w:rPr>
          <w:rFonts w:ascii="宋体" w:hAnsi="宋体" w:cs="宋体" w:eastAsia="宋体" w:hint="default"/>
          <w:sz w:val="20"/>
          <w:szCs w:val="20"/>
        </w:rPr>
      </w:pPr>
    </w:p>
    <w:p>
      <w:pPr>
        <w:pStyle w:val="Heading2"/>
        <w:spacing w:line="240" w:lineRule="auto"/>
        <w:ind w:right="136"/>
        <w:jc w:val="left"/>
        <w:rPr>
          <w:b w:val="0"/>
          <w:bCs w:val="0"/>
        </w:rPr>
      </w:pPr>
      <w:r>
        <w:rPr/>
        <w:t>十、上市公司及其董事、监事、高级管理人员、公司股东、实际控制人和收购人处罚及整改</w:t>
      </w:r>
      <w:r>
        <w:rPr>
          <w:w w:val="99"/>
        </w:rPr>
        <w:t> </w:t>
      </w:r>
      <w:r>
        <w:rPr/>
        <w:t>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45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w:t>
      </w:r>
      <w:r>
        <w:rPr>
          <w:rFonts w:ascii="宋体" w:hAnsi="宋体" w:cs="宋体" w:eastAsia="宋体" w:hint="default"/>
          <w:spacing w:val="1"/>
          <w:sz w:val="18"/>
          <w:szCs w:val="18"/>
        </w:rPr>
        <w:t> </w:t>
      </w:r>
      <w:r>
        <w:rPr>
          <w:rFonts w:ascii="宋体" w:hAnsi="宋体" w:cs="宋体" w:eastAsia="宋体" w:hint="default"/>
          <w:sz w:val="18"/>
          <w:szCs w:val="18"/>
        </w:rPr>
        <w:t>不适用</w:t>
      </w:r>
      <w:r>
        <w:rPr>
          <w:rFonts w:ascii="宋体" w:hAnsi="宋体" w:cs="宋体" w:eastAsia="宋体" w:hint="default"/>
          <w:w w:val="99"/>
          <w:sz w:val="18"/>
          <w:szCs w:val="18"/>
        </w:rPr>
        <w:t> </w:t>
      </w:r>
      <w:r>
        <w:rPr>
          <w:rFonts w:ascii="宋体" w:hAnsi="宋体" w:cs="宋体" w:eastAsia="宋体" w:hint="default"/>
          <w:sz w:val="18"/>
          <w:szCs w:val="18"/>
        </w:rPr>
        <w:t>上市公司及其子公司是否被列入环保部门公布的污染严重企业名单</w:t>
      </w:r>
    </w:p>
    <w:p>
      <w:pPr>
        <w:spacing w:line="338" w:lineRule="auto" w:before="41"/>
        <w:ind w:left="152" w:right="5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w:t>
      </w:r>
      <w:r>
        <w:rPr>
          <w:rFonts w:ascii="宋体" w:hAnsi="宋体" w:cs="宋体" w:eastAsia="宋体" w:hint="default"/>
          <w:spacing w:val="1"/>
          <w:sz w:val="18"/>
          <w:szCs w:val="18"/>
        </w:rPr>
        <w:t> </w:t>
      </w:r>
      <w:r>
        <w:rPr>
          <w:rFonts w:ascii="宋体" w:hAnsi="宋体" w:cs="宋体" w:eastAsia="宋体" w:hint="default"/>
          <w:sz w:val="18"/>
          <w:szCs w:val="18"/>
        </w:rPr>
        <w:t>√否</w:t>
      </w:r>
      <w:r>
        <w:rPr>
          <w:rFonts w:ascii="宋体" w:hAnsi="宋体" w:cs="宋体" w:eastAsia="宋体" w:hint="default"/>
          <w:w w:val="99"/>
          <w:sz w:val="18"/>
          <w:szCs w:val="18"/>
        </w:rPr>
        <w:t> </w:t>
      </w:r>
      <w:r>
        <w:rPr>
          <w:rFonts w:ascii="宋体" w:hAnsi="宋体" w:cs="宋体" w:eastAsia="宋体" w:hint="default"/>
          <w:sz w:val="18"/>
          <w:szCs w:val="18"/>
        </w:rPr>
        <w:t>上市公司及其子公司是否存在其他重大社会安全问题</w:t>
      </w:r>
    </w:p>
    <w:p>
      <w:pPr>
        <w:spacing w:line="340" w:lineRule="auto" w:before="43"/>
        <w:ind w:left="152" w:right="7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宋体" w:hAnsi="宋体" w:cs="宋体" w:eastAsia="宋体" w:hint="default"/>
          <w:spacing w:val="2"/>
          <w:sz w:val="18"/>
          <w:szCs w:val="18"/>
        </w:rPr>
        <w:t> </w:t>
      </w:r>
      <w:r>
        <w:rPr>
          <w:rFonts w:ascii="宋体" w:hAnsi="宋体" w:cs="宋体" w:eastAsia="宋体" w:hint="default"/>
          <w:sz w:val="18"/>
          <w:szCs w:val="18"/>
        </w:rPr>
        <w:t>否</w:t>
      </w:r>
      <w:r>
        <w:rPr>
          <w:rFonts w:ascii="宋体" w:hAnsi="宋体" w:cs="宋体" w:eastAsia="宋体" w:hint="default"/>
          <w:w w:val="99"/>
          <w:sz w:val="18"/>
          <w:szCs w:val="18"/>
        </w:rPr>
        <w:t> </w:t>
      </w:r>
      <w:r>
        <w:rPr>
          <w:rFonts w:ascii="宋体" w:hAnsi="宋体" w:cs="宋体" w:eastAsia="宋体" w:hint="default"/>
          <w:sz w:val="18"/>
          <w:szCs w:val="18"/>
        </w:rPr>
        <w:t>报告期内是否被行政处罚</w:t>
      </w:r>
    </w:p>
    <w:p>
      <w:pPr>
        <w:spacing w:after="0" w:line="340" w:lineRule="auto"/>
        <w:jc w:val="left"/>
        <w:rPr>
          <w:rFonts w:ascii="宋体" w:hAnsi="宋体" w:cs="宋体" w:eastAsia="宋体" w:hint="default"/>
          <w:sz w:val="18"/>
          <w:szCs w:val="18"/>
        </w:rPr>
        <w:sectPr>
          <w:pgSz w:w="11910" w:h="16840"/>
          <w:pgMar w:header="877" w:footer="1227" w:top="1100" w:bottom="1420" w:left="980" w:right="980"/>
        </w:sectPr>
      </w:pPr>
    </w:p>
    <w:p>
      <w:pPr>
        <w:spacing w:line="240" w:lineRule="auto" w:before="11"/>
        <w:rPr>
          <w:rFonts w:ascii="宋体" w:hAnsi="宋体" w:cs="宋体" w:eastAsia="宋体" w:hint="default"/>
          <w:sz w:val="21"/>
          <w:szCs w:val="21"/>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w:t>
      </w:r>
      <w:r>
        <w:rPr>
          <w:rFonts w:ascii="宋体" w:hAnsi="宋体" w:cs="宋体" w:eastAsia="宋体"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十一、公司股东及其一致行动人在报告期提出或实施股份增持计划的情况</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left="573" w:right="0"/>
        <w:jc w:val="left"/>
      </w:pPr>
      <w:r>
        <w:rPr/>
        <w:t>无。</w:t>
      </w:r>
    </w:p>
    <w:p>
      <w:pPr>
        <w:spacing w:line="240" w:lineRule="auto" w:before="11"/>
        <w:rPr>
          <w:rFonts w:ascii="宋体" w:hAnsi="宋体" w:cs="宋体" w:eastAsia="宋体" w:hint="default"/>
          <w:sz w:val="29"/>
          <w:szCs w:val="29"/>
        </w:rPr>
      </w:pPr>
    </w:p>
    <w:p>
      <w:pPr>
        <w:pStyle w:val="Heading2"/>
        <w:spacing w:line="240" w:lineRule="auto"/>
        <w:ind w:right="0"/>
        <w:jc w:val="left"/>
        <w:rPr>
          <w:b w:val="0"/>
          <w:bCs w:val="0"/>
        </w:rPr>
      </w:pPr>
      <w:r>
        <w:rPr/>
        <w:t>十二、</w:t>
      </w:r>
      <w:r>
        <w:rPr>
          <w:rFonts w:ascii="Times New Roman" w:hAnsi="Times New Roman" w:cs="Times New Roman" w:eastAsia="Times New Roman" w:hint="default"/>
        </w:rPr>
        <w:t>2012 </w:t>
      </w:r>
      <w:r>
        <w:rPr/>
        <w:t>年董事、监事、高级管理人员、持股</w:t>
      </w:r>
      <w:r>
        <w:rPr>
          <w:spacing w:val="-64"/>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3"/>
        <w:rPr>
          <w:rFonts w:ascii="宋体" w:hAnsi="宋体" w:cs="宋体" w:eastAsia="宋体" w:hint="default"/>
          <w:b/>
          <w:bCs/>
          <w:sz w:val="29"/>
          <w:szCs w:val="29"/>
        </w:rPr>
      </w:pPr>
    </w:p>
    <w:p>
      <w:pPr>
        <w:pStyle w:val="BodyText"/>
        <w:spacing w:line="240" w:lineRule="auto"/>
        <w:ind w:left="573" w:right="0"/>
        <w:jc w:val="left"/>
      </w:pPr>
      <w:r>
        <w:rPr/>
        <w:t>无。</w:t>
      </w:r>
    </w:p>
    <w:p>
      <w:pPr>
        <w:spacing w:line="240" w:lineRule="auto" w:before="11"/>
        <w:rPr>
          <w:rFonts w:ascii="宋体" w:hAnsi="宋体" w:cs="宋体" w:eastAsia="宋体" w:hint="default"/>
          <w:sz w:val="29"/>
          <w:szCs w:val="29"/>
        </w:rPr>
      </w:pPr>
    </w:p>
    <w:p>
      <w:pPr>
        <w:pStyle w:val="Heading2"/>
        <w:spacing w:line="240" w:lineRule="auto"/>
        <w:ind w:right="0"/>
        <w:jc w:val="left"/>
        <w:rPr>
          <w:b w:val="0"/>
          <w:bCs w:val="0"/>
        </w:rPr>
      </w:pPr>
      <w:r>
        <w:rPr/>
        <w:t>十三、违规对外担保情况</w:t>
      </w:r>
      <w:r>
        <w:rPr>
          <w:b w:val="0"/>
          <w:bCs w:val="0"/>
        </w:rPr>
      </w:r>
    </w:p>
    <w:p>
      <w:pPr>
        <w:spacing w:line="240" w:lineRule="auto" w:before="11"/>
        <w:rPr>
          <w:rFonts w:ascii="宋体" w:hAnsi="宋体" w:cs="宋体" w:eastAsia="宋体" w:hint="default"/>
          <w:b/>
          <w:bCs/>
          <w:sz w:val="30"/>
          <w:szCs w:val="30"/>
        </w:rPr>
      </w:pPr>
    </w:p>
    <w:p>
      <w:pPr>
        <w:pStyle w:val="BodyText"/>
        <w:spacing w:line="240" w:lineRule="auto"/>
        <w:ind w:left="573" w:right="0"/>
        <w:jc w:val="left"/>
      </w:pPr>
      <w:r>
        <w:rPr/>
        <w:t>无。</w:t>
      </w:r>
    </w:p>
    <w:p>
      <w:pPr>
        <w:spacing w:line="240" w:lineRule="auto" w:before="11"/>
        <w:rPr>
          <w:rFonts w:ascii="宋体" w:hAnsi="宋体" w:cs="宋体" w:eastAsia="宋体" w:hint="default"/>
          <w:sz w:val="29"/>
          <w:szCs w:val="29"/>
        </w:rPr>
      </w:pPr>
    </w:p>
    <w:p>
      <w:pPr>
        <w:pStyle w:val="Heading2"/>
        <w:spacing w:line="240" w:lineRule="auto"/>
        <w:ind w:right="0"/>
        <w:jc w:val="left"/>
        <w:rPr>
          <w:b w:val="0"/>
          <w:bCs w:val="0"/>
        </w:rPr>
      </w:pPr>
      <w:r>
        <w:rPr/>
        <w:t>十四、年度报告披露后面临暂停上市和终止上市情况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573" w:right="0"/>
        <w:jc w:val="left"/>
      </w:pPr>
      <w:r>
        <w:rPr/>
        <w:t>无。</w:t>
      </w:r>
    </w:p>
    <w:p>
      <w:pPr>
        <w:spacing w:line="240" w:lineRule="auto" w:before="11"/>
        <w:rPr>
          <w:rFonts w:ascii="宋体" w:hAnsi="宋体" w:cs="宋体" w:eastAsia="宋体" w:hint="default"/>
          <w:sz w:val="29"/>
          <w:szCs w:val="29"/>
        </w:rPr>
      </w:pPr>
    </w:p>
    <w:p>
      <w:pPr>
        <w:pStyle w:val="Heading2"/>
        <w:spacing w:line="240" w:lineRule="auto"/>
        <w:ind w:right="0"/>
        <w:jc w:val="left"/>
        <w:rPr>
          <w:b w:val="0"/>
          <w:bCs w:val="0"/>
        </w:rPr>
      </w:pPr>
      <w:r>
        <w:rPr/>
        <w:t>十五、其他重大事项的说明</w:t>
      </w:r>
      <w:r>
        <w:rPr>
          <w:b w:val="0"/>
          <w:bCs w:val="0"/>
        </w:rPr>
      </w:r>
    </w:p>
    <w:p>
      <w:pPr>
        <w:spacing w:line="240" w:lineRule="auto" w:before="10"/>
        <w:rPr>
          <w:rFonts w:ascii="宋体" w:hAnsi="宋体" w:cs="宋体" w:eastAsia="宋体" w:hint="default"/>
          <w:b/>
          <w:bCs/>
          <w:sz w:val="30"/>
          <w:szCs w:val="30"/>
        </w:rPr>
      </w:pPr>
    </w:p>
    <w:p>
      <w:pPr>
        <w:pStyle w:val="BodyText"/>
        <w:spacing w:line="386" w:lineRule="auto"/>
        <w:ind w:left="573" w:right="0"/>
        <w:jc w:val="left"/>
      </w:pPr>
      <w:r>
        <w:rPr>
          <w:rFonts w:ascii="Times New Roman" w:hAnsi="Times New Roman" w:cs="Times New Roman" w:eastAsia="Times New Roman" w:hint="default"/>
        </w:rPr>
        <w:t>1</w:t>
      </w:r>
      <w:r>
        <w:rPr/>
        <w:t>、公司被认定为</w:t>
      </w:r>
      <w:r>
        <w:rPr>
          <w:rFonts w:ascii="Times New Roman" w:hAnsi="Times New Roman" w:cs="Times New Roman" w:eastAsia="Times New Roman" w:hint="default"/>
        </w:rPr>
        <w:t>2011-2012</w:t>
      </w:r>
      <w:r>
        <w:rPr/>
        <w:t>年度国家规划布局内重点软件企业</w:t>
      </w:r>
      <w:r>
        <w:rPr>
          <w:w w:val="100"/>
        </w:rPr>
        <w:t> </w:t>
      </w:r>
      <w:r>
        <w:rPr>
          <w:spacing w:val="-2"/>
        </w:rPr>
        <w:t>根据国家发展和改革委员会、工业和信息化部、财务部、商务部、国家税务总局联合下发的《关于认</w:t>
      </w:r>
    </w:p>
    <w:p>
      <w:pPr>
        <w:pStyle w:val="BodyText"/>
        <w:spacing w:line="386" w:lineRule="auto" w:before="65"/>
        <w:ind w:left="152" w:right="232"/>
        <w:jc w:val="left"/>
      </w:pPr>
      <w:r>
        <w:rPr>
          <w:spacing w:val="-2"/>
        </w:rPr>
        <w:t>定</w:t>
      </w:r>
      <w:r>
        <w:rPr>
          <w:rFonts w:ascii="Times New Roman" w:hAnsi="Times New Roman" w:cs="Times New Roman" w:eastAsia="Times New Roman" w:hint="default"/>
          <w:spacing w:val="-2"/>
        </w:rPr>
        <w:t>2011-2012</w:t>
      </w:r>
      <w:r>
        <w:rPr>
          <w:spacing w:val="-2"/>
        </w:rPr>
        <w:t>年度国家规划布局内重点软件企业和集成电路设计企业的通知》（发改高技</w:t>
      </w:r>
      <w:r>
        <w:rPr>
          <w:rFonts w:ascii="Times New Roman" w:hAnsi="Times New Roman" w:cs="Times New Roman" w:eastAsia="Times New Roman" w:hint="default"/>
          <w:spacing w:val="-2"/>
        </w:rPr>
        <w:t>[2013]234</w:t>
      </w:r>
      <w:r>
        <w:rPr>
          <w:spacing w:val="-2"/>
        </w:rPr>
        <w:t>号），</w:t>
      </w:r>
      <w:r>
        <w:rPr>
          <w:spacing w:val="-8"/>
        </w:rPr>
        <w:t> </w:t>
      </w:r>
      <w:r>
        <w:rPr/>
        <w:t>公司被认定为“</w:t>
      </w:r>
      <w:r>
        <w:rPr>
          <w:rFonts w:ascii="Times New Roman" w:hAnsi="Times New Roman" w:cs="Times New Roman" w:eastAsia="Times New Roman" w:hint="default"/>
        </w:rPr>
        <w:t>2011-2012</w:t>
      </w:r>
      <w:r>
        <w:rPr/>
        <w:t>年度国家规划布局内重点软件企业”。</w:t>
      </w:r>
    </w:p>
    <w:p>
      <w:pPr>
        <w:pStyle w:val="BodyText"/>
        <w:spacing w:line="386" w:lineRule="auto" w:before="35"/>
        <w:ind w:left="152" w:right="146" w:firstLine="420"/>
        <w:jc w:val="both"/>
      </w:pPr>
      <w:r>
        <w:rPr>
          <w:spacing w:val="-2"/>
        </w:rPr>
        <w:t>根据《关于进一步鼓励软件产业和集成电路产业发展企业所得税政策的通知》财税</w:t>
      </w:r>
      <w:r>
        <w:rPr>
          <w:rFonts w:ascii="Times New Roman" w:hAnsi="Times New Roman" w:cs="Times New Roman" w:eastAsia="Times New Roman" w:hint="default"/>
          <w:spacing w:val="-2"/>
        </w:rPr>
        <w:t>[2012]27</w:t>
      </w:r>
      <w:r>
        <w:rPr>
          <w:spacing w:val="-2"/>
        </w:rPr>
        <w:t>号）关于</w:t>
      </w:r>
      <w:r>
        <w:rPr>
          <w:w w:val="100"/>
        </w:rPr>
        <w:t> </w:t>
      </w:r>
      <w:r>
        <w:rPr>
          <w:spacing w:val="-2"/>
        </w:rPr>
        <w:t>“国家规划布局内的重点软件企业和集成电路设计企业，如当年未享受免税优惠的，可减按</w:t>
      </w:r>
      <w:r>
        <w:rPr>
          <w:rFonts w:ascii="Times New Roman" w:hAnsi="Times New Roman" w:cs="Times New Roman" w:eastAsia="Times New Roman" w:hint="default"/>
          <w:spacing w:val="-2"/>
        </w:rPr>
        <w:t>10%</w:t>
      </w:r>
      <w:r>
        <w:rPr>
          <w:spacing w:val="-2"/>
        </w:rPr>
        <w:t>的税率征</w:t>
      </w:r>
      <w:r>
        <w:rPr>
          <w:spacing w:val="-16"/>
        </w:rPr>
        <w:t> </w:t>
      </w:r>
      <w:r>
        <w:rPr>
          <w:spacing w:val="-16"/>
        </w:rPr>
      </w:r>
      <w:r>
        <w:rPr>
          <w:spacing w:val="-2"/>
        </w:rPr>
        <w:t>收企业所得税”的规定，公司</w:t>
      </w:r>
      <w:r>
        <w:rPr>
          <w:rFonts w:ascii="Times New Roman" w:hAnsi="Times New Roman" w:cs="Times New Roman" w:eastAsia="Times New Roman" w:hint="default"/>
          <w:spacing w:val="-2"/>
        </w:rPr>
        <w:t>2011-2012</w:t>
      </w:r>
      <w:r>
        <w:rPr>
          <w:spacing w:val="-2"/>
        </w:rPr>
        <w:t>年度企业所得税税率将由原来的</w:t>
      </w:r>
      <w:r>
        <w:rPr>
          <w:rFonts w:ascii="Times New Roman" w:hAnsi="Times New Roman" w:cs="Times New Roman" w:eastAsia="Times New Roman" w:hint="default"/>
          <w:spacing w:val="-2"/>
        </w:rPr>
        <w:t>15%</w:t>
      </w:r>
      <w:r>
        <w:rPr>
          <w:spacing w:val="-2"/>
        </w:rPr>
        <w:t>调整为</w:t>
      </w:r>
      <w:r>
        <w:rPr>
          <w:rFonts w:ascii="Times New Roman" w:hAnsi="Times New Roman" w:cs="Times New Roman" w:eastAsia="Times New Roman" w:hint="default"/>
          <w:spacing w:val="-2"/>
        </w:rPr>
        <w:t>10%</w:t>
      </w:r>
      <w:r>
        <w:rPr>
          <w:spacing w:val="-2"/>
        </w:rPr>
        <w:t>，公司将尽快到主</w:t>
      </w:r>
      <w:r>
        <w:rPr>
          <w:spacing w:val="-28"/>
        </w:rPr>
        <w:t> </w:t>
      </w:r>
      <w:r>
        <w:rPr>
          <w:spacing w:val="-28"/>
        </w:rPr>
      </w:r>
      <w:r>
        <w:rPr/>
        <w:t>管税务机关申请落实上述税收优惠政策。相关公告已于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日在巨潮资讯网公告。</w:t>
      </w:r>
    </w:p>
    <w:p>
      <w:pPr>
        <w:pStyle w:val="BodyText"/>
        <w:spacing w:line="240" w:lineRule="auto" w:before="35"/>
        <w:ind w:left="573" w:right="0"/>
        <w:jc w:val="left"/>
      </w:pPr>
      <w:r>
        <w:rPr>
          <w:rFonts w:ascii="Times New Roman" w:hAnsi="Times New Roman" w:cs="Times New Roman" w:eastAsia="Times New Roman" w:hint="default"/>
        </w:rPr>
        <w:t>2</w:t>
      </w:r>
      <w:r>
        <w:rPr/>
        <w:t>、使用超募资金购买厦门科技创新园</w:t>
      </w:r>
      <w:r>
        <w:rPr>
          <w:rFonts w:ascii="Times New Roman" w:hAnsi="Times New Roman" w:cs="Times New Roman" w:eastAsia="Times New Roman" w:hint="default"/>
        </w:rPr>
        <w:t>3#</w:t>
      </w:r>
      <w:r>
        <w:rPr/>
        <w:t>研发大楼</w:t>
      </w:r>
    </w:p>
    <w:p>
      <w:pPr>
        <w:pStyle w:val="BodyText"/>
        <w:spacing w:line="386" w:lineRule="auto" w:before="178"/>
        <w:ind w:left="152" w:right="0" w:firstLine="42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日公司第一届董事会第十八次会议审议通过了《关于使用超募资金购买大楼用于建设研</w:t>
      </w:r>
      <w:r>
        <w:rPr>
          <w:w w:val="100"/>
        </w:rPr>
        <w:t> </w:t>
      </w:r>
      <w:r>
        <w:rPr>
          <w:spacing w:val="-2"/>
        </w:rPr>
        <w:t>发生产中心的议案》，公司拟使用超募资金人民币</w:t>
      </w:r>
      <w:r>
        <w:rPr>
          <w:rFonts w:ascii="Times New Roman" w:hAnsi="Times New Roman" w:cs="Times New Roman" w:eastAsia="Times New Roman" w:hint="default"/>
          <w:spacing w:val="-2"/>
        </w:rPr>
        <w:t>16,468.61</w:t>
      </w:r>
      <w:r>
        <w:rPr>
          <w:spacing w:val="-2"/>
        </w:rPr>
        <w:t>万元购买厦门科技创新园</w:t>
      </w:r>
      <w:r>
        <w:rPr>
          <w:rFonts w:ascii="Times New Roman" w:hAnsi="Times New Roman" w:cs="Times New Roman" w:eastAsia="Times New Roman" w:hint="default"/>
          <w:spacing w:val="-2"/>
        </w:rPr>
        <w:t>3#</w:t>
      </w:r>
      <w:r>
        <w:rPr>
          <w:spacing w:val="-2"/>
        </w:rPr>
        <w:t>研发大楼用于建设</w:t>
      </w:r>
      <w:r>
        <w:rPr>
          <w:spacing w:val="-36"/>
        </w:rPr>
        <w:t> </w:t>
      </w:r>
      <w:r>
        <w:rPr>
          <w:spacing w:val="-36"/>
        </w:rPr>
      </w:r>
      <w:r>
        <w:rPr>
          <w:spacing w:val="-2"/>
        </w:rPr>
        <w:t>研发生产中心。</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14</w:t>
      </w:r>
      <w:r>
        <w:rPr>
          <w:spacing w:val="-2"/>
        </w:rPr>
        <w:t>日，公司</w:t>
      </w:r>
      <w:r>
        <w:rPr>
          <w:rFonts w:ascii="Times New Roman" w:hAnsi="Times New Roman" w:cs="Times New Roman" w:eastAsia="Times New Roman" w:hint="default"/>
          <w:spacing w:val="-2"/>
        </w:rPr>
        <w:t>2011</w:t>
      </w:r>
      <w:r>
        <w:rPr>
          <w:spacing w:val="-2"/>
        </w:rPr>
        <w:t>年度股东大会审议通过了上述事项。</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29</w:t>
      </w:r>
      <w:r>
        <w:rPr>
          <w:spacing w:val="-2"/>
        </w:rPr>
        <w:t>日公司与厦门</w:t>
      </w:r>
      <w:r>
        <w:rPr>
          <w:spacing w:val="-30"/>
        </w:rPr>
        <w:t> </w:t>
      </w:r>
      <w:r>
        <w:rPr>
          <w:spacing w:val="-30"/>
        </w:rPr>
      </w:r>
      <w:r>
        <w:rPr>
          <w:spacing w:val="-2"/>
        </w:rPr>
        <w:t>火炬集团有限公司签订了商品房买卖合同，并于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7</w:t>
      </w:r>
      <w:r>
        <w:rPr>
          <w:spacing w:val="-2"/>
        </w:rPr>
        <w:t>日在厦门市房地产交易权籍登记中心完成商品</w:t>
      </w:r>
      <w:r>
        <w:rPr>
          <w:spacing w:val="-40"/>
        </w:rPr>
        <w:t> </w:t>
      </w:r>
      <w:r>
        <w:rPr>
          <w:spacing w:val="-40"/>
        </w:rPr>
      </w:r>
      <w:r>
        <w:rPr>
          <w:spacing w:val="-2"/>
        </w:rPr>
        <w:t>房买卖合同备案登记。</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11</w:t>
      </w:r>
      <w:r>
        <w:rPr>
          <w:spacing w:val="-2"/>
        </w:rPr>
        <w:t>月，大楼主体已经交付，目前正在进行装修设计。详情请查阅公司在巨潮</w:t>
      </w:r>
      <w:r>
        <w:rPr>
          <w:spacing w:val="-45"/>
        </w:rPr>
        <w:t> </w:t>
      </w:r>
      <w:r>
        <w:rPr>
          <w:spacing w:val="-45"/>
        </w:rPr>
      </w:r>
      <w:r>
        <w:rPr/>
        <w:t>资讯网上的相关公告。</w:t>
      </w:r>
    </w:p>
    <w:p>
      <w:pPr>
        <w:spacing w:after="0" w:line="386" w:lineRule="auto"/>
        <w:jc w:val="left"/>
        <w:sectPr>
          <w:footerReference w:type="default" r:id="rId63"/>
          <w:pgSz w:w="11910" w:h="16840"/>
          <w:pgMar w:footer="1227" w:header="877" w:top="1100" w:bottom="1420" w:left="980" w:right="980"/>
          <w:pgNumType w:start="48"/>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2964" w:right="0"/>
        <w:jc w:val="left"/>
        <w:rPr>
          <w:b w:val="0"/>
          <w:bCs w:val="0"/>
        </w:rPr>
      </w:pPr>
      <w:bookmarkStart w:name="_TOC_250004" w:id="5"/>
      <w:r>
        <w:rPr/>
        <w:t>第六节</w:t>
      </w:r>
      <w:r>
        <w:rPr>
          <w:spacing w:val="-6"/>
        </w:rPr>
        <w:t> </w:t>
      </w:r>
      <w:r>
        <w:rPr/>
        <w:t>股份变动及股东情况</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52"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821"/>
        <w:gridCol w:w="1144"/>
        <w:gridCol w:w="744"/>
        <w:gridCol w:w="674"/>
        <w:gridCol w:w="569"/>
        <w:gridCol w:w="992"/>
        <w:gridCol w:w="991"/>
        <w:gridCol w:w="992"/>
        <w:gridCol w:w="994"/>
        <w:gridCol w:w="634"/>
      </w:tblGrid>
      <w:tr>
        <w:trPr>
          <w:trHeight w:val="403" w:hRule="exact"/>
        </w:trPr>
        <w:tc>
          <w:tcPr>
            <w:tcW w:w="1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1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821" w:type="dxa"/>
            <w:vMerge w:val="restart"/>
            <w:tcBorders>
              <w:top w:val="nil" w:sz="6" w:space="0" w:color="auto"/>
              <w:left w:val="single" w:sz="4" w:space="0" w:color="000000"/>
              <w:right w:val="single" w:sz="4" w:space="0" w:color="000000"/>
            </w:tcBorders>
            <w:shd w:val="clear" w:color="auto" w:fill="D2D2D2"/>
          </w:tcPr>
          <w:p>
            <w:pPr/>
          </w:p>
        </w:tc>
        <w:tc>
          <w:tcPr>
            <w:tcW w:w="1144" w:type="dxa"/>
            <w:tcBorders>
              <w:top w:val="single" w:sz="4" w:space="0" w:color="000000"/>
              <w:left w:val="single" w:sz="4" w:space="0" w:color="000000"/>
              <w:bottom w:val="nil" w:sz="6" w:space="0" w:color="auto"/>
              <w:right w:val="single" w:sz="4" w:space="0" w:color="000000"/>
            </w:tcBorders>
            <w:shd w:val="clear" w:color="auto" w:fill="D2D2D2"/>
          </w:tcPr>
          <w:p>
            <w:pPr/>
          </w:p>
        </w:tc>
        <w:tc>
          <w:tcPr>
            <w:tcW w:w="7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42" w:right="60"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569"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77" w:right="0"/>
              <w:jc w:val="left"/>
              <w:rPr>
                <w:rFonts w:ascii="Times New Roman" w:hAnsi="Times New Roman" w:cs="Times New Roman" w:eastAsia="Times New Roman" w:hint="default"/>
                <w:sz w:val="18"/>
                <w:szCs w:val="18"/>
              </w:rPr>
            </w:pPr>
            <w:r>
              <w:rPr>
                <w:rFonts w:ascii="Times New Roman"/>
                <w:sz w:val="18"/>
              </w:rPr>
              <w:t>(%)</w:t>
            </w:r>
          </w:p>
        </w:tc>
      </w:tr>
      <w:tr>
        <w:trPr>
          <w:trHeight w:val="192" w:hRule="exact"/>
        </w:trPr>
        <w:tc>
          <w:tcPr>
            <w:tcW w:w="1821" w:type="dxa"/>
            <w:vMerge/>
            <w:tcBorders>
              <w:left w:val="single" w:sz="4" w:space="0" w:color="000000"/>
              <w:bottom w:val="nil" w:sz="6" w:space="0" w:color="auto"/>
              <w:right w:val="single" w:sz="4" w:space="0" w:color="000000"/>
            </w:tcBorders>
            <w:shd w:val="clear" w:color="auto" w:fill="D2D2D2"/>
          </w:tcPr>
          <w:p>
            <w:pPr/>
          </w:p>
        </w:tc>
        <w:tc>
          <w:tcPr>
            <w:tcW w:w="11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674" w:type="dxa"/>
            <w:vMerge/>
            <w:tcBorders>
              <w:left w:val="single" w:sz="4" w:space="0" w:color="000000"/>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634" w:type="dxa"/>
            <w:vMerge/>
            <w:tcBorders>
              <w:left w:val="single" w:sz="4" w:space="0" w:color="000000"/>
              <w:right w:val="single" w:sz="4" w:space="0" w:color="000000"/>
            </w:tcBorders>
            <w:shd w:val="clear" w:color="auto" w:fill="D2D2D2"/>
          </w:tcPr>
          <w:p>
            <w:pPr/>
          </w:p>
        </w:tc>
      </w:tr>
      <w:tr>
        <w:trPr>
          <w:trHeight w:val="199" w:hRule="exact"/>
        </w:trPr>
        <w:tc>
          <w:tcPr>
            <w:tcW w:w="1821" w:type="dxa"/>
            <w:vMerge w:val="restart"/>
            <w:tcBorders>
              <w:top w:val="nil" w:sz="6" w:space="0" w:color="auto"/>
              <w:left w:val="single" w:sz="4" w:space="0" w:color="000000"/>
              <w:right w:val="single" w:sz="4" w:space="0" w:color="000000"/>
            </w:tcBorders>
            <w:shd w:val="clear" w:color="auto" w:fill="D2D2D2"/>
          </w:tcPr>
          <w:p>
            <w:pPr/>
          </w:p>
        </w:tc>
        <w:tc>
          <w:tcPr>
            <w:tcW w:w="1144" w:type="dxa"/>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634" w:type="dxa"/>
            <w:vMerge/>
            <w:tcBorders>
              <w:left w:val="single" w:sz="4" w:space="0" w:color="000000"/>
              <w:right w:val="single" w:sz="4" w:space="0" w:color="000000"/>
            </w:tcBorders>
            <w:shd w:val="clear" w:color="auto" w:fill="D2D2D2"/>
          </w:tcPr>
          <w:p>
            <w:pPr/>
          </w:p>
        </w:tc>
      </w:tr>
      <w:tr>
        <w:trPr>
          <w:trHeight w:val="161" w:hRule="exact"/>
        </w:trPr>
        <w:tc>
          <w:tcPr>
            <w:tcW w:w="1821" w:type="dxa"/>
            <w:vMerge/>
            <w:tcBorders>
              <w:left w:val="single" w:sz="4" w:space="0" w:color="000000"/>
              <w:bottom w:val="single" w:sz="4" w:space="0" w:color="000000"/>
              <w:right w:val="single" w:sz="4" w:space="0" w:color="000000"/>
            </w:tcBorders>
            <w:shd w:val="clear" w:color="auto" w:fill="D2D2D2"/>
          </w:tcPr>
          <w:p>
            <w:pPr/>
          </w:p>
        </w:tc>
        <w:tc>
          <w:tcPr>
            <w:tcW w:w="1144" w:type="dxa"/>
            <w:tcBorders>
              <w:top w:val="nil" w:sz="6" w:space="0" w:color="auto"/>
              <w:left w:val="single" w:sz="4" w:space="0" w:color="000000"/>
              <w:bottom w:val="single" w:sz="4" w:space="0" w:color="000000"/>
              <w:right w:val="single" w:sz="4" w:space="0" w:color="000000"/>
            </w:tcBorders>
            <w:shd w:val="clear" w:color="auto" w:fill="D2D2D2"/>
          </w:tcPr>
          <w:p>
            <w:pPr/>
          </w:p>
        </w:tc>
        <w:tc>
          <w:tcPr>
            <w:tcW w:w="7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569"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34"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74.77%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3,906,600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43,906,600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83,906,600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75.66%</w:t>
            </w: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24,400,000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45.61%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3,826,600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28,226,600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52,626,600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47.45%</w:t>
            </w: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14.95%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14.43%</w:t>
            </w: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16,400,000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30.65%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3,826,600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20,226,600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36,626,600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33.02%</w:t>
            </w: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15,600,000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29.16%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15,680,000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31,280,000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w:t>
            </w: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15,600,000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29.16%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15,680,000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31,280,000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w:t>
            </w: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13,500,000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25.23%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27,000,000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24.34%</w:t>
            </w: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13,500,000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25.23%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27,000,000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24.34%</w:t>
            </w: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53,500,000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3,906,600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57,406,600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110,906,600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日，公司完成了</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年度权益分派的实施，总股本由</w:t>
      </w:r>
      <w:r>
        <w:rPr>
          <w:rFonts w:ascii="Times New Roman" w:hAnsi="Times New Roman" w:cs="Times New Roman" w:eastAsia="Times New Roman" w:hint="default"/>
          <w:sz w:val="18"/>
          <w:szCs w:val="18"/>
        </w:rPr>
        <w:t>5,350</w:t>
      </w:r>
      <w:r>
        <w:rPr>
          <w:rFonts w:ascii="宋体" w:hAnsi="宋体" w:cs="宋体" w:eastAsia="宋体" w:hint="default"/>
          <w:sz w:val="18"/>
          <w:szCs w:val="18"/>
        </w:rPr>
        <w:t>万股增加为</w:t>
      </w:r>
      <w:r>
        <w:rPr>
          <w:rFonts w:ascii="Times New Roman" w:hAnsi="Times New Roman" w:cs="Times New Roman" w:eastAsia="Times New Roman" w:hint="default"/>
          <w:sz w:val="18"/>
          <w:szCs w:val="18"/>
        </w:rPr>
        <w:t>10,700</w:t>
      </w:r>
      <w:r>
        <w:rPr>
          <w:rFonts w:ascii="宋体" w:hAnsi="宋体" w:cs="宋体" w:eastAsia="宋体" w:hint="default"/>
          <w:sz w:val="18"/>
          <w:szCs w:val="18"/>
        </w:rPr>
        <w:t>万股。</w:t>
      </w:r>
    </w:p>
    <w:p>
      <w:pPr>
        <w:spacing w:before="63"/>
        <w:ind w:left="152"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日，公司完成了限制性股票激励计划中首批</w:t>
      </w:r>
      <w:r>
        <w:rPr>
          <w:rFonts w:ascii="Times New Roman" w:hAnsi="Times New Roman" w:cs="Times New Roman" w:eastAsia="Times New Roman" w:hint="default"/>
          <w:sz w:val="18"/>
          <w:szCs w:val="18"/>
        </w:rPr>
        <w:t>390.66</w:t>
      </w:r>
      <w:r>
        <w:rPr>
          <w:rFonts w:ascii="宋体" w:hAnsi="宋体" w:cs="宋体" w:eastAsia="宋体" w:hint="default"/>
          <w:sz w:val="18"/>
          <w:szCs w:val="18"/>
        </w:rPr>
        <w:t>万股限制性股票的授予，本次授予股票的上市日期为</w:t>
      </w:r>
      <w:r>
        <w:rPr>
          <w:rFonts w:ascii="Times New Roman" w:hAnsi="Times New Roman" w:cs="Times New Roman" w:eastAsia="Times New Roman" w:hint="default"/>
          <w:sz w:val="18"/>
          <w:szCs w:val="18"/>
        </w:rPr>
        <w:t>2012</w:t>
      </w:r>
    </w:p>
    <w:p>
      <w:pPr>
        <w:spacing w:line="340" w:lineRule="auto" w:before="63"/>
        <w:ind w:left="152" w:right="1989" w:firstLine="0"/>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日。由于本次限制性股票授予工作的完成实施，总股本由</w:t>
      </w:r>
      <w:r>
        <w:rPr>
          <w:rFonts w:ascii="Times New Roman" w:hAnsi="Times New Roman" w:cs="Times New Roman" w:eastAsia="Times New Roman" w:hint="default"/>
          <w:sz w:val="18"/>
          <w:szCs w:val="18"/>
        </w:rPr>
        <w:t>10,700</w:t>
      </w:r>
      <w:r>
        <w:rPr>
          <w:rFonts w:ascii="宋体" w:hAnsi="宋体" w:cs="宋体" w:eastAsia="宋体" w:hint="default"/>
          <w:sz w:val="18"/>
          <w:szCs w:val="18"/>
        </w:rPr>
        <w:t>万股增加为</w:t>
      </w:r>
      <w:r>
        <w:rPr>
          <w:rFonts w:ascii="Times New Roman" w:hAnsi="Times New Roman" w:cs="Times New Roman" w:eastAsia="Times New Roman" w:hint="default"/>
          <w:sz w:val="18"/>
          <w:szCs w:val="18"/>
        </w:rPr>
        <w:t>11,090.66</w:t>
      </w:r>
      <w:r>
        <w:rPr>
          <w:rFonts w:ascii="宋体" w:hAnsi="宋体" w:cs="宋体" w:eastAsia="宋体" w:hint="default"/>
          <w:sz w:val="18"/>
          <w:szCs w:val="18"/>
        </w:rPr>
        <w:t>万股。 股份变动的批准情况：</w:t>
      </w:r>
    </w:p>
    <w:p>
      <w:pPr>
        <w:spacing w:before="39"/>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58"/>
          <w:sz w:val="18"/>
          <w:szCs w:val="18"/>
        </w:rPr>
        <w:t> </w:t>
      </w:r>
      <w:r>
        <w:rPr>
          <w:rFonts w:ascii="宋体" w:hAnsi="宋体" w:cs="宋体" w:eastAsia="宋体" w:hint="default"/>
          <w:sz w:val="18"/>
          <w:szCs w:val="18"/>
        </w:rPr>
        <w:t>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年度权益分派事项分别于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经公司第一届董事会第十八次会议审议通过和</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日经</w:t>
      </w:r>
    </w:p>
    <w:p>
      <w:pPr>
        <w:spacing w:before="63"/>
        <w:ind w:left="424" w:right="0" w:firstLine="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年度股东大会批准后实施。</w:t>
      </w:r>
    </w:p>
    <w:p>
      <w:pPr>
        <w:spacing w:line="300" w:lineRule="auto" w:before="101"/>
        <w:ind w:left="424" w:right="0" w:hanging="27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57"/>
          <w:sz w:val="18"/>
          <w:szCs w:val="18"/>
        </w:rPr>
        <w:t> </w:t>
      </w:r>
      <w:r>
        <w:rPr>
          <w:rFonts w:ascii="宋体" w:hAnsi="宋体" w:cs="宋体" w:eastAsia="宋体" w:hint="default"/>
          <w:sz w:val="18"/>
          <w:szCs w:val="18"/>
        </w:rPr>
        <w:t>公司限制性股票激励计划于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月经中国证监会无异议备案，并于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日经公司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股东大会审议通过后实施。</w:t>
      </w:r>
    </w:p>
    <w:p>
      <w:pPr>
        <w:spacing w:before="72"/>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after="0"/>
        <w:jc w:val="left"/>
        <w:rPr>
          <w:rFonts w:ascii="宋体" w:hAnsi="宋体" w:cs="宋体" w:eastAsia="宋体" w:hint="default"/>
          <w:sz w:val="18"/>
          <w:szCs w:val="18"/>
        </w:rPr>
        <w:sectPr>
          <w:pgSz w:w="11910" w:h="16840"/>
          <w:pgMar w:header="877" w:footer="1227" w:top="1100" w:bottom="1420" w:left="980" w:right="980"/>
        </w:sectPr>
      </w:pPr>
    </w:p>
    <w:p>
      <w:pPr>
        <w:spacing w:line="240" w:lineRule="auto" w:before="11"/>
        <w:rPr>
          <w:rFonts w:ascii="宋体" w:hAnsi="宋体" w:cs="宋体" w:eastAsia="宋体" w:hint="default"/>
          <w:sz w:val="21"/>
          <w:szCs w:val="21"/>
        </w:rPr>
      </w:pPr>
    </w:p>
    <w:p>
      <w:pPr>
        <w:spacing w:line="307" w:lineRule="auto" w:before="44"/>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日完成了</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年度权益分派资本公积金转增股份的登记工作，公司总股本由</w:t>
      </w:r>
      <w:r>
        <w:rPr>
          <w:rFonts w:ascii="Times New Roman" w:hAnsi="Times New Roman" w:cs="Times New Roman" w:eastAsia="Times New Roman" w:hint="default"/>
          <w:sz w:val="18"/>
          <w:szCs w:val="18"/>
        </w:rPr>
        <w:t>5,350</w:t>
      </w:r>
      <w:r>
        <w:rPr>
          <w:rFonts w:ascii="宋体" w:hAnsi="宋体" w:cs="宋体" w:eastAsia="宋体" w:hint="default"/>
          <w:sz w:val="18"/>
          <w:szCs w:val="18"/>
        </w:rPr>
        <w:t>万股增加为</w:t>
      </w:r>
      <w:r>
        <w:rPr>
          <w:rFonts w:ascii="Times New Roman" w:hAnsi="Times New Roman" w:cs="Times New Roman" w:eastAsia="Times New Roman" w:hint="default"/>
          <w:sz w:val="18"/>
          <w:szCs w:val="18"/>
        </w:rPr>
        <w:t>10,700</w:t>
      </w:r>
      <w:r>
        <w:rPr>
          <w:rFonts w:ascii="宋体" w:hAnsi="宋体" w:cs="宋体" w:eastAsia="宋体" w:hint="default"/>
          <w:sz w:val="18"/>
          <w:szCs w:val="18"/>
        </w:rPr>
        <w:t>万 股。 </w:t>
      </w:r>
      <w:r>
        <w:rPr>
          <w:rFonts w:ascii="Times New Roman" w:hAnsi="Times New Roman" w:cs="Times New Roman" w:eastAsia="Times New Roman" w:hint="default"/>
          <w:sz w:val="18"/>
          <w:szCs w:val="18"/>
        </w:rPr>
        <w:t>2</w:t>
      </w: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日完成了首批授予的</w:t>
      </w:r>
      <w:r>
        <w:rPr>
          <w:rFonts w:ascii="Times New Roman" w:hAnsi="Times New Roman" w:cs="Times New Roman" w:eastAsia="Times New Roman" w:hint="default"/>
          <w:sz w:val="18"/>
          <w:szCs w:val="18"/>
        </w:rPr>
        <w:t>390.66</w:t>
      </w:r>
      <w:r>
        <w:rPr>
          <w:rFonts w:ascii="宋体" w:hAnsi="宋体" w:cs="宋体" w:eastAsia="宋体" w:hint="default"/>
          <w:sz w:val="18"/>
          <w:szCs w:val="18"/>
        </w:rPr>
        <w:t>万股限制性股票的登记工作，公司总股本由</w:t>
      </w:r>
      <w:r>
        <w:rPr>
          <w:rFonts w:ascii="Times New Roman" w:hAnsi="Times New Roman" w:cs="Times New Roman" w:eastAsia="Times New Roman" w:hint="default"/>
          <w:sz w:val="18"/>
          <w:szCs w:val="18"/>
        </w:rPr>
        <w:t>10,700</w:t>
      </w:r>
      <w:r>
        <w:rPr>
          <w:rFonts w:ascii="宋体" w:hAnsi="宋体" w:cs="宋体" w:eastAsia="宋体" w:hint="default"/>
          <w:sz w:val="18"/>
          <w:szCs w:val="18"/>
        </w:rPr>
        <w:t>万股增加为</w:t>
      </w:r>
      <w:r>
        <w:rPr>
          <w:rFonts w:ascii="Times New Roman" w:hAnsi="Times New Roman" w:cs="Times New Roman" w:eastAsia="Times New Roman" w:hint="default"/>
          <w:sz w:val="18"/>
          <w:szCs w:val="18"/>
        </w:rPr>
        <w:t>11,090.66</w:t>
      </w:r>
      <w:r>
        <w:rPr>
          <w:rFonts w:ascii="宋体" w:hAnsi="宋体" w:cs="宋体" w:eastAsia="宋体" w:hint="default"/>
          <w:sz w:val="18"/>
          <w:szCs w:val="18"/>
        </w:rPr>
        <w:t>万 股。</w:t>
      </w:r>
    </w:p>
    <w:p>
      <w:pPr>
        <w:spacing w:line="340" w:lineRule="auto" w:before="26"/>
        <w:ind w:left="152" w:right="2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日完成了上述股份变动的工商变更登记工作。 股份变动对最近一年和最近一期基本每股收益和稀释每股收益、归属于公司普通股股东的每股净资产等财务指标的影响：</w:t>
      </w:r>
    </w:p>
    <w:p>
      <w:pPr>
        <w:spacing w:before="39"/>
        <w:ind w:left="152" w:right="0" w:firstLine="0"/>
        <w:jc w:val="left"/>
        <w:rPr>
          <w:rFonts w:ascii="宋体" w:hAnsi="宋体" w:cs="宋体" w:eastAsia="宋体" w:hint="default"/>
          <w:sz w:val="18"/>
          <w:szCs w:val="18"/>
        </w:rPr>
      </w:pP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7"/>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8"/>
          <w:sz w:val="18"/>
          <w:szCs w:val="18"/>
        </w:rPr>
        <w:t>，</w:t>
      </w:r>
      <w:r>
        <w:rPr>
          <w:rFonts w:ascii="宋体" w:hAnsi="宋体" w:cs="宋体" w:eastAsia="宋体" w:hint="default"/>
          <w:sz w:val="18"/>
          <w:szCs w:val="18"/>
        </w:rPr>
        <w:t>公司实施了</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年度资本公积转增股本方</w:t>
      </w:r>
      <w:r>
        <w:rPr>
          <w:rFonts w:ascii="宋体" w:hAnsi="宋体" w:cs="宋体" w:eastAsia="宋体" w:hint="default"/>
          <w:spacing w:val="-8"/>
          <w:sz w:val="18"/>
          <w:szCs w:val="18"/>
        </w:rPr>
        <w:t>案</w:t>
      </w:r>
      <w:r>
        <w:rPr>
          <w:rFonts w:ascii="宋体" w:hAnsi="宋体" w:cs="宋体" w:eastAsia="宋体" w:hint="default"/>
          <w:spacing w:val="2"/>
          <w:sz w:val="18"/>
          <w:szCs w:val="18"/>
        </w:rPr>
        <w:t>（</w:t>
      </w: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3"/>
          <w:sz w:val="18"/>
          <w:szCs w:val="18"/>
        </w:rPr>
        <w:t>转</w:t>
      </w:r>
      <w:r>
        <w:rPr>
          <w:rFonts w:ascii="宋体" w:hAnsi="宋体" w:cs="宋体" w:eastAsia="宋体" w:hint="default"/>
          <w:sz w:val="18"/>
          <w:szCs w:val="18"/>
        </w:rPr>
        <w:t>增</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根据可比性原则</w:t>
      </w:r>
      <w:r>
        <w:rPr>
          <w:rFonts w:ascii="宋体" w:hAnsi="宋体" w:cs="宋体" w:eastAsia="宋体" w:hint="default"/>
          <w:spacing w:val="-8"/>
          <w:sz w:val="18"/>
          <w:szCs w:val="18"/>
        </w:rPr>
        <w:t>，</w:t>
      </w:r>
      <w:r>
        <w:rPr>
          <w:rFonts w:ascii="宋体" w:hAnsi="宋体" w:cs="宋体" w:eastAsia="宋体" w:hint="default"/>
          <w:sz w:val="18"/>
          <w:szCs w:val="18"/>
        </w:rPr>
        <w:t>上年同期基本每股</w:t>
      </w:r>
      <w:r>
        <w:rPr>
          <w:rFonts w:ascii="宋体" w:hAnsi="宋体" w:cs="宋体" w:eastAsia="宋体" w:hint="default"/>
          <w:spacing w:val="2"/>
          <w:sz w:val="18"/>
          <w:szCs w:val="18"/>
        </w:rPr>
        <w:t>收</w:t>
      </w:r>
      <w:r>
        <w:rPr>
          <w:rFonts w:ascii="宋体" w:hAnsi="宋体" w:cs="宋体" w:eastAsia="宋体" w:hint="default"/>
          <w:sz w:val="18"/>
          <w:szCs w:val="18"/>
        </w:rPr>
        <w:t>益</w:t>
      </w:r>
    </w:p>
    <w:p>
      <w:pPr>
        <w:spacing w:before="63"/>
        <w:ind w:left="15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按调整后股本总额重新计算列报。</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年度公司基本每股收益</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0.72</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元，较去年同期</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元增长</w:t>
      </w:r>
      <w:r>
        <w:rPr>
          <w:rFonts w:ascii="宋体" w:hAnsi="宋体" w:cs="宋体" w:eastAsia="宋体" w:hint="default"/>
          <w:spacing w:val="-51"/>
          <w:sz w:val="18"/>
          <w:szCs w:val="18"/>
        </w:rPr>
        <w:t> </w:t>
      </w:r>
      <w:r>
        <w:rPr>
          <w:rFonts w:ascii="Times New Roman" w:hAnsi="Times New Roman" w:cs="Times New Roman" w:eastAsia="Times New Roman" w:hint="default"/>
          <w:spacing w:val="-3"/>
          <w:sz w:val="18"/>
          <w:szCs w:val="18"/>
        </w:rPr>
        <w:t>18.03%</w:t>
      </w:r>
      <w:r>
        <w:rPr>
          <w:rFonts w:ascii="宋体" w:hAnsi="宋体" w:cs="宋体" w:eastAsia="宋体" w:hint="default"/>
          <w:spacing w:val="-3"/>
          <w:sz w:val="18"/>
          <w:szCs w:val="18"/>
        </w:rPr>
        <w:t>；稀释每股收益</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0.72</w:t>
      </w:r>
    </w:p>
    <w:p>
      <w:pPr>
        <w:spacing w:before="63"/>
        <w:ind w:left="152" w:right="0" w:firstLine="0"/>
        <w:jc w:val="left"/>
        <w:rPr>
          <w:rFonts w:ascii="宋体" w:hAnsi="宋体" w:cs="宋体" w:eastAsia="宋体" w:hint="default"/>
          <w:sz w:val="18"/>
          <w:szCs w:val="18"/>
        </w:rPr>
      </w:pPr>
      <w:r>
        <w:rPr>
          <w:rFonts w:ascii="宋体" w:hAnsi="宋体" w:cs="宋体" w:eastAsia="宋体" w:hint="default"/>
          <w:sz w:val="18"/>
          <w:szCs w:val="18"/>
        </w:rPr>
        <w:t>元，较去年同期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18.03%</w:t>
      </w:r>
      <w:r>
        <w:rPr>
          <w:rFonts w:ascii="宋体" w:hAnsi="宋体" w:cs="宋体" w:eastAsia="宋体" w:hint="default"/>
          <w:sz w:val="18"/>
          <w:szCs w:val="18"/>
        </w:rPr>
        <w:t>。</w:t>
      </w:r>
    </w:p>
    <w:p>
      <w:pPr>
        <w:spacing w:before="103"/>
        <w:ind w:left="152"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年，公司归属于上市公司股东的每股净资产</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元较去年同期</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12.59</w:t>
      </w:r>
      <w:r>
        <w:rPr>
          <w:rFonts w:ascii="Times New Roman" w:hAnsi="Times New Roman" w:cs="Times New Roman" w:eastAsia="Times New Roman" w:hint="default"/>
          <w:spacing w:val="-3"/>
          <w:sz w:val="18"/>
          <w:szCs w:val="18"/>
        </w:rPr>
        <w:t> </w:t>
      </w:r>
      <w:r>
        <w:rPr>
          <w:rFonts w:ascii="宋体" w:hAnsi="宋体" w:cs="宋体" w:eastAsia="宋体" w:hint="default"/>
          <w:spacing w:val="-9"/>
          <w:sz w:val="18"/>
          <w:szCs w:val="18"/>
        </w:rPr>
        <w:t>元，减少</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44.24%</w:t>
      </w:r>
      <w:r>
        <w:rPr>
          <w:rFonts w:ascii="宋体" w:hAnsi="宋体" w:cs="宋体" w:eastAsia="宋体" w:hint="default"/>
          <w:spacing w:val="-3"/>
          <w:sz w:val="18"/>
          <w:szCs w:val="18"/>
        </w:rPr>
        <w:t>。主要是由于公司实施了</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p>
    <w:p>
      <w:pPr>
        <w:spacing w:line="338" w:lineRule="auto" w:before="63"/>
        <w:ind w:left="152" w:right="2040" w:firstLine="0"/>
        <w:jc w:val="left"/>
        <w:rPr>
          <w:rFonts w:ascii="宋体" w:hAnsi="宋体" w:cs="宋体" w:eastAsia="宋体" w:hint="default"/>
          <w:sz w:val="18"/>
          <w:szCs w:val="18"/>
        </w:rPr>
      </w:pPr>
      <w:r>
        <w:rPr>
          <w:rFonts w:ascii="宋体" w:hAnsi="宋体" w:cs="宋体" w:eastAsia="宋体" w:hint="default"/>
          <w:sz w:val="18"/>
          <w:szCs w:val="18"/>
        </w:rPr>
        <w:t>年度资本公积转增股本方案（每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股）及股权激励计划，合计增加股本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5,740.66 </w:t>
      </w:r>
      <w:r>
        <w:rPr>
          <w:rFonts w:ascii="宋体" w:hAnsi="宋体" w:cs="宋体" w:eastAsia="宋体" w:hint="default"/>
          <w:sz w:val="18"/>
          <w:szCs w:val="18"/>
        </w:rPr>
        <w:t>万股。 公司认为必要或证券监管机构要求披露的其他内容</w:t>
      </w:r>
    </w:p>
    <w:p>
      <w:pPr>
        <w:spacing w:before="43"/>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left="152"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268"/>
        <w:gridCol w:w="1136"/>
        <w:gridCol w:w="991"/>
        <w:gridCol w:w="1076"/>
        <w:gridCol w:w="1368"/>
        <w:gridCol w:w="1366"/>
        <w:gridCol w:w="1368"/>
      </w:tblGrid>
      <w:tr>
        <w:trPr>
          <w:trHeight w:val="71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73" w:right="111" w:hanging="361"/>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0" w:right="38"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63" w:right="81"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郭永芳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发行前限售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2014.03.16</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广州通连投资咨询有限公司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发行前限售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2014.03.16</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李国林</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发行前限售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2014.03.16</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刘祥南</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发行前限售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2014.03.16</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郭泓</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发行前限售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2014.03.16</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申强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发行前限售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2014.03.16</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申强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股权激励限售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2013.07.06</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丛艳芬</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发行前限售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2014.03.16</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丛艳芬</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股权激励限售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2013.07.06</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张雪峰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发行前限售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2014.03.16</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张雪峰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股权激励限售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2013.07.06</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吴鸿伟</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发行前限售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2014.03.16</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吴鸿伟</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股权激励限售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2013.07.06</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发行前限售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2014.03.16</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股权激励限售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2013.07.06</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发行前限售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2014.03.16</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股权激励限售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2013.07.06</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黄基鹏</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发行前限售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2014.03.16</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黄基鹏</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股权激励限售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2013.07.06</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27" w:top="1100" w:bottom="1420" w:left="980" w:right="98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2268"/>
        <w:gridCol w:w="1136"/>
        <w:gridCol w:w="991"/>
        <w:gridCol w:w="1076"/>
        <w:gridCol w:w="1368"/>
        <w:gridCol w:w="1366"/>
        <w:gridCol w:w="1368"/>
      </w:tblGrid>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杨爱国</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发行前限售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2014.03.16</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张乃军</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发行前限售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2014.03.16</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张乃军</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股权激励限售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2013.07.06</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栾江霞</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发行前限售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2014.03.16</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栾江霞</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股权激励限售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2013.07.06</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发行前限售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2014.03.16</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王斌</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股权激励限售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2013.07.06</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吴世雄</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股权激励限售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2013.07.06</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中层管理人员及核心技术</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（业务）人员 </w:t>
            </w:r>
            <w:r>
              <w:rPr>
                <w:rFonts w:ascii="Times New Roman" w:hAnsi="Times New Roman" w:cs="Times New Roman" w:eastAsia="Times New Roman" w:hint="default"/>
                <w:sz w:val="18"/>
                <w:szCs w:val="18"/>
              </w:rPr>
              <w:t>(190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人</w:t>
            </w:r>
            <w:r>
              <w:rPr>
                <w:rFonts w:ascii="Times New Roman" w:hAnsi="Times New Roman" w:cs="Times New Roman" w:eastAsia="Times New Roman" w:hint="default"/>
                <w:sz w:val="18"/>
                <w:szCs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3,026,600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3,026,600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股权激励限售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2013.07.06</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43,906,600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83,906,600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52" w:right="0"/>
        <w:jc w:val="left"/>
        <w:rPr>
          <w:b w:val="0"/>
          <w:bCs w:val="0"/>
        </w:rPr>
      </w:pPr>
      <w:r>
        <w:rPr>
          <w:rFonts w:ascii="Times New Roman" w:hAnsi="Times New Roman" w:cs="Times New Roman" w:eastAsia="Times New Roman" w:hint="default"/>
        </w:rPr>
        <w:t>1</w:t>
      </w:r>
      <w:r>
        <w:rPr/>
        <w:t>、报告期内证券发行情况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68"/>
        <w:gridCol w:w="1753"/>
        <w:gridCol w:w="982"/>
        <w:gridCol w:w="1366"/>
        <w:gridCol w:w="1620"/>
        <w:gridCol w:w="1117"/>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6"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11"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7"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3" w:right="101" w:hanging="180"/>
              <w:jc w:val="left"/>
              <w:rPr>
                <w:rFonts w:ascii="宋体" w:hAnsi="宋体" w:cs="宋体" w:eastAsia="宋体" w:hint="default"/>
                <w:sz w:val="18"/>
                <w:szCs w:val="18"/>
              </w:rPr>
            </w:pPr>
            <w:r>
              <w:rPr>
                <w:rFonts w:ascii="宋体" w:hAnsi="宋体" w:cs="宋体" w:eastAsia="宋体" w:hint="default"/>
                <w:sz w:val="18"/>
                <w:szCs w:val="18"/>
              </w:rPr>
              <w:t>获准上市交 易数量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4" w:right="0"/>
              <w:jc w:val="left"/>
              <w:rPr>
                <w:rFonts w:ascii="Times New Roman" w:hAnsi="Times New Roman" w:cs="Times New Roman" w:eastAsia="Times New Roman" w:hint="default"/>
                <w:sz w:val="18"/>
                <w:szCs w:val="18"/>
              </w:rPr>
            </w:pPr>
            <w:r>
              <w:rPr>
                <w:rFonts w:ascii="Times New Roman"/>
                <w:sz w:val="18"/>
              </w:rPr>
              <w:t>3,906,600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53"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权证类</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53"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证券发行情况的说明：</w:t>
      </w:r>
    </w:p>
    <w:p>
      <w:pPr>
        <w:spacing w:line="300" w:lineRule="auto" w:before="115"/>
        <w:ind w:left="152" w:right="0" w:firstLine="0"/>
        <w:jc w:val="left"/>
        <w:rPr>
          <w:rFonts w:ascii="宋体" w:hAnsi="宋体" w:cs="宋体" w:eastAsia="宋体" w:hint="default"/>
          <w:sz w:val="18"/>
          <w:szCs w:val="18"/>
        </w:rPr>
      </w:pPr>
      <w:r>
        <w:rPr>
          <w:rFonts w:ascii="宋体" w:hAnsi="宋体" w:cs="宋体" w:eastAsia="宋体" w:hint="default"/>
          <w:spacing w:val="-1"/>
          <w:sz w:val="18"/>
          <w:szCs w:val="18"/>
        </w:rPr>
        <w:t>报告期内，公司实施了限制性股票激励计划，于</w:t>
      </w: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7</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日完成了首批激励对象共计</w:t>
      </w:r>
      <w:r>
        <w:rPr>
          <w:rFonts w:ascii="Times New Roman" w:hAnsi="Times New Roman" w:cs="Times New Roman" w:eastAsia="Times New Roman" w:hint="default"/>
          <w:spacing w:val="-1"/>
          <w:sz w:val="18"/>
          <w:szCs w:val="18"/>
        </w:rPr>
        <w:t>390.66</w:t>
      </w:r>
      <w:r>
        <w:rPr>
          <w:rFonts w:ascii="宋体" w:hAnsi="宋体" w:cs="宋体" w:eastAsia="宋体" w:hint="default"/>
          <w:spacing w:val="-1"/>
          <w:sz w:val="18"/>
          <w:szCs w:val="18"/>
        </w:rPr>
        <w:t>万股限制性股票的授予，本次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授予股票的上市日期为</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日。详情请查阅公司在巨潮资讯网上的相关公告。</w:t>
      </w:r>
    </w:p>
    <w:p>
      <w:pPr>
        <w:spacing w:line="240" w:lineRule="auto" w:before="4"/>
        <w:rPr>
          <w:rFonts w:ascii="宋体" w:hAnsi="宋体" w:cs="宋体" w:eastAsia="宋体" w:hint="default"/>
          <w:sz w:val="22"/>
          <w:szCs w:val="22"/>
        </w:rPr>
      </w:pPr>
    </w:p>
    <w:p>
      <w:pPr>
        <w:pStyle w:val="Heading3"/>
        <w:spacing w:line="240" w:lineRule="auto"/>
        <w:ind w:left="152"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30"/>
          <w:szCs w:val="30"/>
        </w:rPr>
      </w:pPr>
    </w:p>
    <w:p>
      <w:pPr>
        <w:pStyle w:val="BodyText"/>
        <w:spacing w:line="386" w:lineRule="auto"/>
        <w:ind w:left="152" w:right="151" w:firstLine="420"/>
        <w:jc w:val="both"/>
      </w:pPr>
      <w:r>
        <w:rPr>
          <w:spacing w:val="-2"/>
        </w:rPr>
        <w:t>报告期内，由于公司实施</w:t>
      </w:r>
      <w:r>
        <w:rPr>
          <w:rFonts w:ascii="Times New Roman" w:hAnsi="Times New Roman" w:cs="Times New Roman" w:eastAsia="Times New Roman" w:hint="default"/>
          <w:spacing w:val="-2"/>
        </w:rPr>
        <w:t>2011</w:t>
      </w:r>
      <w:r>
        <w:rPr>
          <w:spacing w:val="-2"/>
        </w:rPr>
        <w:t>年度利润分配方案，以资本公积金转增股本（</w:t>
      </w:r>
      <w:r>
        <w:rPr>
          <w:rFonts w:ascii="Times New Roman" w:hAnsi="Times New Roman" w:cs="Times New Roman" w:eastAsia="Times New Roman" w:hint="default"/>
          <w:spacing w:val="-2"/>
        </w:rPr>
        <w:t>10</w:t>
      </w:r>
      <w:r>
        <w:rPr>
          <w:spacing w:val="-2"/>
        </w:rPr>
        <w:t>转</w:t>
      </w:r>
      <w:r>
        <w:rPr>
          <w:rFonts w:ascii="Times New Roman" w:hAnsi="Times New Roman" w:cs="Times New Roman" w:eastAsia="Times New Roman" w:hint="default"/>
          <w:spacing w:val="-2"/>
        </w:rPr>
        <w:t>10</w:t>
      </w:r>
      <w:r>
        <w:rPr>
          <w:spacing w:val="-2"/>
        </w:rPr>
        <w:t>），以及公司限制</w:t>
      </w:r>
      <w:r>
        <w:rPr>
          <w:w w:val="100"/>
        </w:rPr>
        <w:t> </w:t>
      </w:r>
      <w:r>
        <w:rPr>
          <w:spacing w:val="-2"/>
        </w:rPr>
        <w:t>性股票激励计划首批</w:t>
      </w:r>
      <w:r>
        <w:rPr>
          <w:rFonts w:ascii="Times New Roman" w:hAnsi="Times New Roman" w:cs="Times New Roman" w:eastAsia="Times New Roman" w:hint="default"/>
          <w:spacing w:val="-2"/>
        </w:rPr>
        <w:t>390.66</w:t>
      </w:r>
      <w:r>
        <w:rPr>
          <w:spacing w:val="-2"/>
        </w:rPr>
        <w:t>万股限制性股票的授予，公司总股本由</w:t>
      </w:r>
      <w:r>
        <w:rPr>
          <w:rFonts w:ascii="Times New Roman" w:hAnsi="Times New Roman" w:cs="Times New Roman" w:eastAsia="Times New Roman" w:hint="default"/>
          <w:spacing w:val="-2"/>
        </w:rPr>
        <w:t>5,350</w:t>
      </w:r>
      <w:r>
        <w:rPr>
          <w:spacing w:val="-2"/>
        </w:rPr>
        <w:t>万股增加为</w:t>
      </w:r>
      <w:r>
        <w:rPr>
          <w:rFonts w:ascii="Times New Roman" w:hAnsi="Times New Roman" w:cs="Times New Roman" w:eastAsia="Times New Roman" w:hint="default"/>
          <w:spacing w:val="-2"/>
        </w:rPr>
        <w:t>11,090.66</w:t>
      </w:r>
      <w:r>
        <w:rPr>
          <w:spacing w:val="-2"/>
        </w:rPr>
        <w:t>万股。</w:t>
      </w:r>
      <w:r>
        <w:rPr>
          <w:rFonts w:ascii="Times New Roman" w:hAnsi="Times New Roman" w:cs="Times New Roman" w:eastAsia="Times New Roman" w:hint="default"/>
          <w:spacing w:val="-2"/>
        </w:rPr>
        <w:t>2012</w:t>
      </w:r>
      <w:r>
        <w:rPr>
          <w:spacing w:val="-2"/>
        </w:rPr>
        <w:t>年</w:t>
      </w:r>
      <w:r>
        <w:rPr>
          <w:spacing w:val="-25"/>
        </w:rPr>
        <w:t> </w:t>
      </w:r>
      <w:r>
        <w:rPr/>
        <w:t>公司资产结构变动情况如下：</w:t>
      </w:r>
    </w:p>
    <w:p>
      <w:pPr>
        <w:pStyle w:val="BodyText"/>
        <w:spacing w:line="386" w:lineRule="auto" w:before="65"/>
        <w:ind w:left="573" w:right="0"/>
        <w:jc w:val="left"/>
      </w:pPr>
      <w:r>
        <w:rPr/>
        <w:t>流动资产占总资产的比重由</w:t>
      </w:r>
      <w:r>
        <w:rPr>
          <w:rFonts w:ascii="Times New Roman" w:hAnsi="Times New Roman" w:cs="Times New Roman" w:eastAsia="Times New Roman" w:hint="default"/>
        </w:rPr>
        <w:t>2011</w:t>
      </w:r>
      <w:r>
        <w:rPr/>
        <w:t>年的</w:t>
      </w:r>
      <w:r>
        <w:rPr>
          <w:rFonts w:ascii="Times New Roman" w:hAnsi="Times New Roman" w:cs="Times New Roman" w:eastAsia="Times New Roman" w:hint="default"/>
        </w:rPr>
        <w:t>92.22%</w:t>
      </w:r>
      <w:r>
        <w:rPr/>
        <w:t>下降至</w:t>
      </w:r>
      <w:r>
        <w:rPr>
          <w:rFonts w:ascii="Times New Roman" w:hAnsi="Times New Roman" w:cs="Times New Roman" w:eastAsia="Times New Roman" w:hint="default"/>
        </w:rPr>
        <w:t>2012</w:t>
      </w:r>
      <w:r>
        <w:rPr/>
        <w:t>年的</w:t>
      </w:r>
      <w:r>
        <w:rPr>
          <w:rFonts w:ascii="Times New Roman" w:hAnsi="Times New Roman" w:cs="Times New Roman" w:eastAsia="Times New Roman" w:hint="default"/>
        </w:rPr>
        <w:t>69.45%</w:t>
      </w:r>
      <w:r>
        <w:rPr/>
        <w:t>；</w:t>
      </w:r>
      <w:r>
        <w:rPr>
          <w:w w:val="100"/>
        </w:rPr>
        <w:t> </w:t>
      </w:r>
      <w:r>
        <w:rPr>
          <w:spacing w:val="-2"/>
        </w:rPr>
        <w:t>非流动资产占总资产的比重由</w:t>
      </w:r>
      <w:r>
        <w:rPr>
          <w:rFonts w:ascii="Times New Roman" w:hAnsi="Times New Roman" w:cs="Times New Roman" w:eastAsia="Times New Roman" w:hint="default"/>
          <w:spacing w:val="-2"/>
        </w:rPr>
        <w:t>2011</w:t>
      </w:r>
      <w:r>
        <w:rPr>
          <w:spacing w:val="-2"/>
        </w:rPr>
        <w:t>年的</w:t>
      </w:r>
      <w:r>
        <w:rPr>
          <w:rFonts w:ascii="Times New Roman" w:hAnsi="Times New Roman" w:cs="Times New Roman" w:eastAsia="Times New Roman" w:hint="default"/>
          <w:spacing w:val="-2"/>
        </w:rPr>
        <w:t>7.78%</w:t>
      </w:r>
      <w:r>
        <w:rPr>
          <w:spacing w:val="-2"/>
        </w:rPr>
        <w:t>上升至</w:t>
      </w:r>
      <w:r>
        <w:rPr>
          <w:rFonts w:ascii="Times New Roman" w:hAnsi="Times New Roman" w:cs="Times New Roman" w:eastAsia="Times New Roman" w:hint="default"/>
          <w:spacing w:val="-2"/>
        </w:rPr>
        <w:t>2012</w:t>
      </w:r>
      <w:r>
        <w:rPr>
          <w:spacing w:val="-2"/>
        </w:rPr>
        <w:t>年的</w:t>
      </w:r>
      <w:r>
        <w:rPr>
          <w:rFonts w:ascii="Times New Roman" w:hAnsi="Times New Roman" w:cs="Times New Roman" w:eastAsia="Times New Roman" w:hint="default"/>
          <w:spacing w:val="-2"/>
        </w:rPr>
        <w:t>30.55%</w:t>
      </w:r>
      <w:r>
        <w:rPr>
          <w:spacing w:val="-2"/>
        </w:rPr>
        <w:t>；</w:t>
      </w:r>
      <w:r>
        <w:rPr>
          <w:spacing w:val="-31"/>
        </w:rPr>
        <w:t> </w:t>
      </w:r>
      <w:r>
        <w:rPr/>
        <w:t>主要是由于本年度公司购置固定资产增加所致。</w:t>
      </w:r>
    </w:p>
    <w:p>
      <w:pPr>
        <w:spacing w:after="0" w:line="386" w:lineRule="auto"/>
        <w:jc w:val="left"/>
        <w:sectPr>
          <w:pgSz w:w="11910" w:h="16840"/>
          <w:pgMar w:header="877" w:footer="1227" w:top="1100" w:bottom="1420" w:left="980" w:right="980"/>
        </w:sectPr>
      </w:pPr>
    </w:p>
    <w:p>
      <w:pPr>
        <w:spacing w:line="240" w:lineRule="auto" w:before="9"/>
        <w:rPr>
          <w:rFonts w:ascii="宋体" w:hAnsi="宋体" w:cs="宋体" w:eastAsia="宋体" w:hint="default"/>
          <w:sz w:val="26"/>
          <w:szCs w:val="26"/>
        </w:rPr>
      </w:pPr>
    </w:p>
    <w:p>
      <w:pPr>
        <w:pStyle w:val="BodyText"/>
        <w:spacing w:line="240" w:lineRule="auto" w:before="36"/>
        <w:ind w:left="573" w:right="0"/>
        <w:jc w:val="left"/>
      </w:pPr>
      <w:r>
        <w:rPr/>
        <w:t>公司的负债结构无重大变动。</w:t>
      </w:r>
    </w:p>
    <w:p>
      <w:pPr>
        <w:spacing w:line="240" w:lineRule="auto" w:before="12"/>
        <w:rPr>
          <w:rFonts w:ascii="宋体" w:hAnsi="宋体" w:cs="宋体" w:eastAsia="宋体" w:hint="default"/>
          <w:sz w:val="29"/>
          <w:szCs w:val="29"/>
        </w:rPr>
      </w:pPr>
    </w:p>
    <w:p>
      <w:pPr>
        <w:pStyle w:val="Heading2"/>
        <w:spacing w:line="240" w:lineRule="auto"/>
        <w:ind w:right="0"/>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52" w:right="0"/>
        <w:jc w:val="left"/>
        <w:rPr>
          <w:b w:val="0"/>
          <w:bCs w:val="0"/>
        </w:rPr>
      </w:pPr>
      <w:r>
        <w:rPr/>
        <w:pict>
          <v:shape style="position:absolute;margin-left:313.010010pt;margin-top:81.983688pt;width:61.35pt;height:19.6pt;mso-position-horizontal-relative:page;mso-position-vertical-relative:paragraph;z-index:-80394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Times New Roman" w:hAnsi="Times New Roman" w:cs="Times New Roman" w:eastAsia="Times New Roman" w:hint="default"/>
        </w:rPr>
        <w:t>1</w:t>
      </w:r>
      <w:r>
        <w:rPr/>
        <w:t>、公司股东数量及持股情况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716"/>
        <w:gridCol w:w="1396"/>
        <w:gridCol w:w="1133"/>
        <w:gridCol w:w="135"/>
        <w:gridCol w:w="1000"/>
        <w:gridCol w:w="456"/>
        <w:gridCol w:w="821"/>
        <w:gridCol w:w="542"/>
        <w:gridCol w:w="450"/>
        <w:gridCol w:w="924"/>
      </w:tblGrid>
      <w:tr>
        <w:trPr>
          <w:trHeight w:val="408" w:hRule="exact"/>
        </w:trPr>
        <w:tc>
          <w:tcPr>
            <w:tcW w:w="2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96"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3,426</w:t>
            </w:r>
          </w:p>
        </w:tc>
        <w:tc>
          <w:tcPr>
            <w:tcW w:w="408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个交易日末的股东总数</w:t>
            </w:r>
          </w:p>
        </w:tc>
        <w:tc>
          <w:tcPr>
            <w:tcW w:w="1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3,545</w:t>
            </w:r>
          </w:p>
        </w:tc>
      </w:tr>
      <w:tr>
        <w:trPr>
          <w:trHeight w:val="396" w:hRule="exact"/>
        </w:trPr>
        <w:tc>
          <w:tcPr>
            <w:tcW w:w="9573"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06" w:hRule="exact"/>
        </w:trPr>
        <w:tc>
          <w:tcPr>
            <w:tcW w:w="2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93" w:right="91"/>
              <w:jc w:val="left"/>
              <w:rPr>
                <w:rFonts w:ascii="宋体" w:hAnsi="宋体" w:cs="宋体" w:eastAsia="宋体" w:hint="default"/>
                <w:sz w:val="18"/>
                <w:szCs w:val="18"/>
              </w:rPr>
            </w:pPr>
            <w:r>
              <w:rPr>
                <w:rFonts w:ascii="宋体" w:hAnsi="宋体" w:cs="宋体" w:eastAsia="宋体" w:hint="default"/>
                <w:sz w:val="18"/>
                <w:szCs w:val="18"/>
              </w:rPr>
              <w:t>持有有限售条 件的股份数量</w:t>
            </w:r>
          </w:p>
        </w:tc>
        <w:tc>
          <w:tcPr>
            <w:tcW w:w="191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2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2" w:hRule="exact"/>
        </w:trPr>
        <w:tc>
          <w:tcPr>
            <w:tcW w:w="27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3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持股比例（</w:t>
            </w:r>
            <w:r>
              <w:rPr>
                <w:rFonts w:ascii="Times New Roman" w:hAnsi="Times New Roman" w:cs="Times New Roman" w:eastAsia="Times New Roman" w:hint="default"/>
                <w:spacing w:val="-11"/>
                <w:sz w:val="18"/>
                <w:szCs w:val="18"/>
              </w:rPr>
              <w:t>%</w:t>
            </w:r>
          </w:p>
        </w:tc>
        <w:tc>
          <w:tcPr>
            <w:tcW w:w="135" w:type="dxa"/>
            <w:vMerge w:val="restart"/>
            <w:tcBorders>
              <w:top w:val="nil" w:sz="6" w:space="0" w:color="auto"/>
              <w:left w:val="single" w:sz="4" w:space="0" w:color="000000"/>
              <w:right w:val="nil" w:sz="6" w:space="0" w:color="auto"/>
            </w:tcBorders>
            <w:shd w:val="clear" w:color="auto" w:fill="D2D2D2"/>
          </w:tcPr>
          <w:p>
            <w:pPr/>
          </w:p>
        </w:tc>
        <w:tc>
          <w:tcPr>
            <w:tcW w:w="1000"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49"/>
              <w:ind w:left="73" w:right="0"/>
              <w:jc w:val="left"/>
              <w:rPr>
                <w:rFonts w:ascii="宋体" w:hAnsi="宋体" w:cs="宋体" w:eastAsia="宋体" w:hint="default"/>
                <w:sz w:val="18"/>
                <w:szCs w:val="18"/>
              </w:rPr>
            </w:pPr>
            <w:r>
              <w:rPr>
                <w:rFonts w:ascii="宋体" w:hAnsi="宋体" w:cs="宋体" w:eastAsia="宋体" w:hint="default"/>
                <w:sz w:val="18"/>
                <w:szCs w:val="18"/>
              </w:rPr>
              <w:t>持股数量</w:t>
            </w:r>
          </w:p>
        </w:tc>
        <w:tc>
          <w:tcPr>
            <w:tcW w:w="1277" w:type="dxa"/>
            <w:gridSpan w:val="2"/>
            <w:vMerge/>
            <w:tcBorders>
              <w:left w:val="single" w:sz="4" w:space="0" w:color="000000"/>
              <w:right w:val="single" w:sz="4" w:space="0" w:color="000000"/>
            </w:tcBorders>
            <w:shd w:val="clear" w:color="auto" w:fill="D2D2D2"/>
          </w:tcPr>
          <w:p>
            <w:pPr/>
          </w:p>
        </w:tc>
        <w:tc>
          <w:tcPr>
            <w:tcW w:w="1916"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716" w:type="dxa"/>
            <w:vMerge/>
            <w:tcBorders>
              <w:left w:val="single" w:sz="4" w:space="0" w:color="000000"/>
              <w:bottom w:val="nil" w:sz="6" w:space="0" w:color="auto"/>
              <w:right w:val="single" w:sz="4" w:space="0" w:color="000000"/>
            </w:tcBorders>
            <w:shd w:val="clear" w:color="auto" w:fill="D2D2D2"/>
          </w:tcPr>
          <w:p>
            <w:pPr/>
          </w:p>
        </w:tc>
        <w:tc>
          <w:tcPr>
            <w:tcW w:w="1396"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135" w:type="dxa"/>
            <w:vMerge/>
            <w:tcBorders>
              <w:left w:val="single" w:sz="4" w:space="0" w:color="000000"/>
              <w:bottom w:val="nil" w:sz="6" w:space="0" w:color="auto"/>
              <w:right w:val="nil" w:sz="6" w:space="0" w:color="auto"/>
            </w:tcBorders>
            <w:shd w:val="clear" w:color="auto" w:fill="D2D2D2"/>
          </w:tcPr>
          <w:p>
            <w:pPr/>
          </w:p>
        </w:tc>
        <w:tc>
          <w:tcPr>
            <w:tcW w:w="1000" w:type="dxa"/>
            <w:vMerge/>
            <w:tcBorders>
              <w:left w:val="nil" w:sz="6" w:space="0" w:color="auto"/>
              <w:bottom w:val="nil" w:sz="6" w:space="0" w:color="auto"/>
              <w:right w:val="single" w:sz="4" w:space="0" w:color="000000"/>
            </w:tcBorders>
            <w:shd w:val="clear" w:color="auto" w:fill="D2D2D2"/>
          </w:tcPr>
          <w:p>
            <w:pPr/>
          </w:p>
        </w:tc>
        <w:tc>
          <w:tcPr>
            <w:tcW w:w="1277" w:type="dxa"/>
            <w:gridSpan w:val="2"/>
            <w:vMerge/>
            <w:tcBorders>
              <w:left w:val="single" w:sz="4" w:space="0" w:color="000000"/>
              <w:right w:val="single" w:sz="4" w:space="0" w:color="000000"/>
            </w:tcBorders>
            <w:shd w:val="clear" w:color="auto" w:fill="D2D2D2"/>
          </w:tcPr>
          <w:p>
            <w:pPr/>
          </w:p>
        </w:tc>
        <w:tc>
          <w:tcPr>
            <w:tcW w:w="9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2"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7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gridSpan w:val="2"/>
            <w:vMerge/>
            <w:tcBorders>
              <w:left w:val="single" w:sz="4" w:space="0" w:color="000000"/>
              <w:bottom w:val="single" w:sz="4" w:space="0" w:color="000000"/>
              <w:right w:val="single" w:sz="4" w:space="0" w:color="000000"/>
            </w:tcBorders>
            <w:shd w:val="clear" w:color="auto" w:fill="D2D2D2"/>
          </w:tcPr>
          <w:p>
            <w:pPr/>
          </w:p>
        </w:tc>
        <w:tc>
          <w:tcPr>
            <w:tcW w:w="992" w:type="dxa"/>
            <w:gridSpan w:val="2"/>
            <w:vMerge/>
            <w:tcBorders>
              <w:left w:val="single" w:sz="4" w:space="0" w:color="000000"/>
              <w:bottom w:val="single" w:sz="4" w:space="0" w:color="000000"/>
              <w:right w:val="single" w:sz="4" w:space="0" w:color="000000"/>
            </w:tcBorders>
            <w:shd w:val="clear" w:color="auto" w:fill="D2D2D2"/>
          </w:tcPr>
          <w:p>
            <w:pPr/>
          </w:p>
        </w:tc>
        <w:tc>
          <w:tcPr>
            <w:tcW w:w="924"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郭永芳</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left"/>
              <w:rPr>
                <w:rFonts w:ascii="宋体" w:hAnsi="宋体" w:cs="宋体" w:eastAsia="宋体" w:hint="default"/>
                <w:sz w:val="18"/>
                <w:szCs w:val="18"/>
              </w:rPr>
            </w:pPr>
            <w:r>
              <w:rPr>
                <w:rFonts w:ascii="宋体" w:hAnsi="宋体" w:cs="宋体" w:eastAsia="宋体" w:hint="default"/>
                <w:sz w:val="18"/>
                <w:szCs w:val="18"/>
              </w:rPr>
              <w:t>境外自然人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28.13%</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31,200,000</w:t>
            </w:r>
          </w:p>
        </w:tc>
        <w:tc>
          <w:tcPr>
            <w:tcW w:w="1277" w:type="dxa"/>
            <w:gridSpan w:val="2"/>
            <w:tcBorders>
              <w:top w:val="single" w:sz="22" w:space="0" w:color="D2D2D2"/>
              <w:left w:val="single" w:sz="4" w:space="0" w:color="000000"/>
              <w:bottom w:val="single" w:sz="4" w:space="0" w:color="000000"/>
              <w:right w:val="single" w:sz="4" w:space="0" w:color="000000"/>
            </w:tcBorders>
          </w:tcPr>
          <w:p>
            <w:pPr>
              <w:pStyle w:val="TableParagraph"/>
              <w:spacing w:line="240" w:lineRule="auto" w:before="68"/>
              <w:ind w:left="431" w:right="0"/>
              <w:jc w:val="left"/>
              <w:rPr>
                <w:rFonts w:ascii="Times New Roman" w:hAnsi="Times New Roman" w:cs="Times New Roman" w:eastAsia="Times New Roman" w:hint="default"/>
                <w:sz w:val="18"/>
                <w:szCs w:val="18"/>
              </w:rPr>
            </w:pPr>
            <w:r>
              <w:rPr>
                <w:rFonts w:ascii="Times New Roman"/>
                <w:sz w:val="18"/>
              </w:rPr>
              <w:t>31,200,000</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李国林</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14.43%</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16,000,000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16,000,000</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广州通连投资咨询有限公司</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14.43%</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16,000,000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16,000,000</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刘祥南</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11.54%</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12,800,000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12,800,000</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郭泓</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3" w:right="0"/>
              <w:jc w:val="left"/>
              <w:rPr>
                <w:rFonts w:ascii="Times New Roman" w:hAnsi="Times New Roman" w:cs="Times New Roman" w:eastAsia="Times New Roman" w:hint="default"/>
                <w:sz w:val="18"/>
                <w:szCs w:val="18"/>
              </w:rPr>
            </w:pPr>
            <w:r>
              <w:rPr>
                <w:rFonts w:ascii="Times New Roman"/>
                <w:sz w:val="18"/>
              </w:rPr>
              <w:t>1,720,000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1,720,000</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60"/>
              <w:jc w:val="left"/>
              <w:rPr>
                <w:rFonts w:ascii="宋体" w:hAnsi="宋体" w:cs="宋体" w:eastAsia="宋体" w:hint="default"/>
                <w:sz w:val="18"/>
                <w:szCs w:val="18"/>
              </w:rPr>
            </w:pPr>
            <w:r>
              <w:rPr>
                <w:rFonts w:ascii="宋体" w:hAnsi="宋体" w:cs="宋体" w:eastAsia="宋体" w:hint="default"/>
                <w:sz w:val="18"/>
                <w:szCs w:val="18"/>
              </w:rPr>
              <w:t>中国银行－银华领先策略股票型 证券投资基金</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1,436,799</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全国社保基金一一八组合</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0.99%</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3" w:right="0"/>
              <w:jc w:val="left"/>
              <w:rPr>
                <w:rFonts w:ascii="Times New Roman" w:hAnsi="Times New Roman" w:cs="Times New Roman" w:eastAsia="Times New Roman" w:hint="default"/>
                <w:sz w:val="18"/>
                <w:szCs w:val="18"/>
              </w:rPr>
            </w:pPr>
            <w:r>
              <w:rPr>
                <w:rFonts w:ascii="Times New Roman"/>
                <w:sz w:val="18"/>
              </w:rPr>
              <w:t>1,096,575</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160"/>
              <w:jc w:val="left"/>
              <w:rPr>
                <w:rFonts w:ascii="宋体" w:hAnsi="宋体" w:cs="宋体" w:eastAsia="宋体" w:hint="default"/>
                <w:sz w:val="18"/>
                <w:szCs w:val="18"/>
              </w:rPr>
            </w:pPr>
            <w:r>
              <w:rPr>
                <w:rFonts w:ascii="宋体" w:hAnsi="宋体" w:cs="宋体" w:eastAsia="宋体" w:hint="default"/>
                <w:sz w:val="18"/>
                <w:szCs w:val="18"/>
              </w:rPr>
              <w:t>中信证券－中信－中信理财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集合资产管理计划</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0.81%</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18" w:right="0"/>
              <w:jc w:val="left"/>
              <w:rPr>
                <w:rFonts w:ascii="Times New Roman" w:hAnsi="Times New Roman" w:cs="Times New Roman" w:eastAsia="Times New Roman" w:hint="default"/>
                <w:sz w:val="18"/>
                <w:szCs w:val="18"/>
              </w:rPr>
            </w:pPr>
            <w:r>
              <w:rPr>
                <w:rFonts w:ascii="Times New Roman"/>
                <w:sz w:val="18"/>
              </w:rPr>
              <w:t>897,220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0"/>
              <w:jc w:val="left"/>
              <w:rPr>
                <w:rFonts w:ascii="宋体" w:hAnsi="宋体" w:cs="宋体" w:eastAsia="宋体" w:hint="default"/>
                <w:sz w:val="18"/>
                <w:szCs w:val="18"/>
              </w:rPr>
            </w:pPr>
            <w:r>
              <w:rPr>
                <w:rFonts w:ascii="宋体" w:hAnsi="宋体" w:cs="宋体" w:eastAsia="宋体" w:hint="default"/>
                <w:sz w:val="18"/>
                <w:szCs w:val="18"/>
              </w:rPr>
              <w:t>中国工商银行－招商核心价值混 合型证券投资基金</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0.76%</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18" w:right="0"/>
              <w:jc w:val="left"/>
              <w:rPr>
                <w:rFonts w:ascii="Times New Roman" w:hAnsi="Times New Roman" w:cs="Times New Roman" w:eastAsia="Times New Roman" w:hint="default"/>
                <w:sz w:val="18"/>
                <w:szCs w:val="18"/>
              </w:rPr>
            </w:pPr>
            <w:r>
              <w:rPr>
                <w:rFonts w:ascii="Times New Roman"/>
                <w:sz w:val="18"/>
              </w:rPr>
              <w:t>844,095</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全国社保基金六零一组合</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0.58%</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8" w:right="0"/>
              <w:jc w:val="left"/>
              <w:rPr>
                <w:rFonts w:ascii="Times New Roman" w:hAnsi="Times New Roman" w:cs="Times New Roman" w:eastAsia="Times New Roman" w:hint="default"/>
                <w:sz w:val="18"/>
                <w:szCs w:val="18"/>
              </w:rPr>
            </w:pPr>
            <w:r>
              <w:rPr>
                <w:rFonts w:ascii="Times New Roman"/>
                <w:sz w:val="18"/>
              </w:rPr>
              <w:t>637,976</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73"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1" w:hRule="exact"/>
        </w:trPr>
        <w:tc>
          <w:tcPr>
            <w:tcW w:w="27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2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74"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73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3" w:hRule="exact"/>
        </w:trPr>
        <w:tc>
          <w:tcPr>
            <w:tcW w:w="2716" w:type="dxa"/>
            <w:vMerge/>
            <w:tcBorders>
              <w:left w:val="single" w:sz="4" w:space="0" w:color="000000"/>
              <w:bottom w:val="single" w:sz="4" w:space="0" w:color="000000"/>
              <w:right w:val="single" w:sz="4" w:space="0" w:color="000000"/>
            </w:tcBorders>
            <w:shd w:val="clear" w:color="auto" w:fill="D2D2D2"/>
          </w:tcPr>
          <w:p>
            <w:pPr/>
          </w:p>
        </w:tc>
        <w:tc>
          <w:tcPr>
            <w:tcW w:w="4120" w:type="dxa"/>
            <w:gridSpan w:val="5"/>
            <w:vMerge/>
            <w:tcBorders>
              <w:left w:val="single" w:sz="4" w:space="0" w:color="000000"/>
              <w:bottom w:val="single" w:sz="4" w:space="0" w:color="000000"/>
              <w:right w:val="single" w:sz="4" w:space="0" w:color="000000"/>
            </w:tcBorders>
            <w:shd w:val="clear" w:color="auto" w:fill="D2D2D2"/>
          </w:tcPr>
          <w:p>
            <w:pPr/>
          </w:p>
        </w:tc>
        <w:tc>
          <w:tcPr>
            <w:tcW w:w="13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3"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60"/>
              <w:jc w:val="left"/>
              <w:rPr>
                <w:rFonts w:ascii="宋体" w:hAnsi="宋体" w:cs="宋体" w:eastAsia="宋体" w:hint="default"/>
                <w:sz w:val="18"/>
                <w:szCs w:val="18"/>
              </w:rPr>
            </w:pPr>
            <w:r>
              <w:rPr>
                <w:rFonts w:ascii="宋体" w:hAnsi="宋体" w:cs="宋体" w:eastAsia="宋体" w:hint="default"/>
                <w:sz w:val="18"/>
                <w:szCs w:val="18"/>
              </w:rPr>
              <w:t>中国银行－银华领先策略股票型 证券投资基金</w:t>
            </w:r>
          </w:p>
        </w:tc>
        <w:tc>
          <w:tcPr>
            <w:tcW w:w="41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1,436,799</w:t>
            </w:r>
          </w:p>
        </w:tc>
        <w:tc>
          <w:tcPr>
            <w:tcW w:w="13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22" w:right="0"/>
              <w:jc w:val="left"/>
              <w:rPr>
                <w:rFonts w:ascii="Times New Roman" w:hAnsi="Times New Roman" w:cs="Times New Roman" w:eastAsia="Times New Roman" w:hint="default"/>
                <w:sz w:val="18"/>
                <w:szCs w:val="18"/>
              </w:rPr>
            </w:pPr>
            <w:r>
              <w:rPr>
                <w:rFonts w:ascii="Times New Roman"/>
                <w:sz w:val="18"/>
              </w:rPr>
              <w:t>1,436,799</w:t>
            </w:r>
          </w:p>
        </w:tc>
      </w:tr>
      <w:tr>
        <w:trPr>
          <w:trHeight w:val="403"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全国社保基金一一八组合</w:t>
            </w:r>
          </w:p>
        </w:tc>
        <w:tc>
          <w:tcPr>
            <w:tcW w:w="41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1,096,575</w:t>
            </w:r>
          </w:p>
        </w:tc>
        <w:tc>
          <w:tcPr>
            <w:tcW w:w="13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2" w:right="0"/>
              <w:jc w:val="left"/>
              <w:rPr>
                <w:rFonts w:ascii="Times New Roman" w:hAnsi="Times New Roman" w:cs="Times New Roman" w:eastAsia="Times New Roman" w:hint="default"/>
                <w:sz w:val="18"/>
                <w:szCs w:val="18"/>
              </w:rPr>
            </w:pPr>
            <w:r>
              <w:rPr>
                <w:rFonts w:ascii="Times New Roman"/>
                <w:sz w:val="18"/>
              </w:rPr>
              <w:t>1,096,575</w:t>
            </w:r>
          </w:p>
        </w:tc>
      </w:tr>
      <w:tr>
        <w:trPr>
          <w:trHeight w:val="713"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6"/>
              <w:jc w:val="left"/>
              <w:rPr>
                <w:rFonts w:ascii="宋体" w:hAnsi="宋体" w:cs="宋体" w:eastAsia="宋体" w:hint="default"/>
                <w:sz w:val="18"/>
                <w:szCs w:val="18"/>
              </w:rPr>
            </w:pPr>
            <w:r>
              <w:rPr>
                <w:rFonts w:ascii="宋体" w:hAnsi="宋体" w:cs="宋体" w:eastAsia="宋体" w:hint="default"/>
                <w:sz w:val="18"/>
                <w:szCs w:val="18"/>
              </w:rPr>
              <w:t>中信证券－中信－中信理财</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号集 合资产管理计划</w:t>
            </w:r>
          </w:p>
        </w:tc>
        <w:tc>
          <w:tcPr>
            <w:tcW w:w="41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897,220</w:t>
            </w:r>
          </w:p>
        </w:tc>
        <w:tc>
          <w:tcPr>
            <w:tcW w:w="13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57" w:right="0"/>
              <w:jc w:val="left"/>
              <w:rPr>
                <w:rFonts w:ascii="Times New Roman" w:hAnsi="Times New Roman" w:cs="Times New Roman" w:eastAsia="Times New Roman" w:hint="default"/>
                <w:sz w:val="18"/>
                <w:szCs w:val="18"/>
              </w:rPr>
            </w:pPr>
            <w:r>
              <w:rPr>
                <w:rFonts w:ascii="Times New Roman"/>
                <w:sz w:val="18"/>
              </w:rPr>
              <w:t>897,220</w:t>
            </w:r>
          </w:p>
        </w:tc>
      </w:tr>
      <w:tr>
        <w:trPr>
          <w:trHeight w:val="715"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0"/>
              <w:jc w:val="left"/>
              <w:rPr>
                <w:rFonts w:ascii="宋体" w:hAnsi="宋体" w:cs="宋体" w:eastAsia="宋体" w:hint="default"/>
                <w:sz w:val="18"/>
                <w:szCs w:val="18"/>
              </w:rPr>
            </w:pPr>
            <w:r>
              <w:rPr>
                <w:rFonts w:ascii="宋体" w:hAnsi="宋体" w:cs="宋体" w:eastAsia="宋体" w:hint="default"/>
                <w:sz w:val="18"/>
                <w:szCs w:val="18"/>
              </w:rPr>
              <w:t>中国工商银行－招商核心价值混 合型证券投资基金</w:t>
            </w:r>
          </w:p>
        </w:tc>
        <w:tc>
          <w:tcPr>
            <w:tcW w:w="41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844,095</w:t>
            </w:r>
          </w:p>
        </w:tc>
        <w:tc>
          <w:tcPr>
            <w:tcW w:w="13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57" w:right="0"/>
              <w:jc w:val="left"/>
              <w:rPr>
                <w:rFonts w:ascii="Times New Roman" w:hAnsi="Times New Roman" w:cs="Times New Roman" w:eastAsia="Times New Roman" w:hint="default"/>
                <w:sz w:val="18"/>
                <w:szCs w:val="18"/>
              </w:rPr>
            </w:pPr>
            <w:r>
              <w:rPr>
                <w:rFonts w:ascii="Times New Roman"/>
                <w:sz w:val="18"/>
              </w:rPr>
              <w:t>844,095</w:t>
            </w:r>
          </w:p>
        </w:tc>
      </w:tr>
      <w:tr>
        <w:trPr>
          <w:trHeight w:val="401"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全国社保基金六零一组合</w:t>
            </w:r>
          </w:p>
        </w:tc>
        <w:tc>
          <w:tcPr>
            <w:tcW w:w="41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637,976</w:t>
            </w:r>
          </w:p>
        </w:tc>
        <w:tc>
          <w:tcPr>
            <w:tcW w:w="13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7" w:right="0"/>
              <w:jc w:val="left"/>
              <w:rPr>
                <w:rFonts w:ascii="Times New Roman" w:hAnsi="Times New Roman" w:cs="Times New Roman" w:eastAsia="Times New Roman" w:hint="default"/>
                <w:sz w:val="18"/>
                <w:szCs w:val="18"/>
              </w:rPr>
            </w:pPr>
            <w:r>
              <w:rPr>
                <w:rFonts w:ascii="Times New Roman"/>
                <w:sz w:val="18"/>
              </w:rPr>
              <w:t>637,976</w:t>
            </w:r>
          </w:p>
        </w:tc>
      </w:tr>
      <w:tr>
        <w:trPr>
          <w:trHeight w:val="715"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0"/>
              <w:jc w:val="left"/>
              <w:rPr>
                <w:rFonts w:ascii="宋体" w:hAnsi="宋体" w:cs="宋体" w:eastAsia="宋体" w:hint="default"/>
                <w:sz w:val="18"/>
                <w:szCs w:val="18"/>
              </w:rPr>
            </w:pPr>
            <w:r>
              <w:rPr>
                <w:rFonts w:ascii="宋体" w:hAnsi="宋体" w:cs="宋体" w:eastAsia="宋体" w:hint="default"/>
                <w:sz w:val="18"/>
                <w:szCs w:val="18"/>
              </w:rPr>
              <w:t>中国工商银行－天弘精选混合型 证券投资基金</w:t>
            </w:r>
          </w:p>
        </w:tc>
        <w:tc>
          <w:tcPr>
            <w:tcW w:w="41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499,295</w:t>
            </w:r>
          </w:p>
        </w:tc>
        <w:tc>
          <w:tcPr>
            <w:tcW w:w="13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57" w:right="0"/>
              <w:jc w:val="left"/>
              <w:rPr>
                <w:rFonts w:ascii="Times New Roman" w:hAnsi="Times New Roman" w:cs="Times New Roman" w:eastAsia="Times New Roman" w:hint="default"/>
                <w:sz w:val="18"/>
                <w:szCs w:val="18"/>
              </w:rPr>
            </w:pPr>
            <w:r>
              <w:rPr>
                <w:rFonts w:ascii="Times New Roman"/>
                <w:sz w:val="18"/>
              </w:rPr>
              <w:t>499,295</w:t>
            </w:r>
          </w:p>
        </w:tc>
      </w:tr>
      <w:tr>
        <w:trPr>
          <w:trHeight w:val="401"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中国建设银行－诺安主题精选股</w:t>
            </w:r>
          </w:p>
        </w:tc>
        <w:tc>
          <w:tcPr>
            <w:tcW w:w="41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482,971</w:t>
            </w:r>
          </w:p>
        </w:tc>
        <w:tc>
          <w:tcPr>
            <w:tcW w:w="13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7" w:right="0"/>
              <w:jc w:val="left"/>
              <w:rPr>
                <w:rFonts w:ascii="Times New Roman" w:hAnsi="Times New Roman" w:cs="Times New Roman" w:eastAsia="Times New Roman" w:hint="default"/>
                <w:sz w:val="18"/>
                <w:szCs w:val="18"/>
              </w:rPr>
            </w:pPr>
            <w:r>
              <w:rPr>
                <w:rFonts w:ascii="Times New Roman"/>
                <w:sz w:val="18"/>
              </w:rPr>
              <w:t>482,971</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27" w:top="1100" w:bottom="1420" w:left="980" w:right="98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2732"/>
        <w:gridCol w:w="4104"/>
        <w:gridCol w:w="1369"/>
        <w:gridCol w:w="1368"/>
      </w:tblGrid>
      <w:tr>
        <w:trPr>
          <w:trHeight w:val="363"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票型证券投资基金</w:t>
            </w:r>
          </w:p>
        </w:tc>
        <w:tc>
          <w:tcPr>
            <w:tcW w:w="410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left"/>
              <w:rPr>
                <w:rFonts w:ascii="宋体" w:hAnsi="宋体" w:cs="宋体" w:eastAsia="宋体" w:hint="default"/>
                <w:sz w:val="18"/>
                <w:szCs w:val="18"/>
              </w:rPr>
            </w:pPr>
            <w:r>
              <w:rPr>
                <w:rFonts w:ascii="宋体" w:hAnsi="宋体" w:cs="宋体" w:eastAsia="宋体" w:hint="default"/>
                <w:sz w:val="18"/>
                <w:szCs w:val="18"/>
              </w:rPr>
              <w:t>中国建设银行－银河保本混合型 证券投资基金</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432,269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432,269</w:t>
            </w:r>
          </w:p>
        </w:tc>
      </w:tr>
      <w:tr>
        <w:trPr>
          <w:trHeight w:val="715"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left"/>
              <w:rPr>
                <w:rFonts w:ascii="宋体" w:hAnsi="宋体" w:cs="宋体" w:eastAsia="宋体" w:hint="default"/>
                <w:sz w:val="18"/>
                <w:szCs w:val="18"/>
              </w:rPr>
            </w:pPr>
            <w:r>
              <w:rPr>
                <w:rFonts w:ascii="宋体" w:hAnsi="宋体" w:cs="宋体" w:eastAsia="宋体" w:hint="default"/>
                <w:sz w:val="18"/>
                <w:szCs w:val="18"/>
              </w:rPr>
              <w:t>中信证券－中信银行－中信证券 卓越成长股票集合资产管理计划</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394,215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394,215</w:t>
            </w:r>
          </w:p>
        </w:tc>
      </w:tr>
      <w:tr>
        <w:trPr>
          <w:trHeight w:val="401"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兴和证券投资基金</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339,400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339,400</w:t>
            </w:r>
          </w:p>
        </w:tc>
      </w:tr>
      <w:tr>
        <w:trPr>
          <w:trHeight w:val="1339" w:hRule="exact"/>
        </w:trPr>
        <w:tc>
          <w:tcPr>
            <w:tcW w:w="2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4" w:right="176"/>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1"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both"/>
              <w:rPr>
                <w:rFonts w:ascii="宋体" w:hAnsi="宋体" w:cs="宋体" w:eastAsia="宋体" w:hint="default"/>
                <w:sz w:val="18"/>
                <w:szCs w:val="18"/>
              </w:rPr>
            </w:pPr>
            <w:r>
              <w:rPr>
                <w:rFonts w:ascii="宋体" w:hAnsi="宋体" w:cs="宋体" w:eastAsia="宋体" w:hint="default"/>
                <w:spacing w:val="-2"/>
                <w:sz w:val="18"/>
                <w:szCs w:val="18"/>
              </w:rPr>
              <w:t>上述股东中，郭泓为郭永芳侄子。除此之外，其他股东之间不存在关联关系。为保持公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司经营决策的一致性，公司实际控制人郭永芳、滕达、刘祥南三人签订了《一致行动协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议》，互为一致行动人。除上述《一致行动协议》外，李国林也承诺公司股票上市之日</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起满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个月内在股东大会、董事会行使表决权时与郭永芳保持一致。</w:t>
            </w:r>
          </w:p>
        </w:tc>
      </w:tr>
    </w:tbl>
    <w:p>
      <w:pPr>
        <w:spacing w:line="240" w:lineRule="auto" w:before="3"/>
        <w:rPr>
          <w:rFonts w:ascii="宋体" w:hAnsi="宋体" w:cs="宋体" w:eastAsia="宋体" w:hint="default"/>
          <w:b/>
          <w:bCs/>
          <w:sz w:val="19"/>
          <w:szCs w:val="19"/>
        </w:rPr>
      </w:pPr>
    </w:p>
    <w:p>
      <w:pPr>
        <w:pStyle w:val="Heading3"/>
        <w:spacing w:line="240" w:lineRule="auto" w:before="36"/>
        <w:ind w:left="152" w:right="0"/>
        <w:jc w:val="both"/>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30"/>
          <w:szCs w:val="30"/>
        </w:rPr>
      </w:pPr>
    </w:p>
    <w:p>
      <w:pPr>
        <w:pStyle w:val="BodyText"/>
        <w:spacing w:line="386" w:lineRule="auto"/>
        <w:ind w:left="152" w:right="99" w:firstLine="420"/>
        <w:jc w:val="left"/>
      </w:pPr>
      <w:r>
        <w:rPr>
          <w:spacing w:val="-3"/>
        </w:rPr>
        <w:t>公司控股股东为郭永芳，报告期末持有公司股份</w:t>
      </w:r>
      <w:r>
        <w:rPr>
          <w:rFonts w:ascii="Times New Roman" w:hAnsi="Times New Roman" w:cs="Times New Roman" w:eastAsia="Times New Roman" w:hint="default"/>
          <w:spacing w:val="-3"/>
        </w:rPr>
        <w:t>3,120</w:t>
      </w:r>
      <w:r>
        <w:rPr>
          <w:spacing w:val="-3"/>
        </w:rPr>
        <w:t>万股，占总股本</w:t>
      </w:r>
      <w:r>
        <w:rPr>
          <w:rFonts w:ascii="Times New Roman" w:hAnsi="Times New Roman" w:cs="Times New Roman" w:eastAsia="Times New Roman" w:hint="default"/>
          <w:spacing w:val="-3"/>
        </w:rPr>
        <w:t>11,090.66</w:t>
      </w:r>
      <w:r>
        <w:rPr>
          <w:spacing w:val="-3"/>
        </w:rPr>
        <w:t>万股的</w:t>
      </w:r>
      <w:r>
        <w:rPr>
          <w:rFonts w:ascii="Times New Roman" w:hAnsi="Times New Roman" w:cs="Times New Roman" w:eastAsia="Times New Roman" w:hint="default"/>
          <w:spacing w:val="-3"/>
        </w:rPr>
        <w:t>28.13%</w:t>
      </w:r>
      <w:r>
        <w:rPr>
          <w:spacing w:val="-3"/>
        </w:rPr>
        <w:t>。报告期</w:t>
      </w:r>
      <w:r>
        <w:rPr>
          <w:w w:val="100"/>
        </w:rPr>
        <w:t> </w:t>
      </w:r>
      <w:r>
        <w:rPr/>
        <w:t>内，公司控股股东及实际控制人未发生变更。</w:t>
      </w:r>
    </w:p>
    <w:p>
      <w:pPr>
        <w:spacing w:line="240" w:lineRule="auto" w:before="0"/>
        <w:rPr>
          <w:rFonts w:ascii="宋体" w:hAnsi="宋体" w:cs="宋体" w:eastAsia="宋体" w:hint="default"/>
          <w:sz w:val="22"/>
          <w:szCs w:val="22"/>
        </w:rPr>
      </w:pPr>
    </w:p>
    <w:p>
      <w:pPr>
        <w:pStyle w:val="Heading3"/>
        <w:spacing w:line="240" w:lineRule="auto"/>
        <w:ind w:left="152" w:right="0"/>
        <w:jc w:val="both"/>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left="573" w:right="99"/>
        <w:jc w:val="left"/>
      </w:pPr>
      <w:r>
        <w:rPr/>
        <w:t>公司实际控制人为郭永芳、滕达和刘祥南，其中郭永芳和滕达为母子关系。</w:t>
      </w:r>
      <w:r>
        <w:rPr>
          <w:w w:val="100"/>
        </w:rPr>
        <w:t> </w:t>
      </w:r>
      <w:r>
        <w:rPr>
          <w:spacing w:val="-2"/>
        </w:rPr>
        <w:t>郭永芳自</w:t>
      </w:r>
      <w:r>
        <w:rPr>
          <w:rFonts w:ascii="Times New Roman" w:hAnsi="Times New Roman" w:cs="Times New Roman" w:eastAsia="Times New Roman" w:hint="default"/>
          <w:spacing w:val="-2"/>
        </w:rPr>
        <w:t>2002</w:t>
      </w:r>
      <w:r>
        <w:rPr>
          <w:spacing w:val="-2"/>
        </w:rPr>
        <w:t>年以来，一直是公司的第一大股东，目前持有公司</w:t>
      </w:r>
      <w:r>
        <w:rPr>
          <w:rFonts w:ascii="Times New Roman" w:hAnsi="Times New Roman" w:cs="Times New Roman" w:eastAsia="Times New Roman" w:hint="default"/>
          <w:spacing w:val="-2"/>
        </w:rPr>
        <w:t>28.13%</w:t>
      </w:r>
      <w:r>
        <w:rPr>
          <w:spacing w:val="-2"/>
        </w:rPr>
        <w:t>的股份，担任公司副董事长。</w:t>
      </w:r>
    </w:p>
    <w:p>
      <w:pPr>
        <w:pStyle w:val="BodyText"/>
        <w:spacing w:line="408" w:lineRule="auto" w:before="15"/>
        <w:ind w:left="152" w:right="185"/>
        <w:jc w:val="both"/>
      </w:pPr>
      <w:r>
        <w:rPr>
          <w:spacing w:val="-2"/>
        </w:rPr>
        <w:t>滕达为郭永芳之子，为公司的创始人之一，自公司成立以来，一直担任公司的总经理，具体负责公司经营</w:t>
      </w:r>
      <w:r>
        <w:rPr>
          <w:spacing w:val="-50"/>
        </w:rPr>
        <w:t> </w:t>
      </w:r>
      <w:r>
        <w:rPr>
          <w:spacing w:val="-50"/>
        </w:rPr>
      </w:r>
      <w:r>
        <w:rPr>
          <w:spacing w:val="-2"/>
        </w:rPr>
        <w:t>管理，现同时兼任公司董事。刘祥南为公司的创始人之一，是国内电子数据取证及信息安全行业的专家、</w:t>
      </w:r>
      <w:r>
        <w:rPr>
          <w:spacing w:val="-21"/>
        </w:rPr>
        <w:t> </w:t>
      </w:r>
      <w:r>
        <w:rPr>
          <w:spacing w:val="-21"/>
        </w:rPr>
      </w:r>
      <w:r>
        <w:rPr/>
        <w:t>学术带头人，也是滕达的大学老师，现持有公司</w:t>
      </w:r>
      <w:r>
        <w:rPr>
          <w:rFonts w:ascii="Times New Roman" w:hAnsi="Times New Roman" w:cs="Times New Roman" w:eastAsia="Times New Roman" w:hint="default"/>
        </w:rPr>
        <w:t>11.54%</w:t>
      </w:r>
      <w:r>
        <w:rPr/>
        <w:t>的股份，担任公司董事长。</w:t>
      </w:r>
    </w:p>
    <w:p>
      <w:pPr>
        <w:pStyle w:val="BodyText"/>
        <w:spacing w:line="408" w:lineRule="auto" w:before="14"/>
        <w:ind w:left="573" w:right="99"/>
        <w:jc w:val="left"/>
      </w:pPr>
      <w:r>
        <w:rPr/>
        <w:t>实际控制人简历如下：</w:t>
      </w:r>
      <w:r>
        <w:rPr>
          <w:w w:val="100"/>
        </w:rPr>
        <w:t> </w:t>
      </w:r>
      <w:r>
        <w:rPr>
          <w:spacing w:val="-2"/>
        </w:rPr>
        <w:t>郭永芳，女，</w:t>
      </w:r>
      <w:r>
        <w:rPr>
          <w:rFonts w:ascii="Times New Roman" w:hAnsi="Times New Roman" w:cs="Times New Roman" w:eastAsia="Times New Roman" w:hint="default"/>
          <w:spacing w:val="-2"/>
        </w:rPr>
        <w:t>1945</w:t>
      </w:r>
      <w:r>
        <w:rPr>
          <w:spacing w:val="-2"/>
        </w:rPr>
        <w:t>年出生，中国香港籍，身份证号码：</w:t>
      </w:r>
      <w:r>
        <w:rPr>
          <w:rFonts w:ascii="Times New Roman" w:hAnsi="Times New Roman" w:cs="Times New Roman" w:eastAsia="Times New Roman" w:hint="default"/>
          <w:spacing w:val="-2"/>
        </w:rPr>
        <w:t>R3185**(0)</w:t>
      </w:r>
      <w:r>
        <w:rPr>
          <w:spacing w:val="-2"/>
        </w:rPr>
        <w:t>。</w:t>
      </w:r>
      <w:r>
        <w:rPr>
          <w:rFonts w:ascii="Times New Roman" w:hAnsi="Times New Roman" w:cs="Times New Roman" w:eastAsia="Times New Roman" w:hint="default"/>
          <w:spacing w:val="-2"/>
        </w:rPr>
        <w:t>1968</w:t>
      </w:r>
      <w:r>
        <w:rPr>
          <w:spacing w:val="-2"/>
        </w:rPr>
        <w:t>年毕业于福建师范大学数学</w:t>
      </w:r>
    </w:p>
    <w:p>
      <w:pPr>
        <w:pStyle w:val="BodyText"/>
        <w:spacing w:line="386" w:lineRule="auto" w:before="14"/>
        <w:ind w:left="152" w:right="208"/>
        <w:jc w:val="both"/>
      </w:pPr>
      <w:r>
        <w:rPr>
          <w:spacing w:val="-2"/>
        </w:rPr>
        <w:t>系。</w:t>
      </w:r>
      <w:r>
        <w:rPr>
          <w:rFonts w:ascii="Times New Roman" w:hAnsi="Times New Roman" w:cs="Times New Roman" w:eastAsia="Times New Roman" w:hint="default"/>
          <w:spacing w:val="-2"/>
        </w:rPr>
        <w:t>1968</w:t>
      </w:r>
      <w:r>
        <w:rPr>
          <w:spacing w:val="-2"/>
        </w:rPr>
        <w:t>年到</w:t>
      </w:r>
      <w:r>
        <w:rPr>
          <w:rFonts w:ascii="Times New Roman" w:hAnsi="Times New Roman" w:cs="Times New Roman" w:eastAsia="Times New Roman" w:hint="default"/>
          <w:spacing w:val="-2"/>
        </w:rPr>
        <w:t>1975</w:t>
      </w:r>
      <w:r>
        <w:rPr>
          <w:spacing w:val="-2"/>
        </w:rPr>
        <w:t>年在福建漳浦赤湖中学任教；</w:t>
      </w:r>
      <w:r>
        <w:rPr>
          <w:rFonts w:ascii="Times New Roman" w:hAnsi="Times New Roman" w:cs="Times New Roman" w:eastAsia="Times New Roman" w:hint="default"/>
          <w:spacing w:val="-2"/>
        </w:rPr>
        <w:t>1975</w:t>
      </w:r>
      <w:r>
        <w:rPr>
          <w:spacing w:val="-2"/>
        </w:rPr>
        <w:t>年到</w:t>
      </w:r>
      <w:r>
        <w:rPr>
          <w:rFonts w:ascii="Times New Roman" w:hAnsi="Times New Roman" w:cs="Times New Roman" w:eastAsia="Times New Roman" w:hint="default"/>
          <w:spacing w:val="-2"/>
        </w:rPr>
        <w:t>2000</w:t>
      </w:r>
      <w:r>
        <w:rPr>
          <w:spacing w:val="-2"/>
        </w:rPr>
        <w:t>年间在厦门一中任教；</w:t>
      </w:r>
      <w:r>
        <w:rPr>
          <w:rFonts w:ascii="Times New Roman" w:hAnsi="Times New Roman" w:cs="Times New Roman" w:eastAsia="Times New Roman" w:hint="default"/>
          <w:spacing w:val="-2"/>
        </w:rPr>
        <w:t>2001</w:t>
      </w:r>
      <w:r>
        <w:rPr>
          <w:spacing w:val="-2"/>
        </w:rPr>
        <w:t>年至</w:t>
      </w:r>
      <w:r>
        <w:rPr>
          <w:rFonts w:ascii="Times New Roman" w:hAnsi="Times New Roman" w:cs="Times New Roman" w:eastAsia="Times New Roman" w:hint="default"/>
          <w:spacing w:val="-2"/>
        </w:rPr>
        <w:t>2009</w:t>
      </w:r>
      <w:r>
        <w:rPr>
          <w:spacing w:val="-2"/>
        </w:rPr>
        <w:t>年任厦</w:t>
      </w:r>
      <w:r>
        <w:rPr>
          <w:spacing w:val="-24"/>
        </w:rPr>
        <w:t> </w:t>
      </w:r>
      <w:r>
        <w:rPr>
          <w:spacing w:val="-24"/>
        </w:rPr>
      </w:r>
      <w:r>
        <w:rPr/>
        <w:t>门市美亚柏科资讯科技有限公司执行董事；</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w:t>
      </w:r>
      <w:r>
        <w:rPr/>
        <w:t>日起至今任公司董事会副董事长。</w:t>
      </w:r>
    </w:p>
    <w:p>
      <w:pPr>
        <w:pStyle w:val="BodyText"/>
        <w:spacing w:line="386" w:lineRule="auto" w:before="35"/>
        <w:ind w:left="152" w:right="99" w:firstLine="420"/>
        <w:jc w:val="left"/>
      </w:pPr>
      <w:r>
        <w:rPr>
          <w:spacing w:val="-4"/>
        </w:rPr>
        <w:t>刘祥南，男，</w:t>
      </w:r>
      <w:r>
        <w:rPr>
          <w:rFonts w:ascii="Times New Roman" w:hAnsi="Times New Roman" w:cs="Times New Roman" w:eastAsia="Times New Roman" w:hint="default"/>
          <w:spacing w:val="-4"/>
        </w:rPr>
        <w:t>1937</w:t>
      </w:r>
      <w:r>
        <w:rPr>
          <w:spacing w:val="-4"/>
        </w:rPr>
        <w:t>年出生，中国国籍，教授，无永久境外居留权，身份证号码：</w:t>
      </w:r>
      <w:r>
        <w:rPr>
          <w:rFonts w:ascii="Times New Roman" w:hAnsi="Times New Roman" w:cs="Times New Roman" w:eastAsia="Times New Roman" w:hint="default"/>
          <w:spacing w:val="-4"/>
        </w:rPr>
        <w:t>35020319******4015</w:t>
      </w:r>
      <w:r>
        <w:rPr>
          <w:spacing w:val="-4"/>
        </w:rPr>
        <w:t>。</w:t>
      </w:r>
      <w:r>
        <w:rPr>
          <w:w w:val="100"/>
        </w:rPr>
        <w:t> </w:t>
      </w:r>
      <w:r>
        <w:rPr>
          <w:rFonts w:ascii="Times New Roman" w:hAnsi="Times New Roman" w:cs="Times New Roman" w:eastAsia="Times New Roman" w:hint="default"/>
          <w:spacing w:val="-2"/>
        </w:rPr>
        <w:t>1955</w:t>
      </w:r>
      <w:r>
        <w:rPr>
          <w:spacing w:val="-2"/>
        </w:rPr>
        <w:t>年至</w:t>
      </w:r>
      <w:r>
        <w:rPr>
          <w:rFonts w:ascii="Times New Roman" w:hAnsi="Times New Roman" w:cs="Times New Roman" w:eastAsia="Times New Roman" w:hint="default"/>
          <w:spacing w:val="-2"/>
        </w:rPr>
        <w:t>1959</w:t>
      </w:r>
      <w:r>
        <w:rPr>
          <w:spacing w:val="-2"/>
        </w:rPr>
        <w:t>年就读于厦门大学物理系；</w:t>
      </w:r>
      <w:r>
        <w:rPr>
          <w:rFonts w:ascii="Times New Roman" w:hAnsi="Times New Roman" w:cs="Times New Roman" w:eastAsia="Times New Roman" w:hint="default"/>
          <w:spacing w:val="-2"/>
        </w:rPr>
        <w:t>1959</w:t>
      </w:r>
      <w:r>
        <w:rPr>
          <w:spacing w:val="-2"/>
        </w:rPr>
        <w:t>年至</w:t>
      </w:r>
      <w:r>
        <w:rPr>
          <w:rFonts w:ascii="Times New Roman" w:hAnsi="Times New Roman" w:cs="Times New Roman" w:eastAsia="Times New Roman" w:hint="default"/>
          <w:spacing w:val="-2"/>
        </w:rPr>
        <w:t>1986</w:t>
      </w:r>
      <w:r>
        <w:rPr>
          <w:spacing w:val="-2"/>
        </w:rPr>
        <w:t>年任厦门大学物理系教师；</w:t>
      </w:r>
      <w:r>
        <w:rPr>
          <w:rFonts w:ascii="Times New Roman" w:hAnsi="Times New Roman" w:cs="Times New Roman" w:eastAsia="Times New Roman" w:hint="default"/>
          <w:spacing w:val="-2"/>
        </w:rPr>
        <w:t>1986</w:t>
      </w:r>
      <w:r>
        <w:rPr>
          <w:spacing w:val="-2"/>
        </w:rPr>
        <w:t>年至</w:t>
      </w:r>
      <w:r>
        <w:rPr>
          <w:rFonts w:ascii="Times New Roman" w:hAnsi="Times New Roman" w:cs="Times New Roman" w:eastAsia="Times New Roman" w:hint="default"/>
          <w:spacing w:val="-2"/>
        </w:rPr>
        <w:t>1998</w:t>
      </w:r>
      <w:r>
        <w:rPr>
          <w:spacing w:val="-2"/>
        </w:rPr>
        <w:t>年任厦门</w:t>
      </w:r>
      <w:r>
        <w:rPr>
          <w:spacing w:val="-23"/>
        </w:rPr>
        <w:t> </w:t>
      </w:r>
      <w:r>
        <w:rPr>
          <w:spacing w:val="-23"/>
        </w:rPr>
      </w:r>
      <w:r>
        <w:rPr/>
        <w:t>大学电子工程系教师、教授；</w:t>
      </w:r>
      <w:r>
        <w:rPr>
          <w:rFonts w:ascii="Times New Roman" w:hAnsi="Times New Roman" w:cs="Times New Roman" w:eastAsia="Times New Roman" w:hint="default"/>
        </w:rPr>
        <w:t>1999</w:t>
      </w:r>
      <w:r>
        <w:rPr/>
        <w:t>年至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月任厦门市美亚柏科资讯科技有限公司监事；</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w w:val="100"/>
        </w:rPr>
        <w:t> </w:t>
      </w:r>
      <w:r>
        <w:rPr/>
        <w:t>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10</w:t>
      </w:r>
      <w:r>
        <w:rPr/>
        <w:t>月任第</w:t>
      </w:r>
      <w:r>
        <w:rPr>
          <w:rFonts w:ascii="Times New Roman" w:hAnsi="Times New Roman" w:cs="Times New Roman" w:eastAsia="Times New Roman" w:hint="default"/>
        </w:rPr>
        <w:t>29</w:t>
      </w:r>
      <w:r>
        <w:rPr/>
        <w:t>届奥林匹克运动会信息网络安全专家；</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w:t>
      </w:r>
      <w:r>
        <w:rPr/>
        <w:t>日起至今任公司董事会董事长。</w:t>
      </w:r>
    </w:p>
    <w:p>
      <w:pPr>
        <w:pStyle w:val="BodyText"/>
        <w:spacing w:line="386" w:lineRule="auto" w:before="35"/>
        <w:ind w:left="152" w:right="208" w:firstLine="420"/>
        <w:jc w:val="both"/>
      </w:pPr>
      <w:r>
        <w:rPr>
          <w:spacing w:val="-3"/>
        </w:rPr>
        <w:t>滕达，男，</w:t>
      </w:r>
      <w:r>
        <w:rPr>
          <w:rFonts w:ascii="Times New Roman" w:hAnsi="Times New Roman" w:cs="Times New Roman" w:eastAsia="Times New Roman" w:hint="default"/>
          <w:spacing w:val="-3"/>
        </w:rPr>
        <w:t>1970</w:t>
      </w:r>
      <w:r>
        <w:rPr>
          <w:spacing w:val="-3"/>
        </w:rPr>
        <w:t>年出生，中国香港籍，身份证号码：</w:t>
      </w:r>
      <w:r>
        <w:rPr>
          <w:rFonts w:ascii="Times New Roman" w:hAnsi="Times New Roman" w:cs="Times New Roman" w:eastAsia="Times New Roman" w:hint="default"/>
          <w:spacing w:val="-3"/>
        </w:rPr>
        <w:t>P5403**(6)</w:t>
      </w:r>
      <w:r>
        <w:rPr>
          <w:spacing w:val="-3"/>
        </w:rPr>
        <w:t>。硕士研究生学历。于</w:t>
      </w:r>
      <w:r>
        <w:rPr>
          <w:rFonts w:ascii="Times New Roman" w:hAnsi="Times New Roman" w:cs="Times New Roman" w:eastAsia="Times New Roman" w:hint="default"/>
          <w:spacing w:val="-3"/>
        </w:rPr>
        <w:t>1992</w:t>
      </w:r>
      <w:r>
        <w:rPr>
          <w:spacing w:val="-3"/>
        </w:rPr>
        <w:t>年</w:t>
      </w:r>
      <w:r>
        <w:rPr>
          <w:rFonts w:ascii="Times New Roman" w:hAnsi="Times New Roman" w:cs="Times New Roman" w:eastAsia="Times New Roman" w:hint="default"/>
          <w:spacing w:val="-3"/>
        </w:rPr>
        <w:t>7</w:t>
      </w:r>
      <w:r>
        <w:rPr>
          <w:spacing w:val="-3"/>
        </w:rPr>
        <w:t>月毕业</w:t>
      </w:r>
      <w:r>
        <w:rPr>
          <w:w w:val="100"/>
        </w:rPr>
        <w:t> </w:t>
      </w:r>
      <w:r>
        <w:rPr>
          <w:spacing w:val="-2"/>
        </w:rPr>
        <w:t>于厦门大学电子工程系；</w:t>
      </w:r>
      <w:r>
        <w:rPr>
          <w:rFonts w:ascii="Times New Roman" w:hAnsi="Times New Roman" w:cs="Times New Roman" w:eastAsia="Times New Roman" w:hint="default"/>
          <w:spacing w:val="-2"/>
        </w:rPr>
        <w:t>1992</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8</w:t>
      </w:r>
      <w:r>
        <w:rPr>
          <w:spacing w:val="-2"/>
        </w:rPr>
        <w:t>月任厦门必可电子有限公司工程师；</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9</w:t>
      </w:r>
      <w:r>
        <w:rPr>
          <w:spacing w:val="-2"/>
        </w:rPr>
        <w:t>月</w:t>
      </w:r>
      <w:r>
        <w:rPr>
          <w:spacing w:val="-26"/>
        </w:rPr>
        <w:t> </w:t>
      </w:r>
      <w:r>
        <w:rPr>
          <w:spacing w:val="-2"/>
        </w:rPr>
        <w:t>任厦门市美亚柏科资讯科技有限公司总经理；</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10</w:t>
      </w:r>
      <w:r>
        <w:rPr>
          <w:spacing w:val="-2"/>
        </w:rPr>
        <w:t>月任第</w:t>
      </w:r>
      <w:r>
        <w:rPr>
          <w:rFonts w:ascii="Times New Roman" w:hAnsi="Times New Roman" w:cs="Times New Roman" w:eastAsia="Times New Roman" w:hint="default"/>
          <w:spacing w:val="-2"/>
        </w:rPr>
        <w:t>29</w:t>
      </w:r>
      <w:r>
        <w:rPr>
          <w:spacing w:val="-2"/>
        </w:rPr>
        <w:t>届奥林匹克运动会信息网络</w:t>
      </w:r>
    </w:p>
    <w:p>
      <w:pPr>
        <w:spacing w:after="0" w:line="386" w:lineRule="auto"/>
        <w:jc w:val="both"/>
        <w:sectPr>
          <w:pgSz w:w="11910" w:h="16840"/>
          <w:pgMar w:header="877" w:footer="1227" w:top="1100" w:bottom="1420" w:left="980" w:right="920"/>
        </w:sectPr>
      </w:pPr>
    </w:p>
    <w:p>
      <w:pPr>
        <w:spacing w:line="240" w:lineRule="auto" w:before="9"/>
        <w:rPr>
          <w:rFonts w:ascii="宋体" w:hAnsi="宋体" w:cs="宋体" w:eastAsia="宋体" w:hint="default"/>
          <w:sz w:val="26"/>
          <w:szCs w:val="26"/>
        </w:rPr>
      </w:pPr>
    </w:p>
    <w:p>
      <w:pPr>
        <w:pStyle w:val="BodyText"/>
        <w:spacing w:line="386" w:lineRule="auto" w:before="36"/>
        <w:ind w:left="573" w:right="0" w:hanging="421"/>
        <w:jc w:val="left"/>
      </w:pPr>
      <w:r>
        <w:rPr>
          <w:spacing w:val="-2"/>
        </w:rPr>
        <w:t>安全专家；</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22</w:t>
      </w:r>
      <w:r>
        <w:rPr>
          <w:spacing w:val="-2"/>
        </w:rPr>
        <w:t>日起至今任公司董事会董事、总经理。</w:t>
      </w:r>
      <w:r>
        <w:rPr>
          <w:spacing w:val="-46"/>
        </w:rPr>
        <w:t> </w:t>
      </w:r>
      <w:r>
        <w:rPr>
          <w:spacing w:val="-46"/>
        </w:rPr>
      </w:r>
      <w:r>
        <w:rPr/>
        <w:t>公司与实际控制人之间的产权及控制关系的方框图：</w:t>
      </w:r>
    </w:p>
    <w:p>
      <w:pPr>
        <w:spacing w:line="240" w:lineRule="auto" w:before="4"/>
        <w:rPr>
          <w:rFonts w:ascii="宋体" w:hAnsi="宋体" w:cs="宋体" w:eastAsia="宋体" w:hint="default"/>
          <w:sz w:val="3"/>
          <w:szCs w:val="3"/>
        </w:rPr>
      </w:pPr>
    </w:p>
    <w:p>
      <w:pPr>
        <w:spacing w:line="4050" w:lineRule="exact"/>
        <w:ind w:left="153" w:right="0" w:firstLine="0"/>
        <w:rPr>
          <w:rFonts w:ascii="宋体" w:hAnsi="宋体" w:cs="宋体" w:eastAsia="宋体" w:hint="default"/>
          <w:sz w:val="20"/>
          <w:szCs w:val="20"/>
        </w:rPr>
      </w:pPr>
      <w:r>
        <w:rPr>
          <w:rFonts w:ascii="宋体" w:hAnsi="宋体" w:cs="宋体" w:eastAsia="宋体" w:hint="default"/>
          <w:position w:val="-80"/>
          <w:sz w:val="20"/>
          <w:szCs w:val="20"/>
        </w:rPr>
        <w:drawing>
          <wp:inline distT="0" distB="0" distL="0" distR="0">
            <wp:extent cx="3838252" cy="2571750"/>
            <wp:effectExtent l="0" t="0" r="0" b="0"/>
            <wp:docPr id="29" name="image11.png" descr=""/>
            <wp:cNvGraphicFramePr>
              <a:graphicFrameLocks noChangeAspect="1"/>
            </wp:cNvGraphicFramePr>
            <a:graphic>
              <a:graphicData uri="http://schemas.openxmlformats.org/drawingml/2006/picture">
                <pic:pic>
                  <pic:nvPicPr>
                    <pic:cNvPr id="30" name="image11.png"/>
                    <pic:cNvPicPr/>
                  </pic:nvPicPr>
                  <pic:blipFill>
                    <a:blip r:embed="rId64" cstate="print"/>
                    <a:stretch>
                      <a:fillRect/>
                    </a:stretch>
                  </pic:blipFill>
                  <pic:spPr>
                    <a:xfrm>
                      <a:off x="0" y="0"/>
                      <a:ext cx="3838252" cy="2571750"/>
                    </a:xfrm>
                    <a:prstGeom prst="rect">
                      <a:avLst/>
                    </a:prstGeom>
                  </pic:spPr>
                </pic:pic>
              </a:graphicData>
            </a:graphic>
          </wp:inline>
        </w:drawing>
      </w:r>
      <w:r>
        <w:rPr>
          <w:rFonts w:ascii="宋体" w:hAnsi="宋体" w:cs="宋体" w:eastAsia="宋体" w:hint="default"/>
          <w:position w:val="-80"/>
          <w:sz w:val="20"/>
          <w:szCs w:val="20"/>
        </w:rPr>
      </w:r>
    </w:p>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left="152" w:right="0"/>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19"/>
        <w:gridCol w:w="1133"/>
        <w:gridCol w:w="1561"/>
        <w:gridCol w:w="1277"/>
        <w:gridCol w:w="991"/>
        <w:gridCol w:w="3188"/>
      </w:tblGrid>
      <w:tr>
        <w:trPr>
          <w:trHeight w:val="71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12" w:right="84" w:hanging="2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00"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71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广州通连投资咨 询有限公司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胡文宝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67779408-4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 </w:t>
            </w:r>
            <w:r>
              <w:rPr>
                <w:rFonts w:ascii="宋体" w:hAnsi="宋体" w:cs="宋体" w:eastAsia="宋体" w:hint="default"/>
                <w:sz w:val="18"/>
                <w:szCs w:val="18"/>
              </w:rPr>
              <w:t>万元</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企业投资咨询，计算机软硬件的开发</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情况说明</w:t>
            </w:r>
          </w:p>
        </w:tc>
        <w:tc>
          <w:tcPr>
            <w:tcW w:w="81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报告期末，广州通连投资咨询有限公司持有本公司股份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万股，占总股本比例为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14.43%</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left="152" w:right="0"/>
        <w:jc w:val="left"/>
        <w:rPr>
          <w:b w:val="0"/>
          <w:bCs w:val="0"/>
        </w:rPr>
      </w:pPr>
      <w:r>
        <w:rPr>
          <w:rFonts w:ascii="Times New Roman" w:hAnsi="Times New Roman" w:cs="Times New Roman" w:eastAsia="Times New Roman" w:hint="default"/>
        </w:rPr>
        <w:t>5</w:t>
      </w:r>
      <w:r>
        <w:rPr/>
        <w:t>、前</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名有限售条件股东持股数量及限售条件</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96"/>
        <w:gridCol w:w="1699"/>
        <w:gridCol w:w="1702"/>
        <w:gridCol w:w="1560"/>
        <w:gridCol w:w="1916"/>
      </w:tblGrid>
      <w:tr>
        <w:trPr>
          <w:trHeight w:val="71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33" w:right="0"/>
              <w:jc w:val="left"/>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4" w:right="31" w:hanging="269"/>
              <w:jc w:val="left"/>
              <w:rPr>
                <w:rFonts w:ascii="宋体" w:hAnsi="宋体" w:cs="宋体" w:eastAsia="宋体" w:hint="default"/>
                <w:sz w:val="18"/>
                <w:szCs w:val="18"/>
              </w:rPr>
            </w:pPr>
            <w:r>
              <w:rPr>
                <w:rFonts w:ascii="宋体" w:hAnsi="宋体" w:cs="宋体" w:eastAsia="宋体" w:hint="default"/>
                <w:sz w:val="18"/>
                <w:szCs w:val="18"/>
              </w:rPr>
              <w:t>持有的有限售条件股 份数量（股）</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4"/>
              <w:jc w:val="right"/>
              <w:rPr>
                <w:rFonts w:ascii="宋体" w:hAnsi="宋体" w:cs="宋体" w:eastAsia="宋体" w:hint="default"/>
                <w:sz w:val="18"/>
                <w:szCs w:val="18"/>
              </w:rPr>
            </w:pPr>
            <w:r>
              <w:rPr>
                <w:rFonts w:ascii="宋体" w:hAnsi="宋体" w:cs="宋体" w:eastAsia="宋体" w:hint="default"/>
                <w:sz w:val="18"/>
                <w:szCs w:val="18"/>
              </w:rPr>
              <w:t>可上市交易时间</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5" w:right="53" w:hanging="180"/>
              <w:jc w:val="left"/>
              <w:rPr>
                <w:rFonts w:ascii="宋体" w:hAnsi="宋体" w:cs="宋体" w:eastAsia="宋体" w:hint="default"/>
                <w:sz w:val="18"/>
                <w:szCs w:val="18"/>
              </w:rPr>
            </w:pPr>
            <w:r>
              <w:rPr>
                <w:rFonts w:ascii="宋体" w:hAnsi="宋体" w:cs="宋体" w:eastAsia="宋体" w:hint="default"/>
                <w:sz w:val="18"/>
                <w:szCs w:val="18"/>
              </w:rPr>
              <w:t>新增可上市交易股 份数量（股）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郭永芳</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发行前限售</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李国林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发行前限售</w:t>
            </w:r>
          </w:p>
        </w:tc>
      </w:tr>
      <w:tr>
        <w:trPr>
          <w:trHeight w:val="40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广州通连投资咨询有限公司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发行前限售</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刘祥南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发行前限售</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郭泓</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发行前限售</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申强</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发行前限售</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申强</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9"/>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股权激励限售</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丛艳芬</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发行前限售</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丛艳芬</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9"/>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股权激励限售</w:t>
            </w:r>
          </w:p>
        </w:tc>
      </w:tr>
    </w:tbl>
    <w:p>
      <w:pPr>
        <w:spacing w:after="0" w:line="240" w:lineRule="auto"/>
        <w:jc w:val="left"/>
        <w:rPr>
          <w:rFonts w:ascii="宋体" w:hAnsi="宋体" w:cs="宋体" w:eastAsia="宋体" w:hint="default"/>
          <w:sz w:val="18"/>
          <w:szCs w:val="18"/>
        </w:rPr>
        <w:sectPr>
          <w:pgSz w:w="11910" w:h="16840"/>
          <w:pgMar w:header="877"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696"/>
        <w:gridCol w:w="1699"/>
        <w:gridCol w:w="1702"/>
        <w:gridCol w:w="1560"/>
        <w:gridCol w:w="1916"/>
      </w:tblGrid>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张雪峰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发行前限售</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张雪峰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股权激励限售</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发行前限售</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股权激励限售</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黄基鹏</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发行前限售</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黄基鹏</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股权激励限售</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吴鸿伟</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发行前限售</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吴鸿伟</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股权激励限售</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发行前限售</w:t>
            </w:r>
          </w:p>
        </w:tc>
      </w:tr>
      <w:tr>
        <w:trPr>
          <w:trHeight w:val="40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股权激励限售</w:t>
            </w:r>
          </w:p>
        </w:tc>
      </w:tr>
    </w:tbl>
    <w:p>
      <w:pPr>
        <w:spacing w:after="0" w:line="240" w:lineRule="auto"/>
        <w:jc w:val="left"/>
        <w:rPr>
          <w:rFonts w:ascii="宋体" w:hAnsi="宋体" w:cs="宋体" w:eastAsia="宋体" w:hint="default"/>
          <w:sz w:val="18"/>
          <w:szCs w:val="18"/>
        </w:rPr>
        <w:sectPr>
          <w:pgSz w:w="11910" w:h="16840"/>
          <w:pgMar w:header="877" w:footer="1227" w:top="1100" w:bottom="14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p>
      <w:pPr>
        <w:pStyle w:val="Heading1"/>
        <w:spacing w:line="240" w:lineRule="auto"/>
        <w:ind w:left="1679" w:right="0"/>
        <w:jc w:val="left"/>
        <w:rPr>
          <w:b w:val="0"/>
          <w:bCs w:val="0"/>
        </w:rPr>
      </w:pPr>
      <w:bookmarkStart w:name="_TOC_250003" w:id="6"/>
      <w:r>
        <w:rPr/>
        <w:t>第七节</w:t>
      </w:r>
      <w:r>
        <w:rPr>
          <w:spacing w:val="-8"/>
        </w:rPr>
        <w:t> </w:t>
      </w:r>
      <w:r>
        <w:rPr/>
        <w:t>董事、监事、高级管理人员和员工情况</w:t>
      </w:r>
      <w:bookmarkEnd w:id="6"/>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w:t>
      </w:r>
      <w:r>
        <w:rPr>
          <w:spacing w:val="-95"/>
        </w:rPr>
        <w:t> </w:t>
      </w:r>
      <w:r>
        <w:rPr/>
        <w:t>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684"/>
        <w:gridCol w:w="876"/>
        <w:gridCol w:w="283"/>
        <w:gridCol w:w="283"/>
        <w:gridCol w:w="850"/>
        <w:gridCol w:w="852"/>
        <w:gridCol w:w="953"/>
        <w:gridCol w:w="891"/>
        <w:gridCol w:w="478"/>
        <w:gridCol w:w="938"/>
        <w:gridCol w:w="427"/>
        <w:gridCol w:w="709"/>
        <w:gridCol w:w="425"/>
        <w:gridCol w:w="917"/>
      </w:tblGrid>
      <w:tr>
        <w:trPr>
          <w:trHeight w:val="2276"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48" w:right="43"/>
              <w:jc w:val="left"/>
              <w:rPr>
                <w:rFonts w:ascii="宋体" w:hAnsi="宋体" w:cs="宋体" w:eastAsia="宋体" w:hint="default"/>
                <w:sz w:val="18"/>
                <w:szCs w:val="18"/>
              </w:rPr>
            </w:pPr>
            <w:r>
              <w:rPr>
                <w:rFonts w:ascii="宋体" w:hAnsi="宋体" w:cs="宋体" w:eastAsia="宋体" w:hint="default"/>
                <w:sz w:val="18"/>
                <w:szCs w:val="18"/>
              </w:rPr>
              <w:t>性 别</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48" w:right="43"/>
              <w:jc w:val="left"/>
              <w:rPr>
                <w:rFonts w:ascii="宋体" w:hAnsi="宋体" w:cs="宋体" w:eastAsia="宋体" w:hint="default"/>
                <w:sz w:val="18"/>
                <w:szCs w:val="18"/>
              </w:rPr>
            </w:pPr>
            <w:r>
              <w:rPr>
                <w:rFonts w:ascii="宋体" w:hAnsi="宋体" w:cs="宋体" w:eastAsia="宋体" w:hint="default"/>
                <w:sz w:val="18"/>
                <w:szCs w:val="18"/>
              </w:rPr>
              <w:t>年 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9" w:right="58"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2" w:right="5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108"/>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81"/>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7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5" w:right="50"/>
              <w:jc w:val="both"/>
              <w:rPr>
                <w:rFonts w:ascii="宋体" w:hAnsi="宋体" w:cs="宋体" w:eastAsia="宋体" w:hint="default"/>
                <w:sz w:val="18"/>
                <w:szCs w:val="18"/>
              </w:rPr>
            </w:pPr>
            <w:r>
              <w:rPr>
                <w:rFonts w:ascii="宋体" w:hAnsi="宋体" w:cs="宋体" w:eastAsia="宋体" w:hint="default"/>
                <w:sz w:val="18"/>
                <w:szCs w:val="18"/>
              </w:rPr>
              <w:t>本期 减持 股份 数量</w:t>
            </w:r>
          </w:p>
          <w:p>
            <w:pPr>
              <w:pStyle w:val="TableParagraph"/>
              <w:spacing w:line="240" w:lineRule="auto" w:before="19"/>
              <w:ind w:left="55" w:right="0"/>
              <w:jc w:val="both"/>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240" w:lineRule="auto" w:before="76"/>
              <w:ind w:left="143" w:right="0"/>
              <w:jc w:val="both"/>
              <w:rPr>
                <w:rFonts w:ascii="宋体" w:hAnsi="宋体" w:cs="宋体" w:eastAsia="宋体" w:hint="default"/>
                <w:sz w:val="18"/>
                <w:szCs w:val="18"/>
              </w:rPr>
            </w:pPr>
            <w:r>
              <w:rPr>
                <w:rFonts w:ascii="宋体" w:hAnsi="宋体" w:cs="宋体" w:eastAsia="宋体" w:hint="default"/>
                <w:sz w:val="18"/>
                <w:szCs w:val="18"/>
              </w:rPr>
              <w:t>）</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5" w:right="101"/>
              <w:jc w:val="left"/>
              <w:rPr>
                <w:rFonts w:ascii="宋体" w:hAnsi="宋体" w:cs="宋体" w:eastAsia="宋体" w:hint="default"/>
                <w:sz w:val="18"/>
                <w:szCs w:val="18"/>
              </w:rPr>
            </w:pPr>
            <w:r>
              <w:rPr>
                <w:rFonts w:ascii="宋体" w:hAnsi="宋体" w:cs="宋体" w:eastAsia="宋体" w:hint="default"/>
                <w:sz w:val="18"/>
                <w:szCs w:val="18"/>
              </w:rPr>
              <w:t>期末持股 数（股）</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6"/>
              <w:jc w:val="both"/>
              <w:rPr>
                <w:rFonts w:ascii="宋体" w:hAnsi="宋体" w:cs="宋体" w:eastAsia="宋体" w:hint="default"/>
                <w:sz w:val="18"/>
                <w:szCs w:val="18"/>
              </w:rPr>
            </w:pPr>
            <w:r>
              <w:rPr>
                <w:rFonts w:ascii="宋体" w:hAnsi="宋体" w:cs="宋体" w:eastAsia="宋体" w:hint="default"/>
                <w:sz w:val="18"/>
                <w:szCs w:val="18"/>
              </w:rPr>
              <w:t>期初 持有 股票 期权 数量</w:t>
            </w:r>
          </w:p>
          <w:p>
            <w:pPr>
              <w:pStyle w:val="TableParagraph"/>
              <w:spacing w:line="240" w:lineRule="auto" w:before="19"/>
              <w:ind w:left="28" w:right="0"/>
              <w:jc w:val="both"/>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240" w:lineRule="auto" w:before="77"/>
              <w:ind w:left="117" w:right="0"/>
              <w:jc w:val="both"/>
              <w:rPr>
                <w:rFonts w:ascii="宋体" w:hAnsi="宋体" w:cs="宋体" w:eastAsia="宋体" w:hint="default"/>
                <w:sz w:val="18"/>
                <w:szCs w:val="18"/>
              </w:rPr>
            </w:pPr>
            <w:r>
              <w:rPr>
                <w:rFonts w:ascii="宋体" w:hAnsi="宋体" w:cs="宋体" w:eastAsia="宋体" w:hint="default"/>
                <w:sz w:val="18"/>
                <w:szCs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46" w:hanging="68"/>
              <w:jc w:val="center"/>
              <w:rPr>
                <w:rFonts w:ascii="宋体" w:hAnsi="宋体" w:cs="宋体" w:eastAsia="宋体" w:hint="default"/>
                <w:sz w:val="18"/>
                <w:szCs w:val="18"/>
              </w:rPr>
            </w:pPr>
            <w:r>
              <w:rPr>
                <w:rFonts w:ascii="宋体" w:hAnsi="宋体" w:cs="宋体" w:eastAsia="宋体" w:hint="default"/>
                <w:spacing w:val="-17"/>
                <w:sz w:val="18"/>
                <w:szCs w:val="18"/>
              </w:rPr>
              <w:t>其中：被</w:t>
            </w:r>
            <w:r>
              <w:rPr>
                <w:rFonts w:ascii="宋体" w:hAnsi="宋体" w:cs="宋体" w:eastAsia="宋体" w:hint="default"/>
                <w:sz w:val="18"/>
                <w:szCs w:val="18"/>
              </w:rPr>
              <w:t> 授予的 限制性 股票数 量（股）</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4"/>
              <w:jc w:val="both"/>
              <w:rPr>
                <w:rFonts w:ascii="宋体" w:hAnsi="宋体" w:cs="宋体" w:eastAsia="宋体" w:hint="default"/>
                <w:sz w:val="18"/>
                <w:szCs w:val="18"/>
              </w:rPr>
            </w:pPr>
            <w:r>
              <w:rPr>
                <w:rFonts w:ascii="宋体" w:hAnsi="宋体" w:cs="宋体" w:eastAsia="宋体" w:hint="default"/>
                <w:sz w:val="18"/>
                <w:szCs w:val="18"/>
              </w:rPr>
              <w:t>期末 持有 股票 期权 数量</w:t>
            </w:r>
          </w:p>
          <w:p>
            <w:pPr>
              <w:pStyle w:val="TableParagraph"/>
              <w:spacing w:line="240" w:lineRule="auto" w:before="19"/>
              <w:ind w:left="28" w:right="0"/>
              <w:jc w:val="both"/>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240" w:lineRule="auto" w:before="77"/>
              <w:ind w:left="117" w:right="0"/>
              <w:jc w:val="both"/>
              <w:rPr>
                <w:rFonts w:ascii="宋体" w:hAnsi="宋体" w:cs="宋体" w:eastAsia="宋体" w:hint="default"/>
                <w:sz w:val="18"/>
                <w:szCs w:val="18"/>
              </w:rPr>
            </w:pPr>
            <w:r>
              <w:rPr>
                <w:rFonts w:ascii="宋体" w:hAnsi="宋体" w:cs="宋体" w:eastAsia="宋体" w:hint="default"/>
                <w:sz w:val="18"/>
                <w:szCs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变动原因</w:t>
            </w:r>
          </w:p>
        </w:tc>
      </w:tr>
      <w:tr>
        <w:trPr>
          <w:trHeight w:val="71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刘祥南</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76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2009 </w:t>
            </w:r>
            <w:r>
              <w:rPr>
                <w:rFonts w:ascii="宋体" w:hAnsi="宋体" w:cs="宋体" w:eastAsia="宋体" w:hint="default"/>
                <w:sz w:val="20"/>
                <w:szCs w:val="20"/>
              </w:rPr>
              <w:t>年</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9</w:t>
            </w:r>
          </w:p>
          <w:p>
            <w:pPr>
              <w:pStyle w:val="TableParagraph"/>
              <w:spacing w:line="240" w:lineRule="auto" w:before="32"/>
              <w:ind w:left="2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6,400,000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6,400,000</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12,800,000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资本公积 金转股</w:t>
            </w:r>
          </w:p>
        </w:tc>
      </w:tr>
      <w:tr>
        <w:trPr>
          <w:trHeight w:val="71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郭永芳</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68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2009 </w:t>
            </w:r>
            <w:r>
              <w:rPr>
                <w:rFonts w:ascii="宋体" w:hAnsi="宋体" w:cs="宋体" w:eastAsia="宋体" w:hint="default"/>
                <w:sz w:val="20"/>
                <w:szCs w:val="20"/>
              </w:rPr>
              <w:t>年</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9</w:t>
            </w:r>
          </w:p>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15,600,000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15,600,000</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31,200,000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pacing w:val="36"/>
                <w:sz w:val="18"/>
                <w:szCs w:val="18"/>
              </w:rPr>
              <w:t>资本公积</w:t>
            </w:r>
            <w:r>
              <w:rPr>
                <w:rFonts w:ascii="宋体" w:hAnsi="宋体" w:cs="宋体" w:eastAsia="宋体" w:hint="default"/>
                <w:spacing w:val="-42"/>
                <w:sz w:val="18"/>
                <w:szCs w:val="18"/>
              </w:rPr>
              <w:t> </w:t>
            </w:r>
            <w:r>
              <w:rPr>
                <w:rFonts w:ascii="宋体" w:hAnsi="宋体" w:cs="宋体" w:eastAsia="宋体" w:hint="default"/>
                <w:sz w:val="18"/>
                <w:szCs w:val="18"/>
              </w:rPr>
              <w:t>金转股</w:t>
            </w:r>
          </w:p>
        </w:tc>
      </w:tr>
      <w:tr>
        <w:trPr>
          <w:trHeight w:val="71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李国林</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2009 </w:t>
            </w:r>
            <w:r>
              <w:rPr>
                <w:rFonts w:ascii="宋体" w:hAnsi="宋体" w:cs="宋体" w:eastAsia="宋体" w:hint="default"/>
                <w:sz w:val="20"/>
                <w:szCs w:val="20"/>
              </w:rPr>
              <w:t>年</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9</w:t>
            </w:r>
          </w:p>
          <w:p>
            <w:pPr>
              <w:pStyle w:val="TableParagraph"/>
              <w:spacing w:line="240" w:lineRule="auto" w:before="32"/>
              <w:ind w:left="2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9"/>
              <w:jc w:val="left"/>
              <w:rPr>
                <w:rFonts w:ascii="宋体" w:hAnsi="宋体" w:cs="宋体" w:eastAsia="宋体" w:hint="default"/>
                <w:sz w:val="18"/>
                <w:szCs w:val="18"/>
              </w:rPr>
            </w:pPr>
            <w:r>
              <w:rPr>
                <w:rFonts w:ascii="宋体" w:hAnsi="宋体" w:cs="宋体" w:eastAsia="宋体" w:hint="default"/>
                <w:spacing w:val="36"/>
                <w:sz w:val="18"/>
                <w:szCs w:val="18"/>
              </w:rPr>
              <w:t>资本公积</w:t>
            </w:r>
            <w:r>
              <w:rPr>
                <w:rFonts w:ascii="宋体" w:hAnsi="宋体" w:cs="宋体" w:eastAsia="宋体" w:hint="default"/>
                <w:spacing w:val="-42"/>
                <w:sz w:val="18"/>
                <w:szCs w:val="18"/>
              </w:rPr>
              <w:t> </w:t>
            </w:r>
            <w:r>
              <w:rPr>
                <w:rFonts w:ascii="宋体" w:hAnsi="宋体" w:cs="宋体" w:eastAsia="宋体" w:hint="default"/>
                <w:sz w:val="18"/>
                <w:szCs w:val="18"/>
              </w:rPr>
              <w:t>金转股</w:t>
            </w:r>
          </w:p>
        </w:tc>
      </w:tr>
      <w:tr>
        <w:trPr>
          <w:trHeight w:val="71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滕达</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16"/>
                <w:sz w:val="18"/>
                <w:szCs w:val="18"/>
              </w:rPr>
              <w:t>董事、总经</w:t>
            </w:r>
            <w:r>
              <w:rPr>
                <w:rFonts w:ascii="宋体" w:hAnsi="宋体" w:cs="宋体" w:eastAsia="宋体" w:hint="default"/>
                <w:sz w:val="18"/>
                <w:szCs w:val="18"/>
              </w:rPr>
              <w:t> 理</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2009 </w:t>
            </w:r>
            <w:r>
              <w:rPr>
                <w:rFonts w:ascii="宋体" w:hAnsi="宋体" w:cs="宋体" w:eastAsia="宋体" w:hint="default"/>
                <w:sz w:val="20"/>
                <w:szCs w:val="20"/>
              </w:rPr>
              <w:t>年</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9</w:t>
            </w:r>
          </w:p>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郭东辉</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2009 </w:t>
            </w:r>
            <w:r>
              <w:rPr>
                <w:rFonts w:ascii="宋体" w:hAnsi="宋体" w:cs="宋体" w:eastAsia="宋体" w:hint="default"/>
                <w:sz w:val="20"/>
                <w:szCs w:val="20"/>
              </w:rPr>
              <w:t>年</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9</w:t>
            </w:r>
          </w:p>
          <w:p>
            <w:pPr>
              <w:pStyle w:val="TableParagraph"/>
              <w:spacing w:line="240" w:lineRule="auto" w:before="33"/>
              <w:ind w:left="2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1"/>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陈少华</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p>
            <w:pPr>
              <w:pStyle w:val="TableParagraph"/>
              <w:spacing w:line="240" w:lineRule="auto" w:before="35"/>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12 </w:t>
            </w:r>
            <w:r>
              <w:rPr>
                <w:rFonts w:ascii="宋体" w:hAnsi="宋体" w:cs="宋体" w:eastAsia="宋体" w:hint="default"/>
                <w:sz w:val="20"/>
                <w:szCs w:val="20"/>
              </w:rPr>
              <w:t>月</w:t>
            </w:r>
            <w:r>
              <w:rPr>
                <w:rFonts w:ascii="宋体" w:hAnsi="宋体" w:cs="宋体" w:eastAsia="宋体" w:hint="default"/>
                <w:spacing w:val="-48"/>
                <w:sz w:val="20"/>
                <w:szCs w:val="20"/>
              </w:rPr>
              <w:t> </w:t>
            </w:r>
            <w:r>
              <w:rPr>
                <w:rFonts w:ascii="Times New Roman" w:hAnsi="Times New Roman" w:cs="Times New Roman" w:eastAsia="Times New Roman" w:hint="default"/>
                <w:sz w:val="20"/>
                <w:szCs w:val="20"/>
              </w:rPr>
              <w:t>20</w:t>
            </w:r>
          </w:p>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陈汉文</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p>
            <w:pPr>
              <w:pStyle w:val="TableParagraph"/>
              <w:spacing w:line="240" w:lineRule="auto" w:before="32"/>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pacing w:val="-4"/>
                <w:sz w:val="20"/>
                <w:szCs w:val="20"/>
              </w:rPr>
              <w:t>11 </w:t>
            </w:r>
            <w:r>
              <w:rPr>
                <w:rFonts w:ascii="宋体" w:hAnsi="宋体" w:cs="宋体" w:eastAsia="宋体" w:hint="default"/>
                <w:sz w:val="20"/>
                <w:szCs w:val="20"/>
              </w:rPr>
              <w:t>月</w:t>
            </w:r>
            <w:r>
              <w:rPr>
                <w:rFonts w:ascii="宋体" w:hAnsi="宋体" w:cs="宋体" w:eastAsia="宋体" w:hint="default"/>
                <w:spacing w:val="-43"/>
                <w:sz w:val="20"/>
                <w:szCs w:val="20"/>
              </w:rPr>
              <w:t> </w:t>
            </w:r>
            <w:r>
              <w:rPr>
                <w:rFonts w:ascii="Times New Roman" w:hAnsi="Times New Roman" w:cs="Times New Roman" w:eastAsia="Times New Roman" w:hint="default"/>
                <w:sz w:val="20"/>
                <w:szCs w:val="20"/>
              </w:rPr>
              <w:t>14</w:t>
            </w:r>
          </w:p>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仲丽华</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0"/>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吴顺祥</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2009 </w:t>
            </w:r>
            <w:r>
              <w:rPr>
                <w:rFonts w:ascii="宋体" w:hAnsi="宋体" w:cs="宋体" w:eastAsia="宋体" w:hint="default"/>
                <w:sz w:val="20"/>
                <w:szCs w:val="20"/>
              </w:rPr>
              <w:t>年</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9</w:t>
            </w:r>
          </w:p>
          <w:p>
            <w:pPr>
              <w:pStyle w:val="TableParagraph"/>
              <w:spacing w:line="240" w:lineRule="auto" w:before="33"/>
              <w:ind w:left="2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1"/>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高龙腾</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2009 </w:t>
            </w:r>
            <w:r>
              <w:rPr>
                <w:rFonts w:ascii="宋体" w:hAnsi="宋体" w:cs="宋体" w:eastAsia="宋体" w:hint="default"/>
                <w:sz w:val="20"/>
                <w:szCs w:val="20"/>
              </w:rPr>
              <w:t>年</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9</w:t>
            </w:r>
          </w:p>
          <w:p>
            <w:pPr>
              <w:pStyle w:val="TableParagraph"/>
              <w:spacing w:line="240" w:lineRule="auto" w:before="35"/>
              <w:ind w:left="69"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申强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2009 </w:t>
            </w:r>
            <w:r>
              <w:rPr>
                <w:rFonts w:ascii="宋体" w:hAnsi="宋体" w:cs="宋体" w:eastAsia="宋体" w:hint="default"/>
                <w:sz w:val="20"/>
                <w:szCs w:val="20"/>
              </w:rPr>
              <w:t>年</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9</w:t>
            </w:r>
          </w:p>
          <w:p>
            <w:pPr>
              <w:pStyle w:val="TableParagraph"/>
              <w:spacing w:line="240" w:lineRule="auto" w:before="32"/>
              <w:ind w:left="69"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320,000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资本公积 </w:t>
            </w:r>
            <w:r>
              <w:rPr>
                <w:rFonts w:ascii="宋体" w:hAnsi="宋体" w:cs="宋体" w:eastAsia="宋体" w:hint="default"/>
                <w:spacing w:val="-8"/>
                <w:sz w:val="18"/>
                <w:szCs w:val="18"/>
              </w:rPr>
              <w:t>金转股、股</w:t>
            </w:r>
            <w:r>
              <w:rPr>
                <w:rFonts w:ascii="宋体" w:hAnsi="宋体" w:cs="宋体" w:eastAsia="宋体" w:hint="default"/>
                <w:sz w:val="18"/>
                <w:szCs w:val="18"/>
              </w:rPr>
              <w:t> 权激励</w:t>
            </w:r>
          </w:p>
        </w:tc>
      </w:tr>
      <w:tr>
        <w:trPr>
          <w:trHeight w:val="71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丛艳芬</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2009 </w:t>
            </w:r>
            <w:r>
              <w:rPr>
                <w:rFonts w:ascii="宋体" w:hAnsi="宋体" w:cs="宋体" w:eastAsia="宋体" w:hint="default"/>
                <w:sz w:val="20"/>
                <w:szCs w:val="20"/>
              </w:rPr>
              <w:t>年</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9</w:t>
            </w:r>
          </w:p>
          <w:p>
            <w:pPr>
              <w:pStyle w:val="TableParagraph"/>
              <w:spacing w:line="240" w:lineRule="auto" w:before="35"/>
              <w:ind w:left="69"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2"/>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320,000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pacing w:val="36"/>
                <w:sz w:val="18"/>
                <w:szCs w:val="18"/>
              </w:rPr>
              <w:t>资本公积</w:t>
            </w:r>
            <w:r>
              <w:rPr>
                <w:rFonts w:ascii="宋体" w:hAnsi="宋体" w:cs="宋体" w:eastAsia="宋体" w:hint="default"/>
                <w:spacing w:val="-42"/>
                <w:sz w:val="18"/>
                <w:szCs w:val="18"/>
              </w:rPr>
              <w:t> </w:t>
            </w:r>
            <w:r>
              <w:rPr>
                <w:rFonts w:ascii="宋体" w:hAnsi="宋体" w:cs="宋体" w:eastAsia="宋体" w:hint="default"/>
                <w:spacing w:val="-8"/>
                <w:sz w:val="18"/>
                <w:szCs w:val="18"/>
              </w:rPr>
              <w:t>金转股、股</w:t>
            </w:r>
          </w:p>
        </w:tc>
      </w:tr>
    </w:tbl>
    <w:p>
      <w:pPr>
        <w:spacing w:after="0" w:line="316" w:lineRule="auto"/>
        <w:jc w:val="left"/>
        <w:rPr>
          <w:rFonts w:ascii="宋体" w:hAnsi="宋体" w:cs="宋体" w:eastAsia="宋体" w:hint="default"/>
          <w:sz w:val="18"/>
          <w:szCs w:val="18"/>
        </w:rPr>
        <w:sectPr>
          <w:pgSz w:w="11910" w:h="16840"/>
          <w:pgMar w:header="877" w:footer="1227" w:top="1100" w:bottom="1420" w:left="980" w:right="98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684"/>
        <w:gridCol w:w="876"/>
        <w:gridCol w:w="283"/>
        <w:gridCol w:w="283"/>
        <w:gridCol w:w="850"/>
        <w:gridCol w:w="852"/>
        <w:gridCol w:w="953"/>
        <w:gridCol w:w="891"/>
        <w:gridCol w:w="478"/>
        <w:gridCol w:w="938"/>
        <w:gridCol w:w="427"/>
        <w:gridCol w:w="709"/>
        <w:gridCol w:w="425"/>
        <w:gridCol w:w="917"/>
      </w:tblGrid>
      <w:tr>
        <w:trPr>
          <w:trHeight w:val="363"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41"/>
              <w:jc w:val="right"/>
              <w:rPr>
                <w:rFonts w:ascii="宋体" w:hAnsi="宋体" w:cs="宋体" w:eastAsia="宋体" w:hint="default"/>
                <w:sz w:val="18"/>
                <w:szCs w:val="18"/>
              </w:rPr>
            </w:pPr>
            <w:r>
              <w:rPr>
                <w:rFonts w:ascii="宋体" w:hAnsi="宋体" w:cs="宋体" w:eastAsia="宋体" w:hint="default"/>
                <w:sz w:val="18"/>
                <w:szCs w:val="18"/>
              </w:rPr>
              <w:t>权激励</w:t>
            </w: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高峰</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96"/>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2009 </w:t>
            </w:r>
            <w:r>
              <w:rPr>
                <w:rFonts w:ascii="宋体" w:hAnsi="宋体" w:cs="宋体" w:eastAsia="宋体" w:hint="default"/>
                <w:sz w:val="20"/>
                <w:szCs w:val="20"/>
              </w:rPr>
              <w:t>年</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9</w:t>
            </w:r>
          </w:p>
          <w:p>
            <w:pPr>
              <w:pStyle w:val="TableParagraph"/>
              <w:spacing w:line="240" w:lineRule="auto" w:before="35"/>
              <w:ind w:left="69"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320,000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both"/>
              <w:rPr>
                <w:rFonts w:ascii="宋体" w:hAnsi="宋体" w:cs="宋体" w:eastAsia="宋体" w:hint="default"/>
                <w:sz w:val="18"/>
                <w:szCs w:val="18"/>
              </w:rPr>
            </w:pPr>
            <w:r>
              <w:rPr>
                <w:rFonts w:ascii="宋体" w:hAnsi="宋体" w:cs="宋体" w:eastAsia="宋体" w:hint="default"/>
                <w:spacing w:val="36"/>
                <w:sz w:val="18"/>
                <w:szCs w:val="18"/>
              </w:rPr>
              <w:t>资本公积</w:t>
            </w:r>
            <w:r>
              <w:rPr>
                <w:rFonts w:ascii="宋体" w:hAnsi="宋体" w:cs="宋体" w:eastAsia="宋体" w:hint="default"/>
                <w:spacing w:val="-42"/>
                <w:sz w:val="18"/>
                <w:szCs w:val="18"/>
              </w:rPr>
              <w:t> </w:t>
            </w:r>
            <w:r>
              <w:rPr>
                <w:rFonts w:ascii="宋体" w:hAnsi="宋体" w:cs="宋体" w:eastAsia="宋体" w:hint="default"/>
                <w:spacing w:val="-8"/>
                <w:sz w:val="18"/>
                <w:szCs w:val="18"/>
              </w:rPr>
              <w:t>金转股、股</w:t>
            </w:r>
            <w:r>
              <w:rPr>
                <w:rFonts w:ascii="宋体" w:hAnsi="宋体" w:cs="宋体" w:eastAsia="宋体" w:hint="default"/>
                <w:sz w:val="18"/>
                <w:szCs w:val="18"/>
              </w:rPr>
              <w:t> 权激励</w:t>
            </w: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张雪峰</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96"/>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2009 </w:t>
            </w:r>
            <w:r>
              <w:rPr>
                <w:rFonts w:ascii="宋体" w:hAnsi="宋体" w:cs="宋体" w:eastAsia="宋体" w:hint="default"/>
                <w:sz w:val="20"/>
                <w:szCs w:val="20"/>
              </w:rPr>
              <w:t>年</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9</w:t>
            </w:r>
          </w:p>
          <w:p>
            <w:pPr>
              <w:pStyle w:val="TableParagraph"/>
              <w:spacing w:line="240" w:lineRule="auto" w:before="35"/>
              <w:ind w:left="69"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320,000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both"/>
              <w:rPr>
                <w:rFonts w:ascii="宋体" w:hAnsi="宋体" w:cs="宋体" w:eastAsia="宋体" w:hint="default"/>
                <w:sz w:val="18"/>
                <w:szCs w:val="18"/>
              </w:rPr>
            </w:pPr>
            <w:r>
              <w:rPr>
                <w:rFonts w:ascii="宋体" w:hAnsi="宋体" w:cs="宋体" w:eastAsia="宋体" w:hint="default"/>
                <w:spacing w:val="36"/>
                <w:sz w:val="18"/>
                <w:szCs w:val="18"/>
              </w:rPr>
              <w:t>资本公积</w:t>
            </w:r>
            <w:r>
              <w:rPr>
                <w:rFonts w:ascii="宋体" w:hAnsi="宋体" w:cs="宋体" w:eastAsia="宋体" w:hint="default"/>
                <w:spacing w:val="-42"/>
                <w:sz w:val="18"/>
                <w:szCs w:val="18"/>
              </w:rPr>
              <w:t> </w:t>
            </w:r>
            <w:r>
              <w:rPr>
                <w:rFonts w:ascii="宋体" w:hAnsi="宋体" w:cs="宋体" w:eastAsia="宋体" w:hint="default"/>
                <w:spacing w:val="-8"/>
                <w:sz w:val="18"/>
                <w:szCs w:val="18"/>
              </w:rPr>
              <w:t>金转股、股</w:t>
            </w:r>
            <w:r>
              <w:rPr>
                <w:rFonts w:ascii="宋体" w:hAnsi="宋体" w:cs="宋体" w:eastAsia="宋体" w:hint="default"/>
                <w:sz w:val="18"/>
                <w:szCs w:val="18"/>
              </w:rPr>
              <w:t> 权激励</w:t>
            </w: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黄基鹏</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96"/>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2009 </w:t>
            </w:r>
            <w:r>
              <w:rPr>
                <w:rFonts w:ascii="宋体" w:hAnsi="宋体" w:cs="宋体" w:eastAsia="宋体" w:hint="default"/>
                <w:sz w:val="20"/>
                <w:szCs w:val="20"/>
              </w:rPr>
              <w:t>年</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9</w:t>
            </w:r>
          </w:p>
          <w:p>
            <w:pPr>
              <w:pStyle w:val="TableParagraph"/>
              <w:spacing w:line="240" w:lineRule="auto" w:before="35"/>
              <w:ind w:left="69"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320,000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both"/>
              <w:rPr>
                <w:rFonts w:ascii="宋体" w:hAnsi="宋体" w:cs="宋体" w:eastAsia="宋体" w:hint="default"/>
                <w:sz w:val="18"/>
                <w:szCs w:val="18"/>
              </w:rPr>
            </w:pPr>
            <w:r>
              <w:rPr>
                <w:rFonts w:ascii="宋体" w:hAnsi="宋体" w:cs="宋体" w:eastAsia="宋体" w:hint="default"/>
                <w:spacing w:val="36"/>
                <w:sz w:val="18"/>
                <w:szCs w:val="18"/>
              </w:rPr>
              <w:t>资本公积</w:t>
            </w:r>
            <w:r>
              <w:rPr>
                <w:rFonts w:ascii="宋体" w:hAnsi="宋体" w:cs="宋体" w:eastAsia="宋体" w:hint="default"/>
                <w:spacing w:val="-42"/>
                <w:sz w:val="18"/>
                <w:szCs w:val="18"/>
              </w:rPr>
              <w:t> </w:t>
            </w:r>
            <w:r>
              <w:rPr>
                <w:rFonts w:ascii="宋体" w:hAnsi="宋体" w:cs="宋体" w:eastAsia="宋体" w:hint="default"/>
                <w:spacing w:val="-8"/>
                <w:sz w:val="18"/>
                <w:szCs w:val="18"/>
              </w:rPr>
              <w:t>金转股、股</w:t>
            </w:r>
            <w:r>
              <w:rPr>
                <w:rFonts w:ascii="宋体" w:hAnsi="宋体" w:cs="宋体" w:eastAsia="宋体" w:hint="default"/>
                <w:sz w:val="18"/>
                <w:szCs w:val="18"/>
              </w:rPr>
              <w:t> 权激励</w:t>
            </w:r>
          </w:p>
        </w:tc>
      </w:tr>
      <w:tr>
        <w:trPr>
          <w:trHeight w:val="102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吴鸿伟</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96"/>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2009 </w:t>
            </w:r>
            <w:r>
              <w:rPr>
                <w:rFonts w:ascii="宋体" w:hAnsi="宋体" w:cs="宋体" w:eastAsia="宋体" w:hint="default"/>
                <w:sz w:val="20"/>
                <w:szCs w:val="20"/>
              </w:rPr>
              <w:t>年</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9</w:t>
            </w:r>
          </w:p>
          <w:p>
            <w:pPr>
              <w:pStyle w:val="TableParagraph"/>
              <w:spacing w:line="240" w:lineRule="auto" w:before="35"/>
              <w:ind w:left="69"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320,000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9"/>
              <w:jc w:val="both"/>
              <w:rPr>
                <w:rFonts w:ascii="宋体" w:hAnsi="宋体" w:cs="宋体" w:eastAsia="宋体" w:hint="default"/>
                <w:sz w:val="18"/>
                <w:szCs w:val="18"/>
              </w:rPr>
            </w:pPr>
            <w:r>
              <w:rPr>
                <w:rFonts w:ascii="宋体" w:hAnsi="宋体" w:cs="宋体" w:eastAsia="宋体" w:hint="default"/>
                <w:spacing w:val="36"/>
                <w:sz w:val="18"/>
                <w:szCs w:val="18"/>
              </w:rPr>
              <w:t>资本公积</w:t>
            </w:r>
            <w:r>
              <w:rPr>
                <w:rFonts w:ascii="宋体" w:hAnsi="宋体" w:cs="宋体" w:eastAsia="宋体" w:hint="default"/>
                <w:spacing w:val="-42"/>
                <w:sz w:val="18"/>
                <w:szCs w:val="18"/>
              </w:rPr>
              <w:t> </w:t>
            </w:r>
            <w:r>
              <w:rPr>
                <w:rFonts w:ascii="宋体" w:hAnsi="宋体" w:cs="宋体" w:eastAsia="宋体" w:hint="default"/>
                <w:spacing w:val="-8"/>
                <w:sz w:val="18"/>
                <w:szCs w:val="18"/>
              </w:rPr>
              <w:t>金转股、股</w:t>
            </w:r>
            <w:r>
              <w:rPr>
                <w:rFonts w:ascii="宋体" w:hAnsi="宋体" w:cs="宋体" w:eastAsia="宋体" w:hint="default"/>
                <w:sz w:val="18"/>
                <w:szCs w:val="18"/>
              </w:rPr>
              <w:t> 权激励</w:t>
            </w: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赵庸</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96"/>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2009 </w:t>
            </w:r>
            <w:r>
              <w:rPr>
                <w:rFonts w:ascii="宋体" w:hAnsi="宋体" w:cs="宋体" w:eastAsia="宋体" w:hint="default"/>
                <w:sz w:val="20"/>
                <w:szCs w:val="20"/>
              </w:rPr>
              <w:t>年</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9</w:t>
            </w:r>
          </w:p>
          <w:p>
            <w:pPr>
              <w:pStyle w:val="TableParagraph"/>
              <w:spacing w:line="240" w:lineRule="auto" w:before="35"/>
              <w:ind w:left="69"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320,000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both"/>
              <w:rPr>
                <w:rFonts w:ascii="宋体" w:hAnsi="宋体" w:cs="宋体" w:eastAsia="宋体" w:hint="default"/>
                <w:sz w:val="18"/>
                <w:szCs w:val="18"/>
              </w:rPr>
            </w:pPr>
            <w:r>
              <w:rPr>
                <w:rFonts w:ascii="宋体" w:hAnsi="宋体" w:cs="宋体" w:eastAsia="宋体" w:hint="default"/>
                <w:spacing w:val="36"/>
                <w:sz w:val="18"/>
                <w:szCs w:val="18"/>
              </w:rPr>
              <w:t>资本公积</w:t>
            </w:r>
            <w:r>
              <w:rPr>
                <w:rFonts w:ascii="宋体" w:hAnsi="宋体" w:cs="宋体" w:eastAsia="宋体" w:hint="default"/>
                <w:spacing w:val="-42"/>
                <w:sz w:val="18"/>
                <w:szCs w:val="18"/>
              </w:rPr>
              <w:t> </w:t>
            </w:r>
            <w:r>
              <w:rPr>
                <w:rFonts w:ascii="宋体" w:hAnsi="宋体" w:cs="宋体" w:eastAsia="宋体" w:hint="default"/>
                <w:spacing w:val="-8"/>
                <w:sz w:val="18"/>
                <w:szCs w:val="18"/>
              </w:rPr>
              <w:t>金转股、股</w:t>
            </w:r>
            <w:r>
              <w:rPr>
                <w:rFonts w:ascii="宋体" w:hAnsi="宋体" w:cs="宋体" w:eastAsia="宋体" w:hint="default"/>
                <w:sz w:val="18"/>
                <w:szCs w:val="18"/>
              </w:rPr>
              <w:t> 权激励</w:t>
            </w: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张乃军</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96"/>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2009 </w:t>
            </w:r>
            <w:r>
              <w:rPr>
                <w:rFonts w:ascii="宋体" w:hAnsi="宋体" w:cs="宋体" w:eastAsia="宋体" w:hint="default"/>
                <w:sz w:val="20"/>
                <w:szCs w:val="20"/>
              </w:rPr>
              <w:t>年</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9</w:t>
            </w:r>
          </w:p>
          <w:p>
            <w:pPr>
              <w:pStyle w:val="TableParagraph"/>
              <w:spacing w:line="240" w:lineRule="auto" w:before="35"/>
              <w:ind w:left="69"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90,000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170,000</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260,000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both"/>
              <w:rPr>
                <w:rFonts w:ascii="宋体" w:hAnsi="宋体" w:cs="宋体" w:eastAsia="宋体" w:hint="default"/>
                <w:sz w:val="18"/>
                <w:szCs w:val="18"/>
              </w:rPr>
            </w:pPr>
            <w:r>
              <w:rPr>
                <w:rFonts w:ascii="宋体" w:hAnsi="宋体" w:cs="宋体" w:eastAsia="宋体" w:hint="default"/>
                <w:spacing w:val="36"/>
                <w:sz w:val="18"/>
                <w:szCs w:val="18"/>
              </w:rPr>
              <w:t>资本公积</w:t>
            </w:r>
            <w:r>
              <w:rPr>
                <w:rFonts w:ascii="宋体" w:hAnsi="宋体" w:cs="宋体" w:eastAsia="宋体" w:hint="default"/>
                <w:spacing w:val="-42"/>
                <w:sz w:val="18"/>
                <w:szCs w:val="18"/>
              </w:rPr>
              <w:t> </w:t>
            </w:r>
            <w:r>
              <w:rPr>
                <w:rFonts w:ascii="宋体" w:hAnsi="宋体" w:cs="宋体" w:eastAsia="宋体" w:hint="default"/>
                <w:spacing w:val="-8"/>
                <w:sz w:val="18"/>
                <w:szCs w:val="18"/>
              </w:rPr>
              <w:t>金转股、股</w:t>
            </w:r>
            <w:r>
              <w:rPr>
                <w:rFonts w:ascii="宋体" w:hAnsi="宋体" w:cs="宋体" w:eastAsia="宋体" w:hint="default"/>
                <w:sz w:val="18"/>
                <w:szCs w:val="18"/>
              </w:rPr>
              <w:t> 权激励</w:t>
            </w: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吴世雄</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96"/>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80,000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both"/>
              <w:rPr>
                <w:rFonts w:ascii="宋体" w:hAnsi="宋体" w:cs="宋体" w:eastAsia="宋体" w:hint="default"/>
                <w:sz w:val="18"/>
                <w:szCs w:val="18"/>
              </w:rPr>
            </w:pPr>
            <w:r>
              <w:rPr>
                <w:rFonts w:ascii="宋体" w:hAnsi="宋体" w:cs="宋体" w:eastAsia="宋体" w:hint="default"/>
                <w:spacing w:val="36"/>
                <w:sz w:val="18"/>
                <w:szCs w:val="18"/>
              </w:rPr>
              <w:t>资本公积</w:t>
            </w:r>
            <w:r>
              <w:rPr>
                <w:rFonts w:ascii="宋体" w:hAnsi="宋体" w:cs="宋体" w:eastAsia="宋体" w:hint="default"/>
                <w:spacing w:val="-42"/>
                <w:sz w:val="18"/>
                <w:szCs w:val="18"/>
              </w:rPr>
              <w:t> </w:t>
            </w:r>
            <w:r>
              <w:rPr>
                <w:rFonts w:ascii="宋体" w:hAnsi="宋体" w:cs="宋体" w:eastAsia="宋体" w:hint="default"/>
                <w:spacing w:val="-8"/>
                <w:sz w:val="18"/>
                <w:szCs w:val="18"/>
              </w:rPr>
              <w:t>金转股、股</w:t>
            </w:r>
            <w:r>
              <w:rPr>
                <w:rFonts w:ascii="宋体" w:hAnsi="宋体" w:cs="宋体" w:eastAsia="宋体" w:hint="default"/>
                <w:sz w:val="18"/>
                <w:szCs w:val="18"/>
              </w:rPr>
              <w:t> 权激励</w:t>
            </w: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栾江霞</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96"/>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60,000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both"/>
              <w:rPr>
                <w:rFonts w:ascii="宋体" w:hAnsi="宋体" w:cs="宋体" w:eastAsia="宋体" w:hint="default"/>
                <w:sz w:val="18"/>
                <w:szCs w:val="18"/>
              </w:rPr>
            </w:pPr>
            <w:r>
              <w:rPr>
                <w:rFonts w:ascii="宋体" w:hAnsi="宋体" w:cs="宋体" w:eastAsia="宋体" w:hint="default"/>
                <w:spacing w:val="36"/>
                <w:sz w:val="18"/>
                <w:szCs w:val="18"/>
              </w:rPr>
              <w:t>资本公积</w:t>
            </w:r>
            <w:r>
              <w:rPr>
                <w:rFonts w:ascii="宋体" w:hAnsi="宋体" w:cs="宋体" w:eastAsia="宋体" w:hint="default"/>
                <w:spacing w:val="-42"/>
                <w:sz w:val="18"/>
                <w:szCs w:val="18"/>
              </w:rPr>
              <w:t> </w:t>
            </w:r>
            <w:r>
              <w:rPr>
                <w:rFonts w:ascii="宋体" w:hAnsi="宋体" w:cs="宋体" w:eastAsia="宋体" w:hint="default"/>
                <w:spacing w:val="-8"/>
                <w:sz w:val="18"/>
                <w:szCs w:val="18"/>
              </w:rPr>
              <w:t>金转股、股</w:t>
            </w:r>
            <w:r>
              <w:rPr>
                <w:rFonts w:ascii="宋体" w:hAnsi="宋体" w:cs="宋体" w:eastAsia="宋体" w:hint="default"/>
                <w:sz w:val="18"/>
                <w:szCs w:val="18"/>
              </w:rPr>
              <w:t> 权激励</w:t>
            </w: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王斌</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董事会秘 </w:t>
            </w:r>
            <w:r>
              <w:rPr>
                <w:rFonts w:ascii="宋体" w:hAnsi="宋体" w:cs="宋体" w:eastAsia="宋体" w:hint="default"/>
                <w:spacing w:val="-16"/>
                <w:sz w:val="18"/>
                <w:szCs w:val="18"/>
              </w:rPr>
              <w:t>书、副总经</w:t>
            </w:r>
            <w:r>
              <w:rPr>
                <w:rFonts w:ascii="宋体" w:hAnsi="宋体" w:cs="宋体" w:eastAsia="宋体" w:hint="default"/>
                <w:sz w:val="18"/>
                <w:szCs w:val="18"/>
              </w:rPr>
              <w:t> 理</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80,000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both"/>
              <w:rPr>
                <w:rFonts w:ascii="宋体" w:hAnsi="宋体" w:cs="宋体" w:eastAsia="宋体" w:hint="default"/>
                <w:sz w:val="18"/>
                <w:szCs w:val="18"/>
              </w:rPr>
            </w:pPr>
            <w:r>
              <w:rPr>
                <w:rFonts w:ascii="宋体" w:hAnsi="宋体" w:cs="宋体" w:eastAsia="宋体" w:hint="default"/>
                <w:spacing w:val="36"/>
                <w:sz w:val="18"/>
                <w:szCs w:val="18"/>
              </w:rPr>
              <w:t>资本公积</w:t>
            </w:r>
            <w:r>
              <w:rPr>
                <w:rFonts w:ascii="宋体" w:hAnsi="宋体" w:cs="宋体" w:eastAsia="宋体" w:hint="default"/>
                <w:spacing w:val="-42"/>
                <w:sz w:val="18"/>
                <w:szCs w:val="18"/>
              </w:rPr>
              <w:t> </w:t>
            </w:r>
            <w:r>
              <w:rPr>
                <w:rFonts w:ascii="宋体" w:hAnsi="宋体" w:cs="宋体" w:eastAsia="宋体" w:hint="default"/>
                <w:spacing w:val="-8"/>
                <w:sz w:val="18"/>
                <w:szCs w:val="18"/>
              </w:rPr>
              <w:t>金转股、股</w:t>
            </w:r>
            <w:r>
              <w:rPr>
                <w:rFonts w:ascii="宋体" w:hAnsi="宋体" w:cs="宋体" w:eastAsia="宋体" w:hint="default"/>
                <w:sz w:val="18"/>
                <w:szCs w:val="18"/>
              </w:rPr>
              <w:t> 权激励</w:t>
            </w:r>
          </w:p>
        </w:tc>
      </w:tr>
      <w:tr>
        <w:trPr>
          <w:trHeight w:val="403"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30,990,000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31,870,000</w:t>
            </w:r>
          </w:p>
        </w:tc>
        <w:tc>
          <w:tcPr>
            <w:tcW w:w="478"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62,860,000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880,000</w:t>
            </w:r>
          </w:p>
        </w:tc>
        <w:tc>
          <w:tcPr>
            <w:tcW w:w="425" w:type="dxa"/>
            <w:tcBorders>
              <w:top w:val="single" w:sz="4" w:space="0" w:color="000000"/>
              <w:left w:val="single" w:sz="4" w:space="0" w:color="000000"/>
              <w:bottom w:val="single" w:sz="4" w:space="0" w:color="000000"/>
              <w:right w:val="single" w:sz="13" w:space="0" w:color="D2D2D2"/>
            </w:tcBorders>
          </w:tcPr>
          <w:p>
            <w:pP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9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b/>
          <w:bCs/>
          <w:sz w:val="18"/>
          <w:szCs w:val="18"/>
        </w:rPr>
      </w:pPr>
    </w:p>
    <w:p>
      <w:pPr>
        <w:pStyle w:val="Heading2"/>
        <w:spacing w:line="240" w:lineRule="auto" w:before="26"/>
        <w:ind w:left="573" w:right="0" w:hanging="421"/>
        <w:jc w:val="left"/>
        <w:rPr>
          <w:b w:val="0"/>
          <w:bCs w:val="0"/>
        </w:rPr>
      </w:pPr>
      <w:r>
        <w:rPr/>
        <w:t>二、任职情况</w:t>
      </w:r>
      <w:r>
        <w:rPr>
          <w:b w:val="0"/>
          <w:bCs w:val="0"/>
        </w:rPr>
      </w:r>
    </w:p>
    <w:p>
      <w:pPr>
        <w:spacing w:line="240" w:lineRule="auto" w:before="11"/>
        <w:rPr>
          <w:rFonts w:ascii="宋体" w:hAnsi="宋体" w:cs="宋体" w:eastAsia="宋体" w:hint="default"/>
          <w:b/>
          <w:bCs/>
          <w:sz w:val="30"/>
          <w:szCs w:val="30"/>
        </w:rPr>
      </w:pPr>
    </w:p>
    <w:p>
      <w:pPr>
        <w:pStyle w:val="BodyText"/>
        <w:spacing w:line="386" w:lineRule="auto"/>
        <w:ind w:left="573" w:right="4554"/>
        <w:jc w:val="left"/>
      </w:pPr>
      <w:r>
        <w:rPr>
          <w:rFonts w:ascii="Times New Roman" w:hAnsi="Times New Roman" w:cs="Times New Roman" w:eastAsia="Times New Roman" w:hint="default"/>
        </w:rPr>
        <w:t>1</w:t>
      </w:r>
      <w:r>
        <w:rPr/>
        <w:t>、董事</w:t>
      </w:r>
      <w:r>
        <w:rPr>
          <w:w w:val="100"/>
        </w:rPr>
        <w:t> </w:t>
      </w:r>
      <w:r>
        <w:rPr>
          <w:spacing w:val="-2"/>
        </w:rPr>
        <w:t>公司董事会由</w:t>
      </w:r>
      <w:r>
        <w:rPr>
          <w:rFonts w:ascii="Times New Roman" w:hAnsi="Times New Roman" w:cs="Times New Roman" w:eastAsia="Times New Roman" w:hint="default"/>
          <w:spacing w:val="-2"/>
        </w:rPr>
        <w:t>7</w:t>
      </w:r>
      <w:r>
        <w:rPr>
          <w:spacing w:val="-2"/>
        </w:rPr>
        <w:t>名董事组成，其中独立董事</w:t>
      </w:r>
      <w:r>
        <w:rPr>
          <w:rFonts w:ascii="Times New Roman" w:hAnsi="Times New Roman" w:cs="Times New Roman" w:eastAsia="Times New Roman" w:hint="default"/>
          <w:spacing w:val="-2"/>
        </w:rPr>
        <w:t>3</w:t>
      </w:r>
      <w:r>
        <w:rPr>
          <w:spacing w:val="-2"/>
        </w:rPr>
        <w:t>名。</w:t>
      </w:r>
      <w:r>
        <w:rPr/>
      </w:r>
    </w:p>
    <w:p>
      <w:pPr>
        <w:pStyle w:val="BodyText"/>
        <w:spacing w:line="386" w:lineRule="auto" w:before="33"/>
        <w:ind w:left="573" w:right="4222"/>
        <w:jc w:val="both"/>
      </w:pPr>
      <w:r>
        <w:rPr/>
        <w:t>刘祥南，详见“第六节 三、</w:t>
      </w:r>
      <w:r>
        <w:rPr>
          <w:rFonts w:ascii="Times New Roman" w:hAnsi="Times New Roman" w:cs="Times New Roman" w:eastAsia="Times New Roman" w:hint="default"/>
        </w:rPr>
        <w:t>3</w:t>
      </w:r>
      <w:r>
        <w:rPr>
          <w:rFonts w:ascii="Times New Roman" w:hAnsi="Times New Roman" w:cs="Times New Roman" w:eastAsia="Times New Roman" w:hint="default"/>
          <w:spacing w:val="47"/>
        </w:rPr>
        <w:t> </w:t>
      </w:r>
      <w:r>
        <w:rPr/>
        <w:t>公司实际控制人情况”。</w:t>
      </w:r>
      <w:r>
        <w:rPr>
          <w:w w:val="100"/>
        </w:rPr>
        <w:t> </w:t>
      </w:r>
      <w:r>
        <w:rPr/>
        <w:t>郭永芳，详见“第六节 三、</w:t>
      </w:r>
      <w:r>
        <w:rPr>
          <w:rFonts w:ascii="Times New Roman" w:hAnsi="Times New Roman" w:cs="Times New Roman" w:eastAsia="Times New Roman" w:hint="default"/>
        </w:rPr>
        <w:t>3</w:t>
      </w:r>
      <w:r>
        <w:rPr>
          <w:rFonts w:ascii="Times New Roman" w:hAnsi="Times New Roman" w:cs="Times New Roman" w:eastAsia="Times New Roman" w:hint="default"/>
          <w:spacing w:val="47"/>
        </w:rPr>
        <w:t> </w:t>
      </w:r>
      <w:r>
        <w:rPr/>
        <w:t>公司实际控制人情况”。</w:t>
      </w:r>
      <w:r>
        <w:rPr>
          <w:w w:val="100"/>
        </w:rPr>
        <w:t> </w:t>
      </w:r>
      <w:r>
        <w:rPr/>
        <w:t>滕达，详见“第六节 三、</w:t>
      </w:r>
      <w:r>
        <w:rPr>
          <w:rFonts w:ascii="Times New Roman" w:hAnsi="Times New Roman" w:cs="Times New Roman" w:eastAsia="Times New Roman" w:hint="default"/>
        </w:rPr>
        <w:t>3</w:t>
      </w:r>
      <w:r>
        <w:rPr>
          <w:rFonts w:ascii="Times New Roman" w:hAnsi="Times New Roman" w:cs="Times New Roman" w:eastAsia="Times New Roman" w:hint="default"/>
          <w:spacing w:val="47"/>
        </w:rPr>
        <w:t> </w:t>
      </w:r>
      <w:r>
        <w:rPr/>
        <w:t>公司实际控制人情况”。</w:t>
      </w:r>
    </w:p>
    <w:p>
      <w:pPr>
        <w:pStyle w:val="BodyText"/>
        <w:spacing w:line="240" w:lineRule="auto" w:before="35"/>
        <w:ind w:left="573" w:right="0"/>
        <w:jc w:val="both"/>
        <w:rPr>
          <w:rFonts w:ascii="Times New Roman" w:hAnsi="Times New Roman" w:cs="Times New Roman" w:eastAsia="Times New Roman" w:hint="default"/>
        </w:rPr>
      </w:pPr>
      <w:r>
        <w:rPr/>
        <w:t>李国林，男，</w:t>
      </w:r>
      <w:r>
        <w:rPr>
          <w:rFonts w:ascii="Times New Roman" w:hAnsi="Times New Roman" w:cs="Times New Roman" w:eastAsia="Times New Roman" w:hint="default"/>
        </w:rPr>
        <w:t>1968</w:t>
      </w:r>
      <w:r>
        <w:rPr/>
        <w:t>年出生，中国国籍，无永久境外居留权，身份证号码：</w:t>
      </w:r>
      <w:r>
        <w:rPr>
          <w:rFonts w:ascii="Times New Roman" w:hAnsi="Times New Roman" w:cs="Times New Roman" w:eastAsia="Times New Roman" w:hint="default"/>
        </w:rPr>
        <w:t>35058219******2075</w:t>
      </w:r>
      <w:r>
        <w:rPr/>
        <w:t>。</w:t>
      </w:r>
      <w:r>
        <w:rPr>
          <w:rFonts w:ascii="Times New Roman" w:hAnsi="Times New Roman" w:cs="Times New Roman" w:eastAsia="Times New Roman" w:hint="default"/>
        </w:rPr>
        <w:t>2000</w:t>
      </w:r>
    </w:p>
    <w:p>
      <w:pPr>
        <w:spacing w:after="0" w:line="240" w:lineRule="auto"/>
        <w:jc w:val="both"/>
        <w:rPr>
          <w:rFonts w:ascii="Times New Roman" w:hAnsi="Times New Roman" w:cs="Times New Roman" w:eastAsia="Times New Roman" w:hint="default"/>
        </w:rPr>
        <w:sectPr>
          <w:pgSz w:w="11910" w:h="16840"/>
          <w:pgMar w:header="877" w:footer="1227" w:top="1100" w:bottom="1420" w:left="980" w:right="980"/>
        </w:sectPr>
      </w:pPr>
    </w:p>
    <w:p>
      <w:pPr>
        <w:spacing w:line="240" w:lineRule="auto" w:before="0"/>
        <w:rPr>
          <w:rFonts w:ascii="Times New Roman" w:hAnsi="Times New Roman" w:cs="Times New Roman" w:eastAsia="Times New Roman" w:hint="default"/>
          <w:sz w:val="20"/>
          <w:szCs w:val="20"/>
        </w:rPr>
      </w:pPr>
    </w:p>
    <w:p>
      <w:pPr>
        <w:pStyle w:val="BodyText"/>
        <w:spacing w:line="386" w:lineRule="auto" w:before="156"/>
        <w:ind w:left="152" w:right="292"/>
        <w:jc w:val="both"/>
      </w:pPr>
      <w:r>
        <w:rPr>
          <w:spacing w:val="-2"/>
        </w:rPr>
        <w:t>年至今任美亚长城传媒（北京）有限公司（原西安美亚文化传播有限公司）董事长。</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22</w:t>
      </w:r>
      <w:r>
        <w:rPr>
          <w:spacing w:val="-2"/>
        </w:rPr>
        <w:t>日起至</w:t>
      </w:r>
      <w:r>
        <w:rPr>
          <w:spacing w:val="-19"/>
        </w:rPr>
        <w:t> </w:t>
      </w:r>
      <w:r>
        <w:rPr/>
        <w:t>今任公司董事会董事。</w:t>
      </w:r>
    </w:p>
    <w:p>
      <w:pPr>
        <w:pStyle w:val="BodyText"/>
        <w:spacing w:line="396" w:lineRule="auto" w:before="65"/>
        <w:ind w:left="152" w:right="101" w:firstLine="420"/>
        <w:jc w:val="left"/>
      </w:pPr>
      <w:r>
        <w:rPr>
          <w:spacing w:val="-14"/>
          <w:w w:val="100"/>
        </w:rPr>
        <w:t>陈汉文，男，</w:t>
      </w:r>
      <w:r>
        <w:rPr>
          <w:rFonts w:ascii="Times New Roman" w:hAnsi="Times New Roman" w:cs="Times New Roman" w:eastAsia="Times New Roman" w:hint="default"/>
          <w:spacing w:val="-14"/>
          <w:w w:val="100"/>
        </w:rPr>
        <w:t>1968</w:t>
      </w:r>
      <w:r>
        <w:rPr>
          <w:spacing w:val="-14"/>
          <w:w w:val="100"/>
        </w:rPr>
        <w:t>年出生，中国国籍，博士、教授，无永久境外居留权，身份证号码：</w:t>
      </w:r>
      <w:r>
        <w:rPr>
          <w:rFonts w:ascii="Times New Roman" w:hAnsi="Times New Roman" w:cs="Times New Roman" w:eastAsia="Times New Roman" w:hint="default"/>
          <w:spacing w:val="-14"/>
          <w:w w:val="100"/>
        </w:rPr>
        <w:t>35020319******4070</w:t>
      </w:r>
      <w:r>
        <w:rPr>
          <w:spacing w:val="-14"/>
          <w:w w:val="100"/>
        </w:rPr>
        <w:t>。</w:t>
      </w:r>
      <w:r>
        <w:rPr>
          <w:w w:val="100"/>
        </w:rPr>
        <w:t> </w:t>
      </w:r>
      <w:r>
        <w:rPr>
          <w:spacing w:val="-2"/>
        </w:rPr>
        <w:t>现任厦门大学会计系教授、厦门大学管理学院副院长，兼任中国审计学会常务理事、中国会计学会财务成</w:t>
      </w:r>
      <w:r>
        <w:rPr>
          <w:spacing w:val="-43"/>
        </w:rPr>
        <w:t> </w:t>
      </w:r>
      <w:r>
        <w:rPr>
          <w:spacing w:val="-43"/>
        </w:rPr>
      </w:r>
      <w:r>
        <w:rPr>
          <w:spacing w:val="-5"/>
        </w:rPr>
        <w:t>本分会副会长、中国金融会计学会专家委员会委员、福建省审计学会副会长、福建省内部审计协会副会长、</w:t>
      </w:r>
      <w:r>
        <w:rPr>
          <w:spacing w:val="-4"/>
        </w:rPr>
        <w:t> </w:t>
      </w:r>
      <w:r>
        <w:rPr>
          <w:spacing w:val="-4"/>
        </w:rPr>
      </w:r>
      <w:r>
        <w:rPr/>
        <w:t>财政部会计准则委员会咨询专家等。</w:t>
      </w:r>
      <w:r>
        <w:rPr>
          <w:rFonts w:ascii="Times New Roman" w:hAnsi="Times New Roman" w:cs="Times New Roman" w:eastAsia="Times New Roman" w:hint="default"/>
        </w:rPr>
        <w:t>2000--2001</w:t>
      </w:r>
      <w:r>
        <w:rPr/>
        <w:t>年在加拿大圣玛丽大学和滑铁卢大学学术访问，</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8</w:t>
      </w:r>
      <w:r>
        <w:rPr>
          <w:rFonts w:ascii="Times New Roman" w:hAnsi="Times New Roman" w:cs="Times New Roman" w:eastAsia="Times New Roman" w:hint="default"/>
          <w:w w:val="100"/>
        </w:rPr>
        <w:t> </w:t>
      </w:r>
      <w:r>
        <w:rPr>
          <w:spacing w:val="-3"/>
        </w:rPr>
        <w:t>月在美国哈佛大学商学院学习，</w:t>
      </w:r>
      <w:r>
        <w:rPr>
          <w:rFonts w:ascii="Times New Roman" w:hAnsi="Times New Roman" w:cs="Times New Roman" w:eastAsia="Times New Roman" w:hint="default"/>
          <w:spacing w:val="-3"/>
        </w:rPr>
        <w:t>2010-2011</w:t>
      </w:r>
      <w:r>
        <w:rPr>
          <w:spacing w:val="-3"/>
        </w:rPr>
        <w:t>年在英国牛津大学商学院学术访问。</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14</w:t>
      </w:r>
      <w:r>
        <w:rPr>
          <w:spacing w:val="-3"/>
        </w:rPr>
        <w:t>日起至今任公</w:t>
      </w:r>
      <w:r>
        <w:rPr>
          <w:spacing w:val="-41"/>
        </w:rPr>
        <w:t> </w:t>
      </w:r>
      <w:r>
        <w:rPr>
          <w:spacing w:val="-41"/>
        </w:rPr>
      </w:r>
      <w:r>
        <w:rPr/>
        <w:t>司董事会独立董事。</w:t>
      </w:r>
    </w:p>
    <w:p>
      <w:pPr>
        <w:pStyle w:val="BodyText"/>
        <w:spacing w:line="386" w:lineRule="auto" w:before="57"/>
        <w:ind w:left="152" w:right="99" w:firstLine="420"/>
        <w:jc w:val="left"/>
      </w:pPr>
      <w:r>
        <w:rPr>
          <w:spacing w:val="-15"/>
          <w:w w:val="100"/>
        </w:rPr>
        <w:t>郭东辉，男，</w:t>
      </w:r>
      <w:r>
        <w:rPr>
          <w:rFonts w:ascii="Times New Roman" w:hAnsi="Times New Roman" w:cs="Times New Roman" w:eastAsia="Times New Roman" w:hint="default"/>
          <w:spacing w:val="-15"/>
          <w:w w:val="100"/>
        </w:rPr>
        <w:t>1967</w:t>
      </w:r>
      <w:r>
        <w:rPr>
          <w:spacing w:val="-15"/>
          <w:w w:val="100"/>
        </w:rPr>
        <w:t>年出生，中国国籍，教授、博导，无永久境外居留权，身份证号码：</w:t>
      </w:r>
      <w:r>
        <w:rPr>
          <w:rFonts w:ascii="Times New Roman" w:hAnsi="Times New Roman" w:cs="Times New Roman" w:eastAsia="Times New Roman" w:hint="default"/>
          <w:spacing w:val="-15"/>
          <w:w w:val="100"/>
        </w:rPr>
        <w:t>35020319******4014</w:t>
      </w:r>
      <w:r>
        <w:rPr>
          <w:spacing w:val="-15"/>
          <w:w w:val="100"/>
        </w:rPr>
        <w:t>。</w:t>
      </w:r>
      <w:r>
        <w:rPr>
          <w:w w:val="100"/>
        </w:rPr>
        <w:t> </w:t>
      </w:r>
      <w:r>
        <w:rPr>
          <w:rFonts w:ascii="Times New Roman" w:hAnsi="Times New Roman" w:cs="Times New Roman" w:eastAsia="Times New Roman" w:hint="default"/>
          <w:spacing w:val="-2"/>
        </w:rPr>
        <w:t>1994</w:t>
      </w:r>
      <w:r>
        <w:rPr>
          <w:spacing w:val="-2"/>
        </w:rPr>
        <w:t>年获厦门大学物理系半导体物理与器件专业博士学位，目前主要从事人工智能、网络通讯、集成电路</w:t>
      </w:r>
      <w:r>
        <w:rPr>
          <w:spacing w:val="-39"/>
        </w:rPr>
        <w:t> </w:t>
      </w:r>
      <w:r>
        <w:rPr>
          <w:spacing w:val="-39"/>
        </w:rPr>
      </w:r>
      <w:r>
        <w:rPr/>
        <w:t>设计等方面的教学和科研工作。先后在香港城市大学电子工程系、英国</w:t>
      </w:r>
      <w:r>
        <w:rPr>
          <w:rFonts w:ascii="Times New Roman" w:hAnsi="Times New Roman" w:cs="Times New Roman" w:eastAsia="Times New Roman" w:hint="default"/>
        </w:rPr>
        <w:t>Ulster</w:t>
      </w:r>
      <w:r>
        <w:rPr/>
        <w:t>大学信息学院、意大利国际</w:t>
      </w:r>
      <w:r>
        <w:rPr>
          <w:spacing w:val="-3"/>
          <w:w w:val="100"/>
        </w:rPr>
        <w:t> </w:t>
      </w:r>
      <w:r>
        <w:rPr>
          <w:spacing w:val="-5"/>
        </w:rPr>
        <w:t>高等研究学院、美国罗伦兹</w:t>
      </w:r>
      <w:r>
        <w:rPr>
          <w:rFonts w:ascii="Times New Roman" w:hAnsi="Times New Roman" w:cs="Times New Roman" w:eastAsia="Times New Roman" w:hint="default"/>
          <w:spacing w:val="-5"/>
        </w:rPr>
        <w:t>Berkeley</w:t>
      </w:r>
      <w:r>
        <w:rPr>
          <w:spacing w:val="-5"/>
        </w:rPr>
        <w:t>国家实验室、美国加州</w:t>
      </w:r>
      <w:r>
        <w:rPr>
          <w:rFonts w:ascii="Times New Roman" w:hAnsi="Times New Roman" w:cs="Times New Roman" w:eastAsia="Times New Roman" w:hint="default"/>
          <w:spacing w:val="-5"/>
        </w:rPr>
        <w:t>Berkeley</w:t>
      </w:r>
      <w:r>
        <w:rPr>
          <w:spacing w:val="-5"/>
        </w:rPr>
        <w:t>大学电子工程系、机械工程系做博士后、</w:t>
      </w:r>
      <w:r>
        <w:rPr>
          <w:spacing w:val="-6"/>
        </w:rPr>
        <w:t> </w:t>
      </w:r>
      <w:r>
        <w:rPr>
          <w:spacing w:val="-6"/>
        </w:rPr>
      </w:r>
      <w:r>
        <w:rPr/>
        <w:t>高级研究员及访问学者，目前任厦门大学集成电路工程中心主任，厦门电子学会理事长。</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w:t>
      </w:r>
      <w:r>
        <w:rPr/>
        <w:t>日</w:t>
      </w:r>
      <w:r>
        <w:rPr>
          <w:w w:val="100"/>
        </w:rPr>
        <w:t> </w:t>
      </w:r>
      <w:r>
        <w:rPr/>
        <w:t>起至今任公司董事会独立董事。</w:t>
      </w:r>
    </w:p>
    <w:p>
      <w:pPr>
        <w:pStyle w:val="BodyText"/>
        <w:spacing w:line="400" w:lineRule="auto" w:before="65"/>
        <w:ind w:left="152" w:right="99" w:firstLine="420"/>
        <w:jc w:val="left"/>
      </w:pPr>
      <w:r>
        <w:rPr>
          <w:spacing w:val="-15"/>
          <w:w w:val="100"/>
        </w:rPr>
        <w:t>陈少华，男，</w:t>
      </w:r>
      <w:r>
        <w:rPr>
          <w:rFonts w:ascii="Times New Roman" w:hAnsi="Times New Roman" w:cs="Times New Roman" w:eastAsia="Times New Roman" w:hint="default"/>
          <w:spacing w:val="-15"/>
          <w:w w:val="100"/>
        </w:rPr>
        <w:t>1961</w:t>
      </w:r>
      <w:r>
        <w:rPr>
          <w:spacing w:val="-15"/>
          <w:w w:val="100"/>
        </w:rPr>
        <w:t>年出生，中国国籍，博士、教授，无永久境外居留权，身份证号码：</w:t>
      </w:r>
      <w:r>
        <w:rPr>
          <w:rFonts w:ascii="Times New Roman" w:hAnsi="Times New Roman" w:cs="Times New Roman" w:eastAsia="Times New Roman" w:hint="default"/>
          <w:spacing w:val="-15"/>
          <w:w w:val="100"/>
        </w:rPr>
        <w:t>35020319******4036</w:t>
      </w:r>
      <w:r>
        <w:rPr>
          <w:spacing w:val="-15"/>
          <w:w w:val="100"/>
        </w:rPr>
        <w:t>。</w:t>
      </w:r>
      <w:r>
        <w:rPr>
          <w:w w:val="100"/>
        </w:rPr>
        <w:t> </w:t>
      </w:r>
      <w:r>
        <w:rPr>
          <w:spacing w:val="-2"/>
        </w:rPr>
        <w:t>现任厦门大学管理学院会计系教授、博士生导师、会计发展研究中心副主任；厦门外商投资企业会计协会</w:t>
      </w:r>
      <w:r>
        <w:rPr>
          <w:spacing w:val="-44"/>
        </w:rPr>
        <w:t> </w:t>
      </w:r>
      <w:r>
        <w:rPr>
          <w:spacing w:val="-44"/>
        </w:rPr>
      </w:r>
      <w:r>
        <w:rPr>
          <w:spacing w:val="-2"/>
        </w:rPr>
        <w:t>会长、厦门总会计师协会副会长；深圳天马微电子股份有限公司、福建纳川管材科技股份有限公司、厦门</w:t>
      </w:r>
      <w:r>
        <w:rPr>
          <w:spacing w:val="-50"/>
        </w:rPr>
        <w:t> </w:t>
      </w:r>
      <w:r>
        <w:rPr>
          <w:spacing w:val="-50"/>
        </w:rPr>
      </w:r>
      <w:r>
        <w:rPr/>
        <w:t>三五互联科技股份有限公司。</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日起至今任公司董事会独立董事。</w:t>
      </w:r>
    </w:p>
    <w:p>
      <w:pPr>
        <w:pStyle w:val="BodyText"/>
        <w:spacing w:line="386" w:lineRule="auto" w:before="21"/>
        <w:ind w:left="573" w:right="99"/>
        <w:jc w:val="left"/>
        <w:rPr>
          <w:rFonts w:ascii="Times New Roman" w:hAnsi="Times New Roman" w:cs="Times New Roman" w:eastAsia="Times New Roman" w:hint="default"/>
        </w:rPr>
      </w:pPr>
      <w:r>
        <w:rPr>
          <w:rFonts w:ascii="Times New Roman" w:hAnsi="Times New Roman" w:cs="Times New Roman" w:eastAsia="Times New Roman" w:hint="default"/>
        </w:rPr>
        <w:t>2</w:t>
      </w:r>
      <w:r>
        <w:rPr/>
        <w:t>、监事</w:t>
      </w:r>
      <w:r>
        <w:rPr>
          <w:w w:val="100"/>
        </w:rPr>
        <w:t> </w:t>
      </w:r>
      <w:r>
        <w:rPr>
          <w:spacing w:val="-2"/>
        </w:rPr>
        <w:t>仲丽华：女，</w:t>
      </w:r>
      <w:r>
        <w:rPr>
          <w:rFonts w:ascii="Times New Roman" w:hAnsi="Times New Roman" w:cs="Times New Roman" w:eastAsia="Times New Roman" w:hint="default"/>
          <w:spacing w:val="-2"/>
        </w:rPr>
        <w:t>1976</w:t>
      </w:r>
      <w:r>
        <w:rPr>
          <w:spacing w:val="-2"/>
        </w:rPr>
        <w:t>年出生，中国国籍，硕士研究生学历，毕业于厦门大学，无永久境外居留权。</w:t>
      </w:r>
      <w:r>
        <w:rPr>
          <w:rFonts w:ascii="Times New Roman" w:hAnsi="Times New Roman" w:cs="Times New Roman" w:eastAsia="Times New Roman" w:hint="default"/>
          <w:spacing w:val="-2"/>
        </w:rPr>
        <w:t>2007</w:t>
      </w:r>
    </w:p>
    <w:p>
      <w:pPr>
        <w:pStyle w:val="BodyText"/>
        <w:spacing w:line="240" w:lineRule="auto" w:before="35"/>
        <w:ind w:left="152" w:right="0"/>
        <w:jc w:val="both"/>
      </w:pPr>
      <w:r>
        <w:rPr/>
        <w:t>年</w:t>
      </w:r>
      <w:r>
        <w:rPr>
          <w:rFonts w:ascii="Times New Roman" w:hAnsi="Times New Roman" w:cs="Times New Roman" w:eastAsia="Times New Roman" w:hint="default"/>
        </w:rPr>
        <w:t>4</w:t>
      </w:r>
      <w:r>
        <w:rPr/>
        <w:t>月至今，历任公司中证研究所网络维权部副经理、经理、数字法律服务中心副总监，总监。</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p>
    <w:p>
      <w:pPr>
        <w:pStyle w:val="BodyText"/>
        <w:spacing w:line="386" w:lineRule="auto" w:before="177"/>
        <w:ind w:left="573" w:right="99" w:hanging="421"/>
        <w:jc w:val="left"/>
      </w:pPr>
      <w:r>
        <w:rPr>
          <w:rFonts w:ascii="Times New Roman" w:hAnsi="Times New Roman" w:cs="Times New Roman" w:eastAsia="Times New Roman" w:hint="default"/>
        </w:rPr>
        <w:t>25</w:t>
      </w:r>
      <w:r>
        <w:rPr/>
        <w:t>日起至今任公司监事会职工代表监事、监事会主席。</w:t>
      </w:r>
      <w:r>
        <w:rPr>
          <w:w w:val="100"/>
        </w:rPr>
        <w:t> </w:t>
      </w:r>
      <w:r>
        <w:rPr>
          <w:spacing w:val="-2"/>
        </w:rPr>
        <w:t>吴顺祥，男，</w:t>
      </w:r>
      <w:r>
        <w:rPr>
          <w:rFonts w:ascii="Times New Roman" w:hAnsi="Times New Roman" w:cs="Times New Roman" w:eastAsia="Times New Roman" w:hint="default"/>
          <w:spacing w:val="-2"/>
        </w:rPr>
        <w:t>1967</w:t>
      </w:r>
      <w:r>
        <w:rPr>
          <w:spacing w:val="-2"/>
        </w:rPr>
        <w:t>年出生，中国国籍，博士、教授、博士生导师，厦门大学模式识别与智能系统研究</w:t>
      </w:r>
    </w:p>
    <w:p>
      <w:pPr>
        <w:pStyle w:val="BodyText"/>
        <w:spacing w:line="398" w:lineRule="auto" w:before="36"/>
        <w:ind w:left="152" w:right="206"/>
        <w:jc w:val="both"/>
      </w:pPr>
      <w:r>
        <w:rPr>
          <w:spacing w:val="-2"/>
        </w:rPr>
        <w:t>所所长，无永久境外居留权，身份证号码：</w:t>
      </w:r>
      <w:r>
        <w:rPr>
          <w:rFonts w:ascii="Times New Roman" w:hAnsi="Times New Roman" w:cs="Times New Roman" w:eastAsia="Times New Roman" w:hint="default"/>
          <w:spacing w:val="-2"/>
        </w:rPr>
        <w:t>43030319******2097</w:t>
      </w:r>
      <w:r>
        <w:rPr>
          <w:spacing w:val="-2"/>
        </w:rPr>
        <w:t>。现为中国系统工程学会理事、中国计算</w:t>
      </w:r>
      <w:r>
        <w:rPr>
          <w:spacing w:val="-29"/>
        </w:rPr>
        <w:t> </w:t>
      </w:r>
      <w:r>
        <w:rPr>
          <w:spacing w:val="-29"/>
        </w:rPr>
      </w:r>
      <w:r>
        <w:rPr>
          <w:spacing w:val="-2"/>
        </w:rPr>
        <w:t>机学会高级会员、福建省系统工程学会副理事长、中国优选法统筹法与经济数学研究会灰色系统专业委员</w:t>
      </w:r>
      <w:r>
        <w:rPr>
          <w:spacing w:val="-43"/>
        </w:rPr>
        <w:t> </w:t>
      </w:r>
      <w:r>
        <w:rPr>
          <w:spacing w:val="-43"/>
        </w:rPr>
      </w:r>
      <w:r>
        <w:rPr/>
        <w:t>会理事和多值逻辑与模糊逻辑专委会委员。</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w:t>
      </w:r>
      <w:r>
        <w:rPr/>
        <w:t>起至今任公司监事会非职工代表监事。</w:t>
      </w:r>
    </w:p>
    <w:p>
      <w:pPr>
        <w:pStyle w:val="BodyText"/>
        <w:spacing w:line="386" w:lineRule="auto" w:before="24"/>
        <w:ind w:left="152" w:right="99" w:firstLine="420"/>
        <w:jc w:val="left"/>
      </w:pPr>
      <w:r>
        <w:rPr>
          <w:spacing w:val="-11"/>
        </w:rPr>
        <w:t>高龙腾，男，</w:t>
      </w:r>
      <w:r>
        <w:rPr>
          <w:rFonts w:ascii="Times New Roman" w:hAnsi="Times New Roman" w:cs="Times New Roman" w:eastAsia="Times New Roman" w:hint="default"/>
          <w:spacing w:val="-11"/>
        </w:rPr>
        <w:t>1977</w:t>
      </w:r>
      <w:r>
        <w:rPr>
          <w:spacing w:val="-11"/>
        </w:rPr>
        <w:t>年出生，中国国籍，本科学历，无永久境外居留权，身份证号码：</w:t>
      </w:r>
      <w:r>
        <w:rPr>
          <w:rFonts w:ascii="Times New Roman" w:hAnsi="Times New Roman" w:cs="Times New Roman" w:eastAsia="Times New Roman" w:hint="default"/>
          <w:spacing w:val="-11"/>
        </w:rPr>
        <w:t>35020519******1033</w:t>
      </w:r>
      <w:r>
        <w:rPr>
          <w:spacing w:val="-11"/>
        </w:rPr>
        <w:t>。</w:t>
      </w:r>
      <w:r>
        <w:rPr>
          <w:w w:val="100"/>
        </w:rPr>
        <w:t> </w:t>
      </w:r>
      <w:r>
        <w:rPr>
          <w:rFonts w:ascii="Times New Roman" w:hAnsi="Times New Roman" w:cs="Times New Roman" w:eastAsia="Times New Roman" w:hint="default"/>
          <w:spacing w:val="-2"/>
        </w:rPr>
        <w:t>2000</w:t>
      </w:r>
      <w:r>
        <w:rPr>
          <w:spacing w:val="-2"/>
        </w:rPr>
        <w:t>年至</w:t>
      </w:r>
      <w:r>
        <w:rPr>
          <w:rFonts w:ascii="Times New Roman" w:hAnsi="Times New Roman" w:cs="Times New Roman" w:eastAsia="Times New Roman" w:hint="default"/>
          <w:spacing w:val="-2"/>
        </w:rPr>
        <w:t>2001</w:t>
      </w:r>
      <w:r>
        <w:rPr>
          <w:spacing w:val="-2"/>
        </w:rPr>
        <w:t>年任厦门网巨网络科技有限公司软件开发项目经理；</w:t>
      </w:r>
      <w:r>
        <w:rPr>
          <w:rFonts w:ascii="Times New Roman" w:hAnsi="Times New Roman" w:cs="Times New Roman" w:eastAsia="Times New Roman" w:hint="default"/>
          <w:spacing w:val="-2"/>
        </w:rPr>
        <w:t>2001</w:t>
      </w:r>
      <w:r>
        <w:rPr>
          <w:spacing w:val="-2"/>
        </w:rPr>
        <w:t>年至</w:t>
      </w:r>
      <w:r>
        <w:rPr>
          <w:rFonts w:ascii="Times New Roman" w:hAnsi="Times New Roman" w:cs="Times New Roman" w:eastAsia="Times New Roman" w:hint="default"/>
          <w:spacing w:val="-2"/>
        </w:rPr>
        <w:t>2003</w:t>
      </w:r>
      <w:r>
        <w:rPr>
          <w:spacing w:val="-2"/>
        </w:rPr>
        <w:t>年任厦门信达网络科技有</w:t>
      </w:r>
      <w:r>
        <w:rPr>
          <w:spacing w:val="-32"/>
        </w:rPr>
        <w:t> </w:t>
      </w:r>
      <w:r>
        <w:rPr>
          <w:spacing w:val="-32"/>
        </w:rPr>
      </w:r>
      <w:r>
        <w:rPr>
          <w:spacing w:val="-4"/>
        </w:rPr>
        <w:t>限公司技术部经理；</w:t>
      </w:r>
      <w:r>
        <w:rPr>
          <w:rFonts w:ascii="Times New Roman" w:hAnsi="Times New Roman" w:cs="Times New Roman" w:eastAsia="Times New Roman" w:hint="default"/>
          <w:spacing w:val="-4"/>
        </w:rPr>
        <w:t>2004</w:t>
      </w:r>
      <w:r>
        <w:rPr>
          <w:spacing w:val="-4"/>
        </w:rPr>
        <w:t>年</w:t>
      </w:r>
      <w:r>
        <w:rPr>
          <w:rFonts w:ascii="Times New Roman" w:hAnsi="Times New Roman" w:cs="Times New Roman" w:eastAsia="Times New Roman" w:hint="default"/>
          <w:spacing w:val="-4"/>
        </w:rPr>
        <w:t>10</w:t>
      </w:r>
      <w:r>
        <w:rPr>
          <w:spacing w:val="-4"/>
        </w:rPr>
        <w:t>月至</w:t>
      </w:r>
      <w:r>
        <w:rPr>
          <w:rFonts w:ascii="Times New Roman" w:hAnsi="Times New Roman" w:cs="Times New Roman" w:eastAsia="Times New Roman" w:hint="default"/>
          <w:spacing w:val="-4"/>
        </w:rPr>
        <w:t>2005</w:t>
      </w:r>
      <w:r>
        <w:rPr>
          <w:spacing w:val="-4"/>
        </w:rPr>
        <w:t>年</w:t>
      </w:r>
      <w:r>
        <w:rPr>
          <w:rFonts w:ascii="Times New Roman" w:hAnsi="Times New Roman" w:cs="Times New Roman" w:eastAsia="Times New Roman" w:hint="default"/>
          <w:spacing w:val="-4"/>
        </w:rPr>
        <w:t>10</w:t>
      </w:r>
      <w:r>
        <w:rPr>
          <w:spacing w:val="-4"/>
        </w:rPr>
        <w:t>月，任厦门市新热力科技有限公司</w:t>
      </w:r>
      <w:r>
        <w:rPr>
          <w:rFonts w:ascii="Times New Roman" w:hAnsi="Times New Roman" w:cs="Times New Roman" w:eastAsia="Times New Roman" w:hint="default"/>
          <w:spacing w:val="-4"/>
        </w:rPr>
        <w:t>CEO</w:t>
      </w:r>
      <w:r>
        <w:rPr>
          <w:spacing w:val="-4"/>
        </w:rPr>
        <w:t>；</w:t>
      </w:r>
      <w:r>
        <w:rPr>
          <w:rFonts w:ascii="Times New Roman" w:hAnsi="Times New Roman" w:cs="Times New Roman" w:eastAsia="Times New Roman" w:hint="default"/>
          <w:spacing w:val="-4"/>
        </w:rPr>
        <w:t>2005</w:t>
      </w:r>
      <w:r>
        <w:rPr>
          <w:spacing w:val="-4"/>
        </w:rPr>
        <w:t>年</w:t>
      </w:r>
      <w:r>
        <w:rPr>
          <w:rFonts w:ascii="Times New Roman" w:hAnsi="Times New Roman" w:cs="Times New Roman" w:eastAsia="Times New Roman" w:hint="default"/>
          <w:spacing w:val="-4"/>
        </w:rPr>
        <w:t>10</w:t>
      </w:r>
      <w:r>
        <w:rPr>
          <w:spacing w:val="-4"/>
        </w:rPr>
        <w:t>月至</w:t>
      </w:r>
      <w:r>
        <w:rPr>
          <w:rFonts w:ascii="Times New Roman" w:hAnsi="Times New Roman" w:cs="Times New Roman" w:eastAsia="Times New Roman" w:hint="default"/>
          <w:spacing w:val="-4"/>
        </w:rPr>
        <w:t>2009</w:t>
      </w:r>
      <w:r>
        <w:rPr>
          <w:spacing w:val="-4"/>
        </w:rPr>
        <w:t>年，</w:t>
      </w:r>
    </w:p>
    <w:p>
      <w:pPr>
        <w:spacing w:after="0" w:line="386" w:lineRule="auto"/>
        <w:jc w:val="left"/>
        <w:sectPr>
          <w:pgSz w:w="11910" w:h="16840"/>
          <w:pgMar w:header="877" w:footer="1227" w:top="1100" w:bottom="1420" w:left="980" w:right="920"/>
        </w:sectPr>
      </w:pPr>
    </w:p>
    <w:p>
      <w:pPr>
        <w:spacing w:line="240" w:lineRule="auto" w:before="9"/>
        <w:rPr>
          <w:rFonts w:ascii="宋体" w:hAnsi="宋体" w:cs="宋体" w:eastAsia="宋体" w:hint="default"/>
          <w:sz w:val="26"/>
          <w:szCs w:val="26"/>
        </w:rPr>
      </w:pPr>
    </w:p>
    <w:p>
      <w:pPr>
        <w:pStyle w:val="BodyText"/>
        <w:spacing w:line="240" w:lineRule="auto" w:before="36"/>
        <w:ind w:left="152" w:right="0"/>
        <w:jc w:val="both"/>
      </w:pPr>
      <w:r>
        <w:rPr>
          <w:w w:val="100"/>
        </w:rPr>
        <w:t>任厦</w:t>
      </w:r>
      <w:r>
        <w:rPr>
          <w:spacing w:val="-3"/>
          <w:w w:val="100"/>
        </w:rPr>
        <w:t>门</w:t>
      </w:r>
      <w:r>
        <w:rPr>
          <w:w w:val="100"/>
        </w:rPr>
        <w:t>市</w:t>
      </w:r>
      <w:r>
        <w:rPr>
          <w:spacing w:val="-3"/>
          <w:w w:val="100"/>
        </w:rPr>
        <w:t>新</w:t>
      </w:r>
      <w:r>
        <w:rPr>
          <w:w w:val="100"/>
        </w:rPr>
        <w:t>热</w:t>
      </w:r>
      <w:r>
        <w:rPr>
          <w:spacing w:val="-3"/>
          <w:w w:val="100"/>
        </w:rPr>
        <w:t>力</w:t>
      </w:r>
      <w:r>
        <w:rPr>
          <w:w w:val="100"/>
        </w:rPr>
        <w:t>科</w:t>
      </w:r>
      <w:r>
        <w:rPr>
          <w:spacing w:val="-3"/>
          <w:w w:val="100"/>
        </w:rPr>
        <w:t>技</w:t>
      </w:r>
      <w:r>
        <w:rPr>
          <w:w w:val="100"/>
        </w:rPr>
        <w:t>有</w:t>
      </w:r>
      <w:r>
        <w:rPr>
          <w:spacing w:val="-3"/>
          <w:w w:val="100"/>
        </w:rPr>
        <w:t>限</w:t>
      </w:r>
      <w:r>
        <w:rPr>
          <w:w w:val="100"/>
        </w:rPr>
        <w:t>公司</w:t>
      </w:r>
      <w:r>
        <w:rPr>
          <w:spacing w:val="-3"/>
          <w:w w:val="100"/>
        </w:rPr>
        <w:t>董</w:t>
      </w:r>
      <w:r>
        <w:rPr>
          <w:w w:val="100"/>
        </w:rPr>
        <w:t>事</w:t>
      </w:r>
      <w:r>
        <w:rPr>
          <w:spacing w:val="-3"/>
          <w:w w:val="100"/>
        </w:rPr>
        <w:t>长</w:t>
      </w:r>
      <w:r>
        <w:rPr>
          <w:w w:val="100"/>
        </w:rPr>
        <w:t>兼</w:t>
      </w:r>
      <w:r>
        <w:rPr>
          <w:spacing w:val="-3"/>
          <w:w w:val="100"/>
        </w:rPr>
        <w:t>总裁</w:t>
      </w:r>
      <w:r>
        <w:rPr>
          <w:spacing w:val="-84"/>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9</w:t>
      </w:r>
      <w:r>
        <w:rPr>
          <w:spacing w:val="-3"/>
          <w:w w:val="100"/>
        </w:rPr>
        <w:t>年</w:t>
      </w:r>
      <w:r>
        <w:rPr>
          <w:spacing w:val="-1"/>
          <w:w w:val="100"/>
        </w:rPr>
        <w:t>至</w:t>
      </w:r>
      <w:r>
        <w:rPr>
          <w:rFonts w:ascii="Times New Roman" w:hAnsi="Times New Roman" w:cs="Times New Roman" w:eastAsia="Times New Roman" w:hint="default"/>
          <w:w w:val="100"/>
        </w:rPr>
        <w:t>201</w:t>
      </w:r>
      <w:r>
        <w:rPr>
          <w:rFonts w:ascii="Times New Roman" w:hAnsi="Times New Roman" w:cs="Times New Roman" w:eastAsia="Times New Roman" w:hint="default"/>
          <w:spacing w:val="-2"/>
          <w:w w:val="100"/>
        </w:rPr>
        <w:t>1</w:t>
      </w:r>
      <w:r>
        <w:rPr>
          <w:spacing w:val="-3"/>
          <w:w w:val="100"/>
        </w:rPr>
        <w:t>年</w:t>
      </w:r>
      <w:r>
        <w:rPr>
          <w:spacing w:val="-85"/>
          <w:w w:val="100"/>
        </w:rPr>
        <w:t>，</w:t>
      </w:r>
      <w:r>
        <w:rPr>
          <w:spacing w:val="-3"/>
          <w:w w:val="100"/>
        </w:rPr>
        <w:t>任</w:t>
      </w:r>
      <w:r>
        <w:rPr>
          <w:w w:val="100"/>
        </w:rPr>
        <w:t>百</w:t>
      </w:r>
      <w:r>
        <w:rPr>
          <w:spacing w:val="-3"/>
          <w:w w:val="100"/>
        </w:rPr>
        <w:t>大</w:t>
      </w:r>
      <w:r>
        <w:rPr>
          <w:w w:val="100"/>
        </w:rPr>
        <w:t>龙</w:t>
      </w:r>
      <w:r>
        <w:rPr>
          <w:spacing w:val="-87"/>
          <w:w w:val="100"/>
        </w:rPr>
        <w:t>一</w:t>
      </w:r>
      <w:r>
        <w:rPr>
          <w:w w:val="100"/>
        </w:rPr>
        <w:t>（</w:t>
      </w:r>
      <w:r>
        <w:rPr>
          <w:spacing w:val="-3"/>
          <w:w w:val="100"/>
        </w:rPr>
        <w:t>无</w:t>
      </w:r>
      <w:r>
        <w:rPr>
          <w:w w:val="100"/>
        </w:rPr>
        <w:t>锡</w:t>
      </w:r>
      <w:r>
        <w:rPr>
          <w:spacing w:val="-87"/>
          <w:w w:val="100"/>
        </w:rPr>
        <w:t>）</w:t>
      </w:r>
      <w:r>
        <w:rPr>
          <w:w w:val="100"/>
        </w:rPr>
        <w:t>网</w:t>
      </w:r>
      <w:r>
        <w:rPr>
          <w:spacing w:val="-3"/>
          <w:w w:val="100"/>
        </w:rPr>
        <w:t>络</w:t>
      </w:r>
      <w:r>
        <w:rPr>
          <w:w w:val="100"/>
        </w:rPr>
        <w:t>科</w:t>
      </w:r>
      <w:r>
        <w:rPr>
          <w:spacing w:val="-3"/>
          <w:w w:val="100"/>
        </w:rPr>
        <w:t>技</w:t>
      </w:r>
      <w:r>
        <w:rPr>
          <w:w w:val="100"/>
        </w:rPr>
        <w:t>有</w:t>
      </w:r>
      <w:r>
        <w:rPr>
          <w:spacing w:val="-3"/>
          <w:w w:val="100"/>
        </w:rPr>
        <w:t>限</w:t>
      </w:r>
      <w:r>
        <w:rPr>
          <w:w w:val="100"/>
        </w:rPr>
        <w:t>公</w:t>
      </w:r>
      <w:r>
        <w:rPr>
          <w:spacing w:val="-3"/>
          <w:w w:val="100"/>
        </w:rPr>
        <w:t>司</w:t>
      </w:r>
      <w:r>
        <w:rPr>
          <w:rFonts w:ascii="Times New Roman" w:hAnsi="Times New Roman" w:cs="Times New Roman" w:eastAsia="Times New Roman" w:hint="default"/>
          <w:w w:val="100"/>
        </w:rPr>
        <w:t>C</w:t>
      </w:r>
      <w:r>
        <w:rPr>
          <w:rFonts w:ascii="Times New Roman" w:hAnsi="Times New Roman" w:cs="Times New Roman" w:eastAsia="Times New Roman" w:hint="default"/>
          <w:spacing w:val="-2"/>
          <w:w w:val="100"/>
        </w:rPr>
        <w:t>T</w:t>
      </w:r>
      <w:r>
        <w:rPr>
          <w:rFonts w:ascii="Times New Roman" w:hAnsi="Times New Roman" w:cs="Times New Roman" w:eastAsia="Times New Roman" w:hint="default"/>
          <w:spacing w:val="-1"/>
          <w:w w:val="100"/>
        </w:rPr>
        <w:t>O</w:t>
      </w:r>
      <w:r>
        <w:rPr>
          <w:w w:val="100"/>
        </w:rPr>
        <w:t>。</w:t>
      </w:r>
    </w:p>
    <w:p>
      <w:pPr>
        <w:pStyle w:val="BodyText"/>
        <w:spacing w:line="240" w:lineRule="auto" w:before="177"/>
        <w:ind w:left="152" w:right="0"/>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月至今任厦门极聚网络科技有限公司</w:t>
      </w:r>
      <w:r>
        <w:rPr>
          <w:rFonts w:ascii="Times New Roman" w:hAnsi="Times New Roman" w:cs="Times New Roman" w:eastAsia="Times New Roman" w:hint="default"/>
        </w:rPr>
        <w:t>CEO</w:t>
      </w:r>
      <w:r>
        <w:rPr/>
        <w:t>。</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w:t>
      </w:r>
      <w:r>
        <w:rPr/>
        <w:t>起至今任公司监事会非职工代表监事。</w:t>
      </w:r>
    </w:p>
    <w:p>
      <w:pPr>
        <w:pStyle w:val="BodyText"/>
        <w:spacing w:line="240" w:lineRule="auto" w:before="177"/>
        <w:ind w:left="573" w:right="99"/>
        <w:jc w:val="left"/>
      </w:pPr>
      <w:r>
        <w:rPr>
          <w:rFonts w:ascii="Times New Roman" w:hAnsi="Times New Roman" w:cs="Times New Roman" w:eastAsia="Times New Roman" w:hint="default"/>
        </w:rPr>
        <w:t>3</w:t>
      </w:r>
      <w:r>
        <w:rPr/>
        <w:t>、高级管理人员</w:t>
      </w:r>
    </w:p>
    <w:p>
      <w:pPr>
        <w:pStyle w:val="BodyText"/>
        <w:spacing w:line="386" w:lineRule="auto" w:before="177"/>
        <w:ind w:left="573" w:right="99"/>
        <w:jc w:val="left"/>
      </w:pPr>
      <w:r>
        <w:rPr/>
        <w:t>滕达，详见“第六节 三、</w:t>
      </w:r>
      <w:r>
        <w:rPr>
          <w:rFonts w:ascii="Times New Roman" w:hAnsi="Times New Roman" w:cs="Times New Roman" w:eastAsia="Times New Roman" w:hint="default"/>
        </w:rPr>
        <w:t>3</w:t>
      </w:r>
      <w:r>
        <w:rPr>
          <w:rFonts w:ascii="Times New Roman" w:hAnsi="Times New Roman" w:cs="Times New Roman" w:eastAsia="Times New Roman" w:hint="default"/>
          <w:spacing w:val="49"/>
        </w:rPr>
        <w:t> </w:t>
      </w:r>
      <w:r>
        <w:rPr/>
        <w:t>公司实际控制人情况”。</w:t>
      </w:r>
      <w:r>
        <w:rPr>
          <w:w w:val="100"/>
        </w:rPr>
        <w:t> </w:t>
      </w:r>
      <w:r>
        <w:rPr>
          <w:spacing w:val="-2"/>
        </w:rPr>
        <w:t>申强，男，</w:t>
      </w:r>
      <w:r>
        <w:rPr>
          <w:rFonts w:ascii="Times New Roman" w:hAnsi="Times New Roman" w:cs="Times New Roman" w:eastAsia="Times New Roman" w:hint="default"/>
          <w:spacing w:val="-2"/>
        </w:rPr>
        <w:t>1969</w:t>
      </w:r>
      <w:r>
        <w:rPr>
          <w:spacing w:val="-2"/>
        </w:rPr>
        <w:t>年出生，中国国籍，本科学历，无永久境外居留权。</w:t>
      </w:r>
      <w:r>
        <w:rPr>
          <w:rFonts w:ascii="Times New Roman" w:hAnsi="Times New Roman" w:cs="Times New Roman" w:eastAsia="Times New Roman" w:hint="default"/>
          <w:spacing w:val="-2"/>
        </w:rPr>
        <w:t>1992</w:t>
      </w:r>
      <w:r>
        <w:rPr>
          <w:spacing w:val="-2"/>
        </w:rPr>
        <w:t>年毕业于西北师范大学外语</w:t>
      </w:r>
    </w:p>
    <w:p>
      <w:pPr>
        <w:pStyle w:val="BodyText"/>
        <w:spacing w:line="386" w:lineRule="auto" w:before="35"/>
        <w:ind w:left="152" w:right="290"/>
        <w:jc w:val="both"/>
      </w:pPr>
      <w:r>
        <w:rPr/>
        <w:t>系；</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4 </w:t>
      </w:r>
      <w:r>
        <w:rPr/>
        <w:t>月西北师大外事办任助理翻译；</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8</w:t>
      </w:r>
      <w:r>
        <w:rPr>
          <w:rFonts w:ascii="Times New Roman" w:hAnsi="Times New Roman" w:cs="Times New Roman" w:eastAsia="Times New Roman" w:hint="default"/>
          <w:spacing w:val="45"/>
        </w:rPr>
        <w:t> </w:t>
      </w:r>
      <w:r>
        <w:rPr/>
        <w:t>月任厦门市佳思科技有</w:t>
      </w:r>
      <w:r>
        <w:rPr>
          <w:w w:val="100"/>
        </w:rPr>
        <w:t> </w:t>
      </w:r>
      <w:r>
        <w:rPr>
          <w:spacing w:val="-2"/>
        </w:rPr>
        <w:t>限公司总经理；</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9</w:t>
      </w:r>
      <w:r>
        <w:rPr>
          <w:spacing w:val="-2"/>
        </w:rPr>
        <w:t>月至今，历任公司营销中心总监、副总经理、常务副总经理。现任公司常务副总</w:t>
      </w:r>
      <w:r>
        <w:rPr>
          <w:spacing w:val="-18"/>
        </w:rPr>
        <w:t> </w:t>
      </w:r>
      <w:r>
        <w:rPr>
          <w:spacing w:val="-18"/>
        </w:rPr>
      </w:r>
      <w:r>
        <w:rPr/>
        <w:t>经理。</w:t>
      </w:r>
    </w:p>
    <w:p>
      <w:pPr>
        <w:pStyle w:val="BodyText"/>
        <w:spacing w:line="386" w:lineRule="auto" w:before="65"/>
        <w:ind w:left="152" w:right="206" w:firstLine="420"/>
        <w:jc w:val="both"/>
      </w:pPr>
      <w:r>
        <w:rPr>
          <w:spacing w:val="-2"/>
        </w:rPr>
        <w:t>丛艳芬，女，</w:t>
      </w:r>
      <w:r>
        <w:rPr>
          <w:rFonts w:ascii="Times New Roman" w:hAnsi="Times New Roman" w:cs="Times New Roman" w:eastAsia="Times New Roman" w:hint="default"/>
          <w:spacing w:val="-2"/>
        </w:rPr>
        <w:t>1969</w:t>
      </w:r>
      <w:r>
        <w:rPr>
          <w:spacing w:val="-2"/>
        </w:rPr>
        <w:t>年出生，中国国籍，研究生学历，无永久境外居留权。</w:t>
      </w:r>
      <w:r>
        <w:rPr>
          <w:rFonts w:ascii="Times New Roman" w:hAnsi="Times New Roman" w:cs="Times New Roman" w:eastAsia="Times New Roman" w:hint="default"/>
          <w:spacing w:val="-2"/>
        </w:rPr>
        <w:t>1992</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8</w:t>
      </w:r>
      <w:r>
        <w:rPr>
          <w:spacing w:val="-2"/>
        </w:rPr>
        <w:t>月任厦</w:t>
      </w:r>
      <w:r>
        <w:rPr>
          <w:w w:val="100"/>
        </w:rPr>
        <w:t> </w:t>
      </w:r>
      <w:r>
        <w:rPr>
          <w:spacing w:val="-2"/>
        </w:rPr>
        <w:t>门必可电子有限公司总经理秘书；</w:t>
      </w:r>
      <w:r>
        <w:rPr>
          <w:rFonts w:ascii="Times New Roman" w:hAnsi="Times New Roman" w:cs="Times New Roman" w:eastAsia="Times New Roman" w:hint="default"/>
          <w:spacing w:val="-2"/>
        </w:rPr>
        <w:t>1999</w:t>
      </w:r>
      <w:r>
        <w:rPr>
          <w:spacing w:val="-2"/>
        </w:rPr>
        <w:t>年至今，历任公司人力行政中心总监、副总经理。现任公司副总经</w:t>
      </w:r>
      <w:r>
        <w:rPr>
          <w:spacing w:val="-39"/>
        </w:rPr>
        <w:t> </w:t>
      </w:r>
      <w:r>
        <w:rPr>
          <w:spacing w:val="-39"/>
        </w:rPr>
      </w:r>
      <w:r>
        <w:rPr/>
        <w:t>理。</w:t>
      </w:r>
    </w:p>
    <w:p>
      <w:pPr>
        <w:pStyle w:val="BodyText"/>
        <w:spacing w:line="386" w:lineRule="auto" w:before="65"/>
        <w:ind w:left="152" w:right="206" w:firstLine="420"/>
        <w:jc w:val="both"/>
      </w:pPr>
      <w:r>
        <w:rPr>
          <w:spacing w:val="-2"/>
        </w:rPr>
        <w:t>高峰，男，</w:t>
      </w:r>
      <w:r>
        <w:rPr>
          <w:rFonts w:ascii="Times New Roman" w:hAnsi="Times New Roman" w:cs="Times New Roman" w:eastAsia="Times New Roman" w:hint="default"/>
          <w:spacing w:val="-2"/>
        </w:rPr>
        <w:t>1970</w:t>
      </w:r>
      <w:r>
        <w:rPr>
          <w:spacing w:val="-2"/>
        </w:rPr>
        <w:t>年出生，中国国籍，研究生学历、工程师，无永久境外居留权。</w:t>
      </w:r>
      <w:r>
        <w:rPr>
          <w:rFonts w:ascii="Times New Roman" w:hAnsi="Times New Roman" w:cs="Times New Roman" w:eastAsia="Times New Roman" w:hint="default"/>
          <w:spacing w:val="-2"/>
        </w:rPr>
        <w:t>1988</w:t>
      </w:r>
      <w:r>
        <w:rPr>
          <w:spacing w:val="-2"/>
        </w:rPr>
        <w:t>年至</w:t>
      </w:r>
      <w:r>
        <w:rPr>
          <w:rFonts w:ascii="Times New Roman" w:hAnsi="Times New Roman" w:cs="Times New Roman" w:eastAsia="Times New Roman" w:hint="default"/>
          <w:spacing w:val="-2"/>
        </w:rPr>
        <w:t>1992</w:t>
      </w:r>
      <w:r>
        <w:rPr>
          <w:spacing w:val="-2"/>
        </w:rPr>
        <w:t>年，就</w:t>
      </w:r>
      <w:r>
        <w:rPr>
          <w:w w:val="100"/>
        </w:rPr>
        <w:t> </w:t>
      </w:r>
      <w:r>
        <w:rPr>
          <w:spacing w:val="-2"/>
        </w:rPr>
        <w:t>读大连理工大学获工程力学专业学士学位；</w:t>
      </w:r>
      <w:r>
        <w:rPr>
          <w:rFonts w:ascii="Times New Roman" w:hAnsi="Times New Roman" w:cs="Times New Roman" w:eastAsia="Times New Roman" w:hint="default"/>
          <w:spacing w:val="-2"/>
        </w:rPr>
        <w:t>1992</w:t>
      </w:r>
      <w:r>
        <w:rPr>
          <w:spacing w:val="-2"/>
        </w:rPr>
        <w:t>年至</w:t>
      </w:r>
      <w:r>
        <w:rPr>
          <w:rFonts w:ascii="Times New Roman" w:hAnsi="Times New Roman" w:cs="Times New Roman" w:eastAsia="Times New Roman" w:hint="default"/>
          <w:spacing w:val="-2"/>
        </w:rPr>
        <w:t>1996</w:t>
      </w:r>
      <w:r>
        <w:rPr>
          <w:spacing w:val="-2"/>
        </w:rPr>
        <w:t>年，任职哈尔滨市锅炉厂研究所；</w:t>
      </w:r>
      <w:r>
        <w:rPr>
          <w:rFonts w:ascii="Times New Roman" w:hAnsi="Times New Roman" w:cs="Times New Roman" w:eastAsia="Times New Roman" w:hint="default"/>
          <w:spacing w:val="-2"/>
        </w:rPr>
        <w:t>1996</w:t>
      </w:r>
      <w:r>
        <w:rPr>
          <w:spacing w:val="-2"/>
        </w:rPr>
        <w:t>年至</w:t>
      </w:r>
      <w:r>
        <w:rPr>
          <w:rFonts w:ascii="Times New Roman" w:hAnsi="Times New Roman" w:cs="Times New Roman" w:eastAsia="Times New Roman" w:hint="default"/>
          <w:spacing w:val="-2"/>
        </w:rPr>
        <w:t>1999</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spacing w:val="-2"/>
        </w:rPr>
        <w:t>年就读哈尔滨工业大学获计算机应用专业硕士学位；</w:t>
      </w:r>
      <w:r>
        <w:rPr>
          <w:rFonts w:ascii="Times New Roman" w:hAnsi="Times New Roman" w:cs="Times New Roman" w:eastAsia="Times New Roman" w:hint="default"/>
          <w:spacing w:val="-2"/>
        </w:rPr>
        <w:t>2001</w:t>
      </w:r>
      <w:r>
        <w:rPr>
          <w:spacing w:val="-2"/>
        </w:rPr>
        <w:t>年至今，历任公司销售部经理、副总经理。现任</w:t>
      </w:r>
      <w:r>
        <w:rPr>
          <w:spacing w:val="-40"/>
        </w:rPr>
        <w:t> </w:t>
      </w:r>
      <w:r>
        <w:rPr>
          <w:spacing w:val="-40"/>
        </w:rPr>
      </w:r>
      <w:r>
        <w:rPr/>
        <w:t>公司副总经理兼北京分公司总经理。</w:t>
      </w:r>
    </w:p>
    <w:p>
      <w:pPr>
        <w:pStyle w:val="BodyText"/>
        <w:spacing w:line="386" w:lineRule="auto" w:before="65"/>
        <w:ind w:left="152" w:right="208" w:firstLine="420"/>
        <w:jc w:val="both"/>
      </w:pPr>
      <w:r>
        <w:rPr>
          <w:spacing w:val="-2"/>
        </w:rPr>
        <w:t>张雪峰，男，</w:t>
      </w:r>
      <w:r>
        <w:rPr>
          <w:rFonts w:ascii="Times New Roman" w:hAnsi="Times New Roman" w:cs="Times New Roman" w:eastAsia="Times New Roman" w:hint="default"/>
          <w:spacing w:val="-2"/>
        </w:rPr>
        <w:t>1974</w:t>
      </w:r>
      <w:r>
        <w:rPr>
          <w:spacing w:val="-2"/>
        </w:rPr>
        <w:t>年出生，中国国籍，本科学历，无永久境外居留权。</w:t>
      </w:r>
      <w:r>
        <w:rPr>
          <w:rFonts w:ascii="Times New Roman" w:hAnsi="Times New Roman" w:cs="Times New Roman" w:eastAsia="Times New Roman" w:hint="default"/>
          <w:spacing w:val="-2"/>
        </w:rPr>
        <w:t>1997</w:t>
      </w:r>
      <w:r>
        <w:rPr>
          <w:spacing w:val="-2"/>
        </w:rPr>
        <w:t>年至</w:t>
      </w:r>
      <w:r>
        <w:rPr>
          <w:rFonts w:ascii="Times New Roman" w:hAnsi="Times New Roman" w:cs="Times New Roman" w:eastAsia="Times New Roman" w:hint="default"/>
          <w:spacing w:val="-2"/>
        </w:rPr>
        <w:t>2002</w:t>
      </w:r>
      <w:r>
        <w:rPr>
          <w:spacing w:val="-2"/>
        </w:rPr>
        <w:t>年，历任厦门智</w:t>
      </w:r>
      <w:r>
        <w:rPr>
          <w:w w:val="100"/>
        </w:rPr>
        <w:t> </w:t>
      </w:r>
      <w:r>
        <w:rPr>
          <w:spacing w:val="-2"/>
        </w:rPr>
        <w:t>业软件公司项目经理与销售副总经理；</w:t>
      </w:r>
      <w:r>
        <w:rPr>
          <w:rFonts w:ascii="Times New Roman" w:hAnsi="Times New Roman" w:cs="Times New Roman" w:eastAsia="Times New Roman" w:hint="default"/>
          <w:spacing w:val="-2"/>
        </w:rPr>
        <w:t>2002</w:t>
      </w:r>
      <w:r>
        <w:rPr>
          <w:spacing w:val="-2"/>
        </w:rPr>
        <w:t>年至今，历任公司硬件研制中心总监、副总经理。现任公司副</w:t>
      </w:r>
      <w:r>
        <w:rPr>
          <w:spacing w:val="-43"/>
        </w:rPr>
        <w:t> </w:t>
      </w:r>
      <w:r>
        <w:rPr>
          <w:spacing w:val="-43"/>
        </w:rPr>
      </w:r>
      <w:r>
        <w:rPr/>
        <w:t>总经理。</w:t>
      </w:r>
    </w:p>
    <w:p>
      <w:pPr>
        <w:pStyle w:val="BodyText"/>
        <w:spacing w:line="386" w:lineRule="auto" w:before="65"/>
        <w:ind w:left="152" w:right="206" w:firstLine="420"/>
        <w:jc w:val="both"/>
      </w:pPr>
      <w:r>
        <w:rPr>
          <w:spacing w:val="-2"/>
        </w:rPr>
        <w:t>黄基鹏，男，</w:t>
      </w:r>
      <w:r>
        <w:rPr>
          <w:rFonts w:ascii="Times New Roman" w:hAnsi="Times New Roman" w:cs="Times New Roman" w:eastAsia="Times New Roman" w:hint="default"/>
          <w:spacing w:val="-2"/>
        </w:rPr>
        <w:t>1960</w:t>
      </w:r>
      <w:r>
        <w:rPr>
          <w:spacing w:val="-2"/>
        </w:rPr>
        <w:t>年出生，中国国籍，大专学历，无永久境外居留权。</w:t>
      </w:r>
      <w:r>
        <w:rPr>
          <w:rFonts w:ascii="Times New Roman" w:hAnsi="Times New Roman" w:cs="Times New Roman" w:eastAsia="Times New Roman" w:hint="default"/>
          <w:spacing w:val="-2"/>
        </w:rPr>
        <w:t>1982</w:t>
      </w:r>
      <w:r>
        <w:rPr>
          <w:spacing w:val="-2"/>
        </w:rPr>
        <w:t>年至</w:t>
      </w:r>
      <w:r>
        <w:rPr>
          <w:rFonts w:ascii="Times New Roman" w:hAnsi="Times New Roman" w:cs="Times New Roman" w:eastAsia="Times New Roman" w:hint="default"/>
          <w:spacing w:val="-2"/>
        </w:rPr>
        <w:t>1985</w:t>
      </w:r>
      <w:r>
        <w:rPr>
          <w:spacing w:val="-2"/>
        </w:rPr>
        <w:t>年任中国旅行社</w:t>
      </w:r>
      <w:r>
        <w:rPr>
          <w:w w:val="100"/>
        </w:rPr>
        <w:t> </w:t>
      </w:r>
      <w:r>
        <w:rPr>
          <w:spacing w:val="-2"/>
        </w:rPr>
        <w:t>职员；</w:t>
      </w:r>
      <w:r>
        <w:rPr>
          <w:rFonts w:ascii="Times New Roman" w:hAnsi="Times New Roman" w:cs="Times New Roman" w:eastAsia="Times New Roman" w:hint="default"/>
          <w:spacing w:val="-2"/>
        </w:rPr>
        <w:t>1986</w:t>
      </w:r>
      <w:r>
        <w:rPr>
          <w:spacing w:val="-2"/>
        </w:rPr>
        <w:t>年至</w:t>
      </w:r>
      <w:r>
        <w:rPr>
          <w:rFonts w:ascii="Times New Roman" w:hAnsi="Times New Roman" w:cs="Times New Roman" w:eastAsia="Times New Roman" w:hint="default"/>
          <w:spacing w:val="-2"/>
        </w:rPr>
        <w:t>1990</w:t>
      </w:r>
      <w:r>
        <w:rPr>
          <w:spacing w:val="-2"/>
        </w:rPr>
        <w:t>年任福建闽东电机公司职员；</w:t>
      </w:r>
      <w:r>
        <w:rPr>
          <w:rFonts w:ascii="Times New Roman" w:hAnsi="Times New Roman" w:cs="Times New Roman" w:eastAsia="Times New Roman" w:hint="default"/>
          <w:spacing w:val="-2"/>
        </w:rPr>
        <w:t>1990</w:t>
      </w:r>
      <w:r>
        <w:rPr>
          <w:spacing w:val="-2"/>
        </w:rPr>
        <w:t>年至</w:t>
      </w:r>
      <w:r>
        <w:rPr>
          <w:rFonts w:ascii="Times New Roman" w:hAnsi="Times New Roman" w:cs="Times New Roman" w:eastAsia="Times New Roman" w:hint="default"/>
          <w:spacing w:val="-2"/>
        </w:rPr>
        <w:t>1995</w:t>
      </w:r>
      <w:r>
        <w:rPr>
          <w:spacing w:val="-2"/>
        </w:rPr>
        <w:t>年任厦门长荣科技有限公司副经理；</w:t>
      </w:r>
      <w:r>
        <w:rPr>
          <w:rFonts w:ascii="Times New Roman" w:hAnsi="Times New Roman" w:cs="Times New Roman" w:eastAsia="Times New Roman" w:hint="default"/>
          <w:spacing w:val="-2"/>
        </w:rPr>
        <w:t>1996</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t>年至</w:t>
      </w:r>
      <w:r>
        <w:rPr>
          <w:rFonts w:ascii="Times New Roman" w:hAnsi="Times New Roman" w:cs="Times New Roman" w:eastAsia="Times New Roman" w:hint="default"/>
        </w:rPr>
        <w:t>2001</w:t>
      </w:r>
      <w:r>
        <w:rPr/>
        <w:t>年任厦门喜盈门工贸有限公司副经理；</w:t>
      </w:r>
      <w:r>
        <w:rPr>
          <w:rFonts w:ascii="Times New Roman" w:hAnsi="Times New Roman" w:cs="Times New Roman" w:eastAsia="Times New Roman" w:hint="default"/>
        </w:rPr>
        <w:t>2001</w:t>
      </w:r>
      <w:r>
        <w:rPr/>
        <w:t>年至今，任公司副总经理。现任公司副总经理。</w:t>
      </w:r>
    </w:p>
    <w:p>
      <w:pPr>
        <w:pStyle w:val="BodyText"/>
        <w:spacing w:line="386" w:lineRule="auto" w:before="35"/>
        <w:ind w:left="152" w:right="208" w:firstLine="420"/>
        <w:jc w:val="both"/>
      </w:pPr>
      <w:r>
        <w:rPr>
          <w:spacing w:val="-2"/>
        </w:rPr>
        <w:t>吴鸿伟，男，</w:t>
      </w:r>
      <w:r>
        <w:rPr>
          <w:rFonts w:ascii="Times New Roman" w:hAnsi="Times New Roman" w:cs="Times New Roman" w:eastAsia="Times New Roman" w:hint="default"/>
          <w:spacing w:val="-2"/>
        </w:rPr>
        <w:t>1976</w:t>
      </w:r>
      <w:r>
        <w:rPr>
          <w:spacing w:val="-2"/>
        </w:rPr>
        <w:t>年出生，中国国籍，研究生学历、系统分析员，无永久境外居留权。</w:t>
      </w:r>
      <w:r>
        <w:rPr>
          <w:rFonts w:ascii="Times New Roman" w:hAnsi="Times New Roman" w:cs="Times New Roman" w:eastAsia="Times New Roman" w:hint="default"/>
          <w:spacing w:val="-2"/>
        </w:rPr>
        <w:t>2004</w:t>
      </w:r>
      <w:r>
        <w:rPr>
          <w:spacing w:val="-2"/>
        </w:rPr>
        <w:t>年毕业于</w:t>
      </w:r>
      <w:r>
        <w:rPr>
          <w:w w:val="100"/>
        </w:rPr>
        <w:t> </w:t>
      </w:r>
      <w:r>
        <w:rPr/>
        <w:t>厦门大学系统工程专业。</w:t>
      </w:r>
      <w:r>
        <w:rPr>
          <w:rFonts w:ascii="Times New Roman" w:hAnsi="Times New Roman" w:cs="Times New Roman" w:eastAsia="Times New Roman" w:hint="default"/>
        </w:rPr>
        <w:t>2004</w:t>
      </w:r>
      <w:r>
        <w:rPr/>
        <w:t>至今，历任公司技术总监、副总经理。现任公司副总经理。</w:t>
      </w:r>
    </w:p>
    <w:p>
      <w:pPr>
        <w:pStyle w:val="BodyText"/>
        <w:spacing w:line="391" w:lineRule="auto" w:before="36"/>
        <w:ind w:left="152" w:right="99" w:firstLine="420"/>
        <w:jc w:val="left"/>
      </w:pPr>
      <w:r>
        <w:rPr>
          <w:spacing w:val="-2"/>
        </w:rPr>
        <w:t>赵庸，男，</w:t>
      </w:r>
      <w:r>
        <w:rPr>
          <w:rFonts w:ascii="Times New Roman" w:hAnsi="Times New Roman" w:cs="Times New Roman" w:eastAsia="Times New Roman" w:hint="default"/>
          <w:spacing w:val="-2"/>
        </w:rPr>
        <w:t>1968</w:t>
      </w:r>
      <w:r>
        <w:rPr>
          <w:spacing w:val="-2"/>
        </w:rPr>
        <w:t>年出生，中国国籍，研究生学历、工程师，无永久境外居留权。</w:t>
      </w:r>
      <w:r>
        <w:rPr>
          <w:rFonts w:ascii="Times New Roman" w:hAnsi="Times New Roman" w:cs="Times New Roman" w:eastAsia="Times New Roman" w:hint="default"/>
          <w:spacing w:val="-2"/>
        </w:rPr>
        <w:t>1990</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8</w:t>
      </w:r>
      <w:r>
        <w:rPr>
          <w:rFonts w:ascii="Times New Roman" w:hAnsi="Times New Roman" w:cs="Times New Roman" w:eastAsia="Times New Roman" w:hint="default"/>
          <w:w w:val="100"/>
        </w:rPr>
        <w:t> </w:t>
      </w:r>
      <w:r>
        <w:rPr>
          <w:spacing w:val="-2"/>
        </w:rPr>
        <w:t>月，中国人民解放军青海省军区服役；</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12</w:t>
      </w:r>
      <w:r>
        <w:rPr>
          <w:spacing w:val="-2"/>
        </w:rPr>
        <w:t>月，就读解放军信息工程大学，获硕士学位；</w:t>
      </w:r>
      <w:r>
        <w:rPr>
          <w:spacing w:val="-36"/>
        </w:rPr>
        <w:t> </w:t>
      </w:r>
      <w:r>
        <w:rPr>
          <w:spacing w:val="-36"/>
        </w:rPr>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3</w:t>
      </w:r>
      <w:r>
        <w:rPr/>
        <w:t>月至今，历任公司培训讲师、电子数据取证鉴定员、中证司法鉴定中心主任、副总经理。兼任中</w:t>
      </w:r>
      <w:r>
        <w:rPr>
          <w:w w:val="100"/>
        </w:rPr>
        <w:t> </w:t>
      </w:r>
      <w:r>
        <w:rPr>
          <w:spacing w:val="-2"/>
        </w:rPr>
        <w:t>国电子学会高级会员、中国电子学会计算机取证专家委员会专家委员、福建警察学院客座教授。现任公司</w:t>
      </w:r>
      <w:r>
        <w:rPr>
          <w:spacing w:val="-43"/>
        </w:rPr>
        <w:t> </w:t>
      </w:r>
      <w:r>
        <w:rPr>
          <w:spacing w:val="-43"/>
        </w:rPr>
      </w:r>
      <w:r>
        <w:rPr/>
        <w:t>副总经理。</w:t>
      </w:r>
    </w:p>
    <w:p>
      <w:pPr>
        <w:pStyle w:val="BodyText"/>
        <w:spacing w:line="240" w:lineRule="auto" w:before="61"/>
        <w:ind w:left="573" w:right="99"/>
        <w:jc w:val="left"/>
      </w:pPr>
      <w:r>
        <w:rPr/>
        <w:t>吴世雄，男，出生于</w:t>
      </w:r>
      <w:r>
        <w:rPr>
          <w:rFonts w:ascii="Times New Roman" w:hAnsi="Times New Roman" w:cs="Times New Roman" w:eastAsia="Times New Roman" w:hint="default"/>
        </w:rPr>
        <w:t>1962</w:t>
      </w:r>
      <w:r>
        <w:rPr/>
        <w:t>年。加拿大籍，研究生学历。毕业于厦门大学和加拿大</w:t>
      </w:r>
      <w:r>
        <w:rPr>
          <w:rFonts w:ascii="Times New Roman" w:hAnsi="Times New Roman" w:cs="Times New Roman" w:eastAsia="Times New Roman" w:hint="default"/>
        </w:rPr>
        <w:t>Dahousie</w:t>
      </w:r>
      <w:r>
        <w:rPr/>
        <w:t>大学。先后</w:t>
      </w:r>
    </w:p>
    <w:p>
      <w:pPr>
        <w:spacing w:after="0" w:line="240" w:lineRule="auto"/>
        <w:jc w:val="left"/>
        <w:sectPr>
          <w:pgSz w:w="11910" w:h="16840"/>
          <w:pgMar w:header="877" w:footer="1227" w:top="1100" w:bottom="1420" w:left="980" w:right="920"/>
        </w:sectPr>
      </w:pPr>
    </w:p>
    <w:p>
      <w:pPr>
        <w:spacing w:line="240" w:lineRule="auto" w:before="9"/>
        <w:rPr>
          <w:rFonts w:ascii="宋体" w:hAnsi="宋体" w:cs="宋体" w:eastAsia="宋体" w:hint="default"/>
          <w:sz w:val="26"/>
          <w:szCs w:val="26"/>
        </w:rPr>
      </w:pPr>
    </w:p>
    <w:p>
      <w:pPr>
        <w:pStyle w:val="BodyText"/>
        <w:spacing w:line="386" w:lineRule="auto" w:before="36"/>
        <w:ind w:left="252" w:right="0"/>
        <w:jc w:val="left"/>
      </w:pPr>
      <w:r>
        <w:rPr/>
        <w:t>在</w:t>
      </w:r>
      <w:r>
        <w:rPr>
          <w:rFonts w:ascii="Times New Roman" w:hAnsi="Times New Roman" w:cs="Times New Roman" w:eastAsia="Times New Roman" w:hint="default"/>
        </w:rPr>
        <w:t>IBM</w:t>
      </w:r>
      <w:r>
        <w:rPr/>
        <w:t>、</w:t>
      </w:r>
      <w:r>
        <w:rPr>
          <w:rFonts w:ascii="Times New Roman" w:hAnsi="Times New Roman" w:cs="Times New Roman" w:eastAsia="Times New Roman" w:hint="default"/>
        </w:rPr>
        <w:t>Nortel</w:t>
      </w:r>
      <w:r>
        <w:rPr/>
        <w:t>、</w:t>
      </w:r>
      <w:r>
        <w:rPr>
          <w:rFonts w:ascii="Times New Roman" w:hAnsi="Times New Roman" w:cs="Times New Roman" w:eastAsia="Times New Roman" w:hint="default"/>
        </w:rPr>
        <w:t>Motorola</w:t>
      </w:r>
      <w:r>
        <w:rPr/>
        <w:t>、</w:t>
      </w:r>
      <w:r>
        <w:rPr>
          <w:rFonts w:ascii="Times New Roman" w:hAnsi="Times New Roman" w:cs="Times New Roman" w:eastAsia="Times New Roman" w:hint="default"/>
        </w:rPr>
        <w:t>Cisco,Juniper</w:t>
      </w:r>
      <w:r>
        <w:rPr/>
        <w:t>等公司担任研发和管理工作。</w:t>
      </w:r>
      <w:r>
        <w:rPr>
          <w:rFonts w:ascii="Times New Roman" w:hAnsi="Times New Roman" w:cs="Times New Roman" w:eastAsia="Times New Roman" w:hint="default"/>
        </w:rPr>
        <w:t>2006</w:t>
      </w:r>
      <w:r>
        <w:rPr/>
        <w:t>年至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月，任</w:t>
      </w:r>
      <w:r>
        <w:rPr>
          <w:rFonts w:ascii="Times New Roman" w:hAnsi="Times New Roman" w:cs="Times New Roman" w:eastAsia="Times New Roman" w:hint="default"/>
        </w:rPr>
        <w:t>Aerohive</w:t>
      </w:r>
      <w:r>
        <w:rPr>
          <w:rFonts w:ascii="Times New Roman" w:hAnsi="Times New Roman" w:cs="Times New Roman" w:eastAsia="Times New Roman" w:hint="default"/>
          <w:w w:val="100"/>
        </w:rPr>
        <w:t> </w:t>
      </w:r>
      <w:r>
        <w:rPr>
          <w:rFonts w:ascii="Times New Roman" w:hAnsi="Times New Roman" w:cs="Times New Roman" w:eastAsia="Times New Roman" w:hint="default"/>
          <w:spacing w:val="-2"/>
        </w:rPr>
        <w:t>Network</w:t>
      </w:r>
      <w:r>
        <w:rPr>
          <w:spacing w:val="-2"/>
        </w:rPr>
        <w:t>中国区运营总监</w:t>
      </w:r>
      <w:r>
        <w:rPr>
          <w:rFonts w:ascii="Times New Roman" w:hAnsi="Times New Roman" w:cs="Times New Roman" w:eastAsia="Times New Roman" w:hint="default"/>
          <w:spacing w:val="-2"/>
        </w:rPr>
        <w:t>/</w:t>
      </w:r>
      <w:r>
        <w:rPr>
          <w:spacing w:val="-2"/>
        </w:rPr>
        <w:t>项目经理；</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月，任公司硬件研制中心负责人。现任公司副总</w:t>
      </w:r>
      <w:r>
        <w:rPr>
          <w:spacing w:val="-9"/>
        </w:rPr>
        <w:t> </w:t>
      </w:r>
      <w:r>
        <w:rPr>
          <w:spacing w:val="-9"/>
        </w:rPr>
      </w:r>
      <w:r>
        <w:rPr/>
        <w:t>经理。</w:t>
      </w:r>
    </w:p>
    <w:p>
      <w:pPr>
        <w:pStyle w:val="BodyText"/>
        <w:spacing w:line="386" w:lineRule="auto" w:before="65"/>
        <w:ind w:left="252" w:right="0" w:firstLine="420"/>
        <w:jc w:val="left"/>
      </w:pPr>
      <w:r>
        <w:rPr>
          <w:spacing w:val="-2"/>
        </w:rPr>
        <w:t>栾江霞，女，中共党员。</w:t>
      </w:r>
      <w:r>
        <w:rPr>
          <w:rFonts w:ascii="Times New Roman" w:hAnsi="Times New Roman" w:cs="Times New Roman" w:eastAsia="Times New Roman" w:hint="default"/>
          <w:spacing w:val="-2"/>
        </w:rPr>
        <w:t>1974</w:t>
      </w:r>
      <w:r>
        <w:rPr>
          <w:spacing w:val="-2"/>
        </w:rPr>
        <w:t>年出生，中国国籍、工程师、硕士研究生学历、毕业于浙江大学，无永</w:t>
      </w:r>
      <w:r>
        <w:rPr>
          <w:w w:val="100"/>
        </w:rPr>
        <w:t> </w:t>
      </w:r>
      <w:r>
        <w:rPr/>
        <w:t>久境外居留权。</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10</w:t>
      </w:r>
      <w:r>
        <w:rPr/>
        <w:t>月，历任厦门雅迅网络股份有限公司系统工程部经理、技管办主任</w:t>
      </w:r>
      <w:r>
        <w:rPr>
          <w:w w:val="100"/>
        </w:rPr>
        <w:t> </w:t>
      </w:r>
      <w:r>
        <w:rPr/>
        <w:t>和网络业务事业部总经理；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月，任公司拓展中心总监。现任公司副总经理。</w:t>
      </w:r>
    </w:p>
    <w:p>
      <w:pPr>
        <w:pStyle w:val="BodyText"/>
        <w:spacing w:line="386" w:lineRule="auto" w:before="35"/>
        <w:ind w:left="252" w:right="127" w:firstLine="420"/>
        <w:jc w:val="both"/>
      </w:pPr>
      <w:r>
        <w:rPr>
          <w:spacing w:val="-2"/>
        </w:rPr>
        <w:t>王斌，男，中共党员。</w:t>
      </w:r>
      <w:r>
        <w:rPr>
          <w:rFonts w:ascii="Times New Roman" w:hAnsi="Times New Roman" w:cs="Times New Roman" w:eastAsia="Times New Roman" w:hint="default"/>
          <w:spacing w:val="-2"/>
        </w:rPr>
        <w:t>1971</w:t>
      </w:r>
      <w:r>
        <w:rPr>
          <w:spacing w:val="-2"/>
        </w:rPr>
        <w:t>年生，中国国籍、研究生学历，于</w:t>
      </w:r>
      <w:r>
        <w:rPr>
          <w:rFonts w:ascii="Times New Roman" w:hAnsi="Times New Roman" w:cs="Times New Roman" w:eastAsia="Times New Roman" w:hint="default"/>
          <w:spacing w:val="-2"/>
        </w:rPr>
        <w:t>1998</w:t>
      </w:r>
      <w:r>
        <w:rPr>
          <w:spacing w:val="-2"/>
        </w:rPr>
        <w:t>年毕业于厦门大学会计学专业，无</w:t>
      </w:r>
      <w:r>
        <w:rPr>
          <w:w w:val="100"/>
        </w:rPr>
        <w:t> </w:t>
      </w:r>
      <w:r>
        <w:rPr>
          <w:spacing w:val="-2"/>
        </w:rPr>
        <w:t>永久境外居留权。</w:t>
      </w:r>
      <w:r>
        <w:rPr>
          <w:rFonts w:ascii="Times New Roman" w:hAnsi="Times New Roman" w:cs="Times New Roman" w:eastAsia="Times New Roman" w:hint="default"/>
          <w:spacing w:val="-2"/>
        </w:rPr>
        <w:t>1994</w:t>
      </w:r>
      <w:r>
        <w:rPr>
          <w:spacing w:val="-2"/>
        </w:rPr>
        <w:t>年至</w:t>
      </w:r>
      <w:r>
        <w:rPr>
          <w:rFonts w:ascii="Times New Roman" w:hAnsi="Times New Roman" w:cs="Times New Roman" w:eastAsia="Times New Roman" w:hint="default"/>
          <w:spacing w:val="-2"/>
        </w:rPr>
        <w:t>2000</w:t>
      </w:r>
      <w:r>
        <w:rPr>
          <w:spacing w:val="-2"/>
        </w:rPr>
        <w:t>年，历任厦门外运集团公司集团本部会计、船务公司管理者代表、集团计</w:t>
      </w:r>
      <w:r>
        <w:rPr>
          <w:spacing w:val="-41"/>
        </w:rPr>
        <w:t> </w:t>
      </w:r>
      <w:r>
        <w:rPr>
          <w:spacing w:val="-41"/>
        </w:rPr>
      </w:r>
      <w:r>
        <w:rPr>
          <w:spacing w:val="-2"/>
        </w:rPr>
        <w:t>财部经理兼外贸汽车材料有限公司监事；</w:t>
      </w:r>
      <w:r>
        <w:rPr>
          <w:rFonts w:ascii="Times New Roman" w:hAnsi="Times New Roman" w:cs="Times New Roman" w:eastAsia="Times New Roman" w:hint="default"/>
          <w:spacing w:val="-2"/>
        </w:rPr>
        <w:t>2000</w:t>
      </w:r>
      <w:r>
        <w:rPr>
          <w:spacing w:val="-2"/>
        </w:rPr>
        <w:t>年至</w:t>
      </w:r>
      <w:r>
        <w:rPr>
          <w:rFonts w:ascii="Times New Roman" w:hAnsi="Times New Roman" w:cs="Times New Roman" w:eastAsia="Times New Roman" w:hint="default"/>
          <w:spacing w:val="-2"/>
        </w:rPr>
        <w:t>2005</w:t>
      </w:r>
      <w:r>
        <w:rPr>
          <w:spacing w:val="-2"/>
        </w:rPr>
        <w:t>年，任厦门外运发展股份有限公司总经理；</w:t>
      </w:r>
      <w:r>
        <w:rPr>
          <w:rFonts w:ascii="Times New Roman" w:hAnsi="Times New Roman" w:cs="Times New Roman" w:eastAsia="Times New Roman" w:hint="default"/>
          <w:spacing w:val="-2"/>
        </w:rPr>
        <w:t>2006</w:t>
      </w:r>
      <w:r>
        <w:rPr>
          <w:spacing w:val="-2"/>
        </w:rPr>
        <w:t>年</w:t>
      </w:r>
      <w:r>
        <w:rPr>
          <w:spacing w:val="-34"/>
        </w:rPr>
        <w:t> </w:t>
      </w:r>
      <w:r>
        <w:rPr>
          <w:spacing w:val="-2"/>
        </w:rPr>
        <w:t>至</w:t>
      </w:r>
      <w:r>
        <w:rPr>
          <w:rFonts w:ascii="Times New Roman" w:hAnsi="Times New Roman" w:cs="Times New Roman" w:eastAsia="Times New Roman" w:hint="default"/>
          <w:spacing w:val="-2"/>
        </w:rPr>
        <w:t>2009</w:t>
      </w:r>
      <w:r>
        <w:rPr>
          <w:spacing w:val="-2"/>
        </w:rPr>
        <w:t>年，任厦门瑞盟环保科技有限公司总经理；</w:t>
      </w:r>
      <w:r>
        <w:rPr>
          <w:rFonts w:ascii="Times New Roman" w:hAnsi="Times New Roman" w:cs="Times New Roman" w:eastAsia="Times New Roman" w:hint="default"/>
          <w:spacing w:val="-2"/>
        </w:rPr>
        <w:t>2009</w:t>
      </w:r>
      <w:r>
        <w:rPr>
          <w:spacing w:val="-2"/>
        </w:rPr>
        <w:t>年至</w:t>
      </w:r>
      <w:r>
        <w:rPr>
          <w:rFonts w:ascii="Times New Roman" w:hAnsi="Times New Roman" w:cs="Times New Roman" w:eastAsia="Times New Roman" w:hint="default"/>
          <w:spacing w:val="-2"/>
        </w:rPr>
        <w:t>2010</w:t>
      </w:r>
      <w:r>
        <w:rPr>
          <w:spacing w:val="-2"/>
        </w:rPr>
        <w:t>年，担任多家公司管理顾问，提供财务、</w:t>
      </w:r>
      <w:r>
        <w:rPr>
          <w:spacing w:val="-12"/>
        </w:rPr>
        <w:t> </w:t>
      </w:r>
      <w:r>
        <w:rPr>
          <w:spacing w:val="-12"/>
        </w:rPr>
      </w:r>
      <w:r>
        <w:rPr/>
        <w:t>法律及内部管理咨询服务。</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月至今，任公司审计机构负责人。现任公司董事会秘书、副总经理。</w:t>
      </w:r>
    </w:p>
    <w:p>
      <w:pPr>
        <w:pStyle w:val="BodyText"/>
        <w:spacing w:line="386" w:lineRule="auto" w:before="35"/>
        <w:ind w:left="252" w:right="146" w:firstLine="420"/>
        <w:jc w:val="both"/>
      </w:pPr>
      <w:r>
        <w:rPr>
          <w:spacing w:val="-2"/>
        </w:rPr>
        <w:t>张乃军，男，</w:t>
      </w:r>
      <w:r>
        <w:rPr>
          <w:rFonts w:ascii="Times New Roman" w:hAnsi="Times New Roman" w:cs="Times New Roman" w:eastAsia="Times New Roman" w:hint="default"/>
          <w:spacing w:val="-2"/>
        </w:rPr>
        <w:t>1971</w:t>
      </w:r>
      <w:r>
        <w:rPr>
          <w:spacing w:val="-2"/>
        </w:rPr>
        <w:t>年出生，中国国籍，研究生，高级会计师，无永久境外居留权。</w:t>
      </w:r>
      <w:r>
        <w:rPr>
          <w:rFonts w:ascii="Times New Roman" w:hAnsi="Times New Roman" w:cs="Times New Roman" w:eastAsia="Times New Roman" w:hint="default"/>
          <w:spacing w:val="-2"/>
        </w:rPr>
        <w:t>1993</w:t>
      </w:r>
      <w:r>
        <w:rPr>
          <w:spacing w:val="-2"/>
        </w:rPr>
        <w:t>年至</w:t>
      </w:r>
      <w:r>
        <w:rPr>
          <w:rFonts w:ascii="Times New Roman" w:hAnsi="Times New Roman" w:cs="Times New Roman" w:eastAsia="Times New Roman" w:hint="default"/>
          <w:spacing w:val="-2"/>
        </w:rPr>
        <w:t>2000</w:t>
      </w:r>
      <w:r>
        <w:rPr>
          <w:spacing w:val="-2"/>
        </w:rPr>
        <w:t>年任</w:t>
      </w:r>
      <w:r>
        <w:rPr>
          <w:spacing w:val="-3"/>
          <w:w w:val="100"/>
        </w:rPr>
        <w:t> </w:t>
      </w:r>
      <w:r>
        <w:rPr>
          <w:spacing w:val="-2"/>
        </w:rPr>
        <w:t>厦门物资集团公司出纳、会计、主办会计；</w:t>
      </w:r>
      <w:r>
        <w:rPr>
          <w:rFonts w:ascii="Times New Roman" w:hAnsi="Times New Roman" w:cs="Times New Roman" w:eastAsia="Times New Roman" w:hint="default"/>
          <w:spacing w:val="-2"/>
        </w:rPr>
        <w:t>2000</w:t>
      </w:r>
      <w:r>
        <w:rPr>
          <w:spacing w:val="-2"/>
        </w:rPr>
        <w:t>年至</w:t>
      </w:r>
      <w:r>
        <w:rPr>
          <w:rFonts w:ascii="Times New Roman" w:hAnsi="Times New Roman" w:cs="Times New Roman" w:eastAsia="Times New Roman" w:hint="default"/>
          <w:spacing w:val="-2"/>
        </w:rPr>
        <w:t>2003</w:t>
      </w:r>
      <w:r>
        <w:rPr>
          <w:spacing w:val="-2"/>
        </w:rPr>
        <w:t>年任厦门外商投资企业物资公司财务经理；</w:t>
      </w:r>
      <w:r>
        <w:rPr>
          <w:rFonts w:ascii="Times New Roman" w:hAnsi="Times New Roman" w:cs="Times New Roman" w:eastAsia="Times New Roman" w:hint="default"/>
          <w:spacing w:val="-2"/>
        </w:rPr>
        <w:t>2003</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spacing w:val="-2"/>
        </w:rPr>
        <w:t>年至</w:t>
      </w:r>
      <w:r>
        <w:rPr>
          <w:rFonts w:ascii="Times New Roman" w:hAnsi="Times New Roman" w:cs="Times New Roman" w:eastAsia="Times New Roman" w:hint="default"/>
          <w:spacing w:val="-2"/>
        </w:rPr>
        <w:t>2005</w:t>
      </w:r>
      <w:r>
        <w:rPr>
          <w:spacing w:val="-2"/>
        </w:rPr>
        <w:t>年任厦门银池资产管理有限公司财务经理；</w:t>
      </w:r>
      <w:r>
        <w:rPr>
          <w:rFonts w:ascii="Times New Roman" w:hAnsi="Times New Roman" w:cs="Times New Roman" w:eastAsia="Times New Roman" w:hint="default"/>
          <w:spacing w:val="-2"/>
        </w:rPr>
        <w:t>2005</w:t>
      </w:r>
      <w:r>
        <w:rPr>
          <w:spacing w:val="-2"/>
        </w:rPr>
        <w:t>年至</w:t>
      </w:r>
      <w:r>
        <w:rPr>
          <w:rFonts w:ascii="Times New Roman" w:hAnsi="Times New Roman" w:cs="Times New Roman" w:eastAsia="Times New Roman" w:hint="default"/>
          <w:spacing w:val="-2"/>
        </w:rPr>
        <w:t>2007</w:t>
      </w:r>
      <w:r>
        <w:rPr>
          <w:spacing w:val="-2"/>
        </w:rPr>
        <w:t>年任厦门新世基集团财务经理；</w:t>
      </w:r>
      <w:r>
        <w:rPr>
          <w:rFonts w:ascii="Times New Roman" w:hAnsi="Times New Roman" w:cs="Times New Roman" w:eastAsia="Times New Roman" w:hint="default"/>
          <w:spacing w:val="-2"/>
        </w:rPr>
        <w:t>2007</w:t>
      </w:r>
      <w:r>
        <w:rPr>
          <w:spacing w:val="-2"/>
        </w:rPr>
        <w:t>年</w:t>
      </w:r>
      <w:r>
        <w:rPr>
          <w:spacing w:val="-26"/>
        </w:rPr>
        <w:t> </w:t>
      </w:r>
      <w:r>
        <w:rPr/>
        <w:t>至今，历任公司财务副总监、财务总监。现任公司财务总监。</w:t>
      </w:r>
    </w:p>
    <w:p>
      <w:pPr>
        <w:spacing w:before="49"/>
        <w:ind w:left="252"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40" w:lineRule="auto" w:before="115"/>
        <w:ind w:left="252" w:right="8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宋体" w:hAnsi="宋体" w:cs="宋体" w:eastAsia="宋体" w:hint="default"/>
          <w:spacing w:val="2"/>
          <w:sz w:val="18"/>
          <w:szCs w:val="18"/>
        </w:rPr>
        <w:t> </w:t>
      </w:r>
      <w:r>
        <w:rPr>
          <w:rFonts w:ascii="宋体" w:hAnsi="宋体" w:cs="宋体" w:eastAsia="宋体" w:hint="default"/>
          <w:sz w:val="18"/>
          <w:szCs w:val="18"/>
        </w:rPr>
        <w:t>不适用</w:t>
      </w:r>
      <w:r>
        <w:rPr>
          <w:rFonts w:ascii="宋体" w:hAnsi="宋体" w:cs="宋体" w:eastAsia="宋体" w:hint="default"/>
          <w:w w:val="99"/>
          <w:sz w:val="18"/>
          <w:szCs w:val="18"/>
        </w:rPr>
        <w:t> </w:t>
      </w:r>
      <w:r>
        <w:rPr>
          <w:rFonts w:ascii="宋体" w:hAnsi="宋体" w:cs="宋体" w:eastAsia="宋体" w:hint="default"/>
          <w:sz w:val="18"/>
          <w:szCs w:val="18"/>
        </w:rPr>
        <w:t>在其他单位任职情况</w:t>
      </w:r>
    </w:p>
    <w:p>
      <w:pPr>
        <w:spacing w:before="41"/>
        <w:ind w:left="2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133"/>
        <w:gridCol w:w="2696"/>
        <w:gridCol w:w="2410"/>
        <w:gridCol w:w="1274"/>
        <w:gridCol w:w="853"/>
        <w:gridCol w:w="1447"/>
      </w:tblGrid>
      <w:tr>
        <w:trPr>
          <w:trHeight w:val="715"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3" w:right="108" w:hanging="361"/>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在其他单位担任的职务</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0" w:right="6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0" w:right="86"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1" w:hRule="exact"/>
        </w:trPr>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293" w:right="0"/>
              <w:jc w:val="left"/>
              <w:rPr>
                <w:rFonts w:ascii="宋体" w:hAnsi="宋体" w:cs="宋体" w:eastAsia="宋体" w:hint="default"/>
                <w:sz w:val="18"/>
                <w:szCs w:val="18"/>
              </w:rPr>
            </w:pPr>
            <w:r>
              <w:rPr>
                <w:rFonts w:ascii="宋体" w:hAnsi="宋体" w:cs="宋体" w:eastAsia="宋体" w:hint="default"/>
                <w:sz w:val="18"/>
                <w:szCs w:val="18"/>
              </w:rPr>
              <w:t>刘祥南</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四三九九网络股份有限公司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133" w:type="dxa"/>
            <w:vMerge/>
            <w:tcBorders>
              <w:left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981" w:right="82" w:hanging="900"/>
              <w:jc w:val="left"/>
              <w:rPr>
                <w:rFonts w:ascii="宋体" w:hAnsi="宋体" w:cs="宋体" w:eastAsia="宋体" w:hint="default"/>
                <w:sz w:val="18"/>
                <w:szCs w:val="18"/>
              </w:rPr>
            </w:pPr>
            <w:r>
              <w:rPr>
                <w:rFonts w:ascii="宋体" w:hAnsi="宋体" w:cs="宋体" w:eastAsia="宋体" w:hint="default"/>
                <w:sz w:val="18"/>
                <w:szCs w:val="18"/>
              </w:rPr>
              <w:t>厦门市美亚柏科信息安全研究所 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33" w:type="dxa"/>
            <w:vMerge/>
            <w:tcBorders>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杭州创聚科技有限公司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3"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陈汉文</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厦门大学管理学院</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博士生导师</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133" w:type="dxa"/>
            <w:vMerge/>
            <w:tcBorders>
              <w:left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兴业证券股份有限公司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133" w:type="dxa"/>
            <w:vMerge/>
            <w:tcBorders>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厦门国贸集团股份有限公司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3" w:right="0"/>
              <w:jc w:val="left"/>
              <w:rPr>
                <w:rFonts w:ascii="宋体" w:hAnsi="宋体" w:cs="宋体" w:eastAsia="宋体" w:hint="default"/>
                <w:sz w:val="18"/>
                <w:szCs w:val="18"/>
              </w:rPr>
            </w:pPr>
            <w:r>
              <w:rPr>
                <w:rFonts w:ascii="宋体" w:hAnsi="宋体" w:cs="宋体" w:eastAsia="宋体" w:hint="default"/>
                <w:sz w:val="18"/>
                <w:szCs w:val="18"/>
              </w:rPr>
              <w:t>郭东辉</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厦门大学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主任</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1994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陈少华</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厦门大学管理学院</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教授、博导</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1983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133" w:type="dxa"/>
            <w:vMerge/>
            <w:tcBorders>
              <w:left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厦门三五互联科技股份有限公司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133" w:type="dxa"/>
            <w:vMerge/>
            <w:tcBorders>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福建纳川管材科技股份有限公司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877" w:footer="1227" w:top="1100" w:bottom="1420" w:left="880" w:right="980"/>
        </w:sectPr>
      </w:pPr>
    </w:p>
    <w:p>
      <w:pPr>
        <w:spacing w:line="240" w:lineRule="auto" w:before="8"/>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1133"/>
        <w:gridCol w:w="2696"/>
        <w:gridCol w:w="2410"/>
        <w:gridCol w:w="1274"/>
        <w:gridCol w:w="853"/>
        <w:gridCol w:w="1447"/>
      </w:tblGrid>
      <w:tr>
        <w:trPr>
          <w:trHeight w:val="401"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李国林</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美亚长城传媒（北京）有限公司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35"/>
              <w:jc w:val="righ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吴顺祥</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厦门大学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111" w:right="27" w:hanging="1080"/>
              <w:jc w:val="left"/>
              <w:rPr>
                <w:rFonts w:ascii="宋体" w:hAnsi="宋体" w:cs="宋体" w:eastAsia="宋体" w:hint="default"/>
                <w:sz w:val="18"/>
                <w:szCs w:val="18"/>
              </w:rPr>
            </w:pPr>
            <w:r>
              <w:rPr>
                <w:rFonts w:ascii="宋体" w:hAnsi="宋体" w:cs="宋体" w:eastAsia="宋体" w:hint="default"/>
                <w:sz w:val="18"/>
                <w:szCs w:val="18"/>
              </w:rPr>
              <w:t>模式识别与智能系统研究所所 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5"/>
              <w:jc w:val="right"/>
              <w:rPr>
                <w:rFonts w:ascii="宋体" w:hAnsi="宋体" w:cs="宋体" w:eastAsia="宋体" w:hint="default"/>
                <w:sz w:val="18"/>
                <w:szCs w:val="18"/>
              </w:rPr>
            </w:pPr>
            <w:r>
              <w:rPr>
                <w:rFonts w:ascii="Times New Roman" w:hAnsi="Times New Roman" w:cs="Times New Roman" w:eastAsia="Times New Roman" w:hint="default"/>
                <w:sz w:val="18"/>
                <w:szCs w:val="18"/>
              </w:rPr>
              <w:t>1991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高龙腾</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厦门市极聚网络科技有限公司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CEO</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38"/>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申强</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厦门市巨龙信息科技有限公司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5"/>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33" w:type="dxa"/>
            <w:vMerge/>
            <w:tcBorders>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杭州创聚科技有限公司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35"/>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吴世雄</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杭州攀克网络技术有限公司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5"/>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33" w:type="dxa"/>
            <w:vMerge/>
            <w:tcBorders>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厦门美亚中敏电子科技有限公司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35"/>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滕达</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厦门美亚中敏电子科技有限公司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5"/>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left="252" w:right="0"/>
        <w:jc w:val="left"/>
        <w:rPr>
          <w:b w:val="0"/>
          <w:bCs w:val="0"/>
        </w:rPr>
      </w:pPr>
      <w:r>
        <w:rPr/>
        <w:t>三、董事、监事、高级管理人员报酬情况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1" w:type="dxa"/>
        <w:tblLayout w:type="fixed"/>
        <w:tblCellMar>
          <w:top w:w="0" w:type="dxa"/>
          <w:left w:w="0" w:type="dxa"/>
          <w:bottom w:w="0" w:type="dxa"/>
          <w:right w:w="0" w:type="dxa"/>
        </w:tblCellMar>
        <w:tblLook w:val="01E0"/>
      </w:tblPr>
      <w:tblGrid>
        <w:gridCol w:w="2234"/>
        <w:gridCol w:w="7622"/>
      </w:tblGrid>
      <w:tr>
        <w:trPr>
          <w:trHeight w:val="1730" w:hRule="exact"/>
        </w:trPr>
        <w:tc>
          <w:tcPr>
            <w:tcW w:w="22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4"/>
                <w:szCs w:val="24"/>
              </w:rPr>
            </w:pPr>
          </w:p>
          <w:p>
            <w:pPr>
              <w:pStyle w:val="TableParagraph"/>
              <w:spacing w:line="314" w:lineRule="auto"/>
              <w:ind w:left="102" w:right="100"/>
              <w:jc w:val="left"/>
              <w:rPr>
                <w:rFonts w:ascii="宋体" w:hAnsi="宋体" w:cs="宋体" w:eastAsia="宋体" w:hint="default"/>
                <w:sz w:val="18"/>
                <w:szCs w:val="18"/>
              </w:rPr>
            </w:pPr>
            <w:r>
              <w:rPr>
                <w:rFonts w:ascii="宋体" w:hAnsi="宋体" w:cs="宋体" w:eastAsia="宋体" w:hint="default"/>
                <w:spacing w:val="3"/>
                <w:sz w:val="18"/>
                <w:szCs w:val="18"/>
              </w:rPr>
              <w:t>董事、监事、高级管理人</w:t>
            </w:r>
            <w:r>
              <w:rPr>
                <w:rFonts w:ascii="宋体" w:hAnsi="宋体" w:cs="宋体" w:eastAsia="宋体" w:hint="default"/>
                <w:sz w:val="18"/>
                <w:szCs w:val="18"/>
              </w:rPr>
              <w:t> 员报酬的决策程序</w:t>
            </w:r>
          </w:p>
        </w:tc>
        <w:tc>
          <w:tcPr>
            <w:tcW w:w="76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24"/>
              <w:jc w:val="left"/>
              <w:rPr>
                <w:rFonts w:ascii="宋体" w:hAnsi="宋体" w:cs="宋体" w:eastAsia="宋体" w:hint="default"/>
                <w:sz w:val="18"/>
                <w:szCs w:val="18"/>
              </w:rPr>
            </w:pPr>
            <w:r>
              <w:rPr>
                <w:rFonts w:ascii="宋体" w:hAnsi="宋体" w:cs="宋体" w:eastAsia="宋体" w:hint="default"/>
                <w:sz w:val="18"/>
                <w:szCs w:val="18"/>
              </w:rPr>
              <w:t>公司独立董事、外部董事和非职工监事依据公司《董事、监事津贴制度》领取津贴，津贴额度 由股东大会审批决定；</w:t>
            </w:r>
          </w:p>
          <w:p>
            <w:pPr>
              <w:pStyle w:val="TableParagraph"/>
              <w:spacing w:line="338" w:lineRule="auto" w:before="57"/>
              <w:ind w:left="105" w:right="124"/>
              <w:jc w:val="left"/>
              <w:rPr>
                <w:rFonts w:ascii="宋体" w:hAnsi="宋体" w:cs="宋体" w:eastAsia="宋体" w:hint="default"/>
                <w:sz w:val="18"/>
                <w:szCs w:val="18"/>
              </w:rPr>
            </w:pPr>
            <w:r>
              <w:rPr>
                <w:rFonts w:ascii="宋体" w:hAnsi="宋体" w:cs="宋体" w:eastAsia="宋体" w:hint="default"/>
                <w:sz w:val="18"/>
                <w:szCs w:val="18"/>
              </w:rPr>
              <w:t>公司内部董事和职工监事依据公司《董事、监事薪酬管理制度》领取薪酬，上述制度由股东大 会审批决定； 公司高级管理人员依据公司《高管薪酬管理制度》领取薪酬，该制度由董事会审批决定；</w:t>
            </w:r>
          </w:p>
        </w:tc>
      </w:tr>
      <w:tr>
        <w:trPr>
          <w:trHeight w:val="1066" w:hRule="exact"/>
        </w:trPr>
        <w:tc>
          <w:tcPr>
            <w:tcW w:w="22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316" w:lineRule="auto"/>
              <w:ind w:left="102" w:right="100"/>
              <w:jc w:val="left"/>
              <w:rPr>
                <w:rFonts w:ascii="宋体" w:hAnsi="宋体" w:cs="宋体" w:eastAsia="宋体" w:hint="default"/>
                <w:sz w:val="18"/>
                <w:szCs w:val="18"/>
              </w:rPr>
            </w:pPr>
            <w:r>
              <w:rPr>
                <w:rFonts w:ascii="宋体" w:hAnsi="宋体" w:cs="宋体" w:eastAsia="宋体" w:hint="default"/>
                <w:spacing w:val="3"/>
                <w:sz w:val="18"/>
                <w:szCs w:val="18"/>
              </w:rPr>
              <w:t>董事、监事、高级管理人</w:t>
            </w:r>
            <w:r>
              <w:rPr>
                <w:rFonts w:ascii="宋体" w:hAnsi="宋体" w:cs="宋体" w:eastAsia="宋体" w:hint="default"/>
                <w:sz w:val="18"/>
                <w:szCs w:val="18"/>
              </w:rPr>
              <w:t> 员报酬确定依据</w:t>
            </w:r>
          </w:p>
        </w:tc>
        <w:tc>
          <w:tcPr>
            <w:tcW w:w="762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105" w:right="11"/>
              <w:jc w:val="left"/>
              <w:rPr>
                <w:rFonts w:ascii="宋体" w:hAnsi="宋体" w:cs="宋体" w:eastAsia="宋体" w:hint="default"/>
                <w:sz w:val="18"/>
                <w:szCs w:val="18"/>
              </w:rPr>
            </w:pPr>
            <w:r>
              <w:rPr>
                <w:rFonts w:ascii="宋体" w:hAnsi="宋体" w:cs="宋体" w:eastAsia="宋体" w:hint="default"/>
                <w:sz w:val="18"/>
                <w:szCs w:val="18"/>
              </w:rPr>
              <w:t>司独立董事、外部董事和非职工监事领取津贴额度由股东大会审批决定； 公司内部董事、职工监事和高级管理人员薪酬包含基本薪酬和绩效薪酬两部分，基本薪酬依据 </w:t>
            </w:r>
            <w:r>
              <w:rPr>
                <w:rFonts w:ascii="宋体" w:hAnsi="宋体" w:cs="宋体" w:eastAsia="宋体" w:hint="default"/>
                <w:spacing w:val="-2"/>
                <w:sz w:val="18"/>
                <w:szCs w:val="18"/>
              </w:rPr>
              <w:t>岗位级别按月发放，绩效薪酬依据年度目标完成情况由董事会薪酬与考核委员会进行考核评定；</w:t>
            </w:r>
          </w:p>
        </w:tc>
      </w:tr>
      <w:tr>
        <w:trPr>
          <w:trHeight w:val="713" w:hRule="exact"/>
        </w:trPr>
        <w:tc>
          <w:tcPr>
            <w:tcW w:w="22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102" w:right="100"/>
              <w:jc w:val="left"/>
              <w:rPr>
                <w:rFonts w:ascii="宋体" w:hAnsi="宋体" w:cs="宋体" w:eastAsia="宋体" w:hint="default"/>
                <w:sz w:val="18"/>
                <w:szCs w:val="18"/>
              </w:rPr>
            </w:pPr>
            <w:r>
              <w:rPr>
                <w:rFonts w:ascii="宋体" w:hAnsi="宋体" w:cs="宋体" w:eastAsia="宋体" w:hint="default"/>
                <w:spacing w:val="3"/>
                <w:sz w:val="18"/>
                <w:szCs w:val="18"/>
              </w:rPr>
              <w:t>董事、监事和高级管理人</w:t>
            </w:r>
            <w:r>
              <w:rPr>
                <w:rFonts w:ascii="宋体" w:hAnsi="宋体" w:cs="宋体" w:eastAsia="宋体" w:hint="default"/>
                <w:sz w:val="18"/>
                <w:szCs w:val="18"/>
              </w:rPr>
              <w:t> 员报酬的实际支付情况</w:t>
            </w:r>
          </w:p>
        </w:tc>
        <w:tc>
          <w:tcPr>
            <w:tcW w:w="7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公司现有董事、监事、高级管理人员共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年度实际支付</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527 </w:t>
            </w:r>
            <w:r>
              <w:rPr>
                <w:rFonts w:ascii="宋体" w:hAnsi="宋体" w:cs="宋体" w:eastAsia="宋体" w:hint="default"/>
                <w:sz w:val="18"/>
                <w:szCs w:val="18"/>
              </w:rPr>
              <w:t>万元。</w:t>
            </w:r>
          </w:p>
        </w:tc>
      </w:tr>
    </w:tbl>
    <w:p>
      <w:pPr>
        <w:spacing w:before="49"/>
        <w:ind w:left="252" w:right="0" w:firstLine="0"/>
        <w:jc w:val="left"/>
        <w:rPr>
          <w:rFonts w:ascii="宋体" w:hAnsi="宋体" w:cs="宋体" w:eastAsia="宋体" w:hint="default"/>
          <w:sz w:val="18"/>
          <w:szCs w:val="18"/>
        </w:rPr>
      </w:pPr>
      <w:r>
        <w:rPr/>
        <w:pict>
          <v:shape style="position:absolute;margin-left:349.873016pt;margin-top:55.321712pt;width:109.5pt;height:17.650pt;mso-position-horizontal-relative:page;mso-position-vertical-relative:paragraph;z-index:-803920"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（税前）</w:t>
                  </w:r>
                </w:p>
              </w:txbxContent>
            </v:textbox>
            <w10:wrap type="none"/>
          </v:shape>
        </w:pict>
      </w:r>
      <w:r>
        <w:rPr>
          <w:rFonts w:ascii="宋体" w:hAnsi="宋体" w:cs="宋体" w:eastAsia="宋体" w:hint="default"/>
          <w:sz w:val="18"/>
          <w:szCs w:val="18"/>
        </w:rPr>
        <w:t>公司报告期内董事、监事和高级管理人员报酬情况</w:t>
      </w:r>
    </w:p>
    <w:p>
      <w:pPr>
        <w:spacing w:line="240" w:lineRule="auto" w:before="4"/>
        <w:rPr>
          <w:rFonts w:ascii="宋体" w:hAnsi="宋体" w:cs="宋体" w:eastAsia="宋体" w:hint="default"/>
          <w:sz w:val="8"/>
          <w:szCs w:val="8"/>
        </w:rPr>
      </w:pPr>
    </w:p>
    <w:tbl>
      <w:tblPr>
        <w:tblW w:w="0" w:type="auto"/>
        <w:jc w:val="left"/>
        <w:tblInd w:w="247" w:type="dxa"/>
        <w:tblLayout w:type="fixed"/>
        <w:tblCellMar>
          <w:top w:w="0" w:type="dxa"/>
          <w:left w:w="0" w:type="dxa"/>
          <w:bottom w:w="0" w:type="dxa"/>
          <w:right w:w="0" w:type="dxa"/>
        </w:tblCellMar>
        <w:tblLook w:val="01E0"/>
      </w:tblPr>
      <w:tblGrid>
        <w:gridCol w:w="1198"/>
        <w:gridCol w:w="1354"/>
        <w:gridCol w:w="711"/>
        <w:gridCol w:w="708"/>
        <w:gridCol w:w="1275"/>
        <w:gridCol w:w="1277"/>
        <w:gridCol w:w="1561"/>
        <w:gridCol w:w="1488"/>
      </w:tblGrid>
      <w:tr>
        <w:trPr>
          <w:trHeight w:val="1066"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71"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70"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7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5" w:right="89"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5" w:right="53" w:hanging="360"/>
              <w:jc w:val="left"/>
              <w:rPr>
                <w:rFonts w:ascii="宋体" w:hAnsi="宋体" w:cs="宋体" w:eastAsia="宋体" w:hint="default"/>
                <w:sz w:val="18"/>
                <w:szCs w:val="18"/>
              </w:rPr>
            </w:pPr>
            <w:r>
              <w:rPr>
                <w:rFonts w:ascii="宋体" w:hAnsi="宋体" w:cs="宋体" w:eastAsia="宋体" w:hint="default"/>
                <w:sz w:val="18"/>
                <w:szCs w:val="18"/>
              </w:rPr>
              <w:t>从股东单位获得的 报酬总额</w:t>
            </w:r>
          </w:p>
          <w:p>
            <w:pPr>
              <w:pStyle w:val="TableParagraph"/>
              <w:spacing w:line="240" w:lineRule="auto" w:before="57"/>
              <w:ind w:left="98"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（税前）</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0" w:right="107" w:hanging="360"/>
              <w:jc w:val="left"/>
              <w:rPr>
                <w:rFonts w:ascii="宋体" w:hAnsi="宋体" w:cs="宋体" w:eastAsia="宋体" w:hint="default"/>
                <w:sz w:val="18"/>
                <w:szCs w:val="18"/>
              </w:rPr>
            </w:pPr>
            <w:r>
              <w:rPr>
                <w:rFonts w:ascii="宋体" w:hAnsi="宋体" w:cs="宋体" w:eastAsia="宋体" w:hint="default"/>
                <w:sz w:val="18"/>
                <w:szCs w:val="18"/>
              </w:rPr>
              <w:t>报告期末实际所 得报酬</w:t>
            </w:r>
          </w:p>
          <w:p>
            <w:pPr>
              <w:pStyle w:val="TableParagraph"/>
              <w:spacing w:line="240" w:lineRule="auto" w:before="57"/>
              <w:ind w:left="64"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（税前）</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刘祥南</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郭永芳</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李国林</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r>
      <w:tr>
        <w:trPr>
          <w:trHeight w:val="40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滕达</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26</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郭东辉</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陈少华</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陈汉文</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仲丽华</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35</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吴顺祥</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高龙腾</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申强</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880" w:right="90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198"/>
        <w:gridCol w:w="1354"/>
        <w:gridCol w:w="711"/>
        <w:gridCol w:w="708"/>
        <w:gridCol w:w="1275"/>
        <w:gridCol w:w="1277"/>
        <w:gridCol w:w="1561"/>
        <w:gridCol w:w="1488"/>
      </w:tblGrid>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丛艳芬</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99"/>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高峰</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9"/>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39</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张雪峰</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99"/>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黄基鹏</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9"/>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27</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吴鸿伟</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99"/>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9"/>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36</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张乃军</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99"/>
              <w:jc w:val="right"/>
              <w:rPr>
                <w:rFonts w:ascii="宋体" w:hAnsi="宋体" w:cs="宋体" w:eastAsia="宋体" w:hint="default"/>
                <w:sz w:val="18"/>
                <w:szCs w:val="18"/>
              </w:rPr>
            </w:pPr>
            <w:r>
              <w:rPr>
                <w:rFonts w:ascii="宋体" w:hAnsi="宋体" w:cs="宋体" w:eastAsia="宋体" w:hint="default"/>
                <w:sz w:val="18"/>
                <w:szCs w:val="18"/>
              </w:rPr>
              <w:t>财务总监</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吴世雄</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9"/>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41</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栾江霞</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99"/>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w:t>
            </w:r>
          </w:p>
        </w:tc>
      </w:tr>
      <w:tr>
        <w:trPr>
          <w:trHeight w:val="71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王斌</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董事会秘书、副 总经理</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611"/>
              <w:jc w:val="right"/>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60"/>
        <w:gridCol w:w="1166"/>
        <w:gridCol w:w="747"/>
        <w:gridCol w:w="955"/>
        <w:gridCol w:w="958"/>
        <w:gridCol w:w="958"/>
        <w:gridCol w:w="955"/>
        <w:gridCol w:w="958"/>
        <w:gridCol w:w="958"/>
        <w:gridCol w:w="958"/>
      </w:tblGrid>
      <w:tr>
        <w:trPr>
          <w:trHeight w:val="1337"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8"/>
              <w:jc w:val="both"/>
              <w:rPr>
                <w:rFonts w:ascii="宋体" w:hAnsi="宋体" w:cs="宋体" w:eastAsia="宋体" w:hint="default"/>
                <w:sz w:val="18"/>
                <w:szCs w:val="18"/>
              </w:rPr>
            </w:pPr>
            <w:r>
              <w:rPr>
                <w:rFonts w:ascii="宋体" w:hAnsi="宋体" w:cs="宋体" w:eastAsia="宋体" w:hint="default"/>
                <w:sz w:val="18"/>
                <w:szCs w:val="18"/>
              </w:rPr>
              <w:t>报告期 内可行 权股数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报告期内已 行权股数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3" w:right="21" w:hanging="2"/>
              <w:jc w:val="center"/>
              <w:rPr>
                <w:rFonts w:ascii="宋体" w:hAnsi="宋体" w:cs="宋体" w:eastAsia="宋体" w:hint="default"/>
                <w:sz w:val="18"/>
                <w:szCs w:val="18"/>
              </w:rPr>
            </w:pPr>
            <w:r>
              <w:rPr>
                <w:rFonts w:ascii="宋体" w:hAnsi="宋体" w:cs="宋体" w:eastAsia="宋体" w:hint="default"/>
                <w:sz w:val="18"/>
                <w:szCs w:val="18"/>
              </w:rPr>
              <w:t>报告期内已 行权股数行 </w:t>
            </w:r>
            <w:r>
              <w:rPr>
                <w:rFonts w:ascii="宋体" w:hAnsi="宋体" w:cs="宋体" w:eastAsia="宋体" w:hint="default"/>
                <w:spacing w:val="-9"/>
                <w:sz w:val="18"/>
                <w:szCs w:val="18"/>
              </w:rPr>
              <w:t>权价格（元</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3" w:right="-27"/>
              <w:jc w:val="left"/>
              <w:rPr>
                <w:rFonts w:ascii="宋体" w:hAnsi="宋体" w:cs="宋体" w:eastAsia="宋体" w:hint="default"/>
                <w:sz w:val="18"/>
                <w:szCs w:val="18"/>
              </w:rPr>
            </w:pPr>
            <w:r>
              <w:rPr>
                <w:rFonts w:ascii="宋体" w:hAnsi="宋体" w:cs="宋体" w:eastAsia="宋体" w:hint="default"/>
                <w:sz w:val="18"/>
                <w:szCs w:val="18"/>
              </w:rPr>
              <w:t>报告期末市 价（元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
              <w:jc w:val="center"/>
              <w:rPr>
                <w:rFonts w:ascii="宋体" w:hAnsi="宋体" w:cs="宋体" w:eastAsia="宋体" w:hint="default"/>
                <w:sz w:val="18"/>
                <w:szCs w:val="18"/>
              </w:rPr>
            </w:pPr>
            <w:r>
              <w:rPr>
                <w:rFonts w:ascii="宋体" w:hAnsi="宋体" w:cs="宋体" w:eastAsia="宋体" w:hint="default"/>
                <w:sz w:val="18"/>
                <w:szCs w:val="18"/>
              </w:rPr>
              <w:t>期初持有限 制性股票数 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23"/>
              <w:jc w:val="left"/>
              <w:rPr>
                <w:rFonts w:ascii="宋体" w:hAnsi="宋体" w:cs="宋体" w:eastAsia="宋体" w:hint="default"/>
                <w:sz w:val="18"/>
                <w:szCs w:val="18"/>
              </w:rPr>
            </w:pPr>
            <w:r>
              <w:rPr>
                <w:rFonts w:ascii="宋体" w:hAnsi="宋体" w:cs="宋体" w:eastAsia="宋体" w:hint="default"/>
                <w:sz w:val="18"/>
                <w:szCs w:val="18"/>
              </w:rPr>
              <w:t>限制性股票 的授予价格</w:t>
            </w:r>
          </w:p>
          <w:p>
            <w:pPr>
              <w:pStyle w:val="TableParagraph"/>
              <w:spacing w:line="240" w:lineRule="auto" w:before="20"/>
              <w:ind w:left="89"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期末持有限 制性股票数 量</w:t>
            </w:r>
          </w:p>
        </w:tc>
      </w:tr>
      <w:tr>
        <w:trPr>
          <w:trHeight w:val="40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申强</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常务副总经理</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w:t>
            </w:r>
          </w:p>
        </w:tc>
      </w:tr>
      <w:tr>
        <w:trPr>
          <w:trHeight w:val="40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丛艳芬</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80,000</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w:t>
            </w:r>
          </w:p>
        </w:tc>
      </w:tr>
      <w:tr>
        <w:trPr>
          <w:trHeight w:val="40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张雪峰</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w:t>
            </w:r>
          </w:p>
        </w:tc>
      </w:tr>
      <w:tr>
        <w:trPr>
          <w:trHeight w:val="40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吴鸿伟</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w:t>
            </w:r>
          </w:p>
        </w:tc>
      </w:tr>
      <w:tr>
        <w:trPr>
          <w:trHeight w:val="40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w:t>
            </w:r>
          </w:p>
        </w:tc>
      </w:tr>
      <w:tr>
        <w:trPr>
          <w:trHeight w:val="40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高峰</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w:t>
            </w:r>
          </w:p>
        </w:tc>
      </w:tr>
      <w:tr>
        <w:trPr>
          <w:trHeight w:val="40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黄基鹏</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w:t>
            </w:r>
          </w:p>
        </w:tc>
      </w:tr>
      <w:tr>
        <w:trPr>
          <w:trHeight w:val="40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吴世雄</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w:t>
            </w:r>
          </w:p>
        </w:tc>
      </w:tr>
      <w:tr>
        <w:trPr>
          <w:trHeight w:val="40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栾江霞</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w:t>
            </w:r>
          </w:p>
        </w:tc>
      </w:tr>
      <w:tr>
        <w:trPr>
          <w:trHeight w:val="40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张乃军</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w:t>
            </w:r>
          </w:p>
        </w:tc>
      </w:tr>
      <w:tr>
        <w:trPr>
          <w:trHeight w:val="71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王斌</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85"/>
              <w:jc w:val="left"/>
              <w:rPr>
                <w:rFonts w:ascii="宋体" w:hAnsi="宋体" w:cs="宋体" w:eastAsia="宋体" w:hint="default"/>
                <w:sz w:val="18"/>
                <w:szCs w:val="18"/>
              </w:rPr>
            </w:pPr>
            <w:r>
              <w:rPr>
                <w:rFonts w:ascii="宋体" w:hAnsi="宋体" w:cs="宋体" w:eastAsia="宋体" w:hint="default"/>
                <w:sz w:val="18"/>
                <w:szCs w:val="18"/>
              </w:rPr>
              <w:t>董秘</w:t>
            </w:r>
            <w:r>
              <w:rPr>
                <w:rFonts w:ascii="Times New Roman" w:hAnsi="Times New Roman" w:cs="Times New Roman" w:eastAsia="Times New Roman" w:hint="default"/>
                <w:sz w:val="18"/>
                <w:szCs w:val="18"/>
              </w:rPr>
              <w:t>,</w:t>
            </w:r>
            <w:r>
              <w:rPr>
                <w:rFonts w:ascii="宋体" w:hAnsi="宋体" w:cs="宋体" w:eastAsia="宋体" w:hint="default"/>
                <w:sz w:val="18"/>
                <w:szCs w:val="18"/>
              </w:rPr>
              <w:t>副总经 理</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w:t>
            </w:r>
          </w:p>
        </w:tc>
      </w:tr>
      <w:tr>
        <w:trPr>
          <w:trHeight w:val="401"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880,000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880,000</w:t>
            </w:r>
          </w:p>
        </w:tc>
      </w:tr>
    </w:tbl>
    <w:p>
      <w:pPr>
        <w:spacing w:line="309" w:lineRule="auto" w:before="49"/>
        <w:ind w:left="152" w:right="112" w:firstLine="0"/>
        <w:jc w:val="both"/>
        <w:rPr>
          <w:rFonts w:ascii="宋体" w:hAnsi="宋体" w:cs="宋体" w:eastAsia="宋体" w:hint="default"/>
          <w:sz w:val="18"/>
          <w:szCs w:val="18"/>
        </w:rPr>
      </w:pPr>
      <w:r>
        <w:rPr>
          <w:rFonts w:ascii="宋体" w:hAnsi="宋体" w:cs="宋体" w:eastAsia="宋体" w:hint="default"/>
          <w:sz w:val="18"/>
          <w:szCs w:val="18"/>
        </w:rPr>
        <w:t>报告期内，公司实施了限制性股票激励计划，于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日完成了首批激励对象共计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390.66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万股限制性股票的授予， </w:t>
      </w:r>
      <w:r>
        <w:rPr>
          <w:rFonts w:ascii="宋体" w:hAnsi="宋体" w:cs="宋体" w:eastAsia="宋体" w:hint="default"/>
          <w:spacing w:val="-2"/>
          <w:sz w:val="18"/>
          <w:szCs w:val="18"/>
        </w:rPr>
        <w:t>其中，公司高级管理人员申强、丛艳芬、高峰、张雪峰、黄基鹏、吴鸿伟、赵庸、吴世雄、栾江霞、王斌、张乃军分别获授</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限制性股票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万股，共计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88 </w:t>
      </w:r>
      <w:r>
        <w:rPr>
          <w:rFonts w:ascii="宋体" w:hAnsi="宋体" w:cs="宋体" w:eastAsia="宋体" w:hint="default"/>
          <w:sz w:val="18"/>
          <w:szCs w:val="18"/>
        </w:rPr>
        <w:t>万股。除此之外，公司限制性股票激励对象中未包括其他董事、监事。</w:t>
      </w:r>
    </w:p>
    <w:p>
      <w:pPr>
        <w:spacing w:after="0" w:line="309" w:lineRule="auto"/>
        <w:jc w:val="both"/>
        <w:rPr>
          <w:rFonts w:ascii="宋体" w:hAnsi="宋体" w:cs="宋体" w:eastAsia="宋体" w:hint="default"/>
          <w:sz w:val="18"/>
          <w:szCs w:val="18"/>
        </w:rPr>
        <w:sectPr>
          <w:pgSz w:w="11910" w:h="16840"/>
          <w:pgMar w:header="877" w:footer="1227" w:top="1100" w:bottom="142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0"/>
        <w:jc w:val="both"/>
        <w:rPr>
          <w:b w:val="0"/>
          <w:bCs w:val="0"/>
        </w:rPr>
      </w:pPr>
      <w:r>
        <w:rPr/>
        <w:t>四、公司董事、监事、高级管理人员变动情况</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left="573" w:right="99"/>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日，公司</w:t>
      </w:r>
      <w:r>
        <w:rPr>
          <w:rFonts w:ascii="Times New Roman" w:hAnsi="Times New Roman" w:cs="Times New Roman" w:eastAsia="Times New Roman" w:hint="default"/>
        </w:rPr>
        <w:t>2012</w:t>
      </w:r>
      <w:r>
        <w:rPr/>
        <w:t>年第三次临时股东大会审议通过了《关于公司董事会换届选举的议案》和</w:t>
      </w:r>
    </w:p>
    <w:p>
      <w:pPr>
        <w:pStyle w:val="BodyText"/>
        <w:spacing w:line="408" w:lineRule="auto" w:before="177"/>
        <w:ind w:left="152" w:right="206"/>
        <w:jc w:val="both"/>
      </w:pPr>
      <w:r>
        <w:rPr>
          <w:spacing w:val="-2"/>
        </w:rPr>
        <w:t>《关于公司监事会换届选举的议案》，选举出了公司第二届董事会、监事会成员，公司第二届董事会、监</w:t>
      </w:r>
      <w:r>
        <w:rPr>
          <w:spacing w:val="-43"/>
        </w:rPr>
        <w:t> </w:t>
      </w:r>
      <w:r>
        <w:rPr>
          <w:spacing w:val="-43"/>
        </w:rPr>
      </w:r>
      <w:r>
        <w:rPr>
          <w:spacing w:val="-2"/>
        </w:rPr>
        <w:t>事会成员均由第一届董事会、监事会成员继续担任，任期自公司股东大会审议通过之日起三年。详情请查</w:t>
      </w:r>
      <w:r>
        <w:rPr>
          <w:spacing w:val="-43"/>
        </w:rPr>
        <w:t> </w:t>
      </w:r>
      <w:r>
        <w:rPr>
          <w:spacing w:val="-43"/>
        </w:rPr>
      </w:r>
      <w:r>
        <w:rPr/>
        <w:t>阅公司发布在巨潮资讯网上的相关公告。</w:t>
      </w:r>
    </w:p>
    <w:p>
      <w:pPr>
        <w:pStyle w:val="BodyText"/>
        <w:spacing w:line="403" w:lineRule="auto" w:before="46"/>
        <w:ind w:left="152" w:right="99" w:firstLine="42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日，公司第二届董事会第一次会议审议通过了《关于聘任公司总经理的议案》和《关于</w:t>
      </w:r>
      <w:r>
        <w:rPr>
          <w:w w:val="100"/>
        </w:rPr>
        <w:t> </w:t>
      </w:r>
      <w:r>
        <w:rPr>
          <w:spacing w:val="-5"/>
        </w:rPr>
        <w:t>聘任公司高级管理人员的议案》，决定聘任滕达继续担任公司总经理，聘任申强、丛艳芬、高峰、张雪峰、</w:t>
      </w:r>
      <w:r>
        <w:rPr>
          <w:spacing w:val="-6"/>
        </w:rPr>
        <w:t> </w:t>
      </w:r>
      <w:r>
        <w:rPr>
          <w:spacing w:val="-6"/>
        </w:rPr>
      </w:r>
      <w:r>
        <w:rPr>
          <w:spacing w:val="-2"/>
        </w:rPr>
        <w:t>黄基鹏、吴鸿伟、赵庸、吴世雄、栾江霞、王斌继续担任公司副总经理，聘任张乃军继续担任公司财务总</w:t>
      </w:r>
      <w:r>
        <w:rPr>
          <w:spacing w:val="-42"/>
        </w:rPr>
        <w:t> </w:t>
      </w:r>
      <w:r>
        <w:rPr>
          <w:spacing w:val="-42"/>
        </w:rPr>
      </w:r>
      <w:r>
        <w:rPr>
          <w:spacing w:val="-2"/>
        </w:rPr>
        <w:t>监，聘任王斌继续担任公司董事会秘书，任期自本次会议通过之日起至本届董事会届满之日止。详情请查</w:t>
      </w:r>
      <w:r>
        <w:rPr>
          <w:spacing w:val="-43"/>
        </w:rPr>
        <w:t> </w:t>
      </w:r>
      <w:r>
        <w:rPr>
          <w:spacing w:val="-43"/>
        </w:rPr>
      </w:r>
      <w:r>
        <w:rPr/>
        <w:t>阅公司发布在巨潮资讯网上的相关公告。</w:t>
      </w:r>
    </w:p>
    <w:p>
      <w:pPr>
        <w:pStyle w:val="BodyText"/>
        <w:spacing w:line="240" w:lineRule="auto" w:before="50"/>
        <w:ind w:left="573" w:right="99"/>
        <w:jc w:val="left"/>
      </w:pPr>
      <w:r>
        <w:rPr/>
        <w:t>综上所述，报告期内，公司董事、监事、高级管理人员未发生变动。</w:t>
      </w:r>
    </w:p>
    <w:p>
      <w:pPr>
        <w:spacing w:line="240" w:lineRule="auto" w:before="11"/>
        <w:rPr>
          <w:rFonts w:ascii="宋体" w:hAnsi="宋体" w:cs="宋体" w:eastAsia="宋体" w:hint="default"/>
          <w:sz w:val="29"/>
          <w:szCs w:val="29"/>
        </w:rPr>
      </w:pPr>
    </w:p>
    <w:p>
      <w:pPr>
        <w:pStyle w:val="Heading2"/>
        <w:spacing w:line="240" w:lineRule="auto"/>
        <w:ind w:right="0"/>
        <w:jc w:val="both"/>
        <w:rPr>
          <w:b w:val="0"/>
          <w:bCs w:val="0"/>
        </w:rPr>
      </w:pPr>
      <w:r>
        <w:rPr/>
        <w:t>五、报告期核心技术团队或关键技术人员变动情况（非董事、监事、高级管理人员）</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573" w:right="99"/>
        <w:jc w:val="left"/>
      </w:pPr>
      <w:r>
        <w:rPr/>
        <w:t>报告期内，公司核心技术团队或关键人员（非董事、监事、高级管理人员）无重大变化。</w:t>
      </w:r>
    </w:p>
    <w:p>
      <w:pPr>
        <w:spacing w:line="240" w:lineRule="auto" w:before="11"/>
        <w:rPr>
          <w:rFonts w:ascii="宋体" w:hAnsi="宋体" w:cs="宋体" w:eastAsia="宋体" w:hint="default"/>
          <w:sz w:val="29"/>
          <w:szCs w:val="29"/>
        </w:rPr>
      </w:pPr>
    </w:p>
    <w:p>
      <w:pPr>
        <w:pStyle w:val="Heading2"/>
        <w:spacing w:line="240" w:lineRule="auto"/>
        <w:ind w:right="0"/>
        <w:jc w:val="both"/>
        <w:rPr>
          <w:b w:val="0"/>
          <w:bCs w:val="0"/>
        </w:rPr>
      </w:pPr>
      <w:r>
        <w:rPr/>
        <w:t>六、公司员工情况</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left="573" w:right="99"/>
        <w:jc w:val="left"/>
      </w:pPr>
      <w:r>
        <w:rPr/>
        <w:t>截至报告期末，公司共有员工</w:t>
      </w:r>
      <w:r>
        <w:rPr>
          <w:rFonts w:ascii="Times New Roman" w:hAnsi="Times New Roman" w:cs="Times New Roman" w:eastAsia="Times New Roman" w:hint="default"/>
        </w:rPr>
        <w:t>868</w:t>
      </w:r>
      <w:r>
        <w:rPr/>
        <w:t>人，没有需要承担费用的离退休人员。员工结构如下：</w:t>
      </w:r>
    </w:p>
    <w:p>
      <w:pPr>
        <w:pStyle w:val="BodyText"/>
        <w:spacing w:line="240" w:lineRule="auto" w:before="177"/>
        <w:ind w:left="573" w:right="99"/>
        <w:jc w:val="left"/>
      </w:pPr>
      <w:r>
        <w:rPr>
          <w:rFonts w:ascii="Times New Roman" w:hAnsi="Times New Roman" w:cs="Times New Roman" w:eastAsia="Times New Roman" w:hint="default"/>
        </w:rPr>
        <w:t>1</w:t>
      </w:r>
      <w:r>
        <w:rPr/>
        <w:t>）专业结构</w:t>
      </w:r>
    </w:p>
    <w:p>
      <w:pPr>
        <w:spacing w:line="240" w:lineRule="auto" w:before="8"/>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1"/>
        <w:gridCol w:w="2470"/>
        <w:gridCol w:w="2835"/>
      </w:tblGrid>
      <w:tr>
        <w:trPr>
          <w:trHeight w:val="401" w:hRule="exact"/>
        </w:trPr>
        <w:tc>
          <w:tcPr>
            <w:tcW w:w="30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人员类型</w:t>
            </w:r>
          </w:p>
        </w:tc>
        <w:tc>
          <w:tcPr>
            <w:tcW w:w="24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人数（人）</w:t>
            </w:r>
          </w:p>
        </w:tc>
        <w:tc>
          <w:tcPr>
            <w:tcW w:w="28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占员工总数的比例</w:t>
            </w:r>
          </w:p>
        </w:tc>
      </w:tr>
      <w:tr>
        <w:trPr>
          <w:trHeight w:val="40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研发及技术支持人员</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599</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69.01%</w:t>
            </w:r>
          </w:p>
        </w:tc>
      </w:tr>
      <w:tr>
        <w:trPr>
          <w:trHeight w:val="40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市场、营销人员</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139</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16.01%</w:t>
            </w:r>
          </w:p>
        </w:tc>
      </w:tr>
      <w:tr>
        <w:trPr>
          <w:trHeight w:val="40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行政人员</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72</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8.29%</w:t>
            </w:r>
          </w:p>
        </w:tc>
      </w:tr>
      <w:tr>
        <w:trPr>
          <w:trHeight w:val="40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13</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1.50%</w:t>
            </w:r>
          </w:p>
        </w:tc>
      </w:tr>
      <w:tr>
        <w:trPr>
          <w:trHeight w:val="40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管理人员</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45</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5.18%</w:t>
            </w:r>
          </w:p>
        </w:tc>
      </w:tr>
      <w:tr>
        <w:trPr>
          <w:trHeight w:val="40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868</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64"/>
        <w:ind w:left="573" w:right="99"/>
        <w:jc w:val="left"/>
      </w:pPr>
      <w:r>
        <w:rPr>
          <w:rFonts w:ascii="Times New Roman" w:hAnsi="Times New Roman" w:cs="Times New Roman" w:eastAsia="Times New Roman" w:hint="default"/>
        </w:rPr>
        <w:t>2</w:t>
      </w:r>
      <w:r>
        <w:rPr/>
        <w:t>）受教育程度分布</w:t>
      </w:r>
    </w:p>
    <w:p>
      <w:pPr>
        <w:spacing w:line="240" w:lineRule="auto" w:before="8"/>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1"/>
        <w:gridCol w:w="2470"/>
        <w:gridCol w:w="2835"/>
      </w:tblGrid>
      <w:tr>
        <w:trPr>
          <w:trHeight w:val="559" w:hRule="exact"/>
        </w:trPr>
        <w:tc>
          <w:tcPr>
            <w:tcW w:w="30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学历</w:t>
            </w:r>
          </w:p>
        </w:tc>
        <w:tc>
          <w:tcPr>
            <w:tcW w:w="24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人数（人）</w:t>
            </w:r>
          </w:p>
        </w:tc>
        <w:tc>
          <w:tcPr>
            <w:tcW w:w="28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占员工总数的比例</w:t>
            </w:r>
          </w:p>
        </w:tc>
      </w:tr>
      <w:tr>
        <w:trPr>
          <w:trHeight w:val="40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硕士及以上学历</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85</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9.79%</w:t>
            </w:r>
          </w:p>
        </w:tc>
      </w:tr>
      <w:tr>
        <w:trPr>
          <w:trHeight w:val="40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本科</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565</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65.09%</w:t>
            </w:r>
          </w:p>
        </w:tc>
      </w:tr>
      <w:tr>
        <w:trPr>
          <w:trHeight w:val="40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174</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20.05%</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227" w:top="1100" w:bottom="1420" w:left="980" w:right="92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061"/>
        <w:gridCol w:w="2470"/>
        <w:gridCol w:w="2835"/>
      </w:tblGrid>
      <w:tr>
        <w:trPr>
          <w:trHeight w:val="40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大专以下</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44</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5.07%</w:t>
            </w:r>
          </w:p>
        </w:tc>
      </w:tr>
      <w:tr>
        <w:trPr>
          <w:trHeight w:val="40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868</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64"/>
        <w:ind w:left="573" w:right="0"/>
        <w:jc w:val="left"/>
      </w:pPr>
      <w:r>
        <w:rPr>
          <w:rFonts w:ascii="Times New Roman" w:hAnsi="Times New Roman" w:cs="Times New Roman" w:eastAsia="Times New Roman" w:hint="default"/>
        </w:rPr>
        <w:t>3</w:t>
      </w:r>
      <w:r>
        <w:rPr/>
        <w:t>）年龄分布</w:t>
      </w:r>
    </w:p>
    <w:p>
      <w:pPr>
        <w:spacing w:line="240" w:lineRule="auto" w:before="8"/>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150"/>
        <w:gridCol w:w="2429"/>
        <w:gridCol w:w="2787"/>
      </w:tblGrid>
      <w:tr>
        <w:trPr>
          <w:trHeight w:val="559" w:hRule="exact"/>
        </w:trPr>
        <w:tc>
          <w:tcPr>
            <w:tcW w:w="31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年龄区间</w:t>
            </w:r>
          </w:p>
        </w:tc>
        <w:tc>
          <w:tcPr>
            <w:tcW w:w="24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人数（人）</w:t>
            </w:r>
          </w:p>
        </w:tc>
        <w:tc>
          <w:tcPr>
            <w:tcW w:w="27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占员工总数的比例</w:t>
            </w:r>
          </w:p>
        </w:tc>
      </w:tr>
      <w:tr>
        <w:trPr>
          <w:trHeight w:val="401"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岁以下</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667</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76.96%</w:t>
            </w:r>
          </w:p>
        </w:tc>
      </w:tr>
      <w:tr>
        <w:trPr>
          <w:trHeight w:val="403"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31-40</w:t>
            </w:r>
            <w:r>
              <w:rPr>
                <w:rFonts w:ascii="宋体" w:hAnsi="宋体" w:cs="宋体" w:eastAsia="宋体" w:hint="default"/>
                <w:sz w:val="18"/>
                <w:szCs w:val="18"/>
              </w:rPr>
              <w:t>岁</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170</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19.59%</w:t>
            </w:r>
          </w:p>
        </w:tc>
      </w:tr>
      <w:tr>
        <w:trPr>
          <w:trHeight w:val="401"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41</w:t>
            </w:r>
            <w:r>
              <w:rPr>
                <w:rFonts w:ascii="宋体" w:hAnsi="宋体" w:cs="宋体" w:eastAsia="宋体" w:hint="default"/>
                <w:sz w:val="18"/>
                <w:szCs w:val="18"/>
              </w:rPr>
              <w:t>岁以上</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30</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3.46%</w:t>
            </w:r>
          </w:p>
        </w:tc>
      </w:tr>
      <w:tr>
        <w:trPr>
          <w:trHeight w:val="403"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868</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227" w:top="1100" w:bottom="14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3590" w:right="3646"/>
        <w:jc w:val="center"/>
        <w:rPr>
          <w:b w:val="0"/>
          <w:bCs w:val="0"/>
        </w:rPr>
      </w:pPr>
      <w:bookmarkStart w:name="_TOC_250002" w:id="7"/>
      <w:r>
        <w:rPr/>
        <w:t>第八节</w:t>
      </w:r>
      <w:r>
        <w:rPr>
          <w:spacing w:val="-2"/>
        </w:rPr>
        <w:t> </w:t>
      </w:r>
      <w:r>
        <w:rPr/>
        <w:t>公司治理</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99"/>
        <w:jc w:val="left"/>
        <w:rPr>
          <w:b w:val="0"/>
          <w:bCs w:val="0"/>
        </w:rPr>
      </w:pPr>
      <w:r>
        <w:rPr/>
        <w:t>一、公司治理的基本状况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left="152" w:right="207" w:firstLine="420"/>
        <w:jc w:val="both"/>
      </w:pPr>
      <w:r>
        <w:rPr>
          <w:spacing w:val="-2"/>
        </w:rPr>
        <w:t>报告期内，公司严格按照《公司法》、《证券法》、《上市公司治理准则》、《深圳证券交易所创业</w:t>
      </w:r>
      <w:r>
        <w:rPr>
          <w:w w:val="100"/>
        </w:rPr>
        <w:t> </w:t>
      </w:r>
      <w:r>
        <w:rPr>
          <w:spacing w:val="-2"/>
        </w:rPr>
        <w:t>板上市公司规范运作指引》等相关法律法规、规范性文件和《公司章程》的规定运作，不断完善公司内部</w:t>
      </w:r>
      <w:r>
        <w:rPr>
          <w:spacing w:val="-43"/>
        </w:rPr>
        <w:t> </w:t>
      </w:r>
      <w:r>
        <w:rPr>
          <w:spacing w:val="-43"/>
        </w:rPr>
      </w:r>
      <w:r>
        <w:rPr>
          <w:spacing w:val="-2"/>
        </w:rPr>
        <w:t>控制体系和相关制度，公司治理状况符合《公司法》和中国证监会、深圳证券交易所等发布的法律法规和</w:t>
      </w:r>
      <w:r>
        <w:rPr>
          <w:spacing w:val="-47"/>
        </w:rPr>
        <w:t> </w:t>
      </w:r>
      <w:r>
        <w:rPr>
          <w:spacing w:val="-47"/>
        </w:rPr>
      </w:r>
      <w:r>
        <w:rPr/>
        <w:t>规范性文件的要求。</w:t>
      </w:r>
    </w:p>
    <w:p>
      <w:pPr>
        <w:pStyle w:val="BodyText"/>
        <w:spacing w:line="240" w:lineRule="auto" w:before="46"/>
        <w:ind w:left="573" w:right="99"/>
        <w:jc w:val="left"/>
      </w:pPr>
      <w:r>
        <w:rPr/>
        <w:t>基本情况如下：</w:t>
      </w:r>
    </w:p>
    <w:p>
      <w:pPr>
        <w:spacing w:line="240" w:lineRule="auto" w:before="10"/>
        <w:rPr>
          <w:rFonts w:ascii="宋体" w:hAnsi="宋体" w:cs="宋体" w:eastAsia="宋体" w:hint="default"/>
          <w:sz w:val="14"/>
          <w:szCs w:val="14"/>
        </w:rPr>
      </w:pPr>
    </w:p>
    <w:p>
      <w:pPr>
        <w:pStyle w:val="BodyText"/>
        <w:spacing w:line="386" w:lineRule="auto"/>
        <w:ind w:left="573" w:right="99"/>
        <w:jc w:val="left"/>
      </w:pPr>
      <w:r>
        <w:rPr>
          <w:rFonts w:ascii="Times New Roman" w:hAnsi="Times New Roman" w:cs="Times New Roman" w:eastAsia="Times New Roman" w:hint="default"/>
        </w:rPr>
        <w:t>1</w:t>
      </w:r>
      <w:r>
        <w:rPr/>
        <w:t>、内控体系和内控制度的建立健全情况</w:t>
      </w:r>
      <w:r>
        <w:rPr>
          <w:w w:val="100"/>
        </w:rPr>
        <w:t> </w:t>
      </w:r>
      <w:r>
        <w:rPr>
          <w:spacing w:val="-2"/>
        </w:rPr>
        <w:t>为有效应对公司规模快速扩张可能导致的内部控制和管理风险，报告期内，公司将完善内控制度和业</w:t>
      </w:r>
    </w:p>
    <w:p>
      <w:pPr>
        <w:pStyle w:val="BodyText"/>
        <w:spacing w:line="408" w:lineRule="auto" w:before="65"/>
        <w:ind w:left="152" w:right="101"/>
        <w:jc w:val="left"/>
      </w:pPr>
      <w:r>
        <w:rPr>
          <w:spacing w:val="-2"/>
        </w:rPr>
        <w:t>务流程做为管理工作的重点，启动了内控体系优化项目，聘请了专门的咨询团队针对公司内控情况进行全</w:t>
      </w:r>
      <w:r>
        <w:rPr>
          <w:spacing w:val="-43"/>
        </w:rPr>
        <w:t> </w:t>
      </w:r>
      <w:r>
        <w:rPr>
          <w:spacing w:val="-43"/>
        </w:rPr>
      </w:r>
      <w:r>
        <w:rPr>
          <w:spacing w:val="-5"/>
        </w:rPr>
        <w:t>面诊断分析，形成内控优化手册，由公司内审部门配合督促各相关部门逐项落实内控优化建议。报告期内， </w:t>
      </w:r>
      <w:r>
        <w:rPr>
          <w:spacing w:val="-5"/>
        </w:rPr>
      </w:r>
      <w:r>
        <w:rPr/>
        <w:t>公司董事会根据最新法律法规的要求，结合公司实际情况，新增制定了《筹资管理制度》、《反舞弊及投</w:t>
      </w:r>
      <w:r>
        <w:rPr>
          <w:w w:val="100"/>
        </w:rPr>
        <w:t> </w:t>
      </w:r>
      <w:r>
        <w:rPr/>
        <w:t>诉举报工作制度》、《利润分配政策及未来三年股东回报规划（</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-2014</w:t>
      </w:r>
      <w:r>
        <w:rPr/>
        <w:t>年）》等</w:t>
      </w:r>
      <w:r>
        <w:rPr>
          <w:rFonts w:ascii="Times New Roman" w:hAnsi="Times New Roman" w:cs="Times New Roman" w:eastAsia="Times New Roman" w:hint="default"/>
        </w:rPr>
        <w:t>3</w:t>
      </w:r>
      <w:r>
        <w:rPr/>
        <w:t>项重要制度，并对</w:t>
      </w:r>
    </w:p>
    <w:p>
      <w:pPr>
        <w:pStyle w:val="BodyText"/>
        <w:spacing w:line="400" w:lineRule="auto" w:before="15"/>
        <w:ind w:left="152" w:right="99"/>
        <w:jc w:val="left"/>
      </w:pPr>
      <w:r>
        <w:rPr>
          <w:spacing w:val="-4"/>
        </w:rPr>
        <w:t>《公司章程》、《对外投资管理制度》、《内幕信息知情人管理制度》等</w:t>
      </w:r>
      <w:r>
        <w:rPr>
          <w:rFonts w:ascii="Times New Roman" w:hAnsi="Times New Roman" w:cs="Times New Roman" w:eastAsia="Times New Roman" w:hint="default"/>
          <w:spacing w:val="-4"/>
        </w:rPr>
        <w:t>12</w:t>
      </w:r>
      <w:r>
        <w:rPr>
          <w:spacing w:val="-4"/>
        </w:rPr>
        <w:t>项内控制度进行了修订、完善。</w:t>
      </w:r>
      <w:r>
        <w:rPr>
          <w:spacing w:val="-47"/>
        </w:rPr>
        <w:t> </w:t>
      </w:r>
      <w:r>
        <w:rPr>
          <w:spacing w:val="-47"/>
        </w:rPr>
      </w:r>
      <w:r>
        <w:rPr>
          <w:spacing w:val="-2"/>
        </w:rPr>
        <w:t>公司内部控制制度设计符合公司现阶段的发展需要，公司内部控制制度基本得到了有效执行，有效控制了</w:t>
      </w:r>
      <w:r>
        <w:rPr>
          <w:spacing w:val="-44"/>
        </w:rPr>
        <w:t> </w:t>
      </w:r>
      <w:r>
        <w:rPr>
          <w:spacing w:val="-44"/>
        </w:rPr>
      </w:r>
      <w:r>
        <w:rPr>
          <w:spacing w:val="-2"/>
        </w:rPr>
        <w:t>公司经营风险和财务风险，保证了公司资产的安全完整、财务数据的真实、完整、准确。在企业管理各个</w:t>
      </w:r>
      <w:r>
        <w:rPr>
          <w:spacing w:val="-43"/>
        </w:rPr>
        <w:t> </w:t>
      </w:r>
      <w:r>
        <w:rPr>
          <w:spacing w:val="-43"/>
        </w:rPr>
      </w:r>
      <w:r>
        <w:rPr/>
        <w:t>过程、各个关键环节、重大投资、关联交易等方面发挥了较好的控制与防范作用。</w:t>
      </w:r>
    </w:p>
    <w:p>
      <w:pPr>
        <w:pStyle w:val="BodyText"/>
        <w:spacing w:line="386" w:lineRule="auto" w:before="52"/>
        <w:ind w:left="573" w:right="99"/>
        <w:jc w:val="left"/>
      </w:pPr>
      <w:r>
        <w:rPr>
          <w:rFonts w:ascii="Times New Roman" w:hAnsi="Times New Roman" w:cs="Times New Roman" w:eastAsia="Times New Roman" w:hint="default"/>
        </w:rPr>
        <w:t>2</w:t>
      </w:r>
      <w:r>
        <w:rPr/>
        <w:t>、独立性运作情况</w:t>
      </w:r>
      <w:r>
        <w:rPr>
          <w:w w:val="100"/>
        </w:rPr>
        <w:t> </w:t>
      </w:r>
      <w:r>
        <w:rPr>
          <w:spacing w:val="-2"/>
        </w:rPr>
        <w:t>公司拥有独立完整的采购、研发、生产、销售、服务体系，具备自主经营能力，报告期内，公司严格</w:t>
      </w:r>
    </w:p>
    <w:p>
      <w:pPr>
        <w:pStyle w:val="BodyText"/>
        <w:spacing w:line="408" w:lineRule="auto" w:before="65"/>
        <w:ind w:left="152" w:right="206"/>
        <w:jc w:val="both"/>
      </w:pPr>
      <w:r>
        <w:rPr>
          <w:spacing w:val="-2"/>
        </w:rPr>
        <w:t>按照《公司章程》和有关法律法规的规定规范运作，在人员、资产、财务、机构、业务等方面与控股股东</w:t>
      </w:r>
      <w:r>
        <w:rPr>
          <w:spacing w:val="-48"/>
        </w:rPr>
        <w:t> </w:t>
      </w:r>
      <w:r>
        <w:rPr>
          <w:spacing w:val="-48"/>
        </w:rPr>
      </w:r>
      <w:r>
        <w:rPr>
          <w:spacing w:val="-2"/>
        </w:rPr>
        <w:t>及实际控制人保持相互独立。公司控股股东严格遵守相关法律法规，严格规范自己的行为，没有发生超越</w:t>
      </w:r>
      <w:r>
        <w:rPr>
          <w:spacing w:val="-44"/>
        </w:rPr>
        <w:t> </w:t>
      </w:r>
      <w:r>
        <w:rPr>
          <w:spacing w:val="-44"/>
        </w:rPr>
      </w:r>
      <w:r>
        <w:rPr/>
        <w:t>股东大会直接或间接干预公司的经营活动和公司决策的情况。</w:t>
      </w:r>
    </w:p>
    <w:p>
      <w:pPr>
        <w:pStyle w:val="BodyText"/>
        <w:spacing w:line="386" w:lineRule="auto" w:before="46"/>
        <w:ind w:left="573" w:right="99"/>
        <w:jc w:val="left"/>
      </w:pPr>
      <w:r>
        <w:rPr>
          <w:rFonts w:ascii="Times New Roman" w:hAnsi="Times New Roman" w:cs="Times New Roman" w:eastAsia="Times New Roman" w:hint="default"/>
        </w:rPr>
        <w:t>3</w:t>
      </w:r>
      <w:r>
        <w:rPr/>
        <w:t>、股东大会制度运行情况</w:t>
      </w:r>
      <w:r>
        <w:rPr>
          <w:w w:val="100"/>
        </w:rPr>
        <w:t> </w:t>
      </w:r>
      <w:r>
        <w:rPr>
          <w:spacing w:val="-2"/>
        </w:rPr>
        <w:t>公司的股东大会由全体股东组成，公司股东大会严格按照《深圳证券交易所上市公司规范运作指引》</w:t>
      </w:r>
    </w:p>
    <w:p>
      <w:pPr>
        <w:pStyle w:val="BodyText"/>
        <w:spacing w:line="398" w:lineRule="auto" w:before="65"/>
        <w:ind w:left="152" w:right="211"/>
        <w:jc w:val="both"/>
      </w:pPr>
      <w:r>
        <w:rPr>
          <w:spacing w:val="-2"/>
        </w:rPr>
        <w:t>等有关法律、法规及《公司章程》、《股东大会议事规则》的相关规定规范运作。报告期内，公司共召开</w:t>
      </w:r>
      <w:r>
        <w:rPr>
          <w:spacing w:val="-49"/>
        </w:rPr>
        <w:t> </w:t>
      </w:r>
      <w:r>
        <w:rPr>
          <w:spacing w:val="-49"/>
        </w:rPr>
      </w:r>
      <w:r>
        <w:rPr>
          <w:rFonts w:ascii="Times New Roman" w:hAnsi="Times New Roman" w:cs="Times New Roman" w:eastAsia="Times New Roman" w:hint="default"/>
          <w:spacing w:val="-2"/>
        </w:rPr>
        <w:t>1</w:t>
      </w:r>
      <w:r>
        <w:rPr>
          <w:spacing w:val="-2"/>
        </w:rPr>
        <w:t>次年度股东大会、</w:t>
      </w:r>
      <w:r>
        <w:rPr>
          <w:rFonts w:ascii="Times New Roman" w:hAnsi="Times New Roman" w:cs="Times New Roman" w:eastAsia="Times New Roman" w:hint="default"/>
          <w:spacing w:val="-2"/>
        </w:rPr>
        <w:t>3</w:t>
      </w:r>
      <w:r>
        <w:rPr>
          <w:spacing w:val="-2"/>
        </w:rPr>
        <w:t>次临时股东大会，会议均由董事会召集和召开，历次会议的召开、决议内容及签署合</w:t>
      </w:r>
      <w:r>
        <w:rPr>
          <w:spacing w:val="-48"/>
        </w:rPr>
        <w:t> </w:t>
      </w:r>
      <w:r>
        <w:rPr>
          <w:spacing w:val="-48"/>
        </w:rPr>
      </w:r>
      <w:r>
        <w:rPr/>
        <w:t>法、合规、真实、有效。</w:t>
      </w:r>
    </w:p>
    <w:p>
      <w:pPr>
        <w:spacing w:after="0" w:line="398" w:lineRule="auto"/>
        <w:jc w:val="both"/>
        <w:sectPr>
          <w:pgSz w:w="11910" w:h="16840"/>
          <w:pgMar w:header="877" w:footer="1227" w:top="1100" w:bottom="1420" w:left="980" w:right="920"/>
        </w:sectPr>
      </w:pPr>
    </w:p>
    <w:p>
      <w:pPr>
        <w:spacing w:line="240" w:lineRule="auto" w:before="9"/>
        <w:rPr>
          <w:rFonts w:ascii="宋体" w:hAnsi="宋体" w:cs="宋体" w:eastAsia="宋体" w:hint="default"/>
          <w:sz w:val="26"/>
          <w:szCs w:val="26"/>
        </w:rPr>
      </w:pPr>
    </w:p>
    <w:p>
      <w:pPr>
        <w:pStyle w:val="BodyText"/>
        <w:spacing w:line="386" w:lineRule="auto" w:before="36"/>
        <w:ind w:left="573" w:right="99"/>
        <w:jc w:val="left"/>
      </w:pPr>
      <w:r>
        <w:rPr>
          <w:rFonts w:ascii="Times New Roman" w:hAnsi="Times New Roman" w:cs="Times New Roman" w:eastAsia="Times New Roman" w:hint="default"/>
        </w:rPr>
        <w:t>4</w:t>
      </w:r>
      <w:r>
        <w:rPr/>
        <w:t>、董事会制度运行情况</w:t>
      </w:r>
      <w:r>
        <w:rPr>
          <w:w w:val="100"/>
        </w:rPr>
        <w:t> </w:t>
      </w:r>
      <w:r>
        <w:rPr>
          <w:spacing w:val="-2"/>
        </w:rPr>
        <w:t>公司董事会由</w:t>
      </w:r>
      <w:r>
        <w:rPr>
          <w:rFonts w:ascii="Times New Roman" w:hAnsi="Times New Roman" w:cs="Times New Roman" w:eastAsia="Times New Roman" w:hint="default"/>
          <w:spacing w:val="-2"/>
        </w:rPr>
        <w:t>7</w:t>
      </w:r>
      <w:r>
        <w:rPr>
          <w:spacing w:val="-2"/>
        </w:rPr>
        <w:t>名董事组成，其中独立董事</w:t>
      </w:r>
      <w:r>
        <w:rPr>
          <w:rFonts w:ascii="Times New Roman" w:hAnsi="Times New Roman" w:cs="Times New Roman" w:eastAsia="Times New Roman" w:hint="default"/>
          <w:spacing w:val="-2"/>
        </w:rPr>
        <w:t>3</w:t>
      </w:r>
      <w:r>
        <w:rPr>
          <w:spacing w:val="-2"/>
        </w:rPr>
        <w:t>名，董事会的人数及人员构成符合法律、法规和《公司章</w:t>
      </w:r>
    </w:p>
    <w:p>
      <w:pPr>
        <w:pStyle w:val="BodyText"/>
        <w:spacing w:line="393" w:lineRule="auto" w:before="35"/>
        <w:ind w:left="152" w:right="99"/>
        <w:jc w:val="left"/>
      </w:pPr>
      <w:r>
        <w:rPr/>
        <w:t>程》的要求；董事会下设战略委员会、审计委员会、提名委员会及薪酬与考核委员会</w:t>
      </w:r>
      <w:r>
        <w:rPr>
          <w:rFonts w:ascii="Times New Roman" w:hAnsi="Times New Roman" w:cs="Times New Roman" w:eastAsia="Times New Roman" w:hint="default"/>
        </w:rPr>
        <w:t>4</w:t>
      </w:r>
      <w:r>
        <w:rPr/>
        <w:t>个专门委员会。报</w:t>
      </w:r>
      <w:r>
        <w:rPr>
          <w:w w:val="100"/>
        </w:rPr>
        <w:t> </w:t>
      </w:r>
      <w:r>
        <w:rPr>
          <w:spacing w:val="-5"/>
        </w:rPr>
        <w:t>告期内，公司共召开</w:t>
      </w:r>
      <w:r>
        <w:rPr>
          <w:rFonts w:ascii="Times New Roman" w:hAnsi="Times New Roman" w:cs="Times New Roman" w:eastAsia="Times New Roman" w:hint="default"/>
          <w:spacing w:val="-5"/>
        </w:rPr>
        <w:t>11</w:t>
      </w:r>
      <w:r>
        <w:rPr>
          <w:spacing w:val="-5"/>
        </w:rPr>
        <w:t>次董事会，会议均由董事长召集和主持，会议的召开、决议内容及签署合法、合规、</w:t>
      </w:r>
      <w:r>
        <w:rPr>
          <w:spacing w:val="-3"/>
        </w:rPr>
        <w:t> </w:t>
      </w:r>
      <w:r>
        <w:rPr>
          <w:spacing w:val="-3"/>
        </w:rPr>
      </w:r>
      <w:r>
        <w:rPr>
          <w:spacing w:val="-2"/>
        </w:rPr>
        <w:t>真实、有效。各位董事能够依据《董事会议事规则》、《独立董事工作制度》、《深圳证券交易所创业板</w:t>
      </w:r>
      <w:r>
        <w:rPr>
          <w:spacing w:val="-44"/>
        </w:rPr>
        <w:t> </w:t>
      </w:r>
      <w:r>
        <w:rPr>
          <w:spacing w:val="-44"/>
        </w:rPr>
      </w:r>
      <w:r>
        <w:rPr/>
        <w:t>上市公司规范运作指引》等开展工作，出席董事会和股东大会，勤勉尽责地履行职务和义务。</w:t>
      </w:r>
    </w:p>
    <w:p>
      <w:pPr>
        <w:pStyle w:val="BodyText"/>
        <w:spacing w:line="386" w:lineRule="auto" w:before="58"/>
        <w:ind w:left="573" w:right="99"/>
        <w:jc w:val="left"/>
      </w:pPr>
      <w:r>
        <w:rPr>
          <w:rFonts w:ascii="Times New Roman" w:hAnsi="Times New Roman" w:cs="Times New Roman" w:eastAsia="Times New Roman" w:hint="default"/>
        </w:rPr>
        <w:t>5</w:t>
      </w:r>
      <w:r>
        <w:rPr/>
        <w:t>、监事会制度运行情况</w:t>
      </w:r>
      <w:r>
        <w:rPr>
          <w:w w:val="100"/>
        </w:rPr>
        <w:t> </w:t>
      </w:r>
      <w:r>
        <w:rPr>
          <w:spacing w:val="-2"/>
        </w:rPr>
        <w:t>公司监事会由</w:t>
      </w:r>
      <w:r>
        <w:rPr>
          <w:rFonts w:ascii="Times New Roman" w:hAnsi="Times New Roman" w:cs="Times New Roman" w:eastAsia="Times New Roman" w:hint="default"/>
          <w:spacing w:val="-2"/>
        </w:rPr>
        <w:t>3</w:t>
      </w:r>
      <w:r>
        <w:rPr>
          <w:spacing w:val="-2"/>
        </w:rPr>
        <w:t>名监事组成，其中职工代表监事</w:t>
      </w:r>
      <w:r>
        <w:rPr>
          <w:rFonts w:ascii="Times New Roman" w:hAnsi="Times New Roman" w:cs="Times New Roman" w:eastAsia="Times New Roman" w:hint="default"/>
          <w:spacing w:val="-2"/>
        </w:rPr>
        <w:t>1</w:t>
      </w:r>
      <w:r>
        <w:rPr>
          <w:spacing w:val="-2"/>
        </w:rPr>
        <w:t>名，监事会设监事会主席</w:t>
      </w:r>
      <w:r>
        <w:rPr>
          <w:rFonts w:ascii="Times New Roman" w:hAnsi="Times New Roman" w:cs="Times New Roman" w:eastAsia="Times New Roman" w:hint="default"/>
          <w:spacing w:val="-2"/>
        </w:rPr>
        <w:t>1</w:t>
      </w:r>
      <w:r>
        <w:rPr>
          <w:spacing w:val="-2"/>
        </w:rPr>
        <w:t>名。报告期内，公司共召</w:t>
      </w:r>
    </w:p>
    <w:p>
      <w:pPr>
        <w:pStyle w:val="BodyText"/>
        <w:spacing w:line="398" w:lineRule="auto" w:before="36"/>
        <w:ind w:left="152" w:right="184"/>
        <w:jc w:val="both"/>
      </w:pPr>
      <w:r>
        <w:rPr>
          <w:spacing w:val="-2"/>
        </w:rPr>
        <w:t>开</w:t>
      </w:r>
      <w:r>
        <w:rPr>
          <w:rFonts w:ascii="Times New Roman" w:hAnsi="Times New Roman" w:cs="Times New Roman" w:eastAsia="Times New Roman" w:hint="default"/>
          <w:spacing w:val="-2"/>
        </w:rPr>
        <w:t>11</w:t>
      </w:r>
      <w:r>
        <w:rPr>
          <w:spacing w:val="-2"/>
        </w:rPr>
        <w:t>次监事会会议，会议均由监事会主席召集和主持，监事会会议的召开、决议内容及签署合法、合规、</w:t>
      </w:r>
      <w:r>
        <w:rPr>
          <w:spacing w:val="-19"/>
        </w:rPr>
        <w:t> </w:t>
      </w:r>
      <w:r>
        <w:rPr>
          <w:spacing w:val="-19"/>
        </w:rPr>
      </w:r>
      <w:r>
        <w:rPr>
          <w:spacing w:val="-2"/>
        </w:rPr>
        <w:t>真实、有效。各位监事能够按照《监事会议事规则》的要求，认真履行自己的职责，对公司的重大交易、</w:t>
      </w:r>
      <w:r>
        <w:rPr>
          <w:spacing w:val="-21"/>
        </w:rPr>
        <w:t> </w:t>
      </w:r>
      <w:r>
        <w:rPr>
          <w:spacing w:val="-21"/>
        </w:rPr>
      </w:r>
      <w:r>
        <w:rPr/>
        <w:t>关联交易、财务状况以及董事、高级管理人员履行职责的合法合规性进行监督。</w:t>
      </w:r>
    </w:p>
    <w:p>
      <w:pPr>
        <w:pStyle w:val="BodyText"/>
        <w:spacing w:line="386" w:lineRule="auto" w:before="54"/>
        <w:ind w:left="573" w:right="99"/>
        <w:jc w:val="left"/>
      </w:pPr>
      <w:r>
        <w:rPr>
          <w:rFonts w:ascii="Times New Roman" w:hAnsi="Times New Roman" w:cs="Times New Roman" w:eastAsia="Times New Roman" w:hint="default"/>
        </w:rPr>
        <w:t>6</w:t>
      </w:r>
      <w:r>
        <w:rPr/>
        <w:t>、内幕信息知情人管理制度运行情况</w:t>
      </w:r>
      <w:r>
        <w:rPr>
          <w:w w:val="100"/>
        </w:rPr>
        <w:t> </w:t>
      </w:r>
      <w:r>
        <w:rPr>
          <w:spacing w:val="-2"/>
        </w:rPr>
        <w:t>报告期内，公司为进一步加强对内幕信息知情人的监督管理，维护公司及全体股东的合法权益，公司</w:t>
      </w:r>
    </w:p>
    <w:p>
      <w:pPr>
        <w:pStyle w:val="BodyText"/>
        <w:spacing w:line="408" w:lineRule="auto" w:before="65"/>
        <w:ind w:left="152" w:right="206"/>
        <w:jc w:val="both"/>
      </w:pPr>
      <w:r>
        <w:rPr>
          <w:spacing w:val="-2"/>
        </w:rPr>
        <w:t>修订、完善了《内幕信息知情人登记管理制度》。公司证券部是公司信息披露、内幕信息登记备案的日常</w:t>
      </w:r>
      <w:r>
        <w:rPr>
          <w:spacing w:val="-43"/>
        </w:rPr>
        <w:t> </w:t>
      </w:r>
      <w:r>
        <w:rPr>
          <w:spacing w:val="-43"/>
        </w:rPr>
      </w:r>
      <w:r>
        <w:rPr>
          <w:spacing w:val="-2"/>
        </w:rPr>
        <w:t>执行部门，负责督促公司内幕信息知情人进行及时登记，并根据证券监管部门的要求及时报备内幕信息知</w:t>
      </w:r>
      <w:r>
        <w:rPr>
          <w:spacing w:val="-42"/>
        </w:rPr>
        <w:t> </w:t>
      </w:r>
      <w:r>
        <w:rPr>
          <w:spacing w:val="-42"/>
        </w:rPr>
      </w:r>
      <w:r>
        <w:rPr/>
        <w:t>情人登记表。</w:t>
      </w:r>
    </w:p>
    <w:p>
      <w:pPr>
        <w:pStyle w:val="BodyText"/>
        <w:spacing w:line="386" w:lineRule="auto" w:before="46"/>
        <w:ind w:left="573" w:right="99"/>
        <w:jc w:val="left"/>
      </w:pPr>
      <w:r>
        <w:rPr>
          <w:rFonts w:ascii="Times New Roman" w:hAnsi="Times New Roman" w:cs="Times New Roman" w:eastAsia="Times New Roman" w:hint="default"/>
        </w:rPr>
        <w:t>7</w:t>
      </w:r>
      <w:r>
        <w:rPr/>
        <w:t>、信息披露工作情况</w:t>
      </w:r>
      <w:r>
        <w:rPr>
          <w:w w:val="100"/>
        </w:rPr>
        <w:t> </w:t>
      </w:r>
      <w:r>
        <w:rPr>
          <w:spacing w:val="-2"/>
        </w:rPr>
        <w:t>公司董事会秘书负责公司的信息披露工作，开展投资者关系管理活动，回复投资者的问询，接待投资</w:t>
      </w:r>
    </w:p>
    <w:p>
      <w:pPr>
        <w:pStyle w:val="BodyText"/>
        <w:spacing w:line="408" w:lineRule="auto" w:before="65"/>
        <w:ind w:left="152" w:right="99"/>
        <w:jc w:val="left"/>
      </w:pPr>
      <w:r>
        <w:rPr>
          <w:spacing w:val="-2"/>
        </w:rPr>
        <w:t>者调研。报告期内，公司严格按照《上市公司信息披露管理办法》、《深圳证券交易所创业板上市公司规</w:t>
      </w:r>
      <w:r>
        <w:rPr>
          <w:spacing w:val="-42"/>
        </w:rPr>
        <w:t> </w:t>
      </w:r>
      <w:r>
        <w:rPr>
          <w:spacing w:val="-42"/>
        </w:rPr>
      </w:r>
      <w:r>
        <w:rPr>
          <w:spacing w:val="-5"/>
        </w:rPr>
        <w:t>范运作指引》、公司的《信息披露管理制度》等相关法律、法规和规范性文件的要求，真实、准确、完整、</w:t>
      </w:r>
      <w:r>
        <w:rPr>
          <w:spacing w:val="-4"/>
        </w:rPr>
        <w:t> </w:t>
      </w:r>
      <w:r>
        <w:rPr>
          <w:spacing w:val="-4"/>
        </w:rPr>
      </w:r>
      <w:r>
        <w:rPr>
          <w:spacing w:val="-2"/>
        </w:rPr>
        <w:t>公平、及时地在中国证监会指定创业板信息披露网站上披露有关信息，并指定《证券时报》、《中国证券</w:t>
      </w:r>
      <w:r>
        <w:rPr>
          <w:spacing w:val="-45"/>
        </w:rPr>
        <w:t> </w:t>
      </w:r>
      <w:r>
        <w:rPr>
          <w:spacing w:val="-45"/>
        </w:rPr>
      </w:r>
      <w:r>
        <w:rPr>
          <w:spacing w:val="-2"/>
        </w:rPr>
        <w:t>报》、《证券日报》、《上海证券报》为公司定期报告披露的指定报刊，确保公司所有投资者能够平等地</w:t>
      </w:r>
      <w:r>
        <w:rPr>
          <w:spacing w:val="-45"/>
        </w:rPr>
        <w:t> </w:t>
      </w:r>
      <w:r>
        <w:rPr>
          <w:spacing w:val="-45"/>
        </w:rPr>
      </w:r>
      <w:r>
        <w:rPr/>
        <w:t>获得信息。</w:t>
      </w:r>
    </w:p>
    <w:p>
      <w:pPr>
        <w:pStyle w:val="BodyText"/>
        <w:spacing w:line="386" w:lineRule="auto" w:before="46"/>
        <w:ind w:left="573" w:right="99"/>
        <w:jc w:val="left"/>
      </w:pPr>
      <w:r>
        <w:rPr>
          <w:rFonts w:ascii="Times New Roman" w:hAnsi="Times New Roman" w:cs="Times New Roman" w:eastAsia="Times New Roman" w:hint="default"/>
        </w:rPr>
        <w:t>8</w:t>
      </w:r>
      <w:r>
        <w:rPr/>
        <w:t>、投资者关系管理工作</w:t>
      </w:r>
      <w:r>
        <w:rPr>
          <w:w w:val="100"/>
        </w:rPr>
        <w:t> </w:t>
      </w:r>
      <w:r>
        <w:rPr>
          <w:spacing w:val="-2"/>
        </w:rPr>
        <w:t>公司指定董事会秘书为投资者关系管理工作第一责任人，公司证券部为开展投资者关系工作的日常执</w:t>
      </w:r>
    </w:p>
    <w:p>
      <w:pPr>
        <w:pStyle w:val="BodyText"/>
        <w:spacing w:line="408" w:lineRule="auto" w:before="65"/>
        <w:ind w:left="152" w:right="99"/>
        <w:jc w:val="left"/>
      </w:pPr>
      <w:r>
        <w:rPr>
          <w:spacing w:val="-2"/>
        </w:rPr>
        <w:t>行机构。公司开设了投资者互动平台、电话、传真和电子邮箱，由董事会秘书组织有关人员及时回复投资</w:t>
      </w:r>
      <w:r>
        <w:rPr>
          <w:spacing w:val="-47"/>
        </w:rPr>
        <w:t> </w:t>
      </w:r>
      <w:r>
        <w:rPr>
          <w:spacing w:val="-47"/>
        </w:rPr>
      </w:r>
      <w:r>
        <w:rPr/>
        <w:t>者的询问。</w:t>
      </w:r>
    </w:p>
    <w:p>
      <w:pPr>
        <w:pStyle w:val="BodyText"/>
        <w:spacing w:line="386" w:lineRule="auto" w:before="46"/>
        <w:ind w:left="152" w:right="99" w:firstLine="42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日，公司在深圳证券信息有限公司提供的网上平台举行了</w:t>
      </w:r>
      <w:r>
        <w:rPr>
          <w:rFonts w:ascii="Times New Roman" w:hAnsi="Times New Roman" w:cs="Times New Roman" w:eastAsia="Times New Roman" w:hint="default"/>
        </w:rPr>
        <w:t>2011</w:t>
      </w:r>
      <w:r>
        <w:rPr/>
        <w:t>年年度报告业绩说明会，</w:t>
      </w:r>
      <w:r>
        <w:rPr>
          <w:w w:val="100"/>
        </w:rPr>
        <w:t> </w:t>
      </w:r>
      <w:r>
        <w:rPr>
          <w:spacing w:val="-2"/>
        </w:rPr>
        <w:t>本次年度报告业绩说明会将采用网络远程方式举行，公司董事长、总经理、常务副总经理、财务总监、董</w:t>
      </w:r>
    </w:p>
    <w:p>
      <w:pPr>
        <w:spacing w:after="0" w:line="386" w:lineRule="auto"/>
        <w:jc w:val="left"/>
        <w:sectPr>
          <w:pgSz w:w="11910" w:h="16840"/>
          <w:pgMar w:header="877" w:footer="1227" w:top="1100" w:bottom="1420" w:left="980" w:right="920"/>
        </w:sectPr>
      </w:pPr>
    </w:p>
    <w:p>
      <w:pPr>
        <w:spacing w:line="240" w:lineRule="auto" w:before="9"/>
        <w:rPr>
          <w:rFonts w:ascii="宋体" w:hAnsi="宋体" w:cs="宋体" w:eastAsia="宋体" w:hint="default"/>
          <w:sz w:val="26"/>
          <w:szCs w:val="26"/>
        </w:rPr>
      </w:pPr>
    </w:p>
    <w:p>
      <w:pPr>
        <w:pStyle w:val="BodyText"/>
        <w:spacing w:line="408" w:lineRule="auto" w:before="36"/>
        <w:ind w:left="152" w:right="99"/>
        <w:jc w:val="left"/>
      </w:pPr>
      <w:r>
        <w:rPr>
          <w:spacing w:val="-2"/>
        </w:rPr>
        <w:t>事会秘书、保荐代表人以及独立董事代表出席了本次年度报告业绩说明会，与投资者就公司治理、经营情</w:t>
      </w:r>
      <w:r>
        <w:rPr>
          <w:spacing w:val="-44"/>
        </w:rPr>
        <w:t> </w:t>
      </w:r>
      <w:r>
        <w:rPr>
          <w:spacing w:val="-44"/>
        </w:rPr>
      </w:r>
      <w:r>
        <w:rPr/>
        <w:t>况、未来发展规划等投资者关心的问题进行了深入交流。</w:t>
      </w:r>
    </w:p>
    <w:p>
      <w:pPr>
        <w:pStyle w:val="BodyText"/>
        <w:spacing w:line="400" w:lineRule="auto" w:before="46"/>
        <w:ind w:left="152" w:right="99" w:firstLine="420"/>
        <w:jc w:val="left"/>
      </w:pPr>
      <w:r>
        <w:rPr/>
        <w:t>此外，为满足广大投资者对公司生产经营情况深入了解的需求，公司积极开展投资者实地调研活动。</w:t>
      </w:r>
      <w:r>
        <w:rPr>
          <w:w w:val="100"/>
        </w:rPr>
        <w:t> </w:t>
      </w:r>
      <w:r>
        <w:rPr>
          <w:spacing w:val="-2"/>
        </w:rPr>
        <w:t>报告期内，公司接待实地调研、采访等活动共</w:t>
      </w:r>
      <w:r>
        <w:rPr>
          <w:rFonts w:ascii="Times New Roman" w:hAnsi="Times New Roman" w:cs="Times New Roman" w:eastAsia="Times New Roman" w:hint="default"/>
          <w:spacing w:val="-2"/>
        </w:rPr>
        <w:t>20</w:t>
      </w:r>
      <w:r>
        <w:rPr>
          <w:spacing w:val="-2"/>
        </w:rPr>
        <w:t>批，</w:t>
      </w:r>
      <w:r>
        <w:rPr>
          <w:rFonts w:ascii="Times New Roman" w:hAnsi="Times New Roman" w:cs="Times New Roman" w:eastAsia="Times New Roman" w:hint="default"/>
          <w:spacing w:val="-2"/>
        </w:rPr>
        <w:t>95</w:t>
      </w:r>
      <w:r>
        <w:rPr>
          <w:spacing w:val="-2"/>
        </w:rPr>
        <w:t>人次，调研人员主要为机构投资者和分析师。在调</w:t>
      </w:r>
      <w:r>
        <w:rPr>
          <w:spacing w:val="-38"/>
        </w:rPr>
        <w:t> </w:t>
      </w:r>
      <w:r>
        <w:rPr>
          <w:spacing w:val="-38"/>
        </w:rPr>
      </w:r>
      <w:r>
        <w:rPr>
          <w:spacing w:val="-5"/>
        </w:rPr>
        <w:t>研活动中，公司严格按照有关法律、法规的要求，对来访调研人员进行登记，并要求调研人员签署承诺书，</w:t>
      </w:r>
      <w:r>
        <w:rPr>
          <w:spacing w:val="-10"/>
        </w:rPr>
        <w:t> </w:t>
      </w:r>
      <w:r>
        <w:rPr>
          <w:spacing w:val="-10"/>
        </w:rPr>
      </w:r>
      <w:r>
        <w:rPr/>
        <w:t>做好调研记录，及时报监管部门备案。</w:t>
      </w:r>
    </w:p>
    <w:p>
      <w:pPr>
        <w:spacing w:line="240" w:lineRule="auto" w:before="2"/>
        <w:rPr>
          <w:rFonts w:ascii="宋体" w:hAnsi="宋体" w:cs="宋体" w:eastAsia="宋体" w:hint="default"/>
          <w:sz w:val="19"/>
          <w:szCs w:val="19"/>
        </w:rPr>
      </w:pPr>
    </w:p>
    <w:p>
      <w:pPr>
        <w:pStyle w:val="Heading2"/>
        <w:spacing w:line="240" w:lineRule="auto"/>
        <w:ind w:right="99"/>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52" w:right="99"/>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99"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5" w:right="0"/>
              <w:jc w:val="left"/>
              <w:rPr>
                <w:rFonts w:ascii="Times New Roman" w:hAnsi="Times New Roman" w:cs="Times New Roman" w:eastAsia="Times New Roman" w:hint="default"/>
                <w:sz w:val="18"/>
                <w:szCs w:val="18"/>
              </w:rPr>
            </w:pPr>
            <w:hyperlink r:id="rId10">
              <w:r>
                <w:rPr>
                  <w:rFonts w:ascii="Times New Roman"/>
                  <w:sz w:val="18"/>
                </w:rPr>
                <w:t>www.cninfo.com.cn</w:t>
              </w:r>
            </w:hyperlink>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bl>
    <w:p>
      <w:pPr>
        <w:spacing w:line="240" w:lineRule="auto" w:before="3"/>
        <w:rPr>
          <w:rFonts w:ascii="宋体" w:hAnsi="宋体" w:cs="宋体" w:eastAsia="宋体" w:hint="default"/>
          <w:b/>
          <w:bCs/>
          <w:sz w:val="19"/>
          <w:szCs w:val="19"/>
        </w:rPr>
      </w:pPr>
    </w:p>
    <w:p>
      <w:pPr>
        <w:pStyle w:val="Heading3"/>
        <w:spacing w:line="240" w:lineRule="auto" w:before="36"/>
        <w:ind w:left="152" w:right="99"/>
        <w:jc w:val="left"/>
        <w:rPr>
          <w:b w:val="0"/>
          <w:bCs w:val="0"/>
        </w:rPr>
      </w:pPr>
      <w:r>
        <w:rPr>
          <w:rFonts w:ascii="Times New Roman" w:hAnsi="Times New Roman" w:cs="Times New Roman" w:eastAsia="Times New Roman" w:hint="default"/>
        </w:rPr>
        <w:t>1</w:t>
      </w:r>
      <w:r>
        <w:rPr/>
        <w:t>、</w:t>
      </w:r>
      <w:r>
        <w:rPr>
          <w:spacing w:val="-64"/>
        </w:rPr>
        <w:t> </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pStyle w:val="Heading2"/>
        <w:spacing w:line="240" w:lineRule="auto" w:before="26"/>
        <w:ind w:right="99"/>
        <w:jc w:val="left"/>
        <w:rPr>
          <w:b w:val="0"/>
          <w:bCs w:val="0"/>
        </w:rPr>
      </w:pPr>
      <w:r>
        <w:rPr/>
        <w:t>二、</w:t>
      </w:r>
      <w:r>
        <w:rPr>
          <w:spacing w:val="-94"/>
        </w:rPr>
        <w:t> </w:t>
      </w:r>
      <w:r>
        <w:rPr/>
        <w:t>报告期董事会召开情况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96"/>
        <w:gridCol w:w="2088"/>
        <w:gridCol w:w="2393"/>
        <w:gridCol w:w="2393"/>
      </w:tblGrid>
      <w:tr>
        <w:trPr>
          <w:trHeight w:val="714"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102" w:right="111"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第一届董事会第十六次会议</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第一届董事会第十七次会议</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第一届董事会第十八次会议</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第一届董事会第十九次会议</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第一届董事会第二十次会议</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1"/>
              <w:jc w:val="right"/>
              <w:rPr>
                <w:rFonts w:ascii="宋体" w:hAnsi="宋体" w:cs="宋体" w:eastAsia="宋体" w:hint="default"/>
                <w:sz w:val="18"/>
                <w:szCs w:val="18"/>
              </w:rPr>
            </w:pPr>
            <w:r>
              <w:rPr>
                <w:rFonts w:ascii="宋体" w:hAnsi="宋体" w:cs="宋体" w:eastAsia="宋体" w:hint="default"/>
                <w:sz w:val="18"/>
                <w:szCs w:val="18"/>
              </w:rPr>
              <w:t>第一届董事会第二十一次会议</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1"/>
              <w:jc w:val="right"/>
              <w:rPr>
                <w:rFonts w:ascii="宋体" w:hAnsi="宋体" w:cs="宋体" w:eastAsia="宋体" w:hint="default"/>
                <w:sz w:val="18"/>
                <w:szCs w:val="18"/>
              </w:rPr>
            </w:pPr>
            <w:r>
              <w:rPr>
                <w:rFonts w:ascii="宋体" w:hAnsi="宋体" w:cs="宋体" w:eastAsia="宋体" w:hint="default"/>
                <w:sz w:val="18"/>
                <w:szCs w:val="18"/>
              </w:rPr>
              <w:t>第一届董事会第二十二次会议</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1"/>
              <w:jc w:val="right"/>
              <w:rPr>
                <w:rFonts w:ascii="宋体" w:hAnsi="宋体" w:cs="宋体" w:eastAsia="宋体" w:hint="default"/>
                <w:sz w:val="18"/>
                <w:szCs w:val="18"/>
              </w:rPr>
            </w:pPr>
            <w:r>
              <w:rPr>
                <w:rFonts w:ascii="宋体" w:hAnsi="宋体" w:cs="宋体" w:eastAsia="宋体" w:hint="default"/>
                <w:sz w:val="18"/>
                <w:szCs w:val="18"/>
              </w:rPr>
              <w:t>第一届董事会第二十三次会议</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3" w:right="0"/>
              <w:jc w:val="left"/>
              <w:rPr>
                <w:rFonts w:ascii="宋体" w:hAnsi="宋体" w:cs="宋体" w:eastAsia="宋体" w:hint="default"/>
                <w:sz w:val="18"/>
                <w:szCs w:val="18"/>
              </w:rPr>
            </w:pPr>
            <w:r>
              <w:rPr>
                <w:rFonts w:ascii="宋体" w:hAnsi="宋体" w:cs="宋体" w:eastAsia="宋体" w:hint="default"/>
                <w:sz w:val="18"/>
                <w:szCs w:val="18"/>
              </w:rPr>
              <w:t>第二届董事会第一次会议</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877" w:footer="1227" w:top="1100" w:bottom="1420" w:left="980" w:right="92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2696"/>
        <w:gridCol w:w="2088"/>
        <w:gridCol w:w="2393"/>
        <w:gridCol w:w="2393"/>
      </w:tblGrid>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第二届董事会第二次会议</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pacing w:val="-5"/>
                <w:sz w:val="18"/>
                <w:szCs w:val="18"/>
              </w:rPr>
              <w:t>第二届董事会第三次（临时）会议</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both"/>
        <w:rPr>
          <w:b w:val="0"/>
          <w:bCs w:val="0"/>
        </w:rPr>
      </w:pPr>
      <w:r>
        <w:rPr/>
        <w:t>四、年度报告重大差错责任追究制度的建立与执行情况</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left="573" w:right="99"/>
        <w:jc w:val="left"/>
      </w:pPr>
      <w:r>
        <w:rPr>
          <w:spacing w:val="-9"/>
        </w:rPr>
        <w:t>根据《公司法》、《证券法》、《会计法》、《上市公司信息披露管理办法》、《上市公司治理准则》、</w:t>
      </w:r>
    </w:p>
    <w:p>
      <w:pPr>
        <w:spacing w:line="240" w:lineRule="auto" w:before="10"/>
        <w:rPr>
          <w:rFonts w:ascii="宋体" w:hAnsi="宋体" w:cs="宋体" w:eastAsia="宋体" w:hint="default"/>
          <w:sz w:val="14"/>
          <w:szCs w:val="14"/>
        </w:rPr>
      </w:pPr>
    </w:p>
    <w:p>
      <w:pPr>
        <w:pStyle w:val="BodyText"/>
        <w:spacing w:line="398" w:lineRule="auto"/>
        <w:ind w:left="152" w:right="206"/>
        <w:jc w:val="both"/>
      </w:pPr>
      <w:r>
        <w:rPr>
          <w:spacing w:val="-2"/>
        </w:rPr>
        <w:t>《深圳证券交易所创业板股票上市规则》及《公司章程》等法律法规的相关规定，公司于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06</w:t>
      </w:r>
      <w:r>
        <w:rPr>
          <w:spacing w:val="-2"/>
        </w:rPr>
        <w:t>月</w:t>
      </w:r>
      <w:r>
        <w:rPr>
          <w:rFonts w:ascii="Times New Roman" w:hAnsi="Times New Roman" w:cs="Times New Roman" w:eastAsia="Times New Roman" w:hint="default"/>
          <w:spacing w:val="-2"/>
        </w:rPr>
        <w:t>22</w:t>
      </w:r>
      <w:r>
        <w:rPr>
          <w:spacing w:val="-2"/>
        </w:rPr>
        <w:t>日</w:t>
      </w:r>
      <w:r>
        <w:rPr>
          <w:spacing w:val="-39"/>
        </w:rPr>
        <w:t> </w:t>
      </w:r>
      <w:r>
        <w:rPr>
          <w:spacing w:val="-2"/>
        </w:rPr>
        <w:t>第一届董事会第十二次会议审议制定了《年报信息披露重大差错责任追究制度》。截至本报告期末，公司</w:t>
      </w:r>
      <w:r>
        <w:rPr>
          <w:spacing w:val="-44"/>
        </w:rPr>
        <w:t> </w:t>
      </w:r>
      <w:r>
        <w:rPr>
          <w:spacing w:val="-44"/>
        </w:rPr>
      </w:r>
      <w:r>
        <w:rPr/>
        <w:t>未发生年报信息披露重大差错事件。</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r>
        <w:rPr/>
        <w:t>五、监事会工作情况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573" w:right="99"/>
        <w:jc w:val="left"/>
      </w:pPr>
      <w:r>
        <w:rPr/>
        <w:t>监事会在报告期内的监督活动未发现公司存在风险，对报告期内的监督事项均无异议。</w:t>
      </w:r>
    </w:p>
    <w:p>
      <w:pPr>
        <w:spacing w:after="0" w:line="240" w:lineRule="auto"/>
        <w:jc w:val="left"/>
        <w:sectPr>
          <w:pgSz w:w="11910" w:h="16840"/>
          <w:pgMar w:header="877" w:footer="1227" w:top="1100" w:bottom="142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140" w:right="156"/>
        <w:jc w:val="center"/>
        <w:rPr>
          <w:b w:val="0"/>
          <w:bCs w:val="0"/>
        </w:rPr>
      </w:pPr>
      <w:bookmarkStart w:name="_TOC_250001" w:id="8"/>
      <w:r>
        <w:rPr/>
        <w:t>第九节</w:t>
      </w:r>
      <w:r>
        <w:rPr>
          <w:spacing w:val="-2"/>
        </w:rPr>
        <w:t> </w:t>
      </w:r>
      <w:r>
        <w:rPr/>
        <w:t>财务报告</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left="140"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4169"/>
        <w:gridCol w:w="4196"/>
      </w:tblGrid>
      <w:tr>
        <w:trPr>
          <w:trHeight w:val="403" w:hRule="exact"/>
        </w:trPr>
        <w:tc>
          <w:tcPr>
            <w:tcW w:w="4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1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1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致同会计师事务所</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2"/>
        <w:spacing w:line="240" w:lineRule="auto" w:before="180"/>
        <w:ind w:left="140" w:right="158"/>
        <w:jc w:val="center"/>
        <w:rPr>
          <w:b w:val="0"/>
          <w:bCs w:val="0"/>
        </w:rPr>
      </w:pPr>
      <w:r>
        <w:rPr/>
        <w:t>审计报告正文</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p>
      <w:pPr>
        <w:pStyle w:val="BodyText"/>
        <w:spacing w:line="240" w:lineRule="auto" w:before="36"/>
        <w:ind w:left="5157" w:right="0"/>
        <w:jc w:val="left"/>
      </w:pPr>
      <w:r>
        <w:rPr/>
        <w:t>致同审字（</w:t>
      </w:r>
      <w:r>
        <w:rPr>
          <w:rFonts w:ascii="Times New Roman" w:hAnsi="Times New Roman" w:cs="Times New Roman" w:eastAsia="Times New Roman" w:hint="default"/>
        </w:rPr>
        <w:t>2013</w:t>
      </w:r>
      <w:r>
        <w:rPr/>
        <w:t>）第 </w:t>
      </w:r>
      <w:r>
        <w:rPr>
          <w:rFonts w:ascii="Times New Roman" w:hAnsi="Times New Roman" w:cs="Times New Roman" w:eastAsia="Times New Roman" w:hint="default"/>
        </w:rPr>
        <w:t>350ZA0006</w:t>
      </w:r>
      <w:r>
        <w:rPr>
          <w:rFonts w:ascii="Times New Roman" w:hAnsi="Times New Roman" w:cs="Times New Roman" w:eastAsia="Times New Roman" w:hint="default"/>
          <w:spacing w:val="4"/>
        </w:rPr>
        <w:t> </w:t>
      </w:r>
      <w:r>
        <w:rPr/>
        <w:t>号</w:t>
      </w:r>
    </w:p>
    <w:p>
      <w:pPr>
        <w:spacing w:line="240" w:lineRule="auto" w:before="6"/>
        <w:rPr>
          <w:rFonts w:ascii="宋体" w:hAnsi="宋体" w:cs="宋体" w:eastAsia="宋体" w:hint="default"/>
          <w:sz w:val="12"/>
          <w:szCs w:val="12"/>
        </w:rPr>
      </w:pPr>
    </w:p>
    <w:p>
      <w:pPr>
        <w:pStyle w:val="Heading3"/>
        <w:spacing w:line="240" w:lineRule="auto" w:before="36"/>
        <w:ind w:right="0"/>
        <w:jc w:val="both"/>
        <w:rPr>
          <w:b w:val="0"/>
          <w:bCs w:val="0"/>
        </w:rPr>
      </w:pPr>
      <w:r>
        <w:rPr>
          <w:spacing w:val="6"/>
        </w:rPr>
        <w:t>厦门市美亚柏科信息股份有限公司全体股东：</w:t>
      </w:r>
      <w:r>
        <w:rPr>
          <w:b w:val="0"/>
          <w:bCs w:val="0"/>
          <w:spacing w:val="6"/>
        </w:rPr>
      </w:r>
    </w:p>
    <w:p>
      <w:pPr>
        <w:spacing w:line="240" w:lineRule="auto" w:before="8"/>
        <w:rPr>
          <w:rFonts w:ascii="宋体" w:hAnsi="宋体" w:cs="宋体" w:eastAsia="宋体" w:hint="default"/>
          <w:b/>
          <w:bCs/>
          <w:sz w:val="20"/>
          <w:szCs w:val="20"/>
        </w:rPr>
      </w:pPr>
    </w:p>
    <w:p>
      <w:pPr>
        <w:pStyle w:val="BodyText"/>
        <w:spacing w:line="331" w:lineRule="auto"/>
        <w:ind w:right="154" w:firstLine="436"/>
        <w:jc w:val="both"/>
      </w:pPr>
      <w:r>
        <w:rPr>
          <w:spacing w:val="5"/>
        </w:rPr>
        <w:t>我们审计了后附的厦门市美亚柏科信息股份有限公司（以下简称美亚柏科公司）财</w:t>
      </w:r>
      <w:r>
        <w:rPr>
          <w:w w:val="100"/>
        </w:rPr>
        <w:t> </w:t>
      </w:r>
      <w:r>
        <w:rPr>
          <w:spacing w:val="5"/>
        </w:rPr>
        <w:t>务报表，包括</w:t>
      </w:r>
      <w:r>
        <w:rPr>
          <w:spacing w:val="-2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6"/>
        </w:rPr>
        <w:t> </w:t>
      </w:r>
      <w:r>
        <w:rPr/>
        <w:t>年</w:t>
      </w:r>
      <w:r>
        <w:rPr>
          <w:spacing w:val="-16"/>
        </w:rPr>
        <w:t> </w:t>
      </w:r>
      <w:r>
        <w:rPr>
          <w:rFonts w:ascii="Times New Roman" w:hAnsi="Times New Roman" w:cs="Times New Roman" w:eastAsia="Times New Roman" w:hint="default"/>
        </w:rPr>
        <w:t>12</w:t>
      </w:r>
      <w:r>
        <w:rPr>
          <w:rFonts w:ascii="Times New Roman" w:hAnsi="Times New Roman" w:cs="Times New Roman" w:eastAsia="Times New Roman" w:hint="default"/>
          <w:spacing w:val="26"/>
        </w:rPr>
        <w:t> </w:t>
      </w:r>
      <w:r>
        <w:rPr/>
        <w:t>月</w:t>
      </w:r>
      <w:r>
        <w:rPr>
          <w:spacing w:val="-17"/>
        </w:rPr>
        <w:t> </w:t>
      </w:r>
      <w:r>
        <w:rPr>
          <w:rFonts w:ascii="Times New Roman" w:hAnsi="Times New Roman" w:cs="Times New Roman" w:eastAsia="Times New Roman" w:hint="default"/>
        </w:rPr>
        <w:t>31</w:t>
      </w:r>
      <w:r>
        <w:rPr>
          <w:rFonts w:ascii="Times New Roman" w:hAnsi="Times New Roman" w:cs="Times New Roman" w:eastAsia="Times New Roman" w:hint="default"/>
          <w:spacing w:val="26"/>
        </w:rPr>
        <w:t> </w:t>
      </w:r>
      <w:r>
        <w:rPr>
          <w:spacing w:val="4"/>
        </w:rPr>
        <w:t>日的合并及公司资产负债表，</w:t>
      </w:r>
      <w:r>
        <w:rPr>
          <w:rFonts w:ascii="Times New Roman" w:hAnsi="Times New Roman" w:cs="Times New Roman" w:eastAsia="Times New Roman" w:hint="default"/>
          <w:spacing w:val="4"/>
        </w:rPr>
        <w:t>2012</w:t>
      </w:r>
      <w:r>
        <w:rPr>
          <w:rFonts w:ascii="Times New Roman" w:hAnsi="Times New Roman" w:cs="Times New Roman" w:eastAsia="Times New Roman" w:hint="default"/>
          <w:spacing w:val="26"/>
        </w:rPr>
        <w:t> </w:t>
      </w:r>
      <w:r>
        <w:rPr>
          <w:spacing w:val="6"/>
        </w:rPr>
        <w:t>年度的合并及公司利</w:t>
      </w:r>
      <w:r>
        <w:rPr>
          <w:spacing w:val="-101"/>
        </w:rPr>
        <w:t> </w:t>
      </w:r>
      <w:r>
        <w:rPr>
          <w:spacing w:val="5"/>
        </w:rPr>
        <w:t>润表、合并及公司现金流量表、合并及公司股东权益变动表以及财务报表附注。</w:t>
      </w:r>
      <w:r>
        <w:rPr/>
      </w:r>
    </w:p>
    <w:p>
      <w:pPr>
        <w:spacing w:line="240" w:lineRule="auto" w:before="9"/>
        <w:rPr>
          <w:rFonts w:ascii="宋体" w:hAnsi="宋体" w:cs="宋体" w:eastAsia="宋体" w:hint="default"/>
          <w:sz w:val="14"/>
          <w:szCs w:val="14"/>
        </w:rPr>
      </w:pPr>
    </w:p>
    <w:p>
      <w:pPr>
        <w:pStyle w:val="Heading3"/>
        <w:spacing w:line="240" w:lineRule="auto"/>
        <w:ind w:left="562" w:right="0"/>
        <w:jc w:val="left"/>
        <w:rPr>
          <w:b w:val="0"/>
          <w:bCs w:val="0"/>
        </w:rPr>
      </w:pPr>
      <w:r>
        <w:rPr/>
        <w:t>一、管理层对财务报表的责任</w:t>
      </w:r>
      <w:r>
        <w:rPr>
          <w:b w:val="0"/>
          <w:bCs w:val="0"/>
        </w:rPr>
      </w:r>
    </w:p>
    <w:p>
      <w:pPr>
        <w:spacing w:line="240" w:lineRule="auto" w:before="8"/>
        <w:rPr>
          <w:rFonts w:ascii="宋体" w:hAnsi="宋体" w:cs="宋体" w:eastAsia="宋体" w:hint="default"/>
          <w:b/>
          <w:bCs/>
          <w:sz w:val="20"/>
          <w:szCs w:val="20"/>
        </w:rPr>
      </w:pPr>
    </w:p>
    <w:p>
      <w:pPr>
        <w:pStyle w:val="BodyText"/>
        <w:spacing w:line="321" w:lineRule="auto"/>
        <w:ind w:right="156" w:firstLine="436"/>
        <w:jc w:val="both"/>
      </w:pPr>
      <w:r>
        <w:rPr>
          <w:spacing w:val="3"/>
          <w:w w:val="100"/>
        </w:rPr>
        <w:t>编制和公允列报财务报表是美亚柏科公司管理层的责任，这种责任包括：（</w:t>
      </w:r>
      <w:r>
        <w:rPr>
          <w:rFonts w:ascii="Times New Roman" w:hAnsi="Times New Roman" w:cs="Times New Roman" w:eastAsia="Times New Roman" w:hint="default"/>
          <w:spacing w:val="3"/>
          <w:w w:val="100"/>
        </w:rPr>
        <w:t>1</w:t>
      </w:r>
      <w:r>
        <w:rPr>
          <w:spacing w:val="3"/>
          <w:w w:val="100"/>
        </w:rPr>
        <w:t>）按照</w:t>
      </w:r>
      <w:r>
        <w:rPr>
          <w:spacing w:val="7"/>
          <w:w w:val="100"/>
        </w:rPr>
        <w:t> </w:t>
      </w:r>
      <w:r>
        <w:rPr>
          <w:spacing w:val="3"/>
          <w:w w:val="100"/>
        </w:rPr>
        <w:t>企业会计准则的规定编制财务报表，并使其实现公允反映；（</w:t>
      </w:r>
      <w:r>
        <w:rPr>
          <w:rFonts w:ascii="Times New Roman" w:hAnsi="Times New Roman" w:cs="Times New Roman" w:eastAsia="Times New Roman" w:hint="default"/>
          <w:spacing w:val="3"/>
          <w:w w:val="100"/>
        </w:rPr>
        <w:t>2</w:t>
      </w:r>
      <w:r>
        <w:rPr>
          <w:spacing w:val="3"/>
          <w:w w:val="100"/>
        </w:rPr>
        <w:t>）设计、执行和维护必要</w:t>
      </w:r>
      <w:r>
        <w:rPr>
          <w:spacing w:val="-73"/>
          <w:w w:val="100"/>
        </w:rPr>
        <w:t> </w:t>
      </w:r>
      <w:r>
        <w:rPr>
          <w:spacing w:val="5"/>
        </w:rPr>
        <w:t>的内部控制，以使财务报表不存在由于舞弊或错误导致的重大错报。</w:t>
      </w:r>
      <w:r>
        <w:rPr/>
      </w:r>
    </w:p>
    <w:p>
      <w:pPr>
        <w:spacing w:line="544" w:lineRule="exact" w:before="11"/>
        <w:ind w:left="577" w:right="0" w:hanging="15"/>
        <w:jc w:val="left"/>
        <w:rPr>
          <w:rFonts w:ascii="宋体" w:hAnsi="宋体" w:cs="宋体" w:eastAsia="宋体" w:hint="default"/>
          <w:sz w:val="21"/>
          <w:szCs w:val="21"/>
        </w:rPr>
      </w:pPr>
      <w:r>
        <w:rPr>
          <w:rFonts w:ascii="宋体" w:hAnsi="宋体" w:cs="宋体" w:eastAsia="宋体" w:hint="default"/>
          <w:b/>
          <w:bCs/>
          <w:sz w:val="21"/>
          <w:szCs w:val="21"/>
        </w:rPr>
        <w:t>二、注册会计师的责任</w:t>
      </w:r>
      <w:r>
        <w:rPr>
          <w:rFonts w:ascii="宋体" w:hAnsi="宋体" w:cs="宋体" w:eastAsia="宋体" w:hint="default"/>
          <w:b/>
          <w:bCs/>
          <w:w w:val="100"/>
          <w:sz w:val="21"/>
          <w:szCs w:val="21"/>
        </w:rPr>
        <w:t> </w:t>
      </w:r>
      <w:r>
        <w:rPr>
          <w:rFonts w:ascii="宋体" w:hAnsi="宋体" w:cs="宋体" w:eastAsia="宋体" w:hint="default"/>
          <w:spacing w:val="5"/>
          <w:sz w:val="21"/>
          <w:szCs w:val="21"/>
        </w:rPr>
        <w:t>我们的责任是在执行审计工作的基础上对财务报表发表审计意见。我们按照中国注</w:t>
      </w:r>
    </w:p>
    <w:p>
      <w:pPr>
        <w:pStyle w:val="BodyText"/>
        <w:spacing w:line="340" w:lineRule="auto" w:before="37"/>
        <w:ind w:right="173"/>
        <w:jc w:val="both"/>
      </w:pPr>
      <w:r>
        <w:rPr>
          <w:spacing w:val="5"/>
        </w:rPr>
        <w:t>册会计师审计准则的规定执行了审计工作。中国注册会计师审计准则要求我们遵守中国</w:t>
      </w:r>
      <w:r>
        <w:rPr>
          <w:spacing w:val="-19"/>
        </w:rPr>
        <w:t> </w:t>
      </w:r>
      <w:r>
        <w:rPr>
          <w:spacing w:val="-19"/>
        </w:rPr>
      </w:r>
      <w:r>
        <w:rPr>
          <w:spacing w:val="5"/>
        </w:rPr>
        <w:t>注册会计师职业道德守则，计划和执行审计工作以对财务报表是否不存在重大错报获取</w:t>
      </w:r>
      <w:r>
        <w:rPr>
          <w:spacing w:val="-19"/>
        </w:rPr>
        <w:t> </w:t>
      </w:r>
      <w:r>
        <w:rPr>
          <w:spacing w:val="-19"/>
        </w:rPr>
      </w:r>
      <w:r>
        <w:rPr>
          <w:spacing w:val="6"/>
        </w:rPr>
        <w:t>合理保证。</w:t>
      </w:r>
      <w:r>
        <w:rPr/>
      </w:r>
    </w:p>
    <w:p>
      <w:pPr>
        <w:spacing w:line="240" w:lineRule="auto" w:before="12"/>
        <w:rPr>
          <w:rFonts w:ascii="宋体" w:hAnsi="宋体" w:cs="宋体" w:eastAsia="宋体" w:hint="default"/>
          <w:sz w:val="13"/>
          <w:szCs w:val="13"/>
        </w:rPr>
      </w:pPr>
    </w:p>
    <w:p>
      <w:pPr>
        <w:pStyle w:val="BodyText"/>
        <w:spacing w:line="340" w:lineRule="auto"/>
        <w:ind w:right="163" w:firstLine="436"/>
        <w:jc w:val="both"/>
      </w:pPr>
      <w:r>
        <w:rPr>
          <w:spacing w:val="5"/>
        </w:rPr>
        <w:t>审计工作涉及实施审计程序，以获取有关财务报表金额和披露的审计证据。选择的</w:t>
      </w:r>
      <w:r>
        <w:rPr>
          <w:w w:val="100"/>
        </w:rPr>
        <w:t> </w:t>
      </w:r>
      <w:r>
        <w:rPr>
          <w:spacing w:val="5"/>
        </w:rPr>
        <w:t>审计程序取决于注册会计师的判断，包括对由于舞弊或错误导致的财务报表重大错报风</w:t>
      </w:r>
      <w:r>
        <w:rPr>
          <w:spacing w:val="-19"/>
        </w:rPr>
        <w:t> </w:t>
      </w:r>
      <w:r>
        <w:rPr>
          <w:spacing w:val="-19"/>
        </w:rPr>
      </w:r>
      <w:r>
        <w:rPr>
          <w:spacing w:val="5"/>
        </w:rPr>
        <w:t>险的评估。在进行风险评估时，注册会计师考虑与财务报表编制和公允列报相关的内部</w:t>
      </w:r>
      <w:r>
        <w:rPr>
          <w:spacing w:val="-19"/>
        </w:rPr>
        <w:t> </w:t>
      </w:r>
      <w:r>
        <w:rPr>
          <w:spacing w:val="-19"/>
        </w:rPr>
      </w:r>
      <w:r>
        <w:rPr>
          <w:spacing w:val="5"/>
        </w:rPr>
        <w:t>控制，以设计恰当的审计程序，但目的并非对内部控制的有效性发表意见。审计工作还</w:t>
      </w:r>
      <w:r>
        <w:rPr>
          <w:spacing w:val="-19"/>
        </w:rPr>
        <w:t> </w:t>
      </w:r>
      <w:r>
        <w:rPr>
          <w:spacing w:val="-19"/>
        </w:rPr>
      </w:r>
      <w:r>
        <w:rPr>
          <w:spacing w:val="5"/>
        </w:rPr>
        <w:t>包括评价管理层选用会计政策的恰当性和作出会计估计的合理性，以及评价财务报表的</w:t>
      </w:r>
      <w:r>
        <w:rPr>
          <w:spacing w:val="-19"/>
        </w:rPr>
        <w:t> </w:t>
      </w:r>
      <w:r>
        <w:rPr>
          <w:spacing w:val="-19"/>
        </w:rPr>
      </w:r>
      <w:r>
        <w:rPr>
          <w:spacing w:val="6"/>
        </w:rPr>
        <w:t>总体列报。</w:t>
      </w:r>
      <w:r>
        <w:rPr/>
      </w:r>
    </w:p>
    <w:p>
      <w:pPr>
        <w:spacing w:line="240" w:lineRule="auto" w:before="12"/>
        <w:rPr>
          <w:rFonts w:ascii="宋体" w:hAnsi="宋体" w:cs="宋体" w:eastAsia="宋体" w:hint="default"/>
          <w:sz w:val="13"/>
          <w:szCs w:val="13"/>
        </w:rPr>
      </w:pPr>
    </w:p>
    <w:p>
      <w:pPr>
        <w:pStyle w:val="BodyText"/>
        <w:spacing w:line="240" w:lineRule="auto"/>
        <w:ind w:left="577" w:right="0"/>
        <w:jc w:val="left"/>
      </w:pPr>
      <w:r>
        <w:rPr>
          <w:spacing w:val="5"/>
        </w:rPr>
        <w:t>我们相信，我们获取的审计证据是充分、适当的，为发表审计意见提供了基础。</w:t>
      </w:r>
      <w:r>
        <w:rPr/>
      </w:r>
    </w:p>
    <w:p>
      <w:pPr>
        <w:spacing w:after="0" w:line="240" w:lineRule="auto"/>
        <w:jc w:val="left"/>
        <w:sectPr>
          <w:headerReference w:type="default" r:id="rId65"/>
          <w:pgSz w:w="11910" w:h="16840"/>
          <w:pgMar w:header="877" w:footer="1227" w:top="1100" w:bottom="1420" w:left="1660" w:right="1640"/>
        </w:sectPr>
      </w:pPr>
    </w:p>
    <w:p>
      <w:pPr>
        <w:spacing w:line="240" w:lineRule="auto" w:before="10"/>
        <w:rPr>
          <w:rFonts w:ascii="宋体" w:hAnsi="宋体" w:cs="宋体" w:eastAsia="宋体" w:hint="default"/>
          <w:sz w:val="23"/>
          <w:szCs w:val="23"/>
        </w:rPr>
      </w:pPr>
    </w:p>
    <w:p>
      <w:pPr>
        <w:pStyle w:val="Heading3"/>
        <w:spacing w:line="240" w:lineRule="auto" w:before="36"/>
        <w:ind w:left="742" w:right="0"/>
        <w:jc w:val="left"/>
        <w:rPr>
          <w:b w:val="0"/>
          <w:bCs w:val="0"/>
        </w:rPr>
      </w:pPr>
      <w:r>
        <w:rPr/>
        <w:t>三、审计意见</w:t>
      </w:r>
      <w:r>
        <w:rPr>
          <w:b w:val="0"/>
          <w:bCs w:val="0"/>
        </w:rPr>
      </w:r>
    </w:p>
    <w:p>
      <w:pPr>
        <w:spacing w:line="240" w:lineRule="auto" w:before="9"/>
        <w:rPr>
          <w:rFonts w:ascii="宋体" w:hAnsi="宋体" w:cs="宋体" w:eastAsia="宋体" w:hint="default"/>
          <w:b/>
          <w:bCs/>
          <w:sz w:val="20"/>
          <w:szCs w:val="20"/>
        </w:rPr>
      </w:pPr>
    </w:p>
    <w:p>
      <w:pPr>
        <w:pStyle w:val="BodyText"/>
        <w:spacing w:line="331" w:lineRule="auto"/>
        <w:ind w:left="320" w:right="133" w:firstLine="436"/>
        <w:jc w:val="both"/>
      </w:pPr>
      <w:r>
        <w:rPr>
          <w:spacing w:val="5"/>
        </w:rPr>
        <w:t>我们认为，美亚柏科公司财务报表在所有重大方面按照企业会计准则的规定编制，</w:t>
      </w:r>
      <w:r>
        <w:rPr>
          <w:w w:val="100"/>
        </w:rPr>
        <w:t> </w:t>
      </w:r>
      <w:r>
        <w:rPr>
          <w:spacing w:val="5"/>
        </w:rPr>
        <w:t>公允反映了美亚柏科公司</w:t>
      </w:r>
      <w:r>
        <w:rPr>
          <w:spacing w:val="-3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8"/>
        </w:rPr>
        <w:t> </w:t>
      </w:r>
      <w:r>
        <w:rPr/>
        <w:t>年</w:t>
      </w:r>
      <w:r>
        <w:rPr>
          <w:spacing w:val="-29"/>
        </w:rPr>
        <w:t> </w:t>
      </w:r>
      <w:r>
        <w:rPr>
          <w:rFonts w:ascii="Times New Roman" w:hAnsi="Times New Roman" w:cs="Times New Roman" w:eastAsia="Times New Roman" w:hint="default"/>
        </w:rPr>
        <w:t>12</w:t>
      </w:r>
      <w:r>
        <w:rPr>
          <w:rFonts w:ascii="Times New Roman" w:hAnsi="Times New Roman" w:cs="Times New Roman" w:eastAsia="Times New Roman" w:hint="default"/>
          <w:spacing w:val="18"/>
        </w:rPr>
        <w:t> </w:t>
      </w:r>
      <w:r>
        <w:rPr/>
        <w:t>月</w:t>
      </w:r>
      <w:r>
        <w:rPr>
          <w:spacing w:val="-29"/>
        </w:rPr>
        <w:t> </w:t>
      </w:r>
      <w:r>
        <w:rPr>
          <w:rFonts w:ascii="Times New Roman" w:hAnsi="Times New Roman" w:cs="Times New Roman" w:eastAsia="Times New Roman" w:hint="default"/>
        </w:rPr>
        <w:t>31</w:t>
      </w:r>
      <w:r>
        <w:rPr>
          <w:rFonts w:ascii="Times New Roman" w:hAnsi="Times New Roman" w:cs="Times New Roman" w:eastAsia="Times New Roman" w:hint="default"/>
          <w:spacing w:val="18"/>
        </w:rPr>
        <w:t> </w:t>
      </w:r>
      <w:r>
        <w:rPr>
          <w:spacing w:val="5"/>
        </w:rPr>
        <w:t>日的合并及公司财务状况以及</w:t>
      </w:r>
      <w:r>
        <w:rPr>
          <w:spacing w:val="-2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8"/>
        </w:rPr>
        <w:t> </w:t>
      </w:r>
      <w:r>
        <w:rPr>
          <w:spacing w:val="6"/>
        </w:rPr>
        <w:t>年度的合</w:t>
      </w:r>
      <w:r>
        <w:rPr>
          <w:spacing w:val="-101"/>
        </w:rPr>
        <w:t> </w:t>
      </w:r>
      <w:r>
        <w:rPr>
          <w:spacing w:val="5"/>
        </w:rPr>
        <w:t>并及公司经营成果和合并及公司现金流量。</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tbl>
      <w:tblPr>
        <w:tblW w:w="0" w:type="auto"/>
        <w:jc w:val="left"/>
        <w:tblInd w:w="106" w:type="dxa"/>
        <w:tblLayout w:type="fixed"/>
        <w:tblCellMar>
          <w:top w:w="0" w:type="dxa"/>
          <w:left w:w="0" w:type="dxa"/>
          <w:bottom w:w="0" w:type="dxa"/>
          <w:right w:w="0" w:type="dxa"/>
        </w:tblCellMar>
        <w:tblLook w:val="01E0"/>
      </w:tblPr>
      <w:tblGrid>
        <w:gridCol w:w="3205"/>
        <w:gridCol w:w="3772"/>
      </w:tblGrid>
      <w:tr>
        <w:trPr>
          <w:trHeight w:val="1591" w:hRule="exact"/>
        </w:trPr>
        <w:tc>
          <w:tcPr>
            <w:tcW w:w="3205"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pacing w:val="6"/>
                <w:sz w:val="21"/>
                <w:szCs w:val="21"/>
              </w:rPr>
              <w:t>致同会计师事务所</w:t>
            </w:r>
            <w:r>
              <w:rPr>
                <w:rFonts w:ascii="宋体" w:hAnsi="宋体" w:cs="宋体" w:eastAsia="宋体" w:hint="default"/>
                <w:sz w:val="21"/>
                <w:szCs w:val="21"/>
              </w:rPr>
            </w:r>
          </w:p>
          <w:p>
            <w:pPr>
              <w:pStyle w:val="TableParagraph"/>
              <w:spacing w:line="240" w:lineRule="auto" w:before="104"/>
              <w:ind w:left="200" w:right="0"/>
              <w:jc w:val="left"/>
              <w:rPr>
                <w:rFonts w:ascii="宋体" w:hAnsi="宋体" w:cs="宋体" w:eastAsia="宋体" w:hint="default"/>
                <w:sz w:val="21"/>
                <w:szCs w:val="21"/>
              </w:rPr>
            </w:pPr>
            <w:r>
              <w:rPr>
                <w:rFonts w:ascii="宋体" w:hAnsi="宋体" w:cs="宋体" w:eastAsia="宋体" w:hint="default"/>
                <w:spacing w:val="6"/>
                <w:sz w:val="21"/>
                <w:szCs w:val="21"/>
              </w:rPr>
              <w:t>（特殊普通合伙）</w:t>
            </w:r>
            <w:r>
              <w:rPr>
                <w:rFonts w:ascii="宋体" w:hAnsi="宋体" w:cs="宋体" w:eastAsia="宋体" w:hint="default"/>
                <w:sz w:val="21"/>
                <w:szCs w:val="21"/>
              </w:rPr>
            </w:r>
          </w:p>
        </w:tc>
        <w:tc>
          <w:tcPr>
            <w:tcW w:w="3772" w:type="dxa"/>
            <w:tcBorders>
              <w:top w:val="nil" w:sz="6" w:space="0" w:color="auto"/>
              <w:left w:val="nil" w:sz="6" w:space="0" w:color="auto"/>
              <w:bottom w:val="nil" w:sz="6" w:space="0" w:color="auto"/>
              <w:right w:val="nil" w:sz="6" w:space="0" w:color="auto"/>
            </w:tcBorders>
          </w:tcPr>
          <w:p>
            <w:pPr>
              <w:pStyle w:val="TableParagraph"/>
              <w:spacing w:line="211" w:lineRule="exact"/>
              <w:ind w:left="1654" w:right="0"/>
              <w:jc w:val="left"/>
              <w:rPr>
                <w:rFonts w:ascii="宋体" w:hAnsi="宋体" w:cs="宋体" w:eastAsia="宋体" w:hint="default"/>
                <w:sz w:val="21"/>
                <w:szCs w:val="21"/>
              </w:rPr>
            </w:pPr>
            <w:r>
              <w:rPr>
                <w:rFonts w:ascii="宋体" w:hAnsi="宋体" w:cs="宋体" w:eastAsia="宋体" w:hint="default"/>
                <w:sz w:val="21"/>
                <w:szCs w:val="21"/>
              </w:rPr>
              <w:t>中国注册会计师</w:t>
            </w:r>
          </w:p>
          <w:p>
            <w:pPr>
              <w:pStyle w:val="TableParagraph"/>
              <w:spacing w:line="331" w:lineRule="auto" w:before="104"/>
              <w:ind w:left="1654" w:right="641" w:firstLine="1051"/>
              <w:jc w:val="left"/>
              <w:rPr>
                <w:rFonts w:ascii="宋体" w:hAnsi="宋体" w:cs="宋体" w:eastAsia="宋体" w:hint="default"/>
                <w:sz w:val="21"/>
                <w:szCs w:val="21"/>
              </w:rPr>
            </w:pPr>
            <w:r>
              <w:rPr>
                <w:rFonts w:ascii="宋体" w:hAnsi="宋体" w:cs="宋体" w:eastAsia="宋体" w:hint="default"/>
                <w:sz w:val="21"/>
                <w:szCs w:val="21"/>
              </w:rPr>
              <w:t>刘维</w:t>
            </w:r>
            <w:r>
              <w:rPr>
                <w:rFonts w:ascii="宋体" w:hAnsi="宋体" w:cs="宋体" w:eastAsia="宋体" w:hint="default"/>
                <w:w w:val="100"/>
                <w:sz w:val="21"/>
                <w:szCs w:val="21"/>
              </w:rPr>
              <w:t> </w:t>
            </w:r>
            <w:r>
              <w:rPr>
                <w:rFonts w:ascii="宋体" w:hAnsi="宋体" w:cs="宋体" w:eastAsia="宋体" w:hint="default"/>
                <w:spacing w:val="-1"/>
                <w:sz w:val="21"/>
                <w:szCs w:val="21"/>
              </w:rPr>
              <w:t>中国注册会计师</w:t>
            </w:r>
          </w:p>
          <w:p>
            <w:pPr>
              <w:pStyle w:val="TableParagraph"/>
              <w:spacing w:line="240" w:lineRule="auto" w:before="27"/>
              <w:ind w:left="2494" w:right="0"/>
              <w:jc w:val="left"/>
              <w:rPr>
                <w:rFonts w:ascii="宋体" w:hAnsi="宋体" w:cs="宋体" w:eastAsia="宋体" w:hint="default"/>
                <w:sz w:val="21"/>
                <w:szCs w:val="21"/>
              </w:rPr>
            </w:pPr>
            <w:r>
              <w:rPr>
                <w:rFonts w:ascii="宋体" w:hAnsi="宋体" w:cs="宋体" w:eastAsia="宋体" w:hint="default"/>
                <w:sz w:val="21"/>
                <w:szCs w:val="21"/>
              </w:rPr>
              <w:t>吴莉莉</w:t>
            </w:r>
          </w:p>
        </w:tc>
      </w:tr>
      <w:tr>
        <w:trPr>
          <w:trHeight w:val="450" w:hRule="exact"/>
        </w:trPr>
        <w:tc>
          <w:tcPr>
            <w:tcW w:w="3205" w:type="dxa"/>
            <w:tcBorders>
              <w:top w:val="nil" w:sz="6" w:space="0" w:color="auto"/>
              <w:left w:val="nil" w:sz="6" w:space="0" w:color="auto"/>
              <w:bottom w:val="nil" w:sz="6" w:space="0" w:color="auto"/>
              <w:right w:val="nil" w:sz="6" w:space="0" w:color="auto"/>
            </w:tcBorders>
          </w:tcPr>
          <w:p>
            <w:pPr>
              <w:pStyle w:val="TableParagraph"/>
              <w:spacing w:line="240" w:lineRule="auto" w:before="175"/>
              <w:ind w:left="200" w:right="0"/>
              <w:jc w:val="left"/>
              <w:rPr>
                <w:rFonts w:ascii="宋体" w:hAnsi="宋体" w:cs="宋体" w:eastAsia="宋体" w:hint="default"/>
                <w:sz w:val="21"/>
                <w:szCs w:val="21"/>
              </w:rPr>
            </w:pPr>
            <w:r>
              <w:rPr>
                <w:rFonts w:ascii="宋体" w:hAnsi="宋体" w:cs="宋体" w:eastAsia="宋体" w:hint="default"/>
                <w:sz w:val="21"/>
                <w:szCs w:val="21"/>
              </w:rPr>
              <w:t>中国·北京</w:t>
            </w:r>
          </w:p>
        </w:tc>
        <w:tc>
          <w:tcPr>
            <w:tcW w:w="3772" w:type="dxa"/>
            <w:tcBorders>
              <w:top w:val="nil" w:sz="6" w:space="0" w:color="auto"/>
              <w:left w:val="nil" w:sz="6" w:space="0" w:color="auto"/>
              <w:bottom w:val="nil" w:sz="6" w:space="0" w:color="auto"/>
              <w:right w:val="nil" w:sz="6" w:space="0" w:color="auto"/>
            </w:tcBorders>
          </w:tcPr>
          <w:p>
            <w:pPr>
              <w:pStyle w:val="TableParagraph"/>
              <w:spacing w:line="240" w:lineRule="auto" w:before="175"/>
              <w:ind w:left="1257" w:right="0"/>
              <w:jc w:val="left"/>
              <w:rPr>
                <w:rFonts w:ascii="宋体" w:hAnsi="宋体" w:cs="宋体" w:eastAsia="宋体" w:hint="default"/>
                <w:sz w:val="21"/>
                <w:szCs w:val="21"/>
              </w:rPr>
            </w:pPr>
            <w:r>
              <w:rPr>
                <w:rFonts w:ascii="宋体" w:hAnsi="宋体" w:cs="宋体" w:eastAsia="宋体" w:hint="default"/>
                <w:sz w:val="21"/>
                <w:szCs w:val="21"/>
              </w:rPr>
              <w:t>二Ｏ一三年三月二十六日</w:t>
            </w:r>
          </w:p>
        </w:tc>
      </w:tr>
    </w:tbl>
    <w:p>
      <w:pPr>
        <w:spacing w:after="0" w:line="240" w:lineRule="auto"/>
        <w:jc w:val="left"/>
        <w:rPr>
          <w:rFonts w:ascii="宋体" w:hAnsi="宋体" w:cs="宋体" w:eastAsia="宋体" w:hint="default"/>
          <w:sz w:val="21"/>
          <w:szCs w:val="21"/>
        </w:rPr>
        <w:sectPr>
          <w:pgSz w:w="11910" w:h="16840"/>
          <w:pgMar w:header="877" w:footer="1227" w:top="1100" w:bottom="1420" w:left="148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Heading2"/>
        <w:spacing w:line="240" w:lineRule="auto" w:before="26"/>
        <w:ind w:left="140" w:right="0"/>
        <w:jc w:val="left"/>
        <w:rPr>
          <w:b w:val="0"/>
          <w:bCs w:val="0"/>
        </w:rPr>
      </w:pPr>
      <w:r>
        <w:rPr/>
        <w:t>二、财务报表</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left="560" w:right="0"/>
        <w:jc w:val="left"/>
      </w:pPr>
      <w:r>
        <w:rPr/>
        <w:t>财务附注中报表的单位为：人民币元</w:t>
      </w:r>
    </w:p>
    <w:p>
      <w:pPr>
        <w:spacing w:line="240" w:lineRule="auto" w:before="0"/>
        <w:rPr>
          <w:rFonts w:ascii="宋体" w:hAnsi="宋体" w:cs="宋体" w:eastAsia="宋体" w:hint="default"/>
          <w:sz w:val="20"/>
          <w:szCs w:val="20"/>
        </w:rPr>
      </w:pPr>
    </w:p>
    <w:p>
      <w:pPr>
        <w:pStyle w:val="Heading3"/>
        <w:spacing w:line="240" w:lineRule="auto" w:before="154"/>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0"/>
        <w:rPr>
          <w:rFonts w:ascii="宋体" w:hAnsi="宋体" w:cs="宋体" w:eastAsia="宋体" w:hint="default"/>
          <w:b/>
          <w:bCs/>
          <w:sz w:val="22"/>
          <w:szCs w:val="22"/>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编制单位：厦门市美亚柏科信息股份有限公司</w:t>
      </w:r>
    </w:p>
    <w:p>
      <w:pPr>
        <w:spacing w:before="117"/>
        <w:ind w:left="0" w:right="15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571"/>
        <w:gridCol w:w="2895"/>
        <w:gridCol w:w="2888"/>
      </w:tblGrid>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8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8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397,368,696.36</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551,280,614.43</w:t>
            </w: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895"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895"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895"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895"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134878529.97</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85,637,767.36</w:t>
            </w: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6,162,475.93</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9,873,989.12</w:t>
            </w: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895"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895"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895"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2,125,427.78</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6,665,465.63</w:t>
            </w: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895"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18,912,204.68</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23,031,463.73</w:t>
            </w: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895"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84,447,102.44</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80,513,811.26</w:t>
            </w: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895"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895"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643,894,437.16</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757,003,111.53</w:t>
            </w: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8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8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2895"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895"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895"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895"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28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27" w:top="1100" w:bottom="1420" w:left="1660" w:right="1640"/>
        </w:sectPr>
      </w:pPr>
    </w:p>
    <w:p>
      <w:pPr>
        <w:spacing w:line="240" w:lineRule="auto" w:before="11"/>
        <w:rPr>
          <w:rFonts w:ascii="Times New Roman" w:hAnsi="Times New Roman" w:cs="Times New Roman" w:eastAsia="Times New Roman" w:hint="default"/>
          <w:sz w:val="27"/>
          <w:szCs w:val="27"/>
        </w:rPr>
      </w:pPr>
    </w:p>
    <w:tbl>
      <w:tblPr>
        <w:tblW w:w="0" w:type="auto"/>
        <w:jc w:val="left"/>
        <w:tblInd w:w="118" w:type="dxa"/>
        <w:tblLayout w:type="fixed"/>
        <w:tblCellMar>
          <w:top w:w="0" w:type="dxa"/>
          <w:left w:w="0" w:type="dxa"/>
          <w:bottom w:w="0" w:type="dxa"/>
          <w:right w:w="0" w:type="dxa"/>
        </w:tblCellMar>
        <w:tblLook w:val="01E0"/>
      </w:tblPr>
      <w:tblGrid>
        <w:gridCol w:w="2571"/>
        <w:gridCol w:w="2895"/>
        <w:gridCol w:w="2888"/>
      </w:tblGrid>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895"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89,368,012.06</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44,579,561.84</w:t>
            </w: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161,216,920.00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4,772,987.52</w:t>
            </w: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895"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895"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895"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895"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15,665,712.63</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787,252.38</w:t>
            </w: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7,364,935.45</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7,503,510.59</w:t>
            </w:r>
          </w:p>
        </w:tc>
      </w:tr>
      <w:tr>
        <w:trPr>
          <w:trHeight w:val="404"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895"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3,432,622.16</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1,846,835.03</w:t>
            </w: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5,220,638.56</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4,386,618.98</w:t>
            </w: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895"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283,268,840.86</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63,876,766.34</w:t>
            </w: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927,163,278.02</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820,879,877.87</w:t>
            </w: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8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8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895"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895"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67"/>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895"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895"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895"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895"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38,481,758.35</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32,024,625.08</w:t>
            </w: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43,183,408.58</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51,067,806.23</w:t>
            </w: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67"/>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895"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895"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28,963,187.55</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25,687,120.68</w:t>
            </w:r>
          </w:p>
        </w:tc>
      </w:tr>
      <w:tr>
        <w:trPr>
          <w:trHeight w:val="404"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13,842,612.03</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14,985,805.15</w:t>
            </w: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895"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895"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2,602,967.49</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3,066,481.73</w:t>
            </w: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895"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895"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895"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27" w:top="1100" w:bottom="1420" w:left="1660" w:right="1640"/>
        </w:sectPr>
      </w:pPr>
    </w:p>
    <w:p>
      <w:pPr>
        <w:spacing w:line="240" w:lineRule="auto" w:before="11"/>
        <w:rPr>
          <w:rFonts w:ascii="Times New Roman" w:hAnsi="Times New Roman" w:cs="Times New Roman" w:eastAsia="Times New Roman" w:hint="default"/>
          <w:sz w:val="27"/>
          <w:szCs w:val="27"/>
        </w:rPr>
      </w:pPr>
    </w:p>
    <w:tbl>
      <w:tblPr>
        <w:tblW w:w="0" w:type="auto"/>
        <w:jc w:val="left"/>
        <w:tblInd w:w="118" w:type="dxa"/>
        <w:tblLayout w:type="fixed"/>
        <w:tblCellMar>
          <w:top w:w="0" w:type="dxa"/>
          <w:left w:w="0" w:type="dxa"/>
          <w:bottom w:w="0" w:type="dxa"/>
          <w:right w:w="0" w:type="dxa"/>
        </w:tblCellMar>
        <w:tblLook w:val="01E0"/>
      </w:tblPr>
      <w:tblGrid>
        <w:gridCol w:w="2571"/>
        <w:gridCol w:w="907"/>
        <w:gridCol w:w="1988"/>
        <w:gridCol w:w="2888"/>
      </w:tblGrid>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895" w:type="dxa"/>
            <w:gridSpan w:val="2"/>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895" w:type="dxa"/>
            <w:gridSpan w:val="2"/>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895" w:type="dxa"/>
            <w:gridSpan w:val="2"/>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89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1723" w:right="0"/>
              <w:jc w:val="left"/>
              <w:rPr>
                <w:rFonts w:ascii="Times New Roman" w:hAnsi="Times New Roman" w:cs="Times New Roman" w:eastAsia="Times New Roman" w:hint="default"/>
                <w:sz w:val="18"/>
                <w:szCs w:val="18"/>
              </w:rPr>
            </w:pPr>
            <w:r>
              <w:rPr>
                <w:rFonts w:ascii="Times New Roman"/>
                <w:sz w:val="18"/>
              </w:rPr>
              <w:t>127,073,934.00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126,831,838.87</w:t>
            </w: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895"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28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895" w:type="dxa"/>
            <w:gridSpan w:val="2"/>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895" w:type="dxa"/>
            <w:gridSpan w:val="2"/>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895" w:type="dxa"/>
            <w:gridSpan w:val="2"/>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89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550,000.00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4"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895" w:type="dxa"/>
            <w:gridSpan w:val="2"/>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895" w:type="dxa"/>
            <w:gridSpan w:val="2"/>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89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1814" w:right="0"/>
              <w:jc w:val="left"/>
              <w:rPr>
                <w:rFonts w:ascii="Times New Roman" w:hAnsi="Times New Roman" w:cs="Times New Roman" w:eastAsia="Times New Roman" w:hint="default"/>
                <w:sz w:val="18"/>
                <w:szCs w:val="18"/>
              </w:rPr>
            </w:pPr>
            <w:r>
              <w:rPr>
                <w:rFonts w:ascii="Times New Roman"/>
                <w:sz w:val="18"/>
              </w:rPr>
              <w:t>18,268,980.83</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20,059,304.17</w:t>
            </w: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89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14" w:right="0"/>
              <w:jc w:val="left"/>
              <w:rPr>
                <w:rFonts w:ascii="Times New Roman" w:hAnsi="Times New Roman" w:cs="Times New Roman" w:eastAsia="Times New Roman" w:hint="default"/>
                <w:sz w:val="18"/>
                <w:szCs w:val="18"/>
              </w:rPr>
            </w:pPr>
            <w:r>
              <w:rPr>
                <w:rFonts w:ascii="Times New Roman"/>
                <w:sz w:val="18"/>
              </w:rPr>
              <w:t>18,818,980.83</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20,359,304.17</w:t>
            </w: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89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1723" w:right="0"/>
              <w:jc w:val="left"/>
              <w:rPr>
                <w:rFonts w:ascii="Times New Roman" w:hAnsi="Times New Roman" w:cs="Times New Roman" w:eastAsia="Times New Roman" w:hint="default"/>
                <w:sz w:val="18"/>
                <w:szCs w:val="18"/>
              </w:rPr>
            </w:pPr>
            <w:r>
              <w:rPr>
                <w:rFonts w:ascii="Times New Roman"/>
                <w:sz w:val="18"/>
              </w:rPr>
              <w:t>145,892,914.83</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147,191,143.04</w:t>
            </w: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2895"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28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289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1730" w:right="0"/>
              <w:jc w:val="left"/>
              <w:rPr>
                <w:rFonts w:ascii="Times New Roman" w:hAnsi="Times New Roman" w:cs="Times New Roman" w:eastAsia="Times New Roman" w:hint="default"/>
                <w:sz w:val="18"/>
                <w:szCs w:val="18"/>
              </w:rPr>
            </w:pPr>
            <w:r>
              <w:rPr>
                <w:rFonts w:ascii="Times New Roman"/>
                <w:sz w:val="18"/>
              </w:rPr>
              <w:t>110,906,600.00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53,500,000.00</w:t>
            </w: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89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23" w:right="0"/>
              <w:jc w:val="left"/>
              <w:rPr>
                <w:rFonts w:ascii="Times New Roman" w:hAnsi="Times New Roman" w:cs="Times New Roman" w:eastAsia="Times New Roman" w:hint="default"/>
                <w:sz w:val="18"/>
                <w:szCs w:val="18"/>
              </w:rPr>
            </w:pPr>
            <w:r>
              <w:rPr>
                <w:rFonts w:ascii="Times New Roman"/>
                <w:sz w:val="18"/>
              </w:rPr>
              <w:t>483,289,268.09</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503,182,020.13</w:t>
            </w: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895" w:type="dxa"/>
            <w:gridSpan w:val="2"/>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895" w:type="dxa"/>
            <w:gridSpan w:val="2"/>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89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1812" w:right="0"/>
              <w:jc w:val="left"/>
              <w:rPr>
                <w:rFonts w:ascii="Times New Roman" w:hAnsi="Times New Roman" w:cs="Times New Roman" w:eastAsia="Times New Roman" w:hint="default"/>
                <w:sz w:val="18"/>
                <w:szCs w:val="18"/>
              </w:rPr>
            </w:pPr>
            <w:r>
              <w:rPr>
                <w:rFonts w:ascii="Times New Roman"/>
                <w:sz w:val="18"/>
              </w:rPr>
              <w:t>20,161,477.86</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12,338,591.73</w:t>
            </w: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895" w:type="dxa"/>
            <w:gridSpan w:val="2"/>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89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1723" w:right="0"/>
              <w:jc w:val="left"/>
              <w:rPr>
                <w:rFonts w:ascii="Times New Roman" w:hAnsi="Times New Roman" w:cs="Times New Roman" w:eastAsia="Times New Roman" w:hint="default"/>
                <w:sz w:val="18"/>
                <w:szCs w:val="18"/>
              </w:rPr>
            </w:pPr>
            <w:r>
              <w:rPr>
                <w:rFonts w:ascii="Times New Roman"/>
                <w:sz w:val="18"/>
              </w:rPr>
              <w:t>164,576,853.34</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104,668,122.97</w:t>
            </w: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2895" w:type="dxa"/>
            <w:gridSpan w:val="2"/>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89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1723" w:right="0"/>
              <w:jc w:val="left"/>
              <w:rPr>
                <w:rFonts w:ascii="Times New Roman" w:hAnsi="Times New Roman" w:cs="Times New Roman" w:eastAsia="Times New Roman" w:hint="default"/>
                <w:sz w:val="18"/>
                <w:szCs w:val="18"/>
              </w:rPr>
            </w:pPr>
            <w:r>
              <w:rPr>
                <w:rFonts w:ascii="Times New Roman"/>
                <w:sz w:val="18"/>
              </w:rPr>
              <w:t>778,934,199.29</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673,688,734.83</w:t>
            </w: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89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03" w:right="0"/>
              <w:jc w:val="left"/>
              <w:rPr>
                <w:rFonts w:ascii="Times New Roman" w:hAnsi="Times New Roman" w:cs="Times New Roman" w:eastAsia="Times New Roman" w:hint="default"/>
                <w:sz w:val="18"/>
                <w:szCs w:val="18"/>
              </w:rPr>
            </w:pPr>
            <w:r>
              <w:rPr>
                <w:rFonts w:ascii="Times New Roman"/>
                <w:sz w:val="18"/>
              </w:rPr>
              <w:t>2,336,163.90</w:t>
            </w: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289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1723" w:right="0"/>
              <w:jc w:val="left"/>
              <w:rPr>
                <w:rFonts w:ascii="Times New Roman" w:hAnsi="Times New Roman" w:cs="Times New Roman" w:eastAsia="Times New Roman" w:hint="default"/>
                <w:sz w:val="18"/>
                <w:szCs w:val="18"/>
              </w:rPr>
            </w:pPr>
            <w:r>
              <w:rPr>
                <w:rFonts w:ascii="Times New Roman"/>
                <w:sz w:val="18"/>
              </w:rPr>
              <w:t>781,270,363.19</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673,688,734.83</w:t>
            </w:r>
          </w:p>
        </w:tc>
      </w:tr>
      <w:tr>
        <w:trPr>
          <w:trHeight w:val="716"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107"/>
              <w:jc w:val="left"/>
              <w:rPr>
                <w:rFonts w:ascii="宋体" w:hAnsi="宋体" w:cs="宋体" w:eastAsia="宋体" w:hint="default"/>
                <w:sz w:val="18"/>
                <w:szCs w:val="18"/>
              </w:rPr>
            </w:pPr>
            <w:r>
              <w:rPr>
                <w:rFonts w:ascii="宋体" w:hAnsi="宋体" w:cs="宋体" w:eastAsia="宋体" w:hint="default"/>
                <w:sz w:val="18"/>
                <w:szCs w:val="18"/>
              </w:rPr>
              <w:t>负债和所有者权益 总计</w:t>
            </w:r>
          </w:p>
        </w:tc>
        <w:tc>
          <w:tcPr>
            <w:tcW w:w="907" w:type="dxa"/>
            <w:tcBorders>
              <w:top w:val="single" w:sz="4" w:space="0" w:color="000000"/>
              <w:left w:val="single" w:sz="13" w:space="0" w:color="D2D2D2"/>
              <w:bottom w:val="single" w:sz="4" w:space="0" w:color="000000"/>
              <w:right w:val="nil" w:sz="6" w:space="0" w:color="auto"/>
            </w:tcBorders>
          </w:tcPr>
          <w:p>
            <w:pPr/>
          </w:p>
        </w:tc>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33" w:right="0"/>
              <w:jc w:val="left"/>
              <w:rPr>
                <w:rFonts w:ascii="Times New Roman" w:hAnsi="Times New Roman" w:cs="Times New Roman" w:eastAsia="Times New Roman" w:hint="default"/>
                <w:sz w:val="18"/>
                <w:szCs w:val="18"/>
              </w:rPr>
            </w:pPr>
            <w:r>
              <w:rPr>
                <w:rFonts w:ascii="Times New Roman"/>
                <w:sz w:val="18"/>
              </w:rPr>
              <w:t>927,163,278.02</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820,879,877.87</w:t>
            </w:r>
          </w:p>
        </w:tc>
      </w:tr>
    </w:tbl>
    <w:p>
      <w:pPr>
        <w:spacing w:line="240" w:lineRule="auto" w:before="11"/>
        <w:rPr>
          <w:rFonts w:ascii="Times New Roman" w:hAnsi="Times New Roman" w:cs="Times New Roman" w:eastAsia="Times New Roman" w:hint="default"/>
          <w:sz w:val="22"/>
          <w:szCs w:val="22"/>
        </w:rPr>
      </w:pPr>
    </w:p>
    <w:p>
      <w:pPr>
        <w:tabs>
          <w:tab w:pos="2934" w:val="left" w:leader="none"/>
          <w:tab w:pos="5814" w:val="left" w:leader="none"/>
        </w:tabs>
        <w:spacing w:before="44"/>
        <w:ind w:left="140" w:right="0" w:firstLine="0"/>
        <w:jc w:val="left"/>
        <w:rPr>
          <w:rFonts w:ascii="宋体" w:hAnsi="宋体" w:cs="宋体" w:eastAsia="宋体" w:hint="default"/>
          <w:sz w:val="18"/>
          <w:szCs w:val="18"/>
        </w:rPr>
      </w:pPr>
      <w:r>
        <w:rPr/>
        <w:pict>
          <v:shape style="position:absolute;margin-left:158.423996pt;margin-top:-43.772659pt;width:202.75pt;height:22.15pt;mso-position-horizontal-relative:page;mso-position-vertical-relative:paragraph;z-index:-803896"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（或股东权益）</w:t>
                  </w:r>
                </w:p>
              </w:txbxContent>
            </v:textbox>
            <w10:wrap type="none"/>
          </v:shape>
        </w:pict>
      </w:r>
      <w:r>
        <w:rPr/>
        <w:pict>
          <v:group style="position:absolute;margin-left:218.570007pt;margin-top:-48.998283pt;width:143.7pt;height:27.9pt;mso-position-horizontal-relative:page;mso-position-vertical-relative:paragraph;z-index:-803872" coordorigin="4371,-980" coordsize="2874,558">
            <v:group style="position:absolute;left:4371;top:-980;width:2874;height:156" coordorigin="4371,-980" coordsize="2874,156">
              <v:shape style="position:absolute;left:4371;top:-980;width:2874;height:156" coordorigin="4371,-980" coordsize="2874,156" path="m4371,-824l7245,-824,7245,-980,4371,-980,4371,-824xe" filled="true" fillcolor="#ffffff" stroked="false">
                <v:path arrowok="t"/>
                <v:fill type="solid"/>
              </v:shape>
            </v:group>
            <v:group style="position:absolute;left:4382;top:-824;width:2;height:392" coordorigin="4382,-824" coordsize="2,392">
              <v:shape style="position:absolute;left:4382;top:-824;width:2;height:392" coordorigin="4382,-824" coordsize="0,392" path="m4382,-824l4382,-433e" filled="false" stroked="true" strokeweight="1.08pt" strokecolor="#ffffff">
                <v:path arrowok="t"/>
              </v:shape>
            </v:group>
            <v:group style="position:absolute;left:4393;top:-824;width:2830;height:392" coordorigin="4393,-824" coordsize="2830,392">
              <v:shape style="position:absolute;left:4393;top:-824;width:2830;height:392" coordorigin="4393,-824" coordsize="2830,392" path="m4393,-433l7223,-433,7223,-824,4393,-824,4393,-433xe" filled="true" fillcolor="#ffffff" stroked="false">
                <v:path arrowok="t"/>
                <v:fill type="solid"/>
              </v:shape>
            </v:group>
            <w10:wrap type="none"/>
          </v:group>
        </w:pict>
      </w:r>
      <w:r>
        <w:rPr>
          <w:rFonts w:ascii="宋体" w:hAnsi="宋体" w:cs="宋体" w:eastAsia="宋体" w:hint="default"/>
          <w:sz w:val="18"/>
          <w:szCs w:val="18"/>
        </w:rPr>
        <w:t>法定代表人：</w:t>
      </w:r>
      <w:r>
        <w:rPr>
          <w:rFonts w:ascii="宋体" w:hAnsi="宋体" w:cs="宋体" w:eastAsia="宋体" w:hint="default"/>
          <w:spacing w:val="1"/>
          <w:sz w:val="18"/>
          <w:szCs w:val="18"/>
        </w:rPr>
        <w:t> </w:t>
      </w:r>
      <w:r>
        <w:rPr>
          <w:rFonts w:ascii="宋体" w:hAnsi="宋体" w:cs="宋体" w:eastAsia="宋体" w:hint="default"/>
          <w:sz w:val="18"/>
          <w:szCs w:val="18"/>
        </w:rPr>
        <w:t>刘祥南</w:t>
        <w:tab/>
      </w:r>
      <w:r>
        <w:rPr>
          <w:rFonts w:ascii="宋体" w:hAnsi="宋体" w:cs="宋体" w:eastAsia="宋体" w:hint="default"/>
          <w:spacing w:val="-1"/>
          <w:sz w:val="18"/>
          <w:szCs w:val="18"/>
        </w:rPr>
        <w:t>主管会计工作负责人：张乃军</w:t>
        <w:tab/>
        <w:t>会计机构负责人：陈志友</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编制单位：厦门市美亚柏科信息股份有限公司</w:t>
      </w:r>
    </w:p>
    <w:p>
      <w:pPr>
        <w:spacing w:before="117"/>
        <w:ind w:left="0" w:right="15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593"/>
        <w:gridCol w:w="2885"/>
        <w:gridCol w:w="2876"/>
      </w:tblGrid>
      <w:tr>
        <w:trPr>
          <w:trHeight w:val="401" w:hRule="exact"/>
        </w:trPr>
        <w:tc>
          <w:tcPr>
            <w:tcW w:w="2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1227" w:top="1100" w:bottom="1420" w:left="1660" w:right="1640"/>
        </w:sectPr>
      </w:pPr>
    </w:p>
    <w:p>
      <w:pPr>
        <w:spacing w:line="240" w:lineRule="auto" w:before="11"/>
        <w:rPr>
          <w:rFonts w:ascii="Times New Roman" w:hAnsi="Times New Roman" w:cs="Times New Roman" w:eastAsia="Times New Roman" w:hint="default"/>
          <w:sz w:val="27"/>
          <w:szCs w:val="27"/>
        </w:rPr>
      </w:pPr>
    </w:p>
    <w:tbl>
      <w:tblPr>
        <w:tblW w:w="0" w:type="auto"/>
        <w:jc w:val="left"/>
        <w:tblInd w:w="118" w:type="dxa"/>
        <w:tblLayout w:type="fixed"/>
        <w:tblCellMar>
          <w:top w:w="0" w:type="dxa"/>
          <w:left w:w="0" w:type="dxa"/>
          <w:bottom w:w="0" w:type="dxa"/>
          <w:right w:w="0" w:type="dxa"/>
        </w:tblCellMar>
        <w:tblLook w:val="01E0"/>
      </w:tblPr>
      <w:tblGrid>
        <w:gridCol w:w="2569"/>
        <w:gridCol w:w="2897"/>
        <w:gridCol w:w="2888"/>
      </w:tblGrid>
      <w:tr>
        <w:trPr>
          <w:trHeight w:val="401"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8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8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8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382,583,743.72</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528,296,232.80</w:t>
            </w:r>
          </w:p>
        </w:tc>
      </w:tr>
      <w:tr>
        <w:trPr>
          <w:trHeight w:val="401"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897"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897"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131,600,430.77</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83,315,947.59</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8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5,975,906.14</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9,812,124.72</w:t>
            </w:r>
          </w:p>
        </w:tc>
      </w:tr>
      <w:tr>
        <w:trPr>
          <w:trHeight w:val="401"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8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2,125,427.78</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6,665,465.63</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897"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8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18,801,143.30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23,119,158.92</w:t>
            </w:r>
          </w:p>
        </w:tc>
      </w:tr>
      <w:tr>
        <w:trPr>
          <w:trHeight w:val="404"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8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83,844,310.36</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80,513,811.26</w:t>
            </w:r>
          </w:p>
        </w:tc>
      </w:tr>
      <w:tr>
        <w:trPr>
          <w:trHeight w:val="401"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897"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897"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8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624,930,962.07</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731,722,740.92</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8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8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897"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897"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897"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8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25,470,000.00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1"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897"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8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89,254,377.08</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44,543,390.01</w:t>
            </w:r>
          </w:p>
        </w:tc>
      </w:tr>
      <w:tr>
        <w:trPr>
          <w:trHeight w:val="401"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8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161,216,920.00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4,772,987.52</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897"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897"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897"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897"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8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15,665,712.63</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787,252.38</w:t>
            </w:r>
          </w:p>
        </w:tc>
      </w:tr>
      <w:tr>
        <w:trPr>
          <w:trHeight w:val="401"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8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7,364,935.45</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7,503,510.59</w:t>
            </w:r>
          </w:p>
        </w:tc>
      </w:tr>
      <w:tr>
        <w:trPr>
          <w:trHeight w:val="404"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897"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8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3,432,622.16</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1,846,835.03</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8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4,938,002.39</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4,336,205.44</w:t>
            </w:r>
          </w:p>
        </w:tc>
      </w:tr>
      <w:tr>
        <w:trPr>
          <w:trHeight w:val="401"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897"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8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307,342,569.71</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83,790,180.97</w:t>
            </w:r>
          </w:p>
        </w:tc>
      </w:tr>
      <w:tr>
        <w:trPr>
          <w:trHeight w:val="401"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8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932,273,531.78</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815,512,921.89</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8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88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1227" w:top="1100" w:bottom="1420" w:left="1660" w:right="1640"/>
        </w:sectPr>
      </w:pPr>
    </w:p>
    <w:p>
      <w:pPr>
        <w:spacing w:line="240" w:lineRule="auto" w:before="11"/>
        <w:rPr>
          <w:rFonts w:ascii="Times New Roman" w:hAnsi="Times New Roman" w:cs="Times New Roman" w:eastAsia="Times New Roman" w:hint="default"/>
          <w:sz w:val="27"/>
          <w:szCs w:val="27"/>
        </w:rPr>
      </w:pPr>
      <w:r>
        <w:rPr/>
        <w:pict>
          <v:shape style="position:absolute;margin-left:158.181pt;margin-top:735.935974pt;width:203pt;height:19.6pt;mso-position-horizontal-relative:page;mso-position-vertical-relative:page;z-index:-803848" type="#_x0000_t202" filled="false" stroked="false">
            <v:textbox inset="0,0,0,0">
              <w:txbxContent>
                <w:p>
                  <w:pPr>
                    <w:spacing w:before="68"/>
                    <w:ind w:left="0" w:right="0" w:firstLine="0"/>
                    <w:jc w:val="left"/>
                    <w:rPr>
                      <w:rFonts w:ascii="宋体" w:hAnsi="宋体" w:cs="宋体" w:eastAsia="宋体" w:hint="default"/>
                      <w:sz w:val="18"/>
                      <w:szCs w:val="18"/>
                    </w:rPr>
                  </w:pPr>
                  <w:r>
                    <w:rPr>
                      <w:rFonts w:ascii="宋体" w:hAnsi="宋体" w:cs="宋体" w:eastAsia="宋体" w:hint="default"/>
                      <w:sz w:val="18"/>
                      <w:szCs w:val="18"/>
                    </w:rPr>
                    <w:t>（或股东权益）</w:t>
                  </w:r>
                </w:p>
              </w:txbxContent>
            </v:textbox>
            <w10:wrap type="none"/>
          </v:shape>
        </w:pict>
      </w:r>
      <w:r>
        <w:rPr/>
        <w:pict>
          <v:group style="position:absolute;margin-left:218.449997pt;margin-top:735.395996pt;width:142.7pt;height:20.65pt;mso-position-horizontal-relative:page;mso-position-vertical-relative:page;z-index:-803824" coordorigin="4369,14708" coordsize="2854,413">
            <v:group style="position:absolute;left:4380;top:14719;width:2;height:392" coordorigin="4380,14719" coordsize="2,392">
              <v:shape style="position:absolute;left:4380;top:14719;width:2;height:392" coordorigin="4380,14719" coordsize="0,392" path="m4380,14719l4380,15110e" filled="false" stroked="true" strokeweight="1.08pt" strokecolor="#ffffff">
                <v:path arrowok="t"/>
              </v:shape>
            </v:group>
            <v:group style="position:absolute;left:4391;top:14719;width:2833;height:392" coordorigin="4391,14719" coordsize="2833,392">
              <v:shape style="position:absolute;left:4391;top:14719;width:2833;height:392" coordorigin="4391,14719" coordsize="2833,392" path="m4391,15110l7223,15110,7223,14719,4391,14719,4391,15110xe" filled="true" fillcolor="#ffffff" stroked="false">
                <v:path arrowok="t"/>
                <v:fill type="solid"/>
              </v:shape>
            </v:group>
            <w10:wrap type="none"/>
          </v:group>
        </w:pict>
      </w:r>
    </w:p>
    <w:tbl>
      <w:tblPr>
        <w:tblW w:w="0" w:type="auto"/>
        <w:jc w:val="left"/>
        <w:tblInd w:w="118" w:type="dxa"/>
        <w:tblLayout w:type="fixed"/>
        <w:tblCellMar>
          <w:top w:w="0" w:type="dxa"/>
          <w:left w:w="0" w:type="dxa"/>
          <w:bottom w:w="0" w:type="dxa"/>
          <w:right w:w="0" w:type="dxa"/>
        </w:tblCellMar>
        <w:tblLook w:val="01E0"/>
      </w:tblPr>
      <w:tblGrid>
        <w:gridCol w:w="2569"/>
        <w:gridCol w:w="908"/>
        <w:gridCol w:w="1989"/>
        <w:gridCol w:w="2888"/>
      </w:tblGrid>
      <w:tr>
        <w:trPr>
          <w:trHeight w:val="401"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897" w:type="dxa"/>
            <w:gridSpan w:val="2"/>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897" w:type="dxa"/>
            <w:gridSpan w:val="2"/>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897" w:type="dxa"/>
            <w:gridSpan w:val="2"/>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89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1819" w:right="0"/>
              <w:jc w:val="left"/>
              <w:rPr>
                <w:rFonts w:ascii="Times New Roman" w:hAnsi="Times New Roman" w:cs="Times New Roman" w:eastAsia="Times New Roman" w:hint="default"/>
                <w:sz w:val="18"/>
                <w:szCs w:val="18"/>
              </w:rPr>
            </w:pPr>
            <w:r>
              <w:rPr>
                <w:rFonts w:ascii="Times New Roman"/>
                <w:sz w:val="18"/>
              </w:rPr>
              <w:t>39,476,253.84</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32,024,625.08</w:t>
            </w:r>
          </w:p>
        </w:tc>
      </w:tr>
      <w:tr>
        <w:trPr>
          <w:trHeight w:val="401"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89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19" w:right="0"/>
              <w:jc w:val="left"/>
              <w:rPr>
                <w:rFonts w:ascii="Times New Roman" w:hAnsi="Times New Roman" w:cs="Times New Roman" w:eastAsia="Times New Roman" w:hint="default"/>
                <w:sz w:val="18"/>
                <w:szCs w:val="18"/>
              </w:rPr>
            </w:pPr>
            <w:r>
              <w:rPr>
                <w:rFonts w:ascii="Times New Roman"/>
                <w:sz w:val="18"/>
              </w:rPr>
              <w:t>41,584,693.88</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46,505,916.41</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89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1819" w:right="0"/>
              <w:jc w:val="left"/>
              <w:rPr>
                <w:rFonts w:ascii="Times New Roman" w:hAnsi="Times New Roman" w:cs="Times New Roman" w:eastAsia="Times New Roman" w:hint="default"/>
                <w:sz w:val="18"/>
                <w:szCs w:val="18"/>
              </w:rPr>
            </w:pPr>
            <w:r>
              <w:rPr>
                <w:rFonts w:ascii="Times New Roman"/>
                <w:sz w:val="18"/>
              </w:rPr>
              <w:t>26,862,967.16</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24,597,267.81</w:t>
            </w:r>
          </w:p>
        </w:tc>
      </w:tr>
      <w:tr>
        <w:trPr>
          <w:trHeight w:val="401"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89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19" w:right="0"/>
              <w:jc w:val="left"/>
              <w:rPr>
                <w:rFonts w:ascii="Times New Roman" w:hAnsi="Times New Roman" w:cs="Times New Roman" w:eastAsia="Times New Roman" w:hint="default"/>
                <w:sz w:val="18"/>
                <w:szCs w:val="18"/>
              </w:rPr>
            </w:pPr>
            <w:r>
              <w:rPr>
                <w:rFonts w:ascii="Times New Roman"/>
                <w:sz w:val="18"/>
              </w:rPr>
              <w:t>13,532,081.97</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14,855,074.30</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897" w:type="dxa"/>
            <w:gridSpan w:val="2"/>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897" w:type="dxa"/>
            <w:gridSpan w:val="2"/>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89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1819" w:right="0"/>
              <w:jc w:val="left"/>
              <w:rPr>
                <w:rFonts w:ascii="Times New Roman" w:hAnsi="Times New Roman" w:cs="Times New Roman" w:eastAsia="Times New Roman" w:hint="default"/>
                <w:sz w:val="18"/>
                <w:szCs w:val="18"/>
              </w:rPr>
            </w:pPr>
            <w:r>
              <w:rPr>
                <w:rFonts w:ascii="Times New Roman"/>
                <w:sz w:val="18"/>
              </w:rPr>
              <w:t>12,741,862.67</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2,956,751.92</w:t>
            </w:r>
          </w:p>
        </w:tc>
      </w:tr>
      <w:tr>
        <w:trPr>
          <w:trHeight w:val="401"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897" w:type="dxa"/>
            <w:gridSpan w:val="2"/>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897" w:type="dxa"/>
            <w:gridSpan w:val="2"/>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89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28" w:right="0"/>
              <w:jc w:val="left"/>
              <w:rPr>
                <w:rFonts w:ascii="Times New Roman" w:hAnsi="Times New Roman" w:cs="Times New Roman" w:eastAsia="Times New Roman" w:hint="default"/>
                <w:sz w:val="18"/>
                <w:szCs w:val="18"/>
              </w:rPr>
            </w:pPr>
            <w:r>
              <w:rPr>
                <w:rFonts w:ascii="Times New Roman"/>
                <w:sz w:val="18"/>
              </w:rPr>
              <w:t>134,197,859.52</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120,939,635.52</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897"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28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897" w:type="dxa"/>
            <w:gridSpan w:val="2"/>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897" w:type="dxa"/>
            <w:gridSpan w:val="2"/>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897" w:type="dxa"/>
            <w:gridSpan w:val="2"/>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89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550,000.00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1"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897" w:type="dxa"/>
            <w:gridSpan w:val="2"/>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897" w:type="dxa"/>
            <w:gridSpan w:val="2"/>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89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19" w:right="0"/>
              <w:jc w:val="left"/>
              <w:rPr>
                <w:rFonts w:ascii="Times New Roman" w:hAnsi="Times New Roman" w:cs="Times New Roman" w:eastAsia="Times New Roman" w:hint="default"/>
                <w:sz w:val="18"/>
                <w:szCs w:val="18"/>
              </w:rPr>
            </w:pPr>
            <w:r>
              <w:rPr>
                <w:rFonts w:ascii="Times New Roman"/>
                <w:sz w:val="18"/>
              </w:rPr>
              <w:t>18,268,980.83</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20,059,304.17</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89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1819" w:right="0"/>
              <w:jc w:val="left"/>
              <w:rPr>
                <w:rFonts w:ascii="Times New Roman" w:hAnsi="Times New Roman" w:cs="Times New Roman" w:eastAsia="Times New Roman" w:hint="default"/>
                <w:sz w:val="18"/>
                <w:szCs w:val="18"/>
              </w:rPr>
            </w:pPr>
            <w:r>
              <w:rPr>
                <w:rFonts w:ascii="Times New Roman"/>
                <w:sz w:val="18"/>
              </w:rPr>
              <w:t>18,818,980.83</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20,359,304.17</w:t>
            </w:r>
          </w:p>
        </w:tc>
      </w:tr>
      <w:tr>
        <w:trPr>
          <w:trHeight w:val="401"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89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28" w:right="0"/>
              <w:jc w:val="left"/>
              <w:rPr>
                <w:rFonts w:ascii="Times New Roman" w:hAnsi="Times New Roman" w:cs="Times New Roman" w:eastAsia="Times New Roman" w:hint="default"/>
                <w:sz w:val="18"/>
                <w:szCs w:val="18"/>
              </w:rPr>
            </w:pPr>
            <w:r>
              <w:rPr>
                <w:rFonts w:ascii="Times New Roman"/>
                <w:sz w:val="18"/>
              </w:rPr>
              <w:t>153,016,840.35</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141,298,939.69</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2897"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28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289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35" w:right="0"/>
              <w:jc w:val="left"/>
              <w:rPr>
                <w:rFonts w:ascii="Times New Roman" w:hAnsi="Times New Roman" w:cs="Times New Roman" w:eastAsia="Times New Roman" w:hint="default"/>
                <w:sz w:val="18"/>
                <w:szCs w:val="18"/>
              </w:rPr>
            </w:pPr>
            <w:r>
              <w:rPr>
                <w:rFonts w:ascii="Times New Roman"/>
                <w:sz w:val="18"/>
              </w:rPr>
              <w:t>110,906,600.00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53,500,000.00</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89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1728" w:right="0"/>
              <w:jc w:val="left"/>
              <w:rPr>
                <w:rFonts w:ascii="Times New Roman" w:hAnsi="Times New Roman" w:cs="Times New Roman" w:eastAsia="Times New Roman" w:hint="default"/>
                <w:sz w:val="18"/>
                <w:szCs w:val="18"/>
              </w:rPr>
            </w:pPr>
            <w:r>
              <w:rPr>
                <w:rFonts w:ascii="Times New Roman"/>
                <w:sz w:val="18"/>
              </w:rPr>
              <w:t>483,289,268.09</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503,182,020.13</w:t>
            </w:r>
          </w:p>
        </w:tc>
      </w:tr>
      <w:tr>
        <w:trPr>
          <w:trHeight w:val="401"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897" w:type="dxa"/>
            <w:gridSpan w:val="2"/>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897" w:type="dxa"/>
            <w:gridSpan w:val="2"/>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89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19" w:right="0"/>
              <w:jc w:val="left"/>
              <w:rPr>
                <w:rFonts w:ascii="Times New Roman" w:hAnsi="Times New Roman" w:cs="Times New Roman" w:eastAsia="Times New Roman" w:hint="default"/>
                <w:sz w:val="18"/>
                <w:szCs w:val="18"/>
              </w:rPr>
            </w:pPr>
            <w:r>
              <w:rPr>
                <w:rFonts w:ascii="Times New Roman"/>
                <w:sz w:val="18"/>
              </w:rPr>
              <w:t>20,161,477.86</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12,338,591.73</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897" w:type="dxa"/>
            <w:gridSpan w:val="2"/>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89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28" w:right="0"/>
              <w:jc w:val="left"/>
              <w:rPr>
                <w:rFonts w:ascii="Times New Roman" w:hAnsi="Times New Roman" w:cs="Times New Roman" w:eastAsia="Times New Roman" w:hint="default"/>
                <w:sz w:val="18"/>
                <w:szCs w:val="18"/>
              </w:rPr>
            </w:pPr>
            <w:r>
              <w:rPr>
                <w:rFonts w:ascii="Times New Roman"/>
                <w:sz w:val="18"/>
              </w:rPr>
              <w:t>164,899,345.48</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105,193,370.34</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2897" w:type="dxa"/>
            <w:gridSpan w:val="2"/>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289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28" w:right="0"/>
              <w:jc w:val="left"/>
              <w:rPr>
                <w:rFonts w:ascii="Times New Roman" w:hAnsi="Times New Roman" w:cs="Times New Roman" w:eastAsia="Times New Roman" w:hint="default"/>
                <w:sz w:val="18"/>
                <w:szCs w:val="18"/>
              </w:rPr>
            </w:pPr>
            <w:r>
              <w:rPr>
                <w:rFonts w:ascii="Times New Roman"/>
                <w:sz w:val="18"/>
              </w:rPr>
              <w:t>779,256,691.43</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674,213,982.20</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w:t>
            </w:r>
          </w:p>
        </w:tc>
        <w:tc>
          <w:tcPr>
            <w:tcW w:w="908" w:type="dxa"/>
            <w:tcBorders>
              <w:top w:val="single" w:sz="4" w:space="0" w:color="000000"/>
              <w:left w:val="single" w:sz="13" w:space="0" w:color="D2D2D2"/>
              <w:bottom w:val="single" w:sz="4" w:space="0" w:color="000000"/>
              <w:right w:val="nil" w:sz="6" w:space="0" w:color="auto"/>
            </w:tcBorders>
          </w:tcPr>
          <w:p>
            <w:pPr/>
          </w:p>
        </w:tc>
        <w:tc>
          <w:tcPr>
            <w:tcW w:w="19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836" w:right="0"/>
              <w:jc w:val="left"/>
              <w:rPr>
                <w:rFonts w:ascii="Times New Roman" w:hAnsi="Times New Roman" w:cs="Times New Roman" w:eastAsia="Times New Roman" w:hint="default"/>
                <w:sz w:val="18"/>
                <w:szCs w:val="18"/>
              </w:rPr>
            </w:pPr>
            <w:r>
              <w:rPr>
                <w:rFonts w:ascii="Times New Roman"/>
                <w:sz w:val="18"/>
              </w:rPr>
              <w:t>932,273,531.78</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815,512,921.89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1660" w:right="1640"/>
        </w:sectPr>
      </w:pPr>
    </w:p>
    <w:p>
      <w:pPr>
        <w:spacing w:line="240" w:lineRule="auto" w:before="11"/>
        <w:rPr>
          <w:rFonts w:ascii="Times New Roman" w:hAnsi="Times New Roman" w:cs="Times New Roman" w:eastAsia="Times New Roman" w:hint="default"/>
          <w:sz w:val="27"/>
          <w:szCs w:val="27"/>
        </w:rPr>
      </w:pPr>
      <w:r>
        <w:rPr/>
        <w:pict>
          <v:shape style="position:absolute;margin-left:212.449997pt;margin-top:732.64563pt;width:148.7pt;height:22.15pt;mso-position-horizontal-relative:page;mso-position-vertical-relative:page;z-index:-803776"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tbl>
      <w:tblPr>
        <w:tblW w:w="0" w:type="auto"/>
        <w:jc w:val="left"/>
        <w:tblInd w:w="106" w:type="dxa"/>
        <w:tblLayout w:type="fixed"/>
        <w:tblCellMar>
          <w:top w:w="0" w:type="dxa"/>
          <w:left w:w="0" w:type="dxa"/>
          <w:bottom w:w="0" w:type="dxa"/>
          <w:right w:w="0" w:type="dxa"/>
        </w:tblCellMar>
        <w:tblLook w:val="01E0"/>
      </w:tblPr>
      <w:tblGrid>
        <w:gridCol w:w="2580"/>
        <w:gridCol w:w="2897"/>
        <w:gridCol w:w="2888"/>
      </w:tblGrid>
      <w:tr>
        <w:trPr>
          <w:trHeight w:val="363" w:hRule="exact"/>
        </w:trPr>
        <w:tc>
          <w:tcPr>
            <w:tcW w:w="2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总计</w:t>
            </w:r>
          </w:p>
        </w:tc>
        <w:tc>
          <w:tcPr>
            <w:tcW w:w="2897"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Times New Roman" w:hAnsi="Times New Roman" w:cs="Times New Roman" w:eastAsia="Times New Roman" w:hint="default"/>
          <w:sz w:val="22"/>
          <w:szCs w:val="22"/>
        </w:rPr>
      </w:pPr>
    </w:p>
    <w:p>
      <w:pPr>
        <w:tabs>
          <w:tab w:pos="3205" w:val="left" w:leader="none"/>
          <w:tab w:pos="6357" w:val="left" w:leader="none"/>
        </w:tabs>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pacing w:val="1"/>
          <w:sz w:val="18"/>
          <w:szCs w:val="18"/>
        </w:rPr>
        <w:t> </w:t>
      </w:r>
      <w:r>
        <w:rPr>
          <w:rFonts w:ascii="宋体" w:hAnsi="宋体" w:cs="宋体" w:eastAsia="宋体" w:hint="default"/>
          <w:sz w:val="18"/>
          <w:szCs w:val="18"/>
        </w:rPr>
        <w:t>刘祥南</w:t>
        <w:tab/>
      </w:r>
      <w:r>
        <w:rPr>
          <w:rFonts w:ascii="宋体" w:hAnsi="宋体" w:cs="宋体" w:eastAsia="宋体" w:hint="default"/>
          <w:spacing w:val="-1"/>
          <w:sz w:val="18"/>
          <w:szCs w:val="18"/>
        </w:rPr>
        <w:t>主管会计工作负责人：张乃军</w:t>
        <w:tab/>
        <w:t>会计机构负责人：陈志友</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编制单位：厦门市美亚柏科信息股份有限公司</w:t>
      </w:r>
    </w:p>
    <w:p>
      <w:pPr>
        <w:spacing w:before="115"/>
        <w:ind w:left="0" w:right="15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571"/>
        <w:gridCol w:w="2895"/>
        <w:gridCol w:w="2888"/>
      </w:tblGrid>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349,997,542.03</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268,515,584.75</w:t>
            </w: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349,997,542.03</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268,515,584.75</w:t>
            </w:r>
          </w:p>
        </w:tc>
      </w:tr>
      <w:tr>
        <w:trPr>
          <w:trHeight w:val="404"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2895"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
              <w:jc w:val="center"/>
              <w:rPr>
                <w:rFonts w:ascii="宋体" w:hAnsi="宋体" w:cs="宋体" w:eastAsia="宋体" w:hint="default"/>
                <w:sz w:val="18"/>
                <w:szCs w:val="18"/>
              </w:rPr>
            </w:pPr>
            <w:r>
              <w:rPr>
                <w:rFonts w:ascii="宋体" w:hAnsi="宋体" w:cs="宋体" w:eastAsia="宋体" w:hint="default"/>
                <w:sz w:val="18"/>
                <w:szCs w:val="18"/>
              </w:rPr>
              <w:t>已赚保费</w:t>
            </w:r>
          </w:p>
        </w:tc>
        <w:tc>
          <w:tcPr>
            <w:tcW w:w="2895"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7"/>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895"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296,663,683.66</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216,325,449.15</w:t>
            </w: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140,105,791.84</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98,071,682.24</w:t>
            </w: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2895"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7"/>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895"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5"/>
              <w:jc w:val="center"/>
              <w:rPr>
                <w:rFonts w:ascii="宋体" w:hAnsi="宋体" w:cs="宋体" w:eastAsia="宋体" w:hint="default"/>
                <w:sz w:val="18"/>
                <w:szCs w:val="18"/>
              </w:rPr>
            </w:pPr>
            <w:r>
              <w:rPr>
                <w:rFonts w:ascii="宋体" w:hAnsi="宋体" w:cs="宋体" w:eastAsia="宋体" w:hint="default"/>
                <w:sz w:val="18"/>
                <w:szCs w:val="18"/>
              </w:rPr>
              <w:t>退保金</w:t>
            </w:r>
          </w:p>
        </w:tc>
        <w:tc>
          <w:tcPr>
            <w:tcW w:w="2895"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895"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2895"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895"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
              <w:jc w:val="center"/>
              <w:rPr>
                <w:rFonts w:ascii="宋体" w:hAnsi="宋体" w:cs="宋体" w:eastAsia="宋体" w:hint="default"/>
                <w:sz w:val="18"/>
                <w:szCs w:val="18"/>
              </w:rPr>
            </w:pPr>
            <w:r>
              <w:rPr>
                <w:rFonts w:ascii="宋体" w:hAnsi="宋体" w:cs="宋体" w:eastAsia="宋体" w:hint="default"/>
                <w:sz w:val="18"/>
                <w:szCs w:val="18"/>
              </w:rPr>
              <w:t>分保费用</w:t>
            </w:r>
          </w:p>
        </w:tc>
        <w:tc>
          <w:tcPr>
            <w:tcW w:w="2895"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4,473,581.52</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3,740,573.81</w:t>
            </w: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2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63,094,789.77</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53,520,690.90</w:t>
            </w: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2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93,799,341.99</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67,127,438.02</w:t>
            </w: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2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-9,494,294.02</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-10,118,127.40</w:t>
            </w: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4,684,472.56</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3,983,191.58</w:t>
            </w:r>
          </w:p>
        </w:tc>
      </w:tr>
      <w:tr>
        <w:trPr>
          <w:trHeight w:val="71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27" w:firstLine="359"/>
              <w:jc w:val="left"/>
              <w:rPr>
                <w:rFonts w:ascii="宋体" w:hAnsi="宋体" w:cs="宋体" w:eastAsia="宋体" w:hint="default"/>
                <w:sz w:val="18"/>
                <w:szCs w:val="18"/>
              </w:rPr>
            </w:pPr>
            <w:r>
              <w:rPr>
                <w:rFonts w:ascii="宋体" w:hAnsi="宋体" w:cs="宋体" w:eastAsia="宋体" w:hint="default"/>
                <w:sz w:val="18"/>
                <w:szCs w:val="18"/>
              </w:rPr>
              <w:t>加：公允价值变动收益（损 失以“－”号填列）</w:t>
            </w:r>
          </w:p>
        </w:tc>
        <w:tc>
          <w:tcPr>
            <w:tcW w:w="2895"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207" w:firstLine="899"/>
              <w:jc w:val="left"/>
              <w:rPr>
                <w:rFonts w:ascii="宋体" w:hAnsi="宋体" w:cs="宋体" w:eastAsia="宋体" w:hint="default"/>
                <w:sz w:val="18"/>
                <w:szCs w:val="18"/>
              </w:rPr>
            </w:pPr>
            <w:r>
              <w:rPr>
                <w:rFonts w:ascii="宋体" w:hAnsi="宋体" w:cs="宋体" w:eastAsia="宋体" w:hint="default"/>
                <w:sz w:val="18"/>
                <w:szCs w:val="18"/>
              </w:rPr>
              <w:t>投资收益（损失以 “－”号填列）</w:t>
            </w:r>
          </w:p>
        </w:tc>
        <w:tc>
          <w:tcPr>
            <w:tcW w:w="2895"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27" w:firstLine="899"/>
              <w:jc w:val="left"/>
              <w:rPr>
                <w:rFonts w:ascii="宋体" w:hAnsi="宋体" w:cs="宋体" w:eastAsia="宋体" w:hint="default"/>
                <w:sz w:val="18"/>
                <w:szCs w:val="18"/>
              </w:rPr>
            </w:pPr>
            <w:r>
              <w:rPr>
                <w:rFonts w:ascii="宋体" w:hAnsi="宋体" w:cs="宋体" w:eastAsia="宋体" w:hint="default"/>
                <w:sz w:val="18"/>
                <w:szCs w:val="18"/>
              </w:rPr>
              <w:t>其中：对联营企业和 合营企业的投资收益</w:t>
            </w:r>
          </w:p>
        </w:tc>
        <w:tc>
          <w:tcPr>
            <w:tcW w:w="2895" w:type="dxa"/>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Times New Roman" w:hAnsi="Times New Roman" w:cs="Times New Roman" w:eastAsia="Times New Roman" w:hint="default"/>
                <w:sz w:val="18"/>
                <w:szCs w:val="18"/>
              </w:rPr>
            </w:pPr>
            <w:r>
              <w:rPr>
                <w:rFonts w:ascii="宋体" w:hAnsi="宋体" w:cs="宋体" w:eastAsia="宋体" w:hint="default"/>
                <w:spacing w:val="-14"/>
                <w:sz w:val="18"/>
                <w:szCs w:val="18"/>
              </w:rPr>
              <w:t>汇兑收益（损失以“</w:t>
            </w:r>
            <w:r>
              <w:rPr>
                <w:rFonts w:ascii="Times New Roman" w:hAnsi="Times New Roman" w:cs="Times New Roman" w:eastAsia="Times New Roman" w:hint="default"/>
                <w:spacing w:val="-14"/>
                <w:sz w:val="18"/>
                <w:szCs w:val="18"/>
              </w:rPr>
              <w:t>-</w:t>
            </w:r>
          </w:p>
          <w:p>
            <w:pPr>
              <w:pStyle w:val="TableParagraph"/>
              <w:spacing w:line="240" w:lineRule="auto" w:before="60"/>
              <w:ind w:left="1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2895" w:type="dxa"/>
            <w:tcBorders>
              <w:top w:val="single" w:sz="4" w:space="0" w:color="000000"/>
              <w:left w:val="single" w:sz="13" w:space="0" w:color="D2D2D2"/>
              <w:bottom w:val="single" w:sz="4" w:space="0" w:color="000000"/>
              <w:right w:val="single" w:sz="4" w:space="0" w:color="000000"/>
            </w:tcBorders>
          </w:tcPr>
          <w:p>
            <w:pPr>
              <w:pStyle w:val="TableParagraph"/>
              <w:spacing w:line="557" w:lineRule="exact"/>
              <w:ind w:right="-39"/>
              <w:jc w:val="left"/>
              <w:rPr>
                <w:rFonts w:ascii="宋体" w:hAnsi="宋体" w:cs="宋体" w:eastAsia="宋体" w:hint="default"/>
                <w:sz w:val="20"/>
                <w:szCs w:val="20"/>
              </w:rPr>
            </w:pPr>
            <w:r>
              <w:rPr>
                <w:rFonts w:ascii="宋体" w:hAnsi="宋体" w:cs="宋体" w:eastAsia="宋体" w:hint="default"/>
                <w:position w:val="-10"/>
                <w:sz w:val="20"/>
                <w:szCs w:val="20"/>
              </w:rPr>
              <w:pict>
                <v:group style="width:143.7pt;height:27.9pt;mso-position-horizontal-relative:char;mso-position-vertical-relative:line" coordorigin="0,0" coordsize="2874,558">
                  <v:group style="position:absolute;left:0;top:0;width:2874;height:156" coordorigin="0,0" coordsize="2874,156">
                    <v:shape style="position:absolute;left:0;top:0;width:2874;height:156" coordorigin="0,0" coordsize="2874,156" path="m0,156l2873,156,2873,0,0,0,0,156xe" filled="true" fillcolor="#ffffff" stroked="false">
                      <v:path arrowok="t"/>
                      <v:fill type="solid"/>
                    </v:shape>
                  </v:group>
                  <v:group style="position:absolute;left:11;top:156;width:2;height:392" coordorigin="11,156" coordsize="2,392">
                    <v:shape style="position:absolute;left:11;top:156;width:2;height:392" coordorigin="11,156" coordsize="0,392" path="m11,156l11,547e" filled="false" stroked="true" strokeweight="1.08pt" strokecolor="#ffffff">
                      <v:path arrowok="t"/>
                    </v:shape>
                  </v:group>
                  <v:group style="position:absolute;left:22;top:156;width:2830;height:392" coordorigin="22,156" coordsize="2830,392">
                    <v:shape style="position:absolute;left:22;top:156;width:2830;height:392" coordorigin="22,156" coordsize="2830,392" path="m22,547l2852,547,2852,156,22,156,22,547xe" filled="true" fillcolor="#ffffff" stroked="false">
                      <v:path arrowok="t"/>
                      <v:fill type="solid"/>
                    </v:shape>
                  </v:group>
                </v:group>
              </w:pict>
            </w:r>
            <w:r>
              <w:rPr>
                <w:rFonts w:ascii="宋体" w:hAnsi="宋体" w:cs="宋体" w:eastAsia="宋体" w:hint="default"/>
                <w:position w:val="-10"/>
                <w:sz w:val="20"/>
                <w:szCs w:val="20"/>
              </w:rPr>
            </w:r>
          </w:p>
        </w:tc>
        <w:tc>
          <w:tcPr>
            <w:tcW w:w="28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27" w:top="1100" w:bottom="1420" w:left="1660" w:right="1640"/>
        </w:sectPr>
      </w:pPr>
    </w:p>
    <w:p>
      <w:pPr>
        <w:spacing w:line="240" w:lineRule="auto" w:before="8"/>
        <w:rPr>
          <w:rFonts w:ascii="宋体" w:hAnsi="宋体" w:cs="宋体" w:eastAsia="宋体" w:hint="default"/>
          <w:sz w:val="24"/>
          <w:szCs w:val="24"/>
        </w:rPr>
      </w:pPr>
      <w:r>
        <w:rPr/>
        <w:pict>
          <v:shape style="position:absolute;margin-left:194.432999pt;margin-top:189.325607pt;width:166.75pt;height:22.15pt;mso-position-horizontal-relative:page;mso-position-vertical-relative:page;z-index:-80375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18.570007pt;margin-top:184.099976pt;width:143.7pt;height:27.9pt;mso-position-horizontal-relative:page;mso-position-vertical-relative:page;z-index:-803728" coordorigin="4371,3682" coordsize="2874,558">
            <v:group style="position:absolute;left:4371;top:3682;width:2874;height:156" coordorigin="4371,3682" coordsize="2874,156">
              <v:shape style="position:absolute;left:4371;top:3682;width:2874;height:156" coordorigin="4371,3682" coordsize="2874,156" path="m4371,3838l7245,3838,7245,3682,4371,3682,4371,3838xe" filled="true" fillcolor="#ffffff" stroked="false">
                <v:path arrowok="t"/>
                <v:fill type="solid"/>
              </v:shape>
            </v:group>
            <v:group style="position:absolute;left:4382;top:3838;width:2;height:392" coordorigin="4382,3838" coordsize="2,392">
              <v:shape style="position:absolute;left:4382;top:3838;width:2;height:392" coordorigin="4382,3838" coordsize="0,392" path="m4382,3838l4382,4229e" filled="false" stroked="true" strokeweight="1.08pt" strokecolor="#ffffff">
                <v:path arrowok="t"/>
              </v:shape>
            </v:group>
            <v:group style="position:absolute;left:4393;top:3838;width:2830;height:392" coordorigin="4393,3838" coordsize="2830,392">
              <v:shape style="position:absolute;left:4393;top:3838;width:2830;height:392" coordorigin="4393,3838" coordsize="2830,392" path="m4393,4229l7223,4229,7223,3838,4393,3838,4393,4229xe" filled="true" fillcolor="#ffffff" stroked="false">
                <v:path arrowok="t"/>
                <v:fill type="solid"/>
              </v:shape>
            </v:group>
            <w10:wrap type="none"/>
          </v:group>
        </w:pict>
      </w:r>
    </w:p>
    <w:tbl>
      <w:tblPr>
        <w:tblW w:w="0" w:type="auto"/>
        <w:jc w:val="left"/>
        <w:tblInd w:w="118" w:type="dxa"/>
        <w:tblLayout w:type="fixed"/>
        <w:tblCellMar>
          <w:top w:w="0" w:type="dxa"/>
          <w:left w:w="0" w:type="dxa"/>
          <w:bottom w:w="0" w:type="dxa"/>
          <w:right w:w="0" w:type="dxa"/>
        </w:tblCellMar>
        <w:tblLook w:val="01E0"/>
      </w:tblPr>
      <w:tblGrid>
        <w:gridCol w:w="2571"/>
        <w:gridCol w:w="951"/>
        <w:gridCol w:w="1943"/>
        <w:gridCol w:w="2888"/>
      </w:tblGrid>
      <w:tr>
        <w:trPr>
          <w:trHeight w:val="71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 w:right="27"/>
              <w:jc w:val="left"/>
              <w:rPr>
                <w:rFonts w:ascii="宋体" w:hAnsi="宋体" w:cs="宋体" w:eastAsia="宋体" w:hint="default"/>
                <w:sz w:val="18"/>
                <w:szCs w:val="18"/>
              </w:rPr>
            </w:pPr>
            <w:r>
              <w:rPr>
                <w:rFonts w:ascii="宋体" w:hAnsi="宋体" w:cs="宋体" w:eastAsia="宋体" w:hint="default"/>
                <w:sz w:val="18"/>
                <w:szCs w:val="18"/>
              </w:rPr>
              <w:t>三、营业利润（亏损以“－”号 填列）</w:t>
            </w:r>
          </w:p>
        </w:tc>
        <w:tc>
          <w:tcPr>
            <w:tcW w:w="289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14" w:right="0"/>
              <w:jc w:val="left"/>
              <w:rPr>
                <w:rFonts w:ascii="Times New Roman" w:hAnsi="Times New Roman" w:cs="Times New Roman" w:eastAsia="Times New Roman" w:hint="default"/>
                <w:sz w:val="18"/>
                <w:szCs w:val="18"/>
              </w:rPr>
            </w:pPr>
            <w:r>
              <w:rPr>
                <w:rFonts w:ascii="Times New Roman"/>
                <w:sz w:val="18"/>
              </w:rPr>
              <w:t>53,333,858.37</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52,190,135.60</w:t>
            </w: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89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1814" w:right="0"/>
              <w:jc w:val="left"/>
              <w:rPr>
                <w:rFonts w:ascii="Times New Roman" w:hAnsi="Times New Roman" w:cs="Times New Roman" w:eastAsia="Times New Roman" w:hint="default"/>
                <w:sz w:val="18"/>
                <w:szCs w:val="18"/>
              </w:rPr>
            </w:pPr>
            <w:r>
              <w:rPr>
                <w:rFonts w:ascii="Times New Roman"/>
                <w:sz w:val="18"/>
              </w:rPr>
              <w:t>30,866,562.70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18,256,337.80</w:t>
            </w: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89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03" w:right="0"/>
              <w:jc w:val="left"/>
              <w:rPr>
                <w:rFonts w:ascii="Times New Roman" w:hAnsi="Times New Roman" w:cs="Times New Roman" w:eastAsia="Times New Roman" w:hint="default"/>
                <w:sz w:val="18"/>
                <w:szCs w:val="18"/>
              </w:rPr>
            </w:pPr>
            <w:r>
              <w:rPr>
                <w:rFonts w:ascii="Times New Roman"/>
                <w:sz w:val="18"/>
              </w:rPr>
              <w:t>1,042,968.73</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237,283.50</w:t>
            </w:r>
          </w:p>
        </w:tc>
      </w:tr>
      <w:tr>
        <w:trPr>
          <w:trHeight w:val="715"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其中：非流动资产处</w:t>
            </w:r>
          </w:p>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置损失</w:t>
            </w:r>
          </w:p>
        </w:tc>
        <w:tc>
          <w:tcPr>
            <w:tcW w:w="2895" w:type="dxa"/>
            <w:gridSpan w:val="2"/>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435"/>
              <w:jc w:val="left"/>
              <w:rPr>
                <w:rFonts w:ascii="宋体" w:hAnsi="宋体" w:cs="宋体" w:eastAsia="宋体" w:hint="default"/>
                <w:sz w:val="18"/>
                <w:szCs w:val="18"/>
              </w:rPr>
            </w:pPr>
            <w:r>
              <w:rPr>
                <w:rFonts w:ascii="宋体" w:hAnsi="宋体" w:cs="宋体" w:eastAsia="宋体" w:hint="default"/>
                <w:spacing w:val="-4"/>
                <w:sz w:val="18"/>
                <w:szCs w:val="18"/>
              </w:rPr>
              <w:t>四、利润总额（亏损总额以</w:t>
            </w:r>
            <w:r>
              <w:rPr>
                <w:rFonts w:ascii="宋体" w:hAnsi="宋体" w:cs="宋体" w:eastAsia="宋体" w:hint="default"/>
                <w:sz w:val="18"/>
                <w:szCs w:val="18"/>
              </w:rPr>
              <w:t> 号填列）</w:t>
            </w:r>
          </w:p>
        </w:tc>
        <w:tc>
          <w:tcPr>
            <w:tcW w:w="951" w:type="dxa"/>
            <w:tcBorders>
              <w:top w:val="single" w:sz="4" w:space="0" w:color="000000"/>
              <w:left w:val="single" w:sz="13" w:space="0" w:color="D2D2D2"/>
              <w:bottom w:val="single" w:sz="4" w:space="0" w:color="000000"/>
              <w:right w:val="nil" w:sz="6" w:space="0" w:color="auto"/>
            </w:tcBorders>
          </w:tcPr>
          <w:p>
            <w:pPr/>
          </w:p>
        </w:tc>
        <w:tc>
          <w:tcPr>
            <w:tcW w:w="1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7" w:right="0"/>
              <w:jc w:val="left"/>
              <w:rPr>
                <w:rFonts w:ascii="Times New Roman" w:hAnsi="Times New Roman" w:cs="Times New Roman" w:eastAsia="Times New Roman" w:hint="default"/>
                <w:sz w:val="18"/>
                <w:szCs w:val="18"/>
              </w:rPr>
            </w:pPr>
            <w:r>
              <w:rPr>
                <w:rFonts w:ascii="Times New Roman"/>
                <w:sz w:val="18"/>
              </w:rPr>
              <w:t>83,157,452.34</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70,209,189.90</w:t>
            </w: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89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1903" w:right="0"/>
              <w:jc w:val="left"/>
              <w:rPr>
                <w:rFonts w:ascii="Times New Roman" w:hAnsi="Times New Roman" w:cs="Times New Roman" w:eastAsia="Times New Roman" w:hint="default"/>
                <w:sz w:val="18"/>
                <w:szCs w:val="18"/>
              </w:rPr>
            </w:pPr>
            <w:r>
              <w:rPr>
                <w:rFonts w:ascii="Times New Roman"/>
                <w:sz w:val="18"/>
              </w:rPr>
              <w:t>4,594,125.54</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8,704,208.12</w:t>
            </w:r>
          </w:p>
        </w:tc>
      </w:tr>
      <w:tr>
        <w:trPr>
          <w:trHeight w:val="71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 w:right="27"/>
              <w:jc w:val="left"/>
              <w:rPr>
                <w:rFonts w:ascii="宋体" w:hAnsi="宋体" w:cs="宋体" w:eastAsia="宋体" w:hint="default"/>
                <w:sz w:val="18"/>
                <w:szCs w:val="18"/>
              </w:rPr>
            </w:pPr>
            <w:r>
              <w:rPr>
                <w:rFonts w:ascii="宋体" w:hAnsi="宋体" w:cs="宋体" w:eastAsia="宋体" w:hint="default"/>
                <w:sz w:val="18"/>
                <w:szCs w:val="18"/>
              </w:rPr>
              <w:t>五、净利润（净亏损以“－”号 填列）</w:t>
            </w:r>
          </w:p>
        </w:tc>
        <w:tc>
          <w:tcPr>
            <w:tcW w:w="289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12" w:right="0"/>
              <w:jc w:val="left"/>
              <w:rPr>
                <w:rFonts w:ascii="Times New Roman" w:hAnsi="Times New Roman" w:cs="Times New Roman" w:eastAsia="Times New Roman" w:hint="default"/>
                <w:sz w:val="18"/>
                <w:szCs w:val="18"/>
              </w:rPr>
            </w:pPr>
            <w:r>
              <w:rPr>
                <w:rFonts w:ascii="Times New Roman"/>
                <w:sz w:val="18"/>
              </w:rPr>
              <w:t>78,563,326.80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61,504,981.78</w:t>
            </w:r>
          </w:p>
        </w:tc>
      </w:tr>
      <w:tr>
        <w:trPr>
          <w:trHeight w:val="715"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27" w:firstLine="359"/>
              <w:jc w:val="left"/>
              <w:rPr>
                <w:rFonts w:ascii="宋体" w:hAnsi="宋体" w:cs="宋体" w:eastAsia="宋体" w:hint="default"/>
                <w:sz w:val="18"/>
                <w:szCs w:val="18"/>
              </w:rPr>
            </w:pPr>
            <w:r>
              <w:rPr>
                <w:rFonts w:ascii="宋体" w:hAnsi="宋体" w:cs="宋体" w:eastAsia="宋体" w:hint="default"/>
                <w:sz w:val="18"/>
                <w:szCs w:val="18"/>
              </w:rPr>
              <w:t>其中：被合并方在合并前实 现的净利润</w:t>
            </w:r>
          </w:p>
        </w:tc>
        <w:tc>
          <w:tcPr>
            <w:tcW w:w="289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润</w:t>
            </w:r>
          </w:p>
        </w:tc>
        <w:tc>
          <w:tcPr>
            <w:tcW w:w="289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14" w:right="0"/>
              <w:jc w:val="left"/>
              <w:rPr>
                <w:rFonts w:ascii="Times New Roman" w:hAnsi="Times New Roman" w:cs="Times New Roman" w:eastAsia="Times New Roman" w:hint="default"/>
                <w:sz w:val="18"/>
                <w:szCs w:val="18"/>
              </w:rPr>
            </w:pPr>
            <w:r>
              <w:rPr>
                <w:rFonts w:ascii="Times New Roman"/>
                <w:sz w:val="18"/>
              </w:rPr>
              <w:t>78,431,616.50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61,504,981.78</w:t>
            </w: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89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131,710.30</w:t>
            </w: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28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67"/>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289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0.72</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0.61</w:t>
            </w: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67"/>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289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0.72</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0.61</w:t>
            </w:r>
          </w:p>
        </w:tc>
      </w:tr>
      <w:tr>
        <w:trPr>
          <w:trHeight w:val="404"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2895" w:type="dxa"/>
            <w:gridSpan w:val="2"/>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289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14" w:right="0"/>
              <w:jc w:val="left"/>
              <w:rPr>
                <w:rFonts w:ascii="Times New Roman" w:hAnsi="Times New Roman" w:cs="Times New Roman" w:eastAsia="Times New Roman" w:hint="default"/>
                <w:sz w:val="18"/>
                <w:szCs w:val="18"/>
              </w:rPr>
            </w:pPr>
            <w:r>
              <w:rPr>
                <w:rFonts w:ascii="Times New Roman"/>
                <w:sz w:val="18"/>
              </w:rPr>
              <w:t>78,563,326.80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61,504,981.78</w:t>
            </w:r>
          </w:p>
        </w:tc>
      </w:tr>
      <w:tr>
        <w:trPr>
          <w:trHeight w:val="715"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27" w:firstLine="359"/>
              <w:jc w:val="left"/>
              <w:rPr>
                <w:rFonts w:ascii="宋体" w:hAnsi="宋体" w:cs="宋体" w:eastAsia="宋体" w:hint="default"/>
                <w:sz w:val="18"/>
                <w:szCs w:val="18"/>
              </w:rPr>
            </w:pPr>
            <w:r>
              <w:rPr>
                <w:rFonts w:ascii="宋体" w:hAnsi="宋体" w:cs="宋体" w:eastAsia="宋体" w:hint="default"/>
                <w:sz w:val="18"/>
                <w:szCs w:val="18"/>
              </w:rPr>
              <w:t>归属于母公司所有者的综合 收益总额</w:t>
            </w:r>
          </w:p>
        </w:tc>
        <w:tc>
          <w:tcPr>
            <w:tcW w:w="289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14" w:right="0"/>
              <w:jc w:val="left"/>
              <w:rPr>
                <w:rFonts w:ascii="Times New Roman" w:hAnsi="Times New Roman" w:cs="Times New Roman" w:eastAsia="Times New Roman" w:hint="default"/>
                <w:sz w:val="18"/>
                <w:szCs w:val="18"/>
              </w:rPr>
            </w:pPr>
            <w:r>
              <w:rPr>
                <w:rFonts w:ascii="Times New Roman"/>
                <w:sz w:val="18"/>
              </w:rPr>
              <w:t>78,431,616.50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61,504,981.78</w:t>
            </w:r>
          </w:p>
        </w:tc>
      </w:tr>
      <w:tr>
        <w:trPr>
          <w:trHeight w:val="715"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27" w:firstLine="359"/>
              <w:jc w:val="left"/>
              <w:rPr>
                <w:rFonts w:ascii="宋体" w:hAnsi="宋体" w:cs="宋体" w:eastAsia="宋体" w:hint="default"/>
                <w:sz w:val="18"/>
                <w:szCs w:val="18"/>
              </w:rPr>
            </w:pPr>
            <w:r>
              <w:rPr>
                <w:rFonts w:ascii="宋体" w:hAnsi="宋体" w:cs="宋体" w:eastAsia="宋体" w:hint="default"/>
                <w:sz w:val="18"/>
                <w:szCs w:val="18"/>
              </w:rPr>
              <w:t>归属于少数股东的综合收益 总额</w:t>
            </w:r>
          </w:p>
        </w:tc>
        <w:tc>
          <w:tcPr>
            <w:tcW w:w="289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131,710.30</w:t>
            </w:r>
          </w:p>
        </w:tc>
        <w:tc>
          <w:tcPr>
            <w:tcW w:w="2888" w:type="dxa"/>
            <w:tcBorders>
              <w:top w:val="single" w:sz="4" w:space="0" w:color="000000"/>
              <w:left w:val="single" w:sz="4" w:space="0" w:color="000000"/>
              <w:bottom w:val="single" w:sz="4" w:space="0" w:color="000000"/>
              <w:right w:val="single" w:sz="4" w:space="0" w:color="000000"/>
            </w:tcBorders>
          </w:tcPr>
          <w:p>
            <w:pPr/>
          </w:p>
        </w:tc>
      </w:tr>
    </w:tbl>
    <w:p>
      <w:pPr>
        <w:spacing w:before="49"/>
        <w:ind w:left="140" w:right="0"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tabs>
          <w:tab w:pos="2824" w:val="left" w:leader="none"/>
          <w:tab w:pos="6494" w:val="left" w:leader="none"/>
        </w:tabs>
        <w:spacing w:before="125"/>
        <w:ind w:left="140" w:right="0" w:firstLine="0"/>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pacing w:val="-21"/>
          <w:sz w:val="18"/>
          <w:szCs w:val="18"/>
        </w:rPr>
        <w:t> </w:t>
      </w:r>
      <w:r>
        <w:rPr>
          <w:rFonts w:ascii="宋体" w:hAnsi="宋体" w:cs="宋体" w:eastAsia="宋体" w:hint="default"/>
          <w:sz w:val="18"/>
          <w:szCs w:val="18"/>
        </w:rPr>
        <w:t>刘祥南</w:t>
        <w:tab/>
      </w:r>
      <w:r>
        <w:rPr>
          <w:rFonts w:ascii="宋体" w:hAnsi="宋体" w:cs="宋体" w:eastAsia="宋体" w:hint="default"/>
          <w:spacing w:val="-2"/>
          <w:sz w:val="18"/>
          <w:szCs w:val="18"/>
        </w:rPr>
        <w:t>主管会计工作负责人：张乃军</w:t>
        <w:tab/>
      </w:r>
      <w:r>
        <w:rPr>
          <w:rFonts w:ascii="宋体" w:hAnsi="宋体" w:cs="宋体" w:eastAsia="宋体" w:hint="default"/>
          <w:spacing w:val="-3"/>
          <w:sz w:val="18"/>
          <w:szCs w:val="18"/>
        </w:rPr>
        <w:t>会计机构负责人：陈志友</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3"/>
        <w:rPr>
          <w:rFonts w:ascii="宋体" w:hAnsi="宋体" w:cs="宋体" w:eastAsia="宋体" w:hint="default"/>
          <w:b/>
          <w:bCs/>
          <w:sz w:val="22"/>
          <w:szCs w:val="22"/>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编制单位：厦门市美亚柏科信息股份有限公司</w:t>
      </w:r>
    </w:p>
    <w:p>
      <w:pPr>
        <w:spacing w:before="117"/>
        <w:ind w:left="0" w:right="15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569"/>
        <w:gridCol w:w="2897"/>
        <w:gridCol w:w="2888"/>
      </w:tblGrid>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8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343,374,887.50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262,968,912.27</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8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140,776,245.05</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98,056,952.24</w:t>
            </w:r>
          </w:p>
        </w:tc>
      </w:tr>
      <w:tr>
        <w:trPr>
          <w:trHeight w:val="401"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8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4,244,576.34</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3,477,776.16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1660" w:right="1640"/>
        </w:sectPr>
      </w:pPr>
    </w:p>
    <w:p>
      <w:pPr>
        <w:spacing w:line="240" w:lineRule="auto" w:before="8"/>
        <w:rPr>
          <w:rFonts w:ascii="宋体" w:hAnsi="宋体" w:cs="宋体" w:eastAsia="宋体" w:hint="default"/>
          <w:sz w:val="24"/>
          <w:szCs w:val="24"/>
        </w:rPr>
      </w:pPr>
      <w:r>
        <w:rPr/>
        <w:pict>
          <v:shape style="position:absolute;margin-left:194.186005pt;margin-top:193.885605pt;width:167pt;height:22.15pt;mso-position-horizontal-relative:page;mso-position-vertical-relative:page;z-index:-8036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212.16301pt;margin-top:376.915619pt;width:149pt;height:22.15pt;mso-position-horizontal-relative:page;mso-position-vertical-relative:page;z-index:-803656"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18.449997pt;margin-top:371.689972pt;width:143.8pt;height:27.9pt;mso-position-horizontal-relative:page;mso-position-vertical-relative:page;z-index:-803632" coordorigin="4369,7434" coordsize="2876,558">
            <v:group style="position:absolute;left:4369;top:7434;width:2876;height:156" coordorigin="4369,7434" coordsize="2876,156">
              <v:shape style="position:absolute;left:4369;top:7434;width:2876;height:156" coordorigin="4369,7434" coordsize="2876,156" path="m4369,7590l7245,7590,7245,7434,4369,7434,4369,7590xe" filled="true" fillcolor="#ffffff" stroked="false">
                <v:path arrowok="t"/>
                <v:fill type="solid"/>
              </v:shape>
            </v:group>
            <v:group style="position:absolute;left:4380;top:7590;width:2;height:392" coordorigin="4380,7590" coordsize="2,392">
              <v:shape style="position:absolute;left:4380;top:7590;width:2;height:392" coordorigin="4380,7590" coordsize="0,392" path="m4380,7590l4380,7981e" filled="false" stroked="true" strokeweight="1.08pt" strokecolor="#ffffff">
                <v:path arrowok="t"/>
              </v:shape>
            </v:group>
            <v:group style="position:absolute;left:4391;top:7590;width:2833;height:392" coordorigin="4391,7590" coordsize="2833,392">
              <v:shape style="position:absolute;left:4391;top:7590;width:2833;height:392" coordorigin="4391,7590" coordsize="2833,392" path="m4391,7981l7223,7981,7223,7590,4391,7590,4391,7981xe" filled="true" fillcolor="#ffffff" stroked="false">
                <v:path arrowok="t"/>
                <v:fill type="solid"/>
              </v:shape>
            </v:group>
            <w10:wrap type="none"/>
          </v:group>
        </w:pict>
      </w:r>
    </w:p>
    <w:tbl>
      <w:tblPr>
        <w:tblW w:w="0" w:type="auto"/>
        <w:jc w:val="left"/>
        <w:tblInd w:w="118" w:type="dxa"/>
        <w:tblLayout w:type="fixed"/>
        <w:tblCellMar>
          <w:top w:w="0" w:type="dxa"/>
          <w:left w:w="0" w:type="dxa"/>
          <w:bottom w:w="0" w:type="dxa"/>
          <w:right w:w="0" w:type="dxa"/>
        </w:tblCellMar>
        <w:tblLook w:val="01E0"/>
      </w:tblPr>
      <w:tblGrid>
        <w:gridCol w:w="2569"/>
        <w:gridCol w:w="952"/>
        <w:gridCol w:w="1945"/>
        <w:gridCol w:w="2888"/>
      </w:tblGrid>
      <w:tr>
        <w:trPr>
          <w:trHeight w:val="401"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89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19" w:right="0"/>
              <w:jc w:val="left"/>
              <w:rPr>
                <w:rFonts w:ascii="Times New Roman" w:hAnsi="Times New Roman" w:cs="Times New Roman" w:eastAsia="Times New Roman" w:hint="default"/>
                <w:sz w:val="18"/>
                <w:szCs w:val="18"/>
              </w:rPr>
            </w:pPr>
            <w:r>
              <w:rPr>
                <w:rFonts w:ascii="Times New Roman"/>
                <w:sz w:val="18"/>
              </w:rPr>
              <w:t>60,410,903.92</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51,618,566.70</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89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1819" w:right="0"/>
              <w:jc w:val="left"/>
              <w:rPr>
                <w:rFonts w:ascii="Times New Roman" w:hAnsi="Times New Roman" w:cs="Times New Roman" w:eastAsia="Times New Roman" w:hint="default"/>
                <w:sz w:val="18"/>
                <w:szCs w:val="18"/>
              </w:rPr>
            </w:pPr>
            <w:r>
              <w:rPr>
                <w:rFonts w:ascii="Times New Roman"/>
                <w:sz w:val="18"/>
              </w:rPr>
              <w:t>89,263,214.68</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65,424,632.43</w:t>
            </w:r>
          </w:p>
        </w:tc>
      </w:tr>
      <w:tr>
        <w:trPr>
          <w:trHeight w:val="401"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89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55" w:right="0"/>
              <w:jc w:val="left"/>
              <w:rPr>
                <w:rFonts w:ascii="Times New Roman" w:hAnsi="Times New Roman" w:cs="Times New Roman" w:eastAsia="Times New Roman" w:hint="default"/>
                <w:sz w:val="18"/>
                <w:szCs w:val="18"/>
              </w:rPr>
            </w:pPr>
            <w:r>
              <w:rPr>
                <w:rFonts w:ascii="Times New Roman"/>
                <w:sz w:val="18"/>
              </w:rPr>
              <w:t>-9,343,785.11</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-10,081,322.64</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89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1908" w:right="0"/>
              <w:jc w:val="left"/>
              <w:rPr>
                <w:rFonts w:ascii="Times New Roman" w:hAnsi="Times New Roman" w:cs="Times New Roman" w:eastAsia="Times New Roman" w:hint="default"/>
                <w:sz w:val="18"/>
                <w:szCs w:val="18"/>
              </w:rPr>
            </w:pPr>
            <w:r>
              <w:rPr>
                <w:rFonts w:ascii="Times New Roman"/>
                <w:sz w:val="18"/>
              </w:rPr>
              <w:t>4,727,099.52</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3,706,331.94</w:t>
            </w:r>
          </w:p>
        </w:tc>
      </w:tr>
      <w:tr>
        <w:trPr>
          <w:trHeight w:val="71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26" w:firstLine="359"/>
              <w:jc w:val="left"/>
              <w:rPr>
                <w:rFonts w:ascii="宋体" w:hAnsi="宋体" w:cs="宋体" w:eastAsia="宋体" w:hint="default"/>
                <w:sz w:val="18"/>
                <w:szCs w:val="18"/>
              </w:rPr>
            </w:pPr>
            <w:r>
              <w:rPr>
                <w:rFonts w:ascii="宋体" w:hAnsi="宋体" w:cs="宋体" w:eastAsia="宋体" w:hint="default"/>
                <w:sz w:val="18"/>
                <w:szCs w:val="18"/>
              </w:rPr>
              <w:t>加：公允价值变动收益（损 失以“－”号填列）</w:t>
            </w:r>
          </w:p>
        </w:tc>
        <w:tc>
          <w:tcPr>
            <w:tcW w:w="2897" w:type="dxa"/>
            <w:gridSpan w:val="2"/>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423" w:firstLine="719"/>
              <w:jc w:val="left"/>
              <w:rPr>
                <w:rFonts w:ascii="宋体" w:hAnsi="宋体" w:cs="宋体" w:eastAsia="宋体" w:hint="default"/>
                <w:sz w:val="18"/>
                <w:szCs w:val="18"/>
              </w:rPr>
            </w:pPr>
            <w:r>
              <w:rPr>
                <w:rFonts w:ascii="宋体" w:hAnsi="宋体" w:cs="宋体" w:eastAsia="宋体" w:hint="default"/>
                <w:spacing w:val="-5"/>
                <w:sz w:val="18"/>
                <w:szCs w:val="18"/>
              </w:rPr>
              <w:t>投资收益（损失以</w:t>
            </w:r>
            <w:r>
              <w:rPr>
                <w:rFonts w:ascii="宋体" w:hAnsi="宋体" w:cs="宋体" w:eastAsia="宋体" w:hint="default"/>
                <w:sz w:val="18"/>
                <w:szCs w:val="18"/>
              </w:rPr>
              <w:t> 号填列）</w:t>
            </w:r>
          </w:p>
        </w:tc>
        <w:tc>
          <w:tcPr>
            <w:tcW w:w="2897" w:type="dxa"/>
            <w:gridSpan w:val="2"/>
            <w:tcBorders>
              <w:top w:val="single" w:sz="4" w:space="0" w:color="000000"/>
              <w:left w:val="single" w:sz="13" w:space="0" w:color="D2D2D2"/>
              <w:bottom w:val="single" w:sz="4" w:space="0" w:color="000000"/>
              <w:right w:val="single" w:sz="4" w:space="0" w:color="000000"/>
            </w:tcBorders>
          </w:tcPr>
          <w:p>
            <w:pPr>
              <w:pStyle w:val="TableParagraph"/>
              <w:spacing w:line="558" w:lineRule="exact"/>
              <w:ind w:right="-39"/>
              <w:jc w:val="left"/>
              <w:rPr>
                <w:rFonts w:ascii="宋体" w:hAnsi="宋体" w:cs="宋体" w:eastAsia="宋体" w:hint="default"/>
                <w:sz w:val="20"/>
                <w:szCs w:val="20"/>
              </w:rPr>
            </w:pPr>
            <w:r>
              <w:rPr>
                <w:rFonts w:ascii="宋体" w:hAnsi="宋体" w:cs="宋体" w:eastAsia="宋体" w:hint="default"/>
                <w:position w:val="-10"/>
                <w:sz w:val="20"/>
                <w:szCs w:val="20"/>
              </w:rPr>
              <w:pict>
                <v:group style="width:143.8pt;height:27.9pt;mso-position-horizontal-relative:char;mso-position-vertical-relative:line" coordorigin="0,0" coordsize="2876,558">
                  <v:group style="position:absolute;left:0;top:0;width:2876;height:156" coordorigin="0,0" coordsize="2876,156">
                    <v:shape style="position:absolute;left:0;top:0;width:2876;height:156" coordorigin="0,0" coordsize="2876,156" path="m0,156l2876,156,2876,0,0,0,0,156xe" filled="true" fillcolor="#ffffff" stroked="false">
                      <v:path arrowok="t"/>
                      <v:fill type="solid"/>
                    </v:shape>
                  </v:group>
                  <v:group style="position:absolute;left:11;top:156;width:2;height:392" coordorigin="11,156" coordsize="2,392">
                    <v:shape style="position:absolute;left:11;top:156;width:2;height:392" coordorigin="11,156" coordsize="0,392" path="m11,156l11,547e" filled="false" stroked="true" strokeweight="1.08pt" strokecolor="#ffffff">
                      <v:path arrowok="t"/>
                    </v:shape>
                  </v:group>
                  <v:group style="position:absolute;left:22;top:156;width:2833;height:392" coordorigin="22,156" coordsize="2833,392">
                    <v:shape style="position:absolute;left:22;top:156;width:2833;height:392" coordorigin="22,156" coordsize="2833,392" path="m22,547l2854,547,2854,156,22,156,22,547xe" filled="true" fillcolor="#ffffff" stroked="false">
                      <v:path arrowok="t"/>
                      <v:fill type="solid"/>
                    </v:shape>
                  </v:group>
                </v:group>
              </w:pict>
            </w:r>
            <w:r>
              <w:rPr>
                <w:rFonts w:ascii="宋体" w:hAnsi="宋体" w:cs="宋体" w:eastAsia="宋体" w:hint="default"/>
                <w:position w:val="-10"/>
                <w:sz w:val="20"/>
                <w:szCs w:val="20"/>
              </w:rPr>
            </w: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26" w:firstLine="719"/>
              <w:jc w:val="left"/>
              <w:rPr>
                <w:rFonts w:ascii="宋体" w:hAnsi="宋体" w:cs="宋体" w:eastAsia="宋体" w:hint="default"/>
                <w:sz w:val="18"/>
                <w:szCs w:val="18"/>
              </w:rPr>
            </w:pPr>
            <w:r>
              <w:rPr>
                <w:rFonts w:ascii="宋体" w:hAnsi="宋体" w:cs="宋体" w:eastAsia="宋体" w:hint="default"/>
                <w:sz w:val="18"/>
                <w:szCs w:val="18"/>
              </w:rPr>
              <w:t>其中：对联营企业和合 营企业的投资收益</w:t>
            </w:r>
          </w:p>
        </w:tc>
        <w:tc>
          <w:tcPr>
            <w:tcW w:w="2897" w:type="dxa"/>
            <w:gridSpan w:val="2"/>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1" w:right="24"/>
              <w:jc w:val="left"/>
              <w:rPr>
                <w:rFonts w:ascii="宋体" w:hAnsi="宋体" w:cs="宋体" w:eastAsia="宋体" w:hint="default"/>
                <w:sz w:val="18"/>
                <w:szCs w:val="18"/>
              </w:rPr>
            </w:pPr>
            <w:r>
              <w:rPr>
                <w:rFonts w:ascii="宋体" w:hAnsi="宋体" w:cs="宋体" w:eastAsia="宋体" w:hint="default"/>
                <w:sz w:val="18"/>
                <w:szCs w:val="18"/>
              </w:rPr>
              <w:t>二、营业利润（亏损以“－”号 填列）</w:t>
            </w:r>
          </w:p>
        </w:tc>
        <w:tc>
          <w:tcPr>
            <w:tcW w:w="289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16" w:right="0"/>
              <w:jc w:val="left"/>
              <w:rPr>
                <w:rFonts w:ascii="Times New Roman" w:hAnsi="Times New Roman" w:cs="Times New Roman" w:eastAsia="Times New Roman" w:hint="default"/>
                <w:sz w:val="18"/>
                <w:szCs w:val="18"/>
              </w:rPr>
            </w:pPr>
            <w:r>
              <w:rPr>
                <w:rFonts w:ascii="Times New Roman"/>
                <w:sz w:val="18"/>
              </w:rPr>
              <w:t>53,296,633.10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50,765,975.44</w:t>
            </w:r>
          </w:p>
        </w:tc>
      </w:tr>
      <w:tr>
        <w:trPr>
          <w:trHeight w:val="401"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89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16" w:right="0"/>
              <w:jc w:val="left"/>
              <w:rPr>
                <w:rFonts w:ascii="Times New Roman" w:hAnsi="Times New Roman" w:cs="Times New Roman" w:eastAsia="Times New Roman" w:hint="default"/>
                <w:sz w:val="18"/>
                <w:szCs w:val="18"/>
              </w:rPr>
            </w:pPr>
            <w:r>
              <w:rPr>
                <w:rFonts w:ascii="Times New Roman"/>
                <w:sz w:val="18"/>
              </w:rPr>
              <w:t>30,654,230.36</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18,253,064.08</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89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1908" w:right="0"/>
              <w:jc w:val="left"/>
              <w:rPr>
                <w:rFonts w:ascii="Times New Roman" w:hAnsi="Times New Roman" w:cs="Times New Roman" w:eastAsia="Times New Roman" w:hint="default"/>
                <w:sz w:val="18"/>
                <w:szCs w:val="18"/>
              </w:rPr>
            </w:pPr>
            <w:r>
              <w:rPr>
                <w:rFonts w:ascii="Times New Roman"/>
                <w:sz w:val="18"/>
              </w:rPr>
              <w:t>1,042,968.73</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237,283.50</w:t>
            </w:r>
          </w:p>
        </w:tc>
      </w:tr>
      <w:tr>
        <w:trPr>
          <w:trHeight w:val="71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损失</w:t>
            </w:r>
          </w:p>
        </w:tc>
        <w:tc>
          <w:tcPr>
            <w:tcW w:w="2897" w:type="dxa"/>
            <w:gridSpan w:val="2"/>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104"/>
              <w:jc w:val="left"/>
              <w:rPr>
                <w:rFonts w:ascii="宋体" w:hAnsi="宋体" w:cs="宋体" w:eastAsia="宋体" w:hint="default"/>
                <w:sz w:val="18"/>
                <w:szCs w:val="18"/>
              </w:rPr>
            </w:pPr>
            <w:r>
              <w:rPr>
                <w:rFonts w:ascii="宋体" w:hAnsi="宋体" w:cs="宋体" w:eastAsia="宋体" w:hint="default"/>
                <w:spacing w:val="-6"/>
                <w:sz w:val="18"/>
                <w:szCs w:val="18"/>
              </w:rPr>
              <w:t>三、利润总额（亏损总额以“－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952" w:type="dxa"/>
            <w:tcBorders>
              <w:top w:val="single" w:sz="4" w:space="0" w:color="000000"/>
              <w:left w:val="single" w:sz="13" w:space="0" w:color="D2D2D2"/>
              <w:bottom w:val="single" w:sz="4" w:space="0" w:color="000000"/>
              <w:right w:val="nil" w:sz="6" w:space="0" w:color="auto"/>
            </w:tcBorders>
          </w:tcPr>
          <w:p>
            <w:pPr/>
          </w:p>
        </w:tc>
        <w:tc>
          <w:tcPr>
            <w:tcW w:w="19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1" w:right="0"/>
              <w:jc w:val="left"/>
              <w:rPr>
                <w:rFonts w:ascii="Times New Roman" w:hAnsi="Times New Roman" w:cs="Times New Roman" w:eastAsia="Times New Roman" w:hint="default"/>
                <w:sz w:val="18"/>
                <w:szCs w:val="18"/>
              </w:rPr>
            </w:pPr>
            <w:r>
              <w:rPr>
                <w:rFonts w:ascii="Times New Roman"/>
                <w:sz w:val="18"/>
              </w:rPr>
              <w:t>82,907,894.73</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68,781,756.02</w:t>
            </w:r>
          </w:p>
        </w:tc>
      </w:tr>
      <w:tr>
        <w:trPr>
          <w:trHeight w:val="401"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89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08" w:right="0"/>
              <w:jc w:val="left"/>
              <w:rPr>
                <w:rFonts w:ascii="Times New Roman" w:hAnsi="Times New Roman" w:cs="Times New Roman" w:eastAsia="Times New Roman" w:hint="default"/>
                <w:sz w:val="18"/>
                <w:szCs w:val="18"/>
              </w:rPr>
            </w:pPr>
            <w:r>
              <w:rPr>
                <w:rFonts w:ascii="Times New Roman"/>
                <w:sz w:val="18"/>
              </w:rPr>
              <w:t>4,679,033.46</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8,689,462.84</w:t>
            </w:r>
          </w:p>
        </w:tc>
      </w:tr>
      <w:tr>
        <w:trPr>
          <w:trHeight w:val="716"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4"/>
              <w:jc w:val="left"/>
              <w:rPr>
                <w:rFonts w:ascii="宋体" w:hAnsi="宋体" w:cs="宋体" w:eastAsia="宋体" w:hint="default"/>
                <w:sz w:val="18"/>
                <w:szCs w:val="18"/>
              </w:rPr>
            </w:pPr>
            <w:r>
              <w:rPr>
                <w:rFonts w:ascii="宋体" w:hAnsi="宋体" w:cs="宋体" w:eastAsia="宋体" w:hint="default"/>
                <w:sz w:val="18"/>
                <w:szCs w:val="18"/>
              </w:rPr>
              <w:t>四、净利润（净亏损以“－”号 填列）</w:t>
            </w:r>
          </w:p>
        </w:tc>
        <w:tc>
          <w:tcPr>
            <w:tcW w:w="289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16" w:right="0"/>
              <w:jc w:val="left"/>
              <w:rPr>
                <w:rFonts w:ascii="Times New Roman" w:hAnsi="Times New Roman" w:cs="Times New Roman" w:eastAsia="Times New Roman" w:hint="default"/>
                <w:sz w:val="18"/>
                <w:szCs w:val="18"/>
              </w:rPr>
            </w:pPr>
            <w:r>
              <w:rPr>
                <w:rFonts w:ascii="Times New Roman"/>
                <w:sz w:val="18"/>
              </w:rPr>
              <w:t>78,228,861.27</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60,092,293.18</w:t>
            </w:r>
          </w:p>
        </w:tc>
      </w:tr>
      <w:tr>
        <w:trPr>
          <w:trHeight w:val="401"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28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66"/>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289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0.72</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0.60</w:t>
            </w:r>
          </w:p>
        </w:tc>
      </w:tr>
      <w:tr>
        <w:trPr>
          <w:trHeight w:val="401"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66"/>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289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0.72</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0.60</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2897" w:type="dxa"/>
            <w:gridSpan w:val="2"/>
            <w:tcBorders>
              <w:top w:val="single" w:sz="4" w:space="0" w:color="000000"/>
              <w:left w:val="single" w:sz="13"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89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19" w:right="0"/>
              <w:jc w:val="left"/>
              <w:rPr>
                <w:rFonts w:ascii="Times New Roman" w:hAnsi="Times New Roman" w:cs="Times New Roman" w:eastAsia="Times New Roman" w:hint="default"/>
                <w:sz w:val="18"/>
                <w:szCs w:val="18"/>
              </w:rPr>
            </w:pPr>
            <w:r>
              <w:rPr>
                <w:rFonts w:ascii="Times New Roman"/>
                <w:sz w:val="18"/>
              </w:rPr>
              <w:t>78,228,861.27</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60,092,293.18</w:t>
            </w:r>
          </w:p>
        </w:tc>
      </w:tr>
    </w:tbl>
    <w:p>
      <w:pPr>
        <w:spacing w:line="240" w:lineRule="auto" w:before="2"/>
        <w:rPr>
          <w:rFonts w:ascii="宋体" w:hAnsi="宋体" w:cs="宋体" w:eastAsia="宋体" w:hint="default"/>
          <w:sz w:val="20"/>
          <w:szCs w:val="20"/>
        </w:rPr>
      </w:pPr>
    </w:p>
    <w:p>
      <w:pPr>
        <w:tabs>
          <w:tab w:pos="3092" w:val="left" w:leader="none"/>
          <w:tab w:pos="6491" w:val="left" w:leader="none"/>
        </w:tabs>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pacing w:val="-21"/>
          <w:sz w:val="18"/>
          <w:szCs w:val="18"/>
        </w:rPr>
        <w:t> </w:t>
      </w:r>
      <w:r>
        <w:rPr>
          <w:rFonts w:ascii="宋体" w:hAnsi="宋体" w:cs="宋体" w:eastAsia="宋体" w:hint="default"/>
          <w:sz w:val="18"/>
          <w:szCs w:val="18"/>
        </w:rPr>
        <w:t>刘祥南</w:t>
        <w:tab/>
      </w:r>
      <w:r>
        <w:rPr>
          <w:rFonts w:ascii="宋体" w:hAnsi="宋体" w:cs="宋体" w:eastAsia="宋体" w:hint="default"/>
          <w:spacing w:val="-2"/>
          <w:sz w:val="18"/>
          <w:szCs w:val="18"/>
        </w:rPr>
        <w:t>主管会计工作负责人：张乃军</w:t>
        <w:tab/>
      </w:r>
      <w:r>
        <w:rPr>
          <w:rFonts w:ascii="宋体" w:hAnsi="宋体" w:cs="宋体" w:eastAsia="宋体" w:hint="default"/>
          <w:spacing w:val="-3"/>
          <w:sz w:val="18"/>
          <w:szCs w:val="18"/>
        </w:rPr>
        <w:t>会计机构负责人：陈志友</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3"/>
        <w:rPr>
          <w:rFonts w:ascii="宋体" w:hAnsi="宋体" w:cs="宋体" w:eastAsia="宋体" w:hint="default"/>
          <w:b/>
          <w:bCs/>
          <w:sz w:val="22"/>
          <w:szCs w:val="22"/>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编制单位：厦门市美亚柏科信息股份有限公司</w:t>
      </w:r>
    </w:p>
    <w:p>
      <w:pPr>
        <w:spacing w:before="117"/>
        <w:ind w:left="0" w:right="15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582"/>
        <w:gridCol w:w="2896"/>
        <w:gridCol w:w="2888"/>
      </w:tblGrid>
      <w:tr>
        <w:trPr>
          <w:trHeight w:val="401"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8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8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3" w:right="26" w:firstLine="359"/>
              <w:jc w:val="left"/>
              <w:rPr>
                <w:rFonts w:ascii="宋体" w:hAnsi="宋体" w:cs="宋体" w:eastAsia="宋体" w:hint="default"/>
                <w:sz w:val="18"/>
                <w:szCs w:val="18"/>
              </w:rPr>
            </w:pPr>
            <w:r>
              <w:rPr>
                <w:rFonts w:ascii="宋体" w:hAnsi="宋体" w:cs="宋体" w:eastAsia="宋体" w:hint="default"/>
                <w:sz w:val="18"/>
                <w:szCs w:val="18"/>
              </w:rPr>
              <w:t>销售商品、提供劳务收到的 现金</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32" w:right="0"/>
              <w:jc w:val="left"/>
              <w:rPr>
                <w:rFonts w:ascii="Times New Roman" w:hAnsi="Times New Roman" w:cs="Times New Roman" w:eastAsia="Times New Roman" w:hint="default"/>
                <w:sz w:val="18"/>
                <w:szCs w:val="18"/>
              </w:rPr>
            </w:pPr>
            <w:r>
              <w:rPr>
                <w:rFonts w:ascii="Times New Roman"/>
                <w:sz w:val="18"/>
              </w:rPr>
              <w:t>342,364,212.43</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8" w:right="0"/>
              <w:jc w:val="left"/>
              <w:rPr>
                <w:rFonts w:ascii="Times New Roman" w:hAnsi="Times New Roman" w:cs="Times New Roman" w:eastAsia="Times New Roman" w:hint="default"/>
                <w:sz w:val="18"/>
                <w:szCs w:val="18"/>
              </w:rPr>
            </w:pPr>
            <w:r>
              <w:rPr>
                <w:rFonts w:ascii="Times New Roman"/>
                <w:sz w:val="18"/>
              </w:rPr>
              <w:t>291,141,108.68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27" w:top="1100" w:bottom="1420" w:left="1660" w:right="1640"/>
        </w:sectPr>
      </w:pPr>
    </w:p>
    <w:p>
      <w:pPr>
        <w:spacing w:line="240" w:lineRule="auto" w:before="11"/>
        <w:rPr>
          <w:rFonts w:ascii="Times New Roman" w:hAnsi="Times New Roman" w:cs="Times New Roman" w:eastAsia="Times New Roman"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2582"/>
        <w:gridCol w:w="2896"/>
        <w:gridCol w:w="2888"/>
      </w:tblGrid>
      <w:tr>
        <w:trPr>
          <w:trHeight w:val="71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6" w:firstLine="359"/>
              <w:jc w:val="left"/>
              <w:rPr>
                <w:rFonts w:ascii="宋体" w:hAnsi="宋体" w:cs="宋体" w:eastAsia="宋体" w:hint="default"/>
                <w:sz w:val="18"/>
                <w:szCs w:val="18"/>
              </w:rPr>
            </w:pPr>
            <w:r>
              <w:rPr>
                <w:rFonts w:ascii="宋体" w:hAnsi="宋体" w:cs="宋体" w:eastAsia="宋体" w:hint="default"/>
                <w:sz w:val="18"/>
                <w:szCs w:val="18"/>
              </w:rPr>
              <w:t>客户存款和同业存放款项净 增加额</w:t>
            </w:r>
          </w:p>
        </w:tc>
        <w:tc>
          <w:tcPr>
            <w:tcW w:w="2896" w:type="dxa"/>
            <w:tcBorders>
              <w:top w:val="single" w:sz="4" w:space="0" w:color="000000"/>
              <w:left w:val="single" w:sz="9"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896" w:type="dxa"/>
            <w:tcBorders>
              <w:top w:val="single" w:sz="4" w:space="0" w:color="000000"/>
              <w:left w:val="single" w:sz="9"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6" w:firstLine="359"/>
              <w:jc w:val="left"/>
              <w:rPr>
                <w:rFonts w:ascii="宋体" w:hAnsi="宋体" w:cs="宋体" w:eastAsia="宋体" w:hint="default"/>
                <w:sz w:val="18"/>
                <w:szCs w:val="18"/>
              </w:rPr>
            </w:pPr>
            <w:r>
              <w:rPr>
                <w:rFonts w:ascii="宋体" w:hAnsi="宋体" w:cs="宋体" w:eastAsia="宋体" w:hint="default"/>
                <w:sz w:val="18"/>
                <w:szCs w:val="18"/>
              </w:rPr>
              <w:t>向其他金融机构拆入资金净 增加额</w:t>
            </w:r>
          </w:p>
        </w:tc>
        <w:tc>
          <w:tcPr>
            <w:tcW w:w="2896" w:type="dxa"/>
            <w:tcBorders>
              <w:top w:val="single" w:sz="4" w:space="0" w:color="000000"/>
              <w:left w:val="single" w:sz="9"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26" w:firstLine="359"/>
              <w:jc w:val="left"/>
              <w:rPr>
                <w:rFonts w:ascii="宋体" w:hAnsi="宋体" w:cs="宋体" w:eastAsia="宋体" w:hint="default"/>
                <w:sz w:val="18"/>
                <w:szCs w:val="18"/>
              </w:rPr>
            </w:pPr>
            <w:r>
              <w:rPr>
                <w:rFonts w:ascii="宋体" w:hAnsi="宋体" w:cs="宋体" w:eastAsia="宋体" w:hint="default"/>
                <w:sz w:val="18"/>
                <w:szCs w:val="18"/>
              </w:rPr>
              <w:t>收到原保险合同保费取得的 现金</w:t>
            </w:r>
          </w:p>
        </w:tc>
        <w:tc>
          <w:tcPr>
            <w:tcW w:w="2896" w:type="dxa"/>
            <w:tcBorders>
              <w:top w:val="single" w:sz="4" w:space="0" w:color="000000"/>
              <w:left w:val="single" w:sz="9"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896" w:type="dxa"/>
            <w:tcBorders>
              <w:top w:val="single" w:sz="4" w:space="0" w:color="000000"/>
              <w:left w:val="single" w:sz="9"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6"/>
              <w:jc w:val="righ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896" w:type="dxa"/>
            <w:tcBorders>
              <w:top w:val="single" w:sz="4" w:space="0" w:color="000000"/>
              <w:left w:val="single" w:sz="9"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896" w:type="dxa"/>
            <w:tcBorders>
              <w:top w:val="single" w:sz="4" w:space="0" w:color="000000"/>
              <w:left w:val="single" w:sz="9"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26" w:firstLine="359"/>
              <w:jc w:val="left"/>
              <w:rPr>
                <w:rFonts w:ascii="宋体" w:hAnsi="宋体" w:cs="宋体" w:eastAsia="宋体" w:hint="default"/>
                <w:sz w:val="18"/>
                <w:szCs w:val="18"/>
              </w:rPr>
            </w:pPr>
            <w:r>
              <w:rPr>
                <w:rFonts w:ascii="宋体" w:hAnsi="宋体" w:cs="宋体" w:eastAsia="宋体" w:hint="default"/>
                <w:sz w:val="18"/>
                <w:szCs w:val="18"/>
              </w:rPr>
              <w:t>收取利息、手续费及佣金的 现金</w:t>
            </w:r>
          </w:p>
        </w:tc>
        <w:tc>
          <w:tcPr>
            <w:tcW w:w="2896" w:type="dxa"/>
            <w:tcBorders>
              <w:top w:val="single" w:sz="4" w:space="0" w:color="000000"/>
              <w:left w:val="single" w:sz="9"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896" w:type="dxa"/>
            <w:tcBorders>
              <w:top w:val="single" w:sz="4" w:space="0" w:color="000000"/>
              <w:left w:val="single" w:sz="9"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896" w:type="dxa"/>
            <w:tcBorders>
              <w:top w:val="single" w:sz="4" w:space="0" w:color="000000"/>
              <w:left w:val="single" w:sz="9"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17,631,566.50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8,986,141.60</w:t>
            </w:r>
          </w:p>
        </w:tc>
      </w:tr>
      <w:tr>
        <w:trPr>
          <w:trHeight w:val="715"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26" w:firstLine="359"/>
              <w:jc w:val="left"/>
              <w:rPr>
                <w:rFonts w:ascii="宋体" w:hAnsi="宋体" w:cs="宋体" w:eastAsia="宋体" w:hint="default"/>
                <w:sz w:val="18"/>
                <w:szCs w:val="18"/>
              </w:rPr>
            </w:pPr>
            <w:r>
              <w:rPr>
                <w:rFonts w:ascii="宋体" w:hAnsi="宋体" w:cs="宋体" w:eastAsia="宋体" w:hint="default"/>
                <w:sz w:val="18"/>
                <w:szCs w:val="18"/>
              </w:rPr>
              <w:t>收到其他与经营活动有关的 现金</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15,706,915.54</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16,083,803.71</w:t>
            </w:r>
          </w:p>
        </w:tc>
      </w:tr>
      <w:tr>
        <w:trPr>
          <w:trHeight w:val="401"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375,702,694.47</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316,211,053.99</w:t>
            </w:r>
          </w:p>
        </w:tc>
      </w:tr>
      <w:tr>
        <w:trPr>
          <w:trHeight w:val="716"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26" w:firstLine="359"/>
              <w:jc w:val="left"/>
              <w:rPr>
                <w:rFonts w:ascii="宋体" w:hAnsi="宋体" w:cs="宋体" w:eastAsia="宋体" w:hint="default"/>
                <w:sz w:val="18"/>
                <w:szCs w:val="18"/>
              </w:rPr>
            </w:pPr>
            <w:r>
              <w:rPr>
                <w:rFonts w:ascii="宋体" w:hAnsi="宋体" w:cs="宋体" w:eastAsia="宋体" w:hint="default"/>
                <w:sz w:val="18"/>
                <w:szCs w:val="18"/>
              </w:rPr>
              <w:t>购买商品、接受劳务支付的 现金</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154,457,653.36</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164,117,754.02</w:t>
            </w:r>
          </w:p>
        </w:tc>
      </w:tr>
      <w:tr>
        <w:trPr>
          <w:trHeight w:val="401"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896" w:type="dxa"/>
            <w:tcBorders>
              <w:top w:val="single" w:sz="4" w:space="0" w:color="000000"/>
              <w:left w:val="single" w:sz="9"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26" w:firstLine="359"/>
              <w:jc w:val="left"/>
              <w:rPr>
                <w:rFonts w:ascii="宋体" w:hAnsi="宋体" w:cs="宋体" w:eastAsia="宋体" w:hint="default"/>
                <w:sz w:val="18"/>
                <w:szCs w:val="18"/>
              </w:rPr>
            </w:pPr>
            <w:r>
              <w:rPr>
                <w:rFonts w:ascii="宋体" w:hAnsi="宋体" w:cs="宋体" w:eastAsia="宋体" w:hint="default"/>
                <w:sz w:val="18"/>
                <w:szCs w:val="18"/>
              </w:rPr>
              <w:t>存放中央银行和同业款项净 增加额</w:t>
            </w:r>
          </w:p>
        </w:tc>
        <w:tc>
          <w:tcPr>
            <w:tcW w:w="2896" w:type="dxa"/>
            <w:tcBorders>
              <w:top w:val="single" w:sz="4" w:space="0" w:color="000000"/>
              <w:left w:val="single" w:sz="9"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6" w:firstLine="359"/>
              <w:jc w:val="left"/>
              <w:rPr>
                <w:rFonts w:ascii="宋体" w:hAnsi="宋体" w:cs="宋体" w:eastAsia="宋体" w:hint="default"/>
                <w:sz w:val="18"/>
                <w:szCs w:val="18"/>
              </w:rPr>
            </w:pPr>
            <w:r>
              <w:rPr>
                <w:rFonts w:ascii="宋体" w:hAnsi="宋体" w:cs="宋体" w:eastAsia="宋体" w:hint="default"/>
                <w:sz w:val="18"/>
                <w:szCs w:val="18"/>
              </w:rPr>
              <w:t>支付原保险合同赔付款项的 现金</w:t>
            </w:r>
          </w:p>
        </w:tc>
        <w:tc>
          <w:tcPr>
            <w:tcW w:w="2896" w:type="dxa"/>
            <w:tcBorders>
              <w:top w:val="single" w:sz="4" w:space="0" w:color="000000"/>
              <w:left w:val="single" w:sz="9"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26" w:firstLine="359"/>
              <w:jc w:val="left"/>
              <w:rPr>
                <w:rFonts w:ascii="宋体" w:hAnsi="宋体" w:cs="宋体" w:eastAsia="宋体" w:hint="default"/>
                <w:sz w:val="18"/>
                <w:szCs w:val="18"/>
              </w:rPr>
            </w:pPr>
            <w:r>
              <w:rPr>
                <w:rFonts w:ascii="宋体" w:hAnsi="宋体" w:cs="宋体" w:eastAsia="宋体" w:hint="default"/>
                <w:sz w:val="18"/>
                <w:szCs w:val="18"/>
              </w:rPr>
              <w:t>支付利息、手续费及佣金的 现金</w:t>
            </w:r>
          </w:p>
        </w:tc>
        <w:tc>
          <w:tcPr>
            <w:tcW w:w="2896" w:type="dxa"/>
            <w:tcBorders>
              <w:top w:val="single" w:sz="4" w:space="0" w:color="000000"/>
              <w:left w:val="single" w:sz="9"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896" w:type="dxa"/>
            <w:tcBorders>
              <w:top w:val="single" w:sz="4" w:space="0" w:color="000000"/>
              <w:left w:val="single" w:sz="9"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26" w:firstLine="359"/>
              <w:jc w:val="left"/>
              <w:rPr>
                <w:rFonts w:ascii="宋体" w:hAnsi="宋体" w:cs="宋体" w:eastAsia="宋体" w:hint="default"/>
                <w:sz w:val="18"/>
                <w:szCs w:val="18"/>
              </w:rPr>
            </w:pPr>
            <w:r>
              <w:rPr>
                <w:rFonts w:ascii="宋体" w:hAnsi="宋体" w:cs="宋体" w:eastAsia="宋体" w:hint="default"/>
                <w:sz w:val="18"/>
                <w:szCs w:val="18"/>
              </w:rPr>
              <w:t>支付给职工以及为职工支付 的现金</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98,736,211.29</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52,383,991.35</w:t>
            </w:r>
          </w:p>
        </w:tc>
      </w:tr>
      <w:tr>
        <w:trPr>
          <w:trHeight w:val="401"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43,207,604.71</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28,317,456.57</w:t>
            </w:r>
          </w:p>
        </w:tc>
      </w:tr>
      <w:tr>
        <w:trPr>
          <w:trHeight w:val="715"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26" w:firstLine="359"/>
              <w:jc w:val="left"/>
              <w:rPr>
                <w:rFonts w:ascii="宋体" w:hAnsi="宋体" w:cs="宋体" w:eastAsia="宋体" w:hint="default"/>
                <w:sz w:val="18"/>
                <w:szCs w:val="18"/>
              </w:rPr>
            </w:pPr>
            <w:r>
              <w:rPr>
                <w:rFonts w:ascii="宋体" w:hAnsi="宋体" w:cs="宋体" w:eastAsia="宋体" w:hint="default"/>
                <w:sz w:val="18"/>
                <w:szCs w:val="18"/>
              </w:rPr>
              <w:t>支付其他与经营活动有关的 现金</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52,357,777.82</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67,443,548.05</w:t>
            </w:r>
          </w:p>
        </w:tc>
      </w:tr>
      <w:tr>
        <w:trPr>
          <w:trHeight w:val="401"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348,759,247.18</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312,262,749.99</w:t>
            </w:r>
          </w:p>
        </w:tc>
      </w:tr>
      <w:tr>
        <w:trPr>
          <w:trHeight w:val="40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26,943,447.29</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3,948,304.00</w:t>
            </w:r>
          </w:p>
        </w:tc>
      </w:tr>
      <w:tr>
        <w:trPr>
          <w:trHeight w:val="402"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
              <w:jc w:val="righ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8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88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1227" w:top="1100" w:bottom="1420" w:left="1660" w:right="1640"/>
        </w:sectPr>
      </w:pPr>
    </w:p>
    <w:p>
      <w:pPr>
        <w:spacing w:line="240" w:lineRule="auto" w:before="11"/>
        <w:rPr>
          <w:rFonts w:ascii="Times New Roman" w:hAnsi="Times New Roman" w:cs="Times New Roman" w:eastAsia="Times New Roman"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2582"/>
        <w:gridCol w:w="2896"/>
        <w:gridCol w:w="2888"/>
      </w:tblGrid>
      <w:tr>
        <w:trPr>
          <w:trHeight w:val="401"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501,787,774.05</w:t>
            </w: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6"/>
              <w:jc w:val="righ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10,035,550.17</w:t>
            </w: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6" w:firstLine="359"/>
              <w:jc w:val="left"/>
              <w:rPr>
                <w:rFonts w:ascii="宋体" w:hAnsi="宋体" w:cs="宋体" w:eastAsia="宋体" w:hint="default"/>
                <w:sz w:val="18"/>
                <w:szCs w:val="18"/>
              </w:rPr>
            </w:pPr>
            <w:r>
              <w:rPr>
                <w:rFonts w:ascii="宋体" w:hAnsi="宋体" w:cs="宋体" w:eastAsia="宋体" w:hint="default"/>
                <w:sz w:val="18"/>
                <w:szCs w:val="18"/>
              </w:rPr>
              <w:t>处置固定资产、无形资产和 其他长期资产收回的现金净额</w:t>
            </w:r>
          </w:p>
        </w:tc>
        <w:tc>
          <w:tcPr>
            <w:tcW w:w="2896" w:type="dxa"/>
            <w:tcBorders>
              <w:top w:val="single" w:sz="4" w:space="0" w:color="000000"/>
              <w:left w:val="single" w:sz="9"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26" w:firstLine="359"/>
              <w:jc w:val="left"/>
              <w:rPr>
                <w:rFonts w:ascii="宋体" w:hAnsi="宋体" w:cs="宋体" w:eastAsia="宋体" w:hint="default"/>
                <w:sz w:val="18"/>
                <w:szCs w:val="18"/>
              </w:rPr>
            </w:pPr>
            <w:r>
              <w:rPr>
                <w:rFonts w:ascii="宋体" w:hAnsi="宋体" w:cs="宋体" w:eastAsia="宋体" w:hint="default"/>
                <w:sz w:val="18"/>
                <w:szCs w:val="18"/>
              </w:rPr>
              <w:t>处置子公司及其他营业单位 收到的现金净额</w:t>
            </w:r>
          </w:p>
        </w:tc>
        <w:tc>
          <w:tcPr>
            <w:tcW w:w="2896" w:type="dxa"/>
            <w:tcBorders>
              <w:top w:val="single" w:sz="4" w:space="0" w:color="000000"/>
              <w:left w:val="single" w:sz="9"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6" w:firstLine="359"/>
              <w:jc w:val="left"/>
              <w:rPr>
                <w:rFonts w:ascii="宋体" w:hAnsi="宋体" w:cs="宋体" w:eastAsia="宋体" w:hint="default"/>
                <w:sz w:val="18"/>
                <w:szCs w:val="18"/>
              </w:rPr>
            </w:pPr>
            <w:r>
              <w:rPr>
                <w:rFonts w:ascii="宋体" w:hAnsi="宋体" w:cs="宋体" w:eastAsia="宋体" w:hint="default"/>
                <w:sz w:val="18"/>
                <w:szCs w:val="18"/>
              </w:rPr>
              <w:t>收到其他与投资活动有关的 现金</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30,661,524.51</w:t>
            </w: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542,484,848.73</w:t>
            </w: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6" w:firstLine="359"/>
              <w:jc w:val="left"/>
              <w:rPr>
                <w:rFonts w:ascii="宋体" w:hAnsi="宋体" w:cs="宋体" w:eastAsia="宋体" w:hint="default"/>
                <w:sz w:val="18"/>
                <w:szCs w:val="18"/>
              </w:rPr>
            </w:pPr>
            <w:r>
              <w:rPr>
                <w:rFonts w:ascii="宋体" w:hAnsi="宋体" w:cs="宋体" w:eastAsia="宋体" w:hint="default"/>
                <w:sz w:val="18"/>
                <w:szCs w:val="18"/>
              </w:rPr>
              <w:t>购建固定资产、无形资产和 其他长期资产支付的现金</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223,436,986.48</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30,801,092.22</w:t>
            </w:r>
          </w:p>
        </w:tc>
      </w:tr>
      <w:tr>
        <w:trPr>
          <w:trHeight w:val="40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430,332,774.05</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273,455,000.00</w:t>
            </w:r>
          </w:p>
        </w:tc>
      </w:tr>
      <w:tr>
        <w:trPr>
          <w:trHeight w:val="401"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896" w:type="dxa"/>
            <w:tcBorders>
              <w:top w:val="single" w:sz="4" w:space="0" w:color="000000"/>
              <w:left w:val="single" w:sz="9"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26" w:firstLine="359"/>
              <w:jc w:val="left"/>
              <w:rPr>
                <w:rFonts w:ascii="宋体" w:hAnsi="宋体" w:cs="宋体" w:eastAsia="宋体" w:hint="default"/>
                <w:sz w:val="18"/>
                <w:szCs w:val="18"/>
              </w:rPr>
            </w:pPr>
            <w:r>
              <w:rPr>
                <w:rFonts w:ascii="宋体" w:hAnsi="宋体" w:cs="宋体" w:eastAsia="宋体" w:hint="default"/>
                <w:sz w:val="18"/>
                <w:szCs w:val="18"/>
              </w:rPr>
              <w:t>取得子公司及其他营业单位 支付的现金净额</w:t>
            </w:r>
          </w:p>
        </w:tc>
        <w:tc>
          <w:tcPr>
            <w:tcW w:w="2896" w:type="dxa"/>
            <w:tcBorders>
              <w:top w:val="single" w:sz="4" w:space="0" w:color="000000"/>
              <w:left w:val="single" w:sz="9"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6" w:firstLine="359"/>
              <w:jc w:val="left"/>
              <w:rPr>
                <w:rFonts w:ascii="宋体" w:hAnsi="宋体" w:cs="宋体" w:eastAsia="宋体" w:hint="default"/>
                <w:sz w:val="18"/>
                <w:szCs w:val="18"/>
              </w:rPr>
            </w:pPr>
            <w:r>
              <w:rPr>
                <w:rFonts w:ascii="宋体" w:hAnsi="宋体" w:cs="宋体" w:eastAsia="宋体" w:hint="default"/>
                <w:sz w:val="18"/>
                <w:szCs w:val="18"/>
              </w:rPr>
              <w:t>支付其他与投资活动有关的 现金</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10,000,000.00</w:t>
            </w:r>
            <w:r>
              <w:rPr>
                <w:rFonts w:ascii="Times New Roman"/>
                <w:sz w:val="18"/>
              </w:rPr>
            </w:r>
          </w:p>
        </w:tc>
      </w:tr>
      <w:tr>
        <w:trPr>
          <w:trHeight w:val="40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673,769,760.53</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314,256,092.22</w:t>
            </w:r>
          </w:p>
        </w:tc>
      </w:tr>
      <w:tr>
        <w:trPr>
          <w:trHeight w:val="402"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-131,284,911.80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-314,256,092.22</w:t>
            </w:r>
          </w:p>
        </w:tc>
      </w:tr>
      <w:tr>
        <w:trPr>
          <w:trHeight w:val="402"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6"/>
              <w:jc w:val="righ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8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8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33,518,628.00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507,400,000.00</w:t>
            </w:r>
          </w:p>
        </w:tc>
      </w:tr>
      <w:tr>
        <w:trPr>
          <w:trHeight w:val="715"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26" w:firstLine="359"/>
              <w:jc w:val="left"/>
              <w:rPr>
                <w:rFonts w:ascii="宋体" w:hAnsi="宋体" w:cs="宋体" w:eastAsia="宋体" w:hint="default"/>
                <w:sz w:val="18"/>
                <w:szCs w:val="18"/>
              </w:rPr>
            </w:pPr>
            <w:r>
              <w:rPr>
                <w:rFonts w:ascii="宋体" w:hAnsi="宋体" w:cs="宋体" w:eastAsia="宋体" w:hint="default"/>
                <w:sz w:val="18"/>
                <w:szCs w:val="18"/>
              </w:rPr>
              <w:t>其中：子公司吸收少数股东 投资收到的现金</w:t>
            </w:r>
          </w:p>
        </w:tc>
        <w:tc>
          <w:tcPr>
            <w:tcW w:w="2896" w:type="dxa"/>
            <w:tcBorders>
              <w:top w:val="single" w:sz="4" w:space="0" w:color="000000"/>
              <w:left w:val="single" w:sz="9"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896" w:type="dxa"/>
            <w:tcBorders>
              <w:top w:val="single" w:sz="4" w:space="0" w:color="000000"/>
              <w:left w:val="single" w:sz="9"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560,000.00</w:t>
            </w:r>
          </w:p>
        </w:tc>
      </w:tr>
      <w:tr>
        <w:trPr>
          <w:trHeight w:val="40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896" w:type="dxa"/>
            <w:tcBorders>
              <w:top w:val="single" w:sz="4" w:space="0" w:color="000000"/>
              <w:left w:val="single" w:sz="9"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6" w:firstLine="359"/>
              <w:jc w:val="left"/>
              <w:rPr>
                <w:rFonts w:ascii="宋体" w:hAnsi="宋体" w:cs="宋体" w:eastAsia="宋体" w:hint="default"/>
                <w:sz w:val="18"/>
                <w:szCs w:val="18"/>
              </w:rPr>
            </w:pPr>
            <w:r>
              <w:rPr>
                <w:rFonts w:ascii="宋体" w:hAnsi="宋体" w:cs="宋体" w:eastAsia="宋体" w:hint="default"/>
                <w:sz w:val="18"/>
                <w:szCs w:val="18"/>
              </w:rPr>
              <w:t>收到其他与筹资活动有关的 现金</w:t>
            </w:r>
          </w:p>
        </w:tc>
        <w:tc>
          <w:tcPr>
            <w:tcW w:w="2896" w:type="dxa"/>
            <w:tcBorders>
              <w:top w:val="single" w:sz="4" w:space="0" w:color="000000"/>
              <w:left w:val="single" w:sz="9"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33,518,628.00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507,960,000.00</w:t>
            </w:r>
          </w:p>
        </w:tc>
      </w:tr>
      <w:tr>
        <w:trPr>
          <w:trHeight w:val="401"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896" w:type="dxa"/>
            <w:tcBorders>
              <w:top w:val="single" w:sz="4" w:space="0" w:color="000000"/>
              <w:left w:val="single" w:sz="9"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13,460,536.32</w:t>
            </w:r>
          </w:p>
        </w:tc>
      </w:tr>
      <w:tr>
        <w:trPr>
          <w:trHeight w:val="716"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3" w:right="26" w:firstLine="359"/>
              <w:jc w:val="left"/>
              <w:rPr>
                <w:rFonts w:ascii="宋体" w:hAnsi="宋体" w:cs="宋体" w:eastAsia="宋体" w:hint="default"/>
                <w:sz w:val="18"/>
                <w:szCs w:val="18"/>
              </w:rPr>
            </w:pPr>
            <w:r>
              <w:rPr>
                <w:rFonts w:ascii="宋体" w:hAnsi="宋体" w:cs="宋体" w:eastAsia="宋体" w:hint="default"/>
                <w:sz w:val="18"/>
                <w:szCs w:val="18"/>
              </w:rPr>
              <w:t>分配股利、利润或偿付利息 支付的现金</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10,700,000.00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410,659.20</w:t>
            </w:r>
          </w:p>
        </w:tc>
      </w:tr>
      <w:tr>
        <w:trPr>
          <w:trHeight w:val="71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6" w:firstLine="359"/>
              <w:jc w:val="left"/>
              <w:rPr>
                <w:rFonts w:ascii="宋体" w:hAnsi="宋体" w:cs="宋体" w:eastAsia="宋体" w:hint="default"/>
                <w:sz w:val="18"/>
                <w:szCs w:val="18"/>
              </w:rPr>
            </w:pPr>
            <w:r>
              <w:rPr>
                <w:rFonts w:ascii="宋体" w:hAnsi="宋体" w:cs="宋体" w:eastAsia="宋体" w:hint="default"/>
                <w:sz w:val="18"/>
                <w:szCs w:val="18"/>
              </w:rPr>
              <w:t>其中：子公司支付给少数股 东的股利、利润</w:t>
            </w:r>
          </w:p>
        </w:tc>
        <w:tc>
          <w:tcPr>
            <w:tcW w:w="2896" w:type="dxa"/>
            <w:tcBorders>
              <w:top w:val="single" w:sz="4" w:space="0" w:color="000000"/>
              <w:left w:val="single" w:sz="9"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26" w:firstLine="359"/>
              <w:jc w:val="left"/>
              <w:rPr>
                <w:rFonts w:ascii="宋体" w:hAnsi="宋体" w:cs="宋体" w:eastAsia="宋体" w:hint="default"/>
                <w:sz w:val="18"/>
                <w:szCs w:val="18"/>
              </w:rPr>
            </w:pPr>
            <w:r>
              <w:rPr>
                <w:rFonts w:ascii="宋体" w:hAnsi="宋体" w:cs="宋体" w:eastAsia="宋体" w:hint="default"/>
                <w:sz w:val="18"/>
                <w:szCs w:val="18"/>
              </w:rPr>
              <w:t>支付其他与筹资活动有关的 现金</w:t>
            </w:r>
          </w:p>
        </w:tc>
        <w:tc>
          <w:tcPr>
            <w:tcW w:w="2896" w:type="dxa"/>
            <w:tcBorders>
              <w:top w:val="single" w:sz="4" w:space="0" w:color="000000"/>
              <w:left w:val="single" w:sz="9"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5,993,965.00</w:t>
            </w:r>
          </w:p>
        </w:tc>
      </w:tr>
      <w:tr>
        <w:trPr>
          <w:trHeight w:val="401"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10,700,000.00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19,865,160.52</w:t>
            </w:r>
          </w:p>
        </w:tc>
      </w:tr>
      <w:tr>
        <w:trPr>
          <w:trHeight w:val="40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22,818,628.00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488,094,839.48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1660" w:right="1640"/>
        </w:sectPr>
      </w:pPr>
    </w:p>
    <w:p>
      <w:pPr>
        <w:spacing w:line="240" w:lineRule="auto" w:before="11"/>
        <w:rPr>
          <w:rFonts w:ascii="Times New Roman" w:hAnsi="Times New Roman" w:cs="Times New Roman" w:eastAsia="Times New Roman"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2582"/>
        <w:gridCol w:w="2896"/>
        <w:gridCol w:w="2888"/>
      </w:tblGrid>
      <w:tr>
        <w:trPr>
          <w:trHeight w:val="71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6"/>
              <w:jc w:val="left"/>
              <w:rPr>
                <w:rFonts w:ascii="宋体" w:hAnsi="宋体" w:cs="宋体" w:eastAsia="宋体" w:hint="default"/>
                <w:sz w:val="18"/>
                <w:szCs w:val="18"/>
              </w:rPr>
            </w:pPr>
            <w:r>
              <w:rPr>
                <w:rFonts w:ascii="宋体" w:hAnsi="宋体" w:cs="宋体" w:eastAsia="宋体" w:hint="default"/>
                <w:sz w:val="18"/>
                <w:szCs w:val="18"/>
              </w:rPr>
              <w:t>四、汇率变动对现金及现金等价 物的影响</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57,818.44</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73,262.54</w:t>
            </w:r>
          </w:p>
        </w:tc>
      </w:tr>
      <w:tr>
        <w:trPr>
          <w:trHeight w:val="40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6"/>
              <w:jc w:val="righ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-81,465,018.07</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177,860,313.80</w:t>
            </w:r>
          </w:p>
        </w:tc>
      </w:tr>
      <w:tr>
        <w:trPr>
          <w:trHeight w:val="71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6" w:firstLine="359"/>
              <w:jc w:val="left"/>
              <w:rPr>
                <w:rFonts w:ascii="宋体" w:hAnsi="宋体" w:cs="宋体" w:eastAsia="宋体" w:hint="default"/>
                <w:sz w:val="18"/>
                <w:szCs w:val="18"/>
              </w:rPr>
            </w:pPr>
            <w:r>
              <w:rPr>
                <w:rFonts w:ascii="宋体" w:hAnsi="宋体" w:cs="宋体" w:eastAsia="宋体" w:hint="default"/>
                <w:sz w:val="18"/>
                <w:szCs w:val="18"/>
              </w:rPr>
              <w:t>加：期初现金及现金等价物 余额</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277,476,214.43</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99,615,900.63</w:t>
            </w:r>
          </w:p>
        </w:tc>
      </w:tr>
      <w:tr>
        <w:trPr>
          <w:trHeight w:val="40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6"/>
              <w:jc w:val="righ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196,011,196.36</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277,476,214.43</w:t>
            </w:r>
          </w:p>
        </w:tc>
      </w:tr>
    </w:tbl>
    <w:p>
      <w:pPr>
        <w:spacing w:line="240" w:lineRule="auto" w:before="11"/>
        <w:rPr>
          <w:rFonts w:ascii="Times New Roman" w:hAnsi="Times New Roman" w:cs="Times New Roman" w:eastAsia="Times New Roman" w:hint="default"/>
          <w:sz w:val="22"/>
          <w:szCs w:val="22"/>
        </w:rPr>
      </w:pPr>
    </w:p>
    <w:p>
      <w:pPr>
        <w:tabs>
          <w:tab w:pos="2934" w:val="left" w:leader="none"/>
          <w:tab w:pos="6266" w:val="left" w:leader="none"/>
        </w:tabs>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pacing w:val="1"/>
          <w:sz w:val="18"/>
          <w:szCs w:val="18"/>
        </w:rPr>
        <w:t> </w:t>
      </w:r>
      <w:r>
        <w:rPr>
          <w:rFonts w:ascii="宋体" w:hAnsi="宋体" w:cs="宋体" w:eastAsia="宋体" w:hint="default"/>
          <w:sz w:val="18"/>
          <w:szCs w:val="18"/>
        </w:rPr>
        <w:t>刘祥南</w:t>
        <w:tab/>
      </w:r>
      <w:r>
        <w:rPr>
          <w:rFonts w:ascii="宋体" w:hAnsi="宋体" w:cs="宋体" w:eastAsia="宋体" w:hint="default"/>
          <w:spacing w:val="-1"/>
          <w:sz w:val="18"/>
          <w:szCs w:val="18"/>
        </w:rPr>
        <w:t>主管会计工作负责人：张乃军</w:t>
        <w:tab/>
        <w:t>会计机构负责人：陈志友</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3"/>
        <w:rPr>
          <w:rFonts w:ascii="宋体" w:hAnsi="宋体" w:cs="宋体" w:eastAsia="宋体" w:hint="default"/>
          <w:b/>
          <w:bCs/>
          <w:sz w:val="22"/>
          <w:szCs w:val="22"/>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编制单位：厦门市美亚柏科信息股份有限公司</w:t>
      </w:r>
    </w:p>
    <w:p>
      <w:pPr>
        <w:spacing w:before="115"/>
        <w:ind w:left="0" w:right="15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582"/>
        <w:gridCol w:w="2896"/>
        <w:gridCol w:w="2888"/>
      </w:tblGrid>
      <w:tr>
        <w:trPr>
          <w:trHeight w:val="40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
              <w:jc w:val="righ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8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8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6" w:firstLine="359"/>
              <w:jc w:val="left"/>
              <w:rPr>
                <w:rFonts w:ascii="宋体" w:hAnsi="宋体" w:cs="宋体" w:eastAsia="宋体" w:hint="default"/>
                <w:sz w:val="18"/>
                <w:szCs w:val="18"/>
              </w:rPr>
            </w:pPr>
            <w:r>
              <w:rPr>
                <w:rFonts w:ascii="宋体" w:hAnsi="宋体" w:cs="宋体" w:eastAsia="宋体" w:hint="default"/>
                <w:sz w:val="18"/>
                <w:szCs w:val="18"/>
              </w:rPr>
              <w:t>销售商品、提供劳务收到的 现金</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339,919,922.40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286,345,327.63</w:t>
            </w:r>
          </w:p>
        </w:tc>
      </w:tr>
      <w:tr>
        <w:trPr>
          <w:trHeight w:val="401"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17,631,566.50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8,986,141.60</w:t>
            </w:r>
          </w:p>
        </w:tc>
      </w:tr>
      <w:tr>
        <w:trPr>
          <w:trHeight w:val="715"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6" w:firstLine="359"/>
              <w:jc w:val="left"/>
              <w:rPr>
                <w:rFonts w:ascii="宋体" w:hAnsi="宋体" w:cs="宋体" w:eastAsia="宋体" w:hint="default"/>
                <w:sz w:val="18"/>
                <w:szCs w:val="18"/>
              </w:rPr>
            </w:pPr>
            <w:r>
              <w:rPr>
                <w:rFonts w:ascii="宋体" w:hAnsi="宋体" w:cs="宋体" w:eastAsia="宋体" w:hint="default"/>
                <w:sz w:val="18"/>
                <w:szCs w:val="18"/>
              </w:rPr>
              <w:t>收到其他与经营活动有关的 现金</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37,840,945.68</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17,189,404.12</w:t>
            </w:r>
          </w:p>
        </w:tc>
      </w:tr>
      <w:tr>
        <w:trPr>
          <w:trHeight w:val="401"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395,392,434.58</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312,520,873.35</w:t>
            </w:r>
          </w:p>
        </w:tc>
      </w:tr>
      <w:tr>
        <w:trPr>
          <w:trHeight w:val="715"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6" w:firstLine="359"/>
              <w:jc w:val="left"/>
              <w:rPr>
                <w:rFonts w:ascii="宋体" w:hAnsi="宋体" w:cs="宋体" w:eastAsia="宋体" w:hint="default"/>
                <w:sz w:val="18"/>
                <w:szCs w:val="18"/>
              </w:rPr>
            </w:pPr>
            <w:r>
              <w:rPr>
                <w:rFonts w:ascii="宋体" w:hAnsi="宋体" w:cs="宋体" w:eastAsia="宋体" w:hint="default"/>
                <w:sz w:val="18"/>
                <w:szCs w:val="18"/>
              </w:rPr>
              <w:t>购买商品、接受劳务支付的 现金</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155,940,375.41</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166,633,417.41</w:t>
            </w:r>
            <w:r>
              <w:rPr>
                <w:rFonts w:ascii="Times New Roman"/>
                <w:sz w:val="18"/>
              </w:rPr>
            </w:r>
          </w:p>
        </w:tc>
      </w:tr>
      <w:tr>
        <w:trPr>
          <w:trHeight w:val="71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3" w:right="26" w:firstLine="359"/>
              <w:jc w:val="left"/>
              <w:rPr>
                <w:rFonts w:ascii="宋体" w:hAnsi="宋体" w:cs="宋体" w:eastAsia="宋体" w:hint="default"/>
                <w:sz w:val="18"/>
                <w:szCs w:val="18"/>
              </w:rPr>
            </w:pPr>
            <w:r>
              <w:rPr>
                <w:rFonts w:ascii="宋体" w:hAnsi="宋体" w:cs="宋体" w:eastAsia="宋体" w:hint="default"/>
                <w:sz w:val="18"/>
                <w:szCs w:val="18"/>
              </w:rPr>
              <w:t>支付给职工以及为职工支付 的现金</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93,776,871.06</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50,127,430.78</w:t>
            </w:r>
          </w:p>
        </w:tc>
      </w:tr>
      <w:tr>
        <w:trPr>
          <w:trHeight w:val="40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42,588,785.09</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27,926,922.41</w:t>
            </w:r>
          </w:p>
        </w:tc>
      </w:tr>
      <w:tr>
        <w:trPr>
          <w:trHeight w:val="71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3" w:right="26" w:firstLine="359"/>
              <w:jc w:val="left"/>
              <w:rPr>
                <w:rFonts w:ascii="宋体" w:hAnsi="宋体" w:cs="宋体" w:eastAsia="宋体" w:hint="default"/>
                <w:sz w:val="18"/>
                <w:szCs w:val="18"/>
              </w:rPr>
            </w:pPr>
            <w:r>
              <w:rPr>
                <w:rFonts w:ascii="宋体" w:hAnsi="宋体" w:cs="宋体" w:eastAsia="宋体" w:hint="default"/>
                <w:sz w:val="18"/>
                <w:szCs w:val="18"/>
              </w:rPr>
              <w:t>支付其他与经营活动有关的 现金</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62,842,044.95</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66,512,691.26</w:t>
            </w:r>
          </w:p>
        </w:tc>
      </w:tr>
      <w:tr>
        <w:trPr>
          <w:trHeight w:val="40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355,148,076.51</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311,200,461.86</w:t>
            </w:r>
          </w:p>
        </w:tc>
      </w:tr>
      <w:tr>
        <w:trPr>
          <w:trHeight w:val="401"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40,244,358.07</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1,320,411.49</w:t>
            </w:r>
          </w:p>
        </w:tc>
      </w:tr>
      <w:tr>
        <w:trPr>
          <w:trHeight w:val="404"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
              <w:jc w:val="righ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8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8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501,787,774.05</w:t>
            </w: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
              <w:jc w:val="righ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10,035,550.17</w:t>
            </w: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3" w:right="26" w:firstLine="359"/>
              <w:jc w:val="left"/>
              <w:rPr>
                <w:rFonts w:ascii="宋体" w:hAnsi="宋体" w:cs="宋体" w:eastAsia="宋体" w:hint="default"/>
                <w:sz w:val="18"/>
                <w:szCs w:val="18"/>
              </w:rPr>
            </w:pPr>
            <w:r>
              <w:rPr>
                <w:rFonts w:ascii="宋体" w:hAnsi="宋体" w:cs="宋体" w:eastAsia="宋体" w:hint="default"/>
                <w:sz w:val="18"/>
                <w:szCs w:val="18"/>
              </w:rPr>
              <w:t>处置固定资产、无形资产和 其他长期资产收回的现金净额</w:t>
            </w:r>
          </w:p>
        </w:tc>
        <w:tc>
          <w:tcPr>
            <w:tcW w:w="2896" w:type="dxa"/>
            <w:tcBorders>
              <w:top w:val="single" w:sz="4" w:space="0" w:color="000000"/>
              <w:left w:val="single" w:sz="9"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6" w:firstLine="359"/>
              <w:jc w:val="left"/>
              <w:rPr>
                <w:rFonts w:ascii="宋体" w:hAnsi="宋体" w:cs="宋体" w:eastAsia="宋体" w:hint="default"/>
                <w:sz w:val="18"/>
                <w:szCs w:val="18"/>
              </w:rPr>
            </w:pPr>
            <w:r>
              <w:rPr>
                <w:rFonts w:ascii="宋体" w:hAnsi="宋体" w:cs="宋体" w:eastAsia="宋体" w:hint="default"/>
                <w:sz w:val="18"/>
                <w:szCs w:val="18"/>
              </w:rPr>
              <w:t>处置子公司及其他营业单位 收到的现金净额</w:t>
            </w:r>
          </w:p>
        </w:tc>
        <w:tc>
          <w:tcPr>
            <w:tcW w:w="2896" w:type="dxa"/>
            <w:tcBorders>
              <w:top w:val="single" w:sz="4" w:space="0" w:color="000000"/>
              <w:left w:val="single" w:sz="9"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26"/>
              <w:jc w:val="right"/>
              <w:rPr>
                <w:rFonts w:ascii="宋体" w:hAnsi="宋体" w:cs="宋体" w:eastAsia="宋体" w:hint="default"/>
                <w:sz w:val="18"/>
                <w:szCs w:val="18"/>
              </w:rPr>
            </w:pPr>
            <w:r>
              <w:rPr>
                <w:rFonts w:ascii="宋体" w:hAnsi="宋体" w:cs="宋体" w:eastAsia="宋体" w:hint="default"/>
                <w:sz w:val="18"/>
                <w:szCs w:val="18"/>
              </w:rPr>
              <w:t>收到其他与投资活动有关的</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28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27" w:top="1100" w:bottom="1420" w:left="1660" w:right="1640"/>
        </w:sectPr>
      </w:pPr>
    </w:p>
    <w:p>
      <w:pPr>
        <w:spacing w:line="240" w:lineRule="auto" w:before="8"/>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2582"/>
        <w:gridCol w:w="2896"/>
        <w:gridCol w:w="2888"/>
      </w:tblGrid>
      <w:tr>
        <w:trPr>
          <w:trHeight w:val="36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2896" w:type="dxa"/>
            <w:tcBorders>
              <w:top w:val="single" w:sz="4" w:space="0" w:color="000000"/>
              <w:left w:val="single" w:sz="9"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541,823,324.22</w:t>
            </w: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6" w:firstLine="359"/>
              <w:jc w:val="left"/>
              <w:rPr>
                <w:rFonts w:ascii="宋体" w:hAnsi="宋体" w:cs="宋体" w:eastAsia="宋体" w:hint="default"/>
                <w:sz w:val="18"/>
                <w:szCs w:val="18"/>
              </w:rPr>
            </w:pPr>
            <w:r>
              <w:rPr>
                <w:rFonts w:ascii="宋体" w:hAnsi="宋体" w:cs="宋体" w:eastAsia="宋体" w:hint="default"/>
                <w:sz w:val="18"/>
                <w:szCs w:val="18"/>
              </w:rPr>
              <w:t>购建固定资产、无形资产和 其他长期资产支付的现金</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223,406,943.76</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30,801,092.22</w:t>
            </w:r>
          </w:p>
        </w:tc>
      </w:tr>
      <w:tr>
        <w:trPr>
          <w:trHeight w:val="401"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430,332,774.05</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290,455,000.00</w:t>
            </w:r>
          </w:p>
        </w:tc>
      </w:tr>
      <w:tr>
        <w:trPr>
          <w:trHeight w:val="715"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6" w:firstLine="359"/>
              <w:jc w:val="left"/>
              <w:rPr>
                <w:rFonts w:ascii="宋体" w:hAnsi="宋体" w:cs="宋体" w:eastAsia="宋体" w:hint="default"/>
                <w:sz w:val="18"/>
                <w:szCs w:val="18"/>
              </w:rPr>
            </w:pPr>
            <w:r>
              <w:rPr>
                <w:rFonts w:ascii="宋体" w:hAnsi="宋体" w:cs="宋体" w:eastAsia="宋体" w:hint="default"/>
                <w:sz w:val="18"/>
                <w:szCs w:val="18"/>
              </w:rPr>
              <w:t>取得子公司及其他营业单位 支付的现金净额</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4,470,000.00</w:t>
            </w: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6" w:firstLine="359"/>
              <w:jc w:val="left"/>
              <w:rPr>
                <w:rFonts w:ascii="宋体" w:hAnsi="宋体" w:cs="宋体" w:eastAsia="宋体" w:hint="default"/>
                <w:sz w:val="18"/>
                <w:szCs w:val="18"/>
              </w:rPr>
            </w:pPr>
            <w:r>
              <w:rPr>
                <w:rFonts w:ascii="宋体" w:hAnsi="宋体" w:cs="宋体" w:eastAsia="宋体" w:hint="default"/>
                <w:sz w:val="18"/>
                <w:szCs w:val="18"/>
              </w:rPr>
              <w:t>支付其他与投资活动有关的 现金</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678,209,717.81</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331,256,092.22</w:t>
            </w:r>
          </w:p>
        </w:tc>
      </w:tr>
      <w:tr>
        <w:trPr>
          <w:trHeight w:val="401"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-136,386,393.59</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-331,256,092.22</w:t>
            </w:r>
          </w:p>
        </w:tc>
      </w:tr>
      <w:tr>
        <w:trPr>
          <w:trHeight w:val="40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8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8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33,518,628.00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507,400,000.00</w:t>
            </w:r>
          </w:p>
        </w:tc>
      </w:tr>
      <w:tr>
        <w:trPr>
          <w:trHeight w:val="40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896" w:type="dxa"/>
            <w:tcBorders>
              <w:top w:val="single" w:sz="4" w:space="0" w:color="000000"/>
              <w:left w:val="single" w:sz="9"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560,000.00</w:t>
            </w:r>
          </w:p>
        </w:tc>
      </w:tr>
      <w:tr>
        <w:trPr>
          <w:trHeight w:val="401"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896" w:type="dxa"/>
            <w:tcBorders>
              <w:top w:val="single" w:sz="4" w:space="0" w:color="000000"/>
              <w:left w:val="single" w:sz="9"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6" w:firstLine="359"/>
              <w:jc w:val="left"/>
              <w:rPr>
                <w:rFonts w:ascii="宋体" w:hAnsi="宋体" w:cs="宋体" w:eastAsia="宋体" w:hint="default"/>
                <w:sz w:val="18"/>
                <w:szCs w:val="18"/>
              </w:rPr>
            </w:pPr>
            <w:r>
              <w:rPr>
                <w:rFonts w:ascii="宋体" w:hAnsi="宋体" w:cs="宋体" w:eastAsia="宋体" w:hint="default"/>
                <w:sz w:val="18"/>
                <w:szCs w:val="18"/>
              </w:rPr>
              <w:t>收到其他与筹资活动有关的 现金</w:t>
            </w:r>
          </w:p>
        </w:tc>
        <w:tc>
          <w:tcPr>
            <w:tcW w:w="2896" w:type="dxa"/>
            <w:tcBorders>
              <w:top w:val="single" w:sz="4" w:space="0" w:color="000000"/>
              <w:left w:val="single" w:sz="9"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33,518,628.00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507,960,000.00</w:t>
            </w:r>
          </w:p>
        </w:tc>
      </w:tr>
      <w:tr>
        <w:trPr>
          <w:trHeight w:val="40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896" w:type="dxa"/>
            <w:tcBorders>
              <w:top w:val="single" w:sz="4" w:space="0" w:color="000000"/>
              <w:left w:val="single" w:sz="9"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13,460,536.32</w:t>
            </w:r>
          </w:p>
        </w:tc>
      </w:tr>
      <w:tr>
        <w:trPr>
          <w:trHeight w:val="71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6" w:firstLine="359"/>
              <w:jc w:val="left"/>
              <w:rPr>
                <w:rFonts w:ascii="宋体" w:hAnsi="宋体" w:cs="宋体" w:eastAsia="宋体" w:hint="default"/>
                <w:sz w:val="18"/>
                <w:szCs w:val="18"/>
              </w:rPr>
            </w:pPr>
            <w:r>
              <w:rPr>
                <w:rFonts w:ascii="宋体" w:hAnsi="宋体" w:cs="宋体" w:eastAsia="宋体" w:hint="default"/>
                <w:sz w:val="18"/>
                <w:szCs w:val="18"/>
              </w:rPr>
              <w:t>分配股利、利润或偿付利息 支付的现金</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10,700,000.00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410,659.20</w:t>
            </w:r>
          </w:p>
        </w:tc>
      </w:tr>
      <w:tr>
        <w:trPr>
          <w:trHeight w:val="715"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6" w:firstLine="359"/>
              <w:jc w:val="left"/>
              <w:rPr>
                <w:rFonts w:ascii="宋体" w:hAnsi="宋体" w:cs="宋体" w:eastAsia="宋体" w:hint="default"/>
                <w:sz w:val="18"/>
                <w:szCs w:val="18"/>
              </w:rPr>
            </w:pPr>
            <w:r>
              <w:rPr>
                <w:rFonts w:ascii="宋体" w:hAnsi="宋体" w:cs="宋体" w:eastAsia="宋体" w:hint="default"/>
                <w:sz w:val="18"/>
                <w:szCs w:val="18"/>
              </w:rPr>
              <w:t>支付其他与筹资活动有关的 现金</w:t>
            </w:r>
          </w:p>
        </w:tc>
        <w:tc>
          <w:tcPr>
            <w:tcW w:w="2896" w:type="dxa"/>
            <w:tcBorders>
              <w:top w:val="single" w:sz="4" w:space="0" w:color="000000"/>
              <w:left w:val="single" w:sz="9" w:space="0" w:color="D2D2D2"/>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5,993,965.00</w:t>
            </w:r>
          </w:p>
        </w:tc>
      </w:tr>
      <w:tr>
        <w:trPr>
          <w:trHeight w:val="401"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10,700,000.00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19,865,160.52</w:t>
            </w:r>
          </w:p>
        </w:tc>
      </w:tr>
      <w:tr>
        <w:trPr>
          <w:trHeight w:val="40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22,818,628.00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488,094,839.48</w:t>
            </w:r>
          </w:p>
        </w:tc>
      </w:tr>
      <w:tr>
        <w:trPr>
          <w:trHeight w:val="71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6"/>
              <w:jc w:val="left"/>
              <w:rPr>
                <w:rFonts w:ascii="宋体" w:hAnsi="宋体" w:cs="宋体" w:eastAsia="宋体" w:hint="default"/>
                <w:sz w:val="18"/>
                <w:szCs w:val="18"/>
              </w:rPr>
            </w:pPr>
            <w:r>
              <w:rPr>
                <w:rFonts w:ascii="宋体" w:hAnsi="宋体" w:cs="宋体" w:eastAsia="宋体" w:hint="default"/>
                <w:sz w:val="18"/>
                <w:szCs w:val="18"/>
              </w:rPr>
              <w:t>四、汇率变动对现金及现金等价 物的影响</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57,818.44</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73,262.54</w:t>
            </w:r>
          </w:p>
        </w:tc>
      </w:tr>
      <w:tr>
        <w:trPr>
          <w:trHeight w:val="40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-73,265,589.08</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158,232,421.29</w:t>
            </w:r>
          </w:p>
        </w:tc>
      </w:tr>
      <w:tr>
        <w:trPr>
          <w:trHeight w:val="71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6" w:firstLine="359"/>
              <w:jc w:val="left"/>
              <w:rPr>
                <w:rFonts w:ascii="宋体" w:hAnsi="宋体" w:cs="宋体" w:eastAsia="宋体" w:hint="default"/>
                <w:sz w:val="18"/>
                <w:szCs w:val="18"/>
              </w:rPr>
            </w:pPr>
            <w:r>
              <w:rPr>
                <w:rFonts w:ascii="宋体" w:hAnsi="宋体" w:cs="宋体" w:eastAsia="宋体" w:hint="default"/>
                <w:sz w:val="18"/>
                <w:szCs w:val="18"/>
              </w:rPr>
              <w:t>加：期初现金及现金等价物 余额</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254,491,832.80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96,259,411.51</w:t>
            </w:r>
          </w:p>
        </w:tc>
      </w:tr>
      <w:tr>
        <w:trPr>
          <w:trHeight w:val="40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8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181,226,243.72</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254,491,832.80</w:t>
            </w:r>
          </w:p>
        </w:tc>
      </w:tr>
    </w:tbl>
    <w:p>
      <w:pPr>
        <w:spacing w:line="240" w:lineRule="auto" w:before="2"/>
        <w:rPr>
          <w:rFonts w:ascii="宋体" w:hAnsi="宋体" w:cs="宋体" w:eastAsia="宋体" w:hint="default"/>
          <w:sz w:val="20"/>
          <w:szCs w:val="20"/>
        </w:rPr>
      </w:pPr>
    </w:p>
    <w:p>
      <w:pPr>
        <w:tabs>
          <w:tab w:pos="3114" w:val="left" w:leader="none"/>
          <w:tab w:pos="6446" w:val="left" w:leader="none"/>
        </w:tabs>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pacing w:val="1"/>
          <w:sz w:val="18"/>
          <w:szCs w:val="18"/>
        </w:rPr>
        <w:t> </w:t>
      </w:r>
      <w:r>
        <w:rPr>
          <w:rFonts w:ascii="宋体" w:hAnsi="宋体" w:cs="宋体" w:eastAsia="宋体" w:hint="default"/>
          <w:sz w:val="18"/>
          <w:szCs w:val="18"/>
        </w:rPr>
        <w:t>刘祥南</w:t>
        <w:tab/>
      </w:r>
      <w:r>
        <w:rPr>
          <w:rFonts w:ascii="宋体" w:hAnsi="宋体" w:cs="宋体" w:eastAsia="宋体" w:hint="default"/>
          <w:spacing w:val="-1"/>
          <w:sz w:val="18"/>
          <w:szCs w:val="18"/>
        </w:rPr>
        <w:t>主管会计工作负责人：张乃军</w:t>
        <w:tab/>
        <w:t>会计机构负责人：陈志友</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4"/>
        <w:rPr>
          <w:rFonts w:ascii="宋体" w:hAnsi="宋体" w:cs="宋体" w:eastAsia="宋体" w:hint="default"/>
          <w:b/>
          <w:bCs/>
          <w:sz w:val="26"/>
          <w:szCs w:val="26"/>
        </w:rPr>
      </w:pPr>
    </w:p>
    <w:p>
      <w:pPr>
        <w:spacing w:line="357" w:lineRule="auto" w:before="0"/>
        <w:ind w:left="140" w:right="4846" w:firstLine="0"/>
        <w:jc w:val="left"/>
        <w:rPr>
          <w:rFonts w:ascii="宋体" w:hAnsi="宋体" w:cs="宋体" w:eastAsia="宋体" w:hint="default"/>
          <w:sz w:val="18"/>
          <w:szCs w:val="18"/>
        </w:rPr>
      </w:pPr>
      <w:r>
        <w:rPr>
          <w:rFonts w:ascii="宋体" w:hAnsi="宋体" w:cs="宋体" w:eastAsia="宋体" w:hint="default"/>
          <w:sz w:val="18"/>
          <w:szCs w:val="18"/>
        </w:rPr>
        <w:t>编制单位：厦门市美亚柏科信息股份有限公司 本期金额</w:t>
      </w:r>
    </w:p>
    <w:p>
      <w:pPr>
        <w:spacing w:after="0" w:line="357" w:lineRule="auto"/>
        <w:jc w:val="left"/>
        <w:rPr>
          <w:rFonts w:ascii="宋体" w:hAnsi="宋体" w:cs="宋体" w:eastAsia="宋体" w:hint="default"/>
          <w:sz w:val="18"/>
          <w:szCs w:val="18"/>
        </w:rPr>
        <w:sectPr>
          <w:pgSz w:w="11910" w:h="16840"/>
          <w:pgMar w:header="877" w:footer="1227" w:top="1100" w:bottom="1420" w:left="1660" w:right="1640"/>
        </w:sectPr>
      </w:pPr>
    </w:p>
    <w:p>
      <w:pPr>
        <w:spacing w:line="240" w:lineRule="auto" w:before="11"/>
        <w:rPr>
          <w:rFonts w:ascii="宋体" w:hAnsi="宋体" w:cs="宋体" w:eastAsia="宋体" w:hint="default"/>
          <w:sz w:val="21"/>
          <w:szCs w:val="21"/>
        </w:rPr>
      </w:pPr>
    </w:p>
    <w:p>
      <w:pPr>
        <w:spacing w:before="44"/>
        <w:ind w:left="0" w:right="137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344"/>
        <w:gridCol w:w="697"/>
        <w:gridCol w:w="686"/>
        <w:gridCol w:w="514"/>
        <w:gridCol w:w="425"/>
        <w:gridCol w:w="1118"/>
        <w:gridCol w:w="442"/>
        <w:gridCol w:w="1275"/>
        <w:gridCol w:w="341"/>
        <w:gridCol w:w="818"/>
        <w:gridCol w:w="893"/>
      </w:tblGrid>
      <w:tr>
        <w:trPr>
          <w:trHeight w:val="401"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58"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549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6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6"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77" w:right="67"/>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14"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18" w:type="dxa"/>
            <w:vMerge w:val="restart"/>
            <w:tcBorders>
              <w:top w:val="single" w:sz="4" w:space="0" w:color="000000"/>
              <w:left w:val="single" w:sz="4" w:space="0" w:color="000000"/>
              <w:right w:val="single" w:sz="4" w:space="0" w:color="000000"/>
            </w:tcBorders>
            <w:shd w:val="clear" w:color="auto" w:fill="D2D2D2"/>
          </w:tcPr>
          <w:p>
            <w:pPr/>
          </w:p>
        </w:tc>
        <w:tc>
          <w:tcPr>
            <w:tcW w:w="4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33" w:right="3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275" w:type="dxa"/>
            <w:vMerge w:val="restart"/>
            <w:tcBorders>
              <w:top w:val="single" w:sz="4" w:space="0" w:color="000000"/>
              <w:left w:val="single" w:sz="4" w:space="0" w:color="000000"/>
              <w:right w:val="single" w:sz="4" w:space="0" w:color="000000"/>
            </w:tcBorders>
            <w:shd w:val="clear" w:color="auto" w:fill="D2D2D2"/>
          </w:tcPr>
          <w:p>
            <w:pPr/>
          </w:p>
        </w:tc>
        <w:tc>
          <w:tcPr>
            <w:tcW w:w="34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170" w:right="82"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7"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7" w:right="67"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51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72" w:right="19" w:hanging="48"/>
              <w:jc w:val="left"/>
              <w:rPr>
                <w:rFonts w:ascii="宋体" w:hAnsi="宋体" w:cs="宋体" w:eastAsia="宋体" w:hint="default"/>
                <w:sz w:val="18"/>
                <w:szCs w:val="18"/>
              </w:rPr>
            </w:pPr>
            <w:r>
              <w:rPr>
                <w:rFonts w:ascii="宋体" w:hAnsi="宋体" w:cs="宋体" w:eastAsia="宋体" w:hint="default"/>
                <w:spacing w:val="-28"/>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8" w:right="24"/>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18" w:type="dxa"/>
            <w:vMerge/>
            <w:tcBorders>
              <w:left w:val="single" w:sz="4" w:space="0" w:color="000000"/>
              <w:bottom w:val="nil" w:sz="6" w:space="0" w:color="auto"/>
              <w:right w:val="single" w:sz="4" w:space="0" w:color="000000"/>
            </w:tcBorders>
            <w:shd w:val="clear" w:color="auto" w:fill="D2D2D2"/>
          </w:tcPr>
          <w:p>
            <w:pPr/>
          </w:p>
        </w:tc>
        <w:tc>
          <w:tcPr>
            <w:tcW w:w="442"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341"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74" w:right="74"/>
              <w:jc w:val="left"/>
              <w:rPr>
                <w:rFonts w:ascii="宋体" w:hAnsi="宋体" w:cs="宋体" w:eastAsia="宋体" w:hint="default"/>
                <w:sz w:val="18"/>
                <w:szCs w:val="18"/>
              </w:rPr>
            </w:pPr>
            <w:r>
              <w:rPr>
                <w:rFonts w:ascii="宋体" w:hAnsi="宋体" w:cs="宋体" w:eastAsia="宋体" w:hint="default"/>
                <w:sz w:val="18"/>
                <w:szCs w:val="18"/>
              </w:rPr>
              <w:t>其 他</w:t>
            </w: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71"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514"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1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442" w:type="dxa"/>
            <w:vMerge/>
            <w:tcBorders>
              <w:left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8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 w:type="dxa"/>
            <w:vMerge/>
            <w:tcBorders>
              <w:left w:val="single" w:sz="4" w:space="0" w:color="000000"/>
              <w:right w:val="single" w:sz="4" w:space="0" w:color="000000"/>
            </w:tcBorders>
            <w:shd w:val="clear" w:color="auto" w:fill="D2D2D2"/>
          </w:tcPr>
          <w:p>
            <w:pP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167" w:hRule="exact"/>
        </w:trPr>
        <w:tc>
          <w:tcPr>
            <w:tcW w:w="2344" w:type="dxa"/>
            <w:vMerge/>
            <w:tcBorders>
              <w:left w:val="single" w:sz="4" w:space="0" w:color="000000"/>
              <w:right w:val="single" w:sz="4" w:space="0" w:color="000000"/>
            </w:tcBorders>
            <w:shd w:val="clear" w:color="auto" w:fill="D2D2D2"/>
          </w:tcPr>
          <w:p>
            <w:pPr/>
          </w:p>
        </w:tc>
        <w:tc>
          <w:tcPr>
            <w:tcW w:w="69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514"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118" w:type="dxa"/>
            <w:vMerge w:val="restart"/>
            <w:tcBorders>
              <w:top w:val="nil" w:sz="6" w:space="0" w:color="auto"/>
              <w:left w:val="single" w:sz="4" w:space="0" w:color="000000"/>
              <w:right w:val="single" w:sz="4" w:space="0" w:color="000000"/>
            </w:tcBorders>
            <w:shd w:val="clear" w:color="auto" w:fill="D2D2D2"/>
          </w:tcPr>
          <w:p>
            <w:pPr/>
          </w:p>
        </w:tc>
        <w:tc>
          <w:tcPr>
            <w:tcW w:w="442" w:type="dxa"/>
            <w:vMerge/>
            <w:tcBorders>
              <w:left w:val="single" w:sz="4" w:space="0" w:color="000000"/>
              <w:right w:val="single" w:sz="4" w:space="0" w:color="000000"/>
            </w:tcBorders>
            <w:shd w:val="clear" w:color="auto" w:fill="D2D2D2"/>
          </w:tcPr>
          <w:p>
            <w:pPr/>
          </w:p>
        </w:tc>
        <w:tc>
          <w:tcPr>
            <w:tcW w:w="1275" w:type="dxa"/>
            <w:vMerge w:val="restart"/>
            <w:tcBorders>
              <w:top w:val="nil" w:sz="6" w:space="0" w:color="auto"/>
              <w:left w:val="single" w:sz="4" w:space="0" w:color="000000"/>
              <w:right w:val="single" w:sz="4" w:space="0" w:color="000000"/>
            </w:tcBorders>
            <w:shd w:val="clear" w:color="auto" w:fill="D2D2D2"/>
          </w:tcPr>
          <w:p>
            <w:pPr/>
          </w:p>
        </w:tc>
        <w:tc>
          <w:tcPr>
            <w:tcW w:w="341" w:type="dxa"/>
            <w:vMerge/>
            <w:tcBorders>
              <w:left w:val="single" w:sz="4" w:space="0" w:color="000000"/>
              <w:bottom w:val="nil" w:sz="6" w:space="0" w:color="auto"/>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7"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514"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18" w:type="dxa"/>
            <w:vMerge/>
            <w:tcBorders>
              <w:left w:val="single" w:sz="4" w:space="0" w:color="000000"/>
              <w:bottom w:val="single" w:sz="4" w:space="0" w:color="000000"/>
              <w:right w:val="single" w:sz="4" w:space="0" w:color="000000"/>
            </w:tcBorders>
            <w:shd w:val="clear" w:color="auto" w:fill="D2D2D2"/>
          </w:tcPr>
          <w:p>
            <w:pPr/>
          </w:p>
        </w:tc>
        <w:tc>
          <w:tcPr>
            <w:tcW w:w="442"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34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9" w:space="0" w:color="D2D2D2"/>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53,500,</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503,182,</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020.13</w:t>
            </w:r>
          </w:p>
        </w:tc>
        <w:tc>
          <w:tcPr>
            <w:tcW w:w="514"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11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12,338,591.73</w:t>
            </w:r>
          </w:p>
        </w:tc>
        <w:tc>
          <w:tcPr>
            <w:tcW w:w="442" w:type="dxa"/>
            <w:vMerge w:val="restart"/>
            <w:tcBorders>
              <w:top w:val="single" w:sz="4" w:space="0" w:color="000000"/>
              <w:left w:val="single" w:sz="4" w:space="0" w:color="000000"/>
              <w:right w:val="single" w:sz="4" w:space="0" w:color="000000"/>
            </w:tcBorders>
          </w:tcPr>
          <w:p>
            <w:pP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104,668,122.97</w:t>
            </w:r>
          </w:p>
        </w:tc>
        <w:tc>
          <w:tcPr>
            <w:tcW w:w="341"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673,688,73</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4.83</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7" w:type="dxa"/>
            <w:vMerge/>
            <w:tcBorders>
              <w:left w:val="single" w:sz="9"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514"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442"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341"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9"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514"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118" w:type="dxa"/>
            <w:vMerge/>
            <w:tcBorders>
              <w:left w:val="single" w:sz="4" w:space="0" w:color="000000"/>
              <w:bottom w:val="single" w:sz="4" w:space="0" w:color="000000"/>
              <w:right w:val="single" w:sz="4" w:space="0" w:color="000000"/>
            </w:tcBorders>
          </w:tcPr>
          <w:p>
            <w:pPr/>
          </w:p>
        </w:tc>
        <w:tc>
          <w:tcPr>
            <w:tcW w:w="442"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341"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97" w:type="dxa"/>
            <w:tcBorders>
              <w:top w:val="single" w:sz="4" w:space="0" w:color="000000"/>
              <w:left w:val="single" w:sz="9"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97" w:type="dxa"/>
            <w:tcBorders>
              <w:top w:val="single" w:sz="4" w:space="0" w:color="000000"/>
              <w:left w:val="single" w:sz="9"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7" w:type="dxa"/>
            <w:tcBorders>
              <w:top w:val="single" w:sz="4" w:space="0" w:color="000000"/>
              <w:left w:val="single" w:sz="9"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9" w:space="0" w:color="D2D2D2"/>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53,500,</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503,182,</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020.13</w:t>
            </w:r>
          </w:p>
        </w:tc>
        <w:tc>
          <w:tcPr>
            <w:tcW w:w="514"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11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12,338,591.73</w:t>
            </w:r>
          </w:p>
        </w:tc>
        <w:tc>
          <w:tcPr>
            <w:tcW w:w="442" w:type="dxa"/>
            <w:vMerge w:val="restart"/>
            <w:tcBorders>
              <w:top w:val="single" w:sz="4" w:space="0" w:color="000000"/>
              <w:left w:val="single" w:sz="4" w:space="0" w:color="000000"/>
              <w:right w:val="single" w:sz="4" w:space="0" w:color="000000"/>
            </w:tcBorders>
          </w:tcPr>
          <w:p>
            <w:pP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104,668,122.97</w:t>
            </w:r>
          </w:p>
        </w:tc>
        <w:tc>
          <w:tcPr>
            <w:tcW w:w="341"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673,688,73</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4.83</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7" w:type="dxa"/>
            <w:vMerge/>
            <w:tcBorders>
              <w:left w:val="single" w:sz="9"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514"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442"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341"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9"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514"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118" w:type="dxa"/>
            <w:vMerge/>
            <w:tcBorders>
              <w:left w:val="single" w:sz="4" w:space="0" w:color="000000"/>
              <w:bottom w:val="single" w:sz="4" w:space="0" w:color="000000"/>
              <w:right w:val="single" w:sz="4" w:space="0" w:color="000000"/>
            </w:tcBorders>
          </w:tcPr>
          <w:p>
            <w:pPr/>
          </w:p>
        </w:tc>
        <w:tc>
          <w:tcPr>
            <w:tcW w:w="442"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341"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以“－”号填列）</w:t>
            </w:r>
          </w:p>
        </w:tc>
        <w:tc>
          <w:tcPr>
            <w:tcW w:w="69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57,406,</w:t>
            </w:r>
          </w:p>
          <w:p>
            <w:pPr>
              <w:pStyle w:val="TableParagraph"/>
              <w:spacing w:line="240" w:lineRule="auto" w:before="102"/>
              <w:ind w:left="163" w:right="0"/>
              <w:jc w:val="left"/>
              <w:rPr>
                <w:rFonts w:ascii="Times New Roman" w:hAnsi="Times New Roman" w:cs="Times New Roman" w:eastAsia="Times New Roman" w:hint="default"/>
                <w:sz w:val="18"/>
                <w:szCs w:val="18"/>
              </w:rPr>
            </w:pPr>
            <w:r>
              <w:rPr>
                <w:rFonts w:ascii="Times New Roman"/>
                <w:sz w:val="18"/>
              </w:rPr>
              <w:t>600.00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-19,892,</w:t>
            </w:r>
          </w:p>
          <w:p>
            <w:pPr>
              <w:pStyle w:val="TableParagraph"/>
              <w:spacing w:line="240" w:lineRule="auto" w:before="102"/>
              <w:ind w:left="135" w:right="0"/>
              <w:jc w:val="center"/>
              <w:rPr>
                <w:rFonts w:ascii="Times New Roman" w:hAnsi="Times New Roman" w:cs="Times New Roman" w:eastAsia="Times New Roman" w:hint="default"/>
                <w:sz w:val="18"/>
                <w:szCs w:val="18"/>
              </w:rPr>
            </w:pPr>
            <w:r>
              <w:rPr>
                <w:rFonts w:ascii="Times New Roman"/>
                <w:sz w:val="18"/>
              </w:rPr>
              <w:t>752.04</w:t>
            </w:r>
          </w:p>
        </w:tc>
        <w:tc>
          <w:tcPr>
            <w:tcW w:w="51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20"/>
                <w:szCs w:val="20"/>
              </w:rPr>
            </w:pPr>
            <w:r>
              <w:rPr>
                <w:rFonts w:ascii="Times New Roman"/>
                <w:sz w:val="20"/>
              </w:rPr>
              <w:t>7,822,886.13</w:t>
            </w:r>
          </w:p>
        </w:tc>
        <w:tc>
          <w:tcPr>
            <w:tcW w:w="44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20"/>
                <w:szCs w:val="20"/>
              </w:rPr>
            </w:pPr>
            <w:r>
              <w:rPr>
                <w:rFonts w:ascii="Times New Roman"/>
                <w:sz w:val="20"/>
              </w:rPr>
              <w:t>59,908,730.37</w:t>
            </w:r>
          </w:p>
        </w:tc>
        <w:tc>
          <w:tcPr>
            <w:tcW w:w="341"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2,336,163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.90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60" w:right="0"/>
              <w:jc w:val="left"/>
              <w:rPr>
                <w:rFonts w:ascii="Times New Roman" w:hAnsi="Times New Roman" w:cs="Times New Roman" w:eastAsia="Times New Roman" w:hint="default"/>
                <w:sz w:val="20"/>
                <w:szCs w:val="20"/>
              </w:rPr>
            </w:pPr>
            <w:r>
              <w:rPr>
                <w:rFonts w:ascii="Times New Roman"/>
                <w:sz w:val="20"/>
              </w:rPr>
              <w:t>107,581,6</w:t>
            </w:r>
          </w:p>
          <w:p>
            <w:pPr>
              <w:pStyle w:val="TableParagraph"/>
              <w:spacing w:line="240" w:lineRule="auto" w:before="79"/>
              <w:ind w:left="407" w:right="0"/>
              <w:jc w:val="left"/>
              <w:rPr>
                <w:rFonts w:ascii="Times New Roman" w:hAnsi="Times New Roman" w:cs="Times New Roman" w:eastAsia="Times New Roman" w:hint="default"/>
                <w:sz w:val="20"/>
                <w:szCs w:val="20"/>
              </w:rPr>
            </w:pPr>
            <w:r>
              <w:rPr>
                <w:rFonts w:ascii="Times New Roman"/>
                <w:sz w:val="20"/>
              </w:rPr>
              <w:t>28.36</w:t>
            </w: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9"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514"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1118" w:type="dxa"/>
            <w:vMerge w:val="restart"/>
            <w:tcBorders>
              <w:top w:val="single" w:sz="4" w:space="0" w:color="000000"/>
              <w:left w:val="single" w:sz="4" w:space="0" w:color="000000"/>
              <w:right w:val="single" w:sz="4" w:space="0" w:color="000000"/>
            </w:tcBorders>
          </w:tcPr>
          <w:p>
            <w:pPr/>
          </w:p>
        </w:tc>
        <w:tc>
          <w:tcPr>
            <w:tcW w:w="442" w:type="dxa"/>
            <w:vMerge w:val="restart"/>
            <w:tcBorders>
              <w:top w:val="single" w:sz="4" w:space="0" w:color="000000"/>
              <w:left w:val="single" w:sz="4" w:space="0" w:color="000000"/>
              <w:right w:val="single" w:sz="4" w:space="0" w:color="000000"/>
            </w:tcBorders>
          </w:tcPr>
          <w:p>
            <w:pP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20"/>
                <w:szCs w:val="20"/>
              </w:rPr>
            </w:pPr>
            <w:r>
              <w:rPr>
                <w:rFonts w:ascii="Times New Roman"/>
                <w:sz w:val="20"/>
              </w:rPr>
              <w:t>78,431,616.50</w:t>
            </w:r>
          </w:p>
        </w:tc>
        <w:tc>
          <w:tcPr>
            <w:tcW w:w="341"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131,710.3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79"/>
              <w:ind w:left="60" w:right="0"/>
              <w:jc w:val="left"/>
              <w:rPr>
                <w:rFonts w:ascii="Times New Roman" w:hAnsi="Times New Roman" w:cs="Times New Roman" w:eastAsia="Times New Roman" w:hint="default"/>
                <w:sz w:val="20"/>
                <w:szCs w:val="20"/>
              </w:rPr>
            </w:pPr>
            <w:r>
              <w:rPr>
                <w:rFonts w:ascii="Times New Roman"/>
                <w:sz w:val="20"/>
              </w:rPr>
              <w:t>78,563,32</w:t>
            </w:r>
          </w:p>
          <w:p>
            <w:pPr>
              <w:pStyle w:val="TableParagraph"/>
              <w:spacing w:line="240" w:lineRule="auto" w:before="82"/>
              <w:ind w:left="506" w:right="0"/>
              <w:jc w:val="left"/>
              <w:rPr>
                <w:rFonts w:ascii="Times New Roman" w:hAnsi="Times New Roman" w:cs="Times New Roman" w:eastAsia="Times New Roman" w:hint="default"/>
                <w:sz w:val="20"/>
                <w:szCs w:val="20"/>
              </w:rPr>
            </w:pPr>
            <w:r>
              <w:rPr>
                <w:rFonts w:ascii="Times New Roman"/>
                <w:sz w:val="20"/>
              </w:rPr>
              <w:t>6.80</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7" w:type="dxa"/>
            <w:vMerge/>
            <w:tcBorders>
              <w:left w:val="single" w:sz="9"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514"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442"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341"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9"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514"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118" w:type="dxa"/>
            <w:vMerge/>
            <w:tcBorders>
              <w:left w:val="single" w:sz="4" w:space="0" w:color="000000"/>
              <w:bottom w:val="single" w:sz="4" w:space="0" w:color="000000"/>
              <w:right w:val="single" w:sz="4" w:space="0" w:color="000000"/>
            </w:tcBorders>
          </w:tcPr>
          <w:p>
            <w:pPr/>
          </w:p>
        </w:tc>
        <w:tc>
          <w:tcPr>
            <w:tcW w:w="442"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341"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97" w:type="dxa"/>
            <w:tcBorders>
              <w:top w:val="single" w:sz="4" w:space="0" w:color="000000"/>
              <w:left w:val="single" w:sz="9"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9"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514"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1118" w:type="dxa"/>
            <w:vMerge w:val="restart"/>
            <w:tcBorders>
              <w:top w:val="single" w:sz="4" w:space="0" w:color="000000"/>
              <w:left w:val="single" w:sz="4" w:space="0" w:color="000000"/>
              <w:right w:val="single" w:sz="4" w:space="0" w:color="000000"/>
            </w:tcBorders>
          </w:tcPr>
          <w:p>
            <w:pPr/>
          </w:p>
        </w:tc>
        <w:tc>
          <w:tcPr>
            <w:tcW w:w="442" w:type="dxa"/>
            <w:vMerge w:val="restart"/>
            <w:tcBorders>
              <w:top w:val="single" w:sz="4" w:space="0" w:color="000000"/>
              <w:left w:val="single" w:sz="4" w:space="0" w:color="000000"/>
              <w:right w:val="single" w:sz="4" w:space="0" w:color="000000"/>
            </w:tcBorders>
          </w:tcPr>
          <w:p>
            <w:pP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20"/>
                <w:szCs w:val="20"/>
              </w:rPr>
            </w:pPr>
            <w:r>
              <w:rPr>
                <w:rFonts w:ascii="Times New Roman"/>
                <w:sz w:val="20"/>
              </w:rPr>
              <w:t>78,431,616.50</w:t>
            </w:r>
          </w:p>
        </w:tc>
        <w:tc>
          <w:tcPr>
            <w:tcW w:w="341"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131,710.3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79"/>
              <w:ind w:left="60" w:right="0"/>
              <w:jc w:val="left"/>
              <w:rPr>
                <w:rFonts w:ascii="Times New Roman" w:hAnsi="Times New Roman" w:cs="Times New Roman" w:eastAsia="Times New Roman" w:hint="default"/>
                <w:sz w:val="20"/>
                <w:szCs w:val="20"/>
              </w:rPr>
            </w:pPr>
            <w:r>
              <w:rPr>
                <w:rFonts w:ascii="Times New Roman"/>
                <w:sz w:val="20"/>
              </w:rPr>
              <w:t>78,563,32</w:t>
            </w:r>
          </w:p>
          <w:p>
            <w:pPr>
              <w:pStyle w:val="TableParagraph"/>
              <w:spacing w:line="240" w:lineRule="auto" w:before="82"/>
              <w:ind w:left="506" w:right="0"/>
              <w:jc w:val="left"/>
              <w:rPr>
                <w:rFonts w:ascii="Times New Roman" w:hAnsi="Times New Roman" w:cs="Times New Roman" w:eastAsia="Times New Roman" w:hint="default"/>
                <w:sz w:val="20"/>
                <w:szCs w:val="20"/>
              </w:rPr>
            </w:pPr>
            <w:r>
              <w:rPr>
                <w:rFonts w:ascii="Times New Roman"/>
                <w:sz w:val="20"/>
              </w:rPr>
              <w:t>6.80</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97" w:type="dxa"/>
            <w:vMerge/>
            <w:tcBorders>
              <w:left w:val="single" w:sz="9"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514"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442"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341"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9"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514"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118" w:type="dxa"/>
            <w:vMerge/>
            <w:tcBorders>
              <w:left w:val="single" w:sz="4" w:space="0" w:color="000000"/>
              <w:bottom w:val="single" w:sz="4" w:space="0" w:color="000000"/>
              <w:right w:val="single" w:sz="4" w:space="0" w:color="000000"/>
            </w:tcBorders>
          </w:tcPr>
          <w:p>
            <w:pPr/>
          </w:p>
        </w:tc>
        <w:tc>
          <w:tcPr>
            <w:tcW w:w="442"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341"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9" w:space="0" w:color="D2D2D2"/>
              <w:right w:val="single" w:sz="4" w:space="0" w:color="000000"/>
            </w:tcBorders>
          </w:tcPr>
          <w:p>
            <w:pPr>
              <w:pStyle w:val="TableParagraph"/>
              <w:spacing w:line="240" w:lineRule="auto" w:before="91"/>
              <w:ind w:left="94" w:right="0"/>
              <w:jc w:val="center"/>
              <w:rPr>
                <w:rFonts w:ascii="Times New Roman" w:hAnsi="Times New Roman" w:cs="Times New Roman" w:eastAsia="Times New Roman" w:hint="default"/>
                <w:sz w:val="18"/>
                <w:szCs w:val="18"/>
              </w:rPr>
            </w:pPr>
            <w:r>
              <w:rPr>
                <w:rFonts w:ascii="Times New Roman"/>
                <w:sz w:val="18"/>
              </w:rPr>
              <w:t>3,906,6</w:t>
            </w:r>
          </w:p>
          <w:p>
            <w:pPr>
              <w:pStyle w:val="TableParagraph"/>
              <w:spacing w:line="240" w:lineRule="auto" w:before="102"/>
              <w:ind w:left="228" w:right="0"/>
              <w:jc w:val="center"/>
              <w:rPr>
                <w:rFonts w:ascii="Times New Roman" w:hAnsi="Times New Roman" w:cs="Times New Roman" w:eastAsia="Times New Roman" w:hint="default"/>
                <w:sz w:val="18"/>
                <w:szCs w:val="18"/>
              </w:rPr>
            </w:pPr>
            <w:r>
              <w:rPr>
                <w:rFonts w:ascii="Times New Roman"/>
                <w:sz w:val="18"/>
              </w:rPr>
              <w:t>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33,607,2</w:t>
            </w:r>
          </w:p>
          <w:p>
            <w:pPr>
              <w:pStyle w:val="TableParagraph"/>
              <w:spacing w:line="240" w:lineRule="auto" w:before="102"/>
              <w:ind w:left="247" w:right="0"/>
              <w:jc w:val="left"/>
              <w:rPr>
                <w:rFonts w:ascii="Times New Roman" w:hAnsi="Times New Roman" w:cs="Times New Roman" w:eastAsia="Times New Roman" w:hint="default"/>
                <w:sz w:val="18"/>
                <w:szCs w:val="18"/>
              </w:rPr>
            </w:pPr>
            <w:r>
              <w:rPr>
                <w:rFonts w:ascii="Times New Roman"/>
                <w:sz w:val="18"/>
              </w:rPr>
              <w:t>47.96</w:t>
            </w:r>
          </w:p>
        </w:tc>
        <w:tc>
          <w:tcPr>
            <w:tcW w:w="514"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1118" w:type="dxa"/>
            <w:vMerge w:val="restart"/>
            <w:tcBorders>
              <w:top w:val="single" w:sz="4" w:space="0" w:color="000000"/>
              <w:left w:val="single" w:sz="4" w:space="0" w:color="000000"/>
              <w:right w:val="single" w:sz="4" w:space="0" w:color="000000"/>
            </w:tcBorders>
          </w:tcPr>
          <w:p>
            <w:pPr/>
          </w:p>
        </w:tc>
        <w:tc>
          <w:tcPr>
            <w:tcW w:w="442" w:type="dxa"/>
            <w:vMerge w:val="restart"/>
            <w:tcBorders>
              <w:top w:val="single" w:sz="4" w:space="0" w:color="000000"/>
              <w:left w:val="single" w:sz="4" w:space="0" w:color="000000"/>
              <w:right w:val="single" w:sz="4" w:space="0" w:color="000000"/>
            </w:tcBorders>
          </w:tcPr>
          <w:p>
            <w:pPr/>
          </w:p>
        </w:tc>
        <w:tc>
          <w:tcPr>
            <w:tcW w:w="1275" w:type="dxa"/>
            <w:vMerge w:val="restart"/>
            <w:tcBorders>
              <w:top w:val="single" w:sz="4" w:space="0" w:color="000000"/>
              <w:left w:val="single" w:sz="4" w:space="0" w:color="000000"/>
              <w:right w:val="single" w:sz="4" w:space="0" w:color="000000"/>
            </w:tcBorders>
          </w:tcPr>
          <w:p>
            <w:pPr/>
          </w:p>
        </w:tc>
        <w:tc>
          <w:tcPr>
            <w:tcW w:w="341"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2,204,453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39,718,301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.56</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97" w:type="dxa"/>
            <w:vMerge/>
            <w:tcBorders>
              <w:left w:val="single" w:sz="9"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514"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442"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341"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9"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514"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118" w:type="dxa"/>
            <w:vMerge/>
            <w:tcBorders>
              <w:left w:val="single" w:sz="4" w:space="0" w:color="000000"/>
              <w:bottom w:val="single" w:sz="4" w:space="0" w:color="000000"/>
              <w:right w:val="single" w:sz="4" w:space="0" w:color="000000"/>
            </w:tcBorders>
          </w:tcPr>
          <w:p>
            <w:pPr/>
          </w:p>
        </w:tc>
        <w:tc>
          <w:tcPr>
            <w:tcW w:w="442"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341"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9" w:space="0" w:color="D2D2D2"/>
              <w:right w:val="single" w:sz="4" w:space="0" w:color="000000"/>
            </w:tcBorders>
          </w:tcPr>
          <w:p>
            <w:pPr>
              <w:pStyle w:val="TableParagraph"/>
              <w:spacing w:line="240" w:lineRule="auto" w:before="91"/>
              <w:ind w:left="94" w:right="0"/>
              <w:jc w:val="center"/>
              <w:rPr>
                <w:rFonts w:ascii="Times New Roman" w:hAnsi="Times New Roman" w:cs="Times New Roman" w:eastAsia="Times New Roman" w:hint="default"/>
                <w:sz w:val="18"/>
                <w:szCs w:val="18"/>
              </w:rPr>
            </w:pPr>
            <w:r>
              <w:rPr>
                <w:rFonts w:ascii="Times New Roman"/>
                <w:sz w:val="18"/>
              </w:rPr>
              <w:t>3,906,6</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29,612,0</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28.00</w:t>
            </w:r>
          </w:p>
        </w:tc>
        <w:tc>
          <w:tcPr>
            <w:tcW w:w="514"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1118" w:type="dxa"/>
            <w:vMerge w:val="restart"/>
            <w:tcBorders>
              <w:top w:val="single" w:sz="4" w:space="0" w:color="000000"/>
              <w:left w:val="single" w:sz="4" w:space="0" w:color="000000"/>
              <w:right w:val="single" w:sz="4" w:space="0" w:color="000000"/>
            </w:tcBorders>
          </w:tcPr>
          <w:p>
            <w:pPr/>
          </w:p>
        </w:tc>
        <w:tc>
          <w:tcPr>
            <w:tcW w:w="442" w:type="dxa"/>
            <w:vMerge w:val="restart"/>
            <w:tcBorders>
              <w:top w:val="single" w:sz="4" w:space="0" w:color="000000"/>
              <w:left w:val="single" w:sz="4" w:space="0" w:color="000000"/>
              <w:right w:val="single" w:sz="4" w:space="0" w:color="000000"/>
            </w:tcBorders>
          </w:tcPr>
          <w:p>
            <w:pPr/>
          </w:p>
        </w:tc>
        <w:tc>
          <w:tcPr>
            <w:tcW w:w="1275" w:type="dxa"/>
            <w:vMerge w:val="restart"/>
            <w:tcBorders>
              <w:top w:val="single" w:sz="4" w:space="0" w:color="000000"/>
              <w:left w:val="single" w:sz="4" w:space="0" w:color="000000"/>
              <w:right w:val="single" w:sz="4" w:space="0" w:color="000000"/>
            </w:tcBorders>
          </w:tcPr>
          <w:p>
            <w:pPr/>
          </w:p>
        </w:tc>
        <w:tc>
          <w:tcPr>
            <w:tcW w:w="341"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33,518,628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97" w:type="dxa"/>
            <w:vMerge/>
            <w:tcBorders>
              <w:left w:val="single" w:sz="9"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514"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442"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341"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9"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514"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118" w:type="dxa"/>
            <w:vMerge/>
            <w:tcBorders>
              <w:left w:val="single" w:sz="4" w:space="0" w:color="000000"/>
              <w:bottom w:val="single" w:sz="4" w:space="0" w:color="000000"/>
              <w:right w:val="single" w:sz="4" w:space="0" w:color="000000"/>
            </w:tcBorders>
          </w:tcPr>
          <w:p>
            <w:pPr/>
          </w:p>
        </w:tc>
        <w:tc>
          <w:tcPr>
            <w:tcW w:w="442"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341"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1"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97" w:type="dxa"/>
            <w:tcBorders>
              <w:top w:val="single" w:sz="4" w:space="0" w:color="000000"/>
              <w:left w:val="single" w:sz="9"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3,995,21</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9.96</w:t>
            </w:r>
          </w:p>
        </w:tc>
        <w:tc>
          <w:tcPr>
            <w:tcW w:w="51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3,995,219.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96</w:t>
            </w: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9"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514"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1118" w:type="dxa"/>
            <w:vMerge w:val="restart"/>
            <w:tcBorders>
              <w:top w:val="single" w:sz="4" w:space="0" w:color="000000"/>
              <w:left w:val="single" w:sz="4" w:space="0" w:color="000000"/>
              <w:right w:val="single" w:sz="4" w:space="0" w:color="000000"/>
            </w:tcBorders>
          </w:tcPr>
          <w:p>
            <w:pPr/>
          </w:p>
        </w:tc>
        <w:tc>
          <w:tcPr>
            <w:tcW w:w="442" w:type="dxa"/>
            <w:vMerge w:val="restart"/>
            <w:tcBorders>
              <w:top w:val="single" w:sz="4" w:space="0" w:color="000000"/>
              <w:left w:val="single" w:sz="4" w:space="0" w:color="000000"/>
              <w:right w:val="single" w:sz="4" w:space="0" w:color="000000"/>
            </w:tcBorders>
          </w:tcPr>
          <w:p>
            <w:pPr/>
          </w:p>
        </w:tc>
        <w:tc>
          <w:tcPr>
            <w:tcW w:w="1275" w:type="dxa"/>
            <w:vMerge w:val="restart"/>
            <w:tcBorders>
              <w:top w:val="single" w:sz="4" w:space="0" w:color="000000"/>
              <w:left w:val="single" w:sz="4" w:space="0" w:color="000000"/>
              <w:right w:val="single" w:sz="4" w:space="0" w:color="000000"/>
            </w:tcBorders>
          </w:tcPr>
          <w:p>
            <w:pPr/>
          </w:p>
        </w:tc>
        <w:tc>
          <w:tcPr>
            <w:tcW w:w="341"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2,204,453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2,204,453.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60</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7" w:type="dxa"/>
            <w:vMerge/>
            <w:tcBorders>
              <w:left w:val="single" w:sz="9"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514"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442"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341"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9"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514"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118" w:type="dxa"/>
            <w:vMerge/>
            <w:tcBorders>
              <w:left w:val="single" w:sz="4" w:space="0" w:color="000000"/>
              <w:bottom w:val="single" w:sz="4" w:space="0" w:color="000000"/>
              <w:right w:val="single" w:sz="4" w:space="0" w:color="000000"/>
            </w:tcBorders>
          </w:tcPr>
          <w:p>
            <w:pPr/>
          </w:p>
        </w:tc>
        <w:tc>
          <w:tcPr>
            <w:tcW w:w="442"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341"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9"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514"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11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20"/>
                <w:szCs w:val="20"/>
              </w:rPr>
            </w:pPr>
            <w:r>
              <w:rPr>
                <w:rFonts w:ascii="Times New Roman"/>
                <w:sz w:val="20"/>
              </w:rPr>
              <w:t>7,822,886.13</w:t>
            </w:r>
          </w:p>
        </w:tc>
        <w:tc>
          <w:tcPr>
            <w:tcW w:w="442" w:type="dxa"/>
            <w:vMerge w:val="restart"/>
            <w:tcBorders>
              <w:top w:val="single" w:sz="4" w:space="0" w:color="000000"/>
              <w:left w:val="single" w:sz="4" w:space="0" w:color="000000"/>
              <w:right w:val="single" w:sz="4" w:space="0" w:color="000000"/>
            </w:tcBorders>
          </w:tcPr>
          <w:p>
            <w:pP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20"/>
                <w:szCs w:val="20"/>
              </w:rPr>
            </w:pPr>
            <w:r>
              <w:rPr>
                <w:rFonts w:ascii="Times New Roman"/>
                <w:sz w:val="20"/>
              </w:rPr>
              <w:t>-18,522,886.13</w:t>
            </w:r>
          </w:p>
        </w:tc>
        <w:tc>
          <w:tcPr>
            <w:tcW w:w="341"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-10,700,00</w:t>
            </w:r>
          </w:p>
          <w:p>
            <w:pPr>
              <w:pStyle w:val="TableParagraph"/>
              <w:spacing w:line="240" w:lineRule="auto" w:before="102"/>
              <w:ind w:left="544"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97" w:type="dxa"/>
            <w:vMerge/>
            <w:tcBorders>
              <w:left w:val="single" w:sz="9"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514"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442"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341"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9"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514"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118" w:type="dxa"/>
            <w:vMerge/>
            <w:tcBorders>
              <w:left w:val="single" w:sz="4" w:space="0" w:color="000000"/>
              <w:bottom w:val="single" w:sz="4" w:space="0" w:color="000000"/>
              <w:right w:val="single" w:sz="4" w:space="0" w:color="000000"/>
            </w:tcBorders>
          </w:tcPr>
          <w:p>
            <w:pPr/>
          </w:p>
        </w:tc>
        <w:tc>
          <w:tcPr>
            <w:tcW w:w="442"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341"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4"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7" w:type="dxa"/>
            <w:tcBorders>
              <w:top w:val="single" w:sz="4" w:space="0" w:color="000000"/>
              <w:left w:val="single" w:sz="9"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 w:right="0"/>
              <w:jc w:val="center"/>
              <w:rPr>
                <w:rFonts w:ascii="Times New Roman" w:hAnsi="Times New Roman" w:cs="Times New Roman" w:eastAsia="Times New Roman" w:hint="default"/>
                <w:sz w:val="20"/>
                <w:szCs w:val="20"/>
              </w:rPr>
            </w:pPr>
            <w:r>
              <w:rPr>
                <w:rFonts w:ascii="Times New Roman"/>
                <w:sz w:val="20"/>
              </w:rPr>
              <w:t>7,822,886.13</w:t>
            </w:r>
          </w:p>
        </w:tc>
        <w:tc>
          <w:tcPr>
            <w:tcW w:w="44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22" w:right="0"/>
              <w:jc w:val="left"/>
              <w:rPr>
                <w:rFonts w:ascii="Times New Roman" w:hAnsi="Times New Roman" w:cs="Times New Roman" w:eastAsia="Times New Roman" w:hint="default"/>
                <w:sz w:val="20"/>
                <w:szCs w:val="20"/>
              </w:rPr>
            </w:pPr>
            <w:r>
              <w:rPr>
                <w:rFonts w:ascii="Times New Roman"/>
                <w:sz w:val="20"/>
              </w:rPr>
              <w:t>-7,822,886.13</w:t>
            </w:r>
          </w:p>
        </w:tc>
        <w:tc>
          <w:tcPr>
            <w:tcW w:w="341"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97" w:type="dxa"/>
            <w:tcBorders>
              <w:top w:val="single" w:sz="4" w:space="0" w:color="000000"/>
              <w:left w:val="single" w:sz="9"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97" w:type="dxa"/>
            <w:tcBorders>
              <w:top w:val="single" w:sz="4" w:space="0" w:color="000000"/>
              <w:left w:val="single" w:sz="9"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-10,700,000.00</w:t>
            </w:r>
          </w:p>
        </w:tc>
        <w:tc>
          <w:tcPr>
            <w:tcW w:w="341"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-10,700,00</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7" w:type="dxa"/>
            <w:tcBorders>
              <w:top w:val="single" w:sz="4" w:space="0" w:color="000000"/>
              <w:left w:val="single" w:sz="9"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9" w:space="0" w:color="D2D2D2"/>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53,500,</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-53,500,</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000.00</w:t>
            </w:r>
          </w:p>
        </w:tc>
        <w:tc>
          <w:tcPr>
            <w:tcW w:w="514"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1118" w:type="dxa"/>
            <w:vMerge w:val="restart"/>
            <w:tcBorders>
              <w:top w:val="single" w:sz="4" w:space="0" w:color="000000"/>
              <w:left w:val="single" w:sz="4" w:space="0" w:color="000000"/>
              <w:right w:val="single" w:sz="4" w:space="0" w:color="000000"/>
            </w:tcBorders>
          </w:tcPr>
          <w:p>
            <w:pPr/>
          </w:p>
        </w:tc>
        <w:tc>
          <w:tcPr>
            <w:tcW w:w="442" w:type="dxa"/>
            <w:vMerge w:val="restart"/>
            <w:tcBorders>
              <w:top w:val="single" w:sz="4" w:space="0" w:color="000000"/>
              <w:left w:val="single" w:sz="4" w:space="0" w:color="000000"/>
              <w:right w:val="single" w:sz="4" w:space="0" w:color="000000"/>
            </w:tcBorders>
          </w:tcPr>
          <w:p>
            <w:pPr/>
          </w:p>
        </w:tc>
        <w:tc>
          <w:tcPr>
            <w:tcW w:w="1275" w:type="dxa"/>
            <w:vMerge w:val="restart"/>
            <w:tcBorders>
              <w:top w:val="single" w:sz="4" w:space="0" w:color="000000"/>
              <w:left w:val="single" w:sz="4" w:space="0" w:color="000000"/>
              <w:right w:val="single" w:sz="4" w:space="0" w:color="000000"/>
            </w:tcBorders>
          </w:tcPr>
          <w:p>
            <w:pPr/>
          </w:p>
        </w:tc>
        <w:tc>
          <w:tcPr>
            <w:tcW w:w="341"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97" w:type="dxa"/>
            <w:vMerge/>
            <w:tcBorders>
              <w:left w:val="single" w:sz="9"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514"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442"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341"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9"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514"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118" w:type="dxa"/>
            <w:vMerge/>
            <w:tcBorders>
              <w:left w:val="single" w:sz="4" w:space="0" w:color="000000"/>
              <w:bottom w:val="single" w:sz="4" w:space="0" w:color="000000"/>
              <w:right w:val="single" w:sz="4" w:space="0" w:color="000000"/>
            </w:tcBorders>
          </w:tcPr>
          <w:p>
            <w:pPr/>
          </w:p>
        </w:tc>
        <w:tc>
          <w:tcPr>
            <w:tcW w:w="442"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341"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1227" w:top="1100" w:bottom="1420" w:left="1660" w:right="420"/>
        </w:sectPr>
      </w:pPr>
    </w:p>
    <w:p>
      <w:pPr>
        <w:spacing w:line="240" w:lineRule="auto" w:before="8"/>
        <w:rPr>
          <w:rFonts w:ascii="宋体" w:hAnsi="宋体" w:cs="宋体" w:eastAsia="宋体" w:hint="default"/>
          <w:sz w:val="24"/>
          <w:szCs w:val="24"/>
        </w:rPr>
      </w:pPr>
    </w:p>
    <w:tbl>
      <w:tblPr>
        <w:tblW w:w="0" w:type="auto"/>
        <w:jc w:val="left"/>
        <w:tblInd w:w="135" w:type="dxa"/>
        <w:tblLayout w:type="fixed"/>
        <w:tblCellMar>
          <w:top w:w="0" w:type="dxa"/>
          <w:left w:w="0" w:type="dxa"/>
          <w:bottom w:w="0" w:type="dxa"/>
          <w:right w:w="0" w:type="dxa"/>
        </w:tblCellMar>
        <w:tblLook w:val="01E0"/>
      </w:tblPr>
      <w:tblGrid>
        <w:gridCol w:w="2367"/>
        <w:gridCol w:w="686"/>
        <w:gridCol w:w="686"/>
        <w:gridCol w:w="514"/>
        <w:gridCol w:w="425"/>
        <w:gridCol w:w="1118"/>
        <w:gridCol w:w="442"/>
        <w:gridCol w:w="1275"/>
        <w:gridCol w:w="341"/>
        <w:gridCol w:w="818"/>
        <w:gridCol w:w="893"/>
      </w:tblGrid>
      <w:tr>
        <w:trPr>
          <w:trHeight w:val="713"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53,500,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-53,500,</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000.00</w:t>
            </w:r>
          </w:p>
        </w:tc>
        <w:tc>
          <w:tcPr>
            <w:tcW w:w="51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110,906,</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600.00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483,289,</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268.09</w:t>
            </w:r>
          </w:p>
        </w:tc>
        <w:tc>
          <w:tcPr>
            <w:tcW w:w="51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20"/>
                <w:szCs w:val="20"/>
              </w:rPr>
            </w:pPr>
            <w:r>
              <w:rPr>
                <w:rFonts w:ascii="Times New Roman"/>
                <w:w w:val="95"/>
                <w:sz w:val="20"/>
              </w:rPr>
              <w:t>20,161,477.8</w:t>
            </w:r>
            <w:r>
              <w:rPr>
                <w:rFonts w:ascii="Times New Roman"/>
                <w:sz w:val="20"/>
              </w:rPr>
            </w:r>
          </w:p>
          <w:p>
            <w:pPr>
              <w:pStyle w:val="TableParagraph"/>
              <w:spacing w:line="240" w:lineRule="auto" w:before="82"/>
              <w:ind w:right="23"/>
              <w:jc w:val="right"/>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44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164,576,853.34</w:t>
            </w:r>
          </w:p>
        </w:tc>
        <w:tc>
          <w:tcPr>
            <w:tcW w:w="341"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2,336,163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781,270,36</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3.19</w:t>
            </w:r>
          </w:p>
        </w:tc>
      </w:tr>
    </w:tbl>
    <w:p>
      <w:pPr>
        <w:spacing w:before="49"/>
        <w:ind w:left="140" w:right="1061"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5"/>
        <w:ind w:left="0" w:right="137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344"/>
        <w:gridCol w:w="697"/>
        <w:gridCol w:w="686"/>
        <w:gridCol w:w="686"/>
        <w:gridCol w:w="687"/>
        <w:gridCol w:w="684"/>
        <w:gridCol w:w="684"/>
        <w:gridCol w:w="687"/>
        <w:gridCol w:w="686"/>
        <w:gridCol w:w="818"/>
        <w:gridCol w:w="893"/>
      </w:tblGrid>
      <w:tr>
        <w:trPr>
          <w:trHeight w:val="401"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60"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549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6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4"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77" w:right="67"/>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70" w:right="82"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7"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7" w:right="67"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7"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7" w:right="69" w:hanging="181"/>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4" w:right="67"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67" w:right="6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7"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58" w:right="65"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6"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0"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44" w:type="dxa"/>
            <w:vMerge/>
            <w:tcBorders>
              <w:left w:val="single" w:sz="4" w:space="0" w:color="000000"/>
              <w:right w:val="single" w:sz="4" w:space="0" w:color="000000"/>
            </w:tcBorders>
            <w:shd w:val="clear" w:color="auto" w:fill="D2D2D2"/>
          </w:tcPr>
          <w:p>
            <w:pPr/>
          </w:p>
        </w:tc>
        <w:tc>
          <w:tcPr>
            <w:tcW w:w="69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bottom w:val="nil" w:sz="6" w:space="0" w:color="auto"/>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7"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9" w:space="0" w:color="D2D2D2"/>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15,275,9</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85.13</w:t>
            </w: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6,329,3</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62.41</w:t>
            </w:r>
          </w:p>
        </w:tc>
        <w:tc>
          <w:tcPr>
            <w:tcW w:w="684"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49,172,3</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70.51</w:t>
            </w: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110,777,71</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8.05</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7" w:type="dxa"/>
            <w:vMerge/>
            <w:tcBorders>
              <w:left w:val="single" w:sz="9"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9"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 w:right="9" w:firstLine="359"/>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97" w:type="dxa"/>
            <w:tcBorders>
              <w:top w:val="single" w:sz="4" w:space="0" w:color="000000"/>
              <w:left w:val="single" w:sz="9"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97" w:type="dxa"/>
            <w:tcBorders>
              <w:top w:val="single" w:sz="4" w:space="0" w:color="000000"/>
              <w:left w:val="single" w:sz="9"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97" w:type="dxa"/>
            <w:tcBorders>
              <w:top w:val="single" w:sz="4" w:space="0" w:color="000000"/>
              <w:left w:val="single" w:sz="9"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7" w:type="dxa"/>
            <w:tcBorders>
              <w:top w:val="single" w:sz="4" w:space="0" w:color="000000"/>
              <w:left w:val="single" w:sz="9"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9" w:space="0" w:color="D2D2D2"/>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2"/>
              <w:ind w:left="163"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15,275,9</w:t>
            </w:r>
          </w:p>
          <w:p>
            <w:pPr>
              <w:pStyle w:val="TableParagraph"/>
              <w:spacing w:line="240" w:lineRule="auto" w:before="102"/>
              <w:ind w:left="247" w:right="0"/>
              <w:jc w:val="left"/>
              <w:rPr>
                <w:rFonts w:ascii="Times New Roman" w:hAnsi="Times New Roman" w:cs="Times New Roman" w:eastAsia="Times New Roman" w:hint="default"/>
                <w:sz w:val="18"/>
                <w:szCs w:val="18"/>
              </w:rPr>
            </w:pPr>
            <w:r>
              <w:rPr>
                <w:rFonts w:ascii="Times New Roman"/>
                <w:sz w:val="18"/>
              </w:rPr>
              <w:t>85.13</w:t>
            </w: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6,329,3</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62.41</w:t>
            </w:r>
          </w:p>
        </w:tc>
        <w:tc>
          <w:tcPr>
            <w:tcW w:w="684"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49,172,3</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70.51</w:t>
            </w: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110,777,71</w:t>
            </w:r>
          </w:p>
          <w:p>
            <w:pPr>
              <w:pStyle w:val="TableParagraph"/>
              <w:spacing w:line="240" w:lineRule="auto" w:before="102"/>
              <w:ind w:left="544" w:right="0"/>
              <w:jc w:val="left"/>
              <w:rPr>
                <w:rFonts w:ascii="Times New Roman" w:hAnsi="Times New Roman" w:cs="Times New Roman" w:eastAsia="Times New Roman" w:hint="default"/>
                <w:sz w:val="18"/>
                <w:szCs w:val="18"/>
              </w:rPr>
            </w:pPr>
            <w:r>
              <w:rPr>
                <w:rFonts w:ascii="Times New Roman"/>
                <w:sz w:val="18"/>
              </w:rPr>
              <w:t>8.05</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7" w:type="dxa"/>
            <w:vMerge/>
            <w:tcBorders>
              <w:left w:val="single" w:sz="9"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9"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6"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以“－”号填列）</w:t>
            </w:r>
          </w:p>
        </w:tc>
        <w:tc>
          <w:tcPr>
            <w:tcW w:w="69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13,500,</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487,906,</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035.00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6,009,2</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29.32</w:t>
            </w: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55,495,7</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52.46</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562,911,01</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6.78</w:t>
            </w: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9"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61,504,9</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81.78</w:t>
            </w: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61,504,981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.78</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7" w:type="dxa"/>
            <w:vMerge/>
            <w:tcBorders>
              <w:left w:val="single" w:sz="9"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9"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97" w:type="dxa"/>
            <w:tcBorders>
              <w:top w:val="single" w:sz="4" w:space="0" w:color="000000"/>
              <w:left w:val="single" w:sz="9"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9"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61,504,9</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81.78</w:t>
            </w: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61,504,981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.78</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97" w:type="dxa"/>
            <w:vMerge/>
            <w:tcBorders>
              <w:left w:val="single" w:sz="9"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9"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9" w:space="0" w:color="D2D2D2"/>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13,500,</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487,906,</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035.00</w:t>
            </w: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501,406,03</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5.00</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97" w:type="dxa"/>
            <w:vMerge/>
            <w:tcBorders>
              <w:left w:val="single" w:sz="9"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9"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1227" w:top="1100" w:bottom="1420" w:left="1660" w:right="420"/>
        </w:sectPr>
      </w:pPr>
    </w:p>
    <w:p>
      <w:pPr>
        <w:spacing w:line="240" w:lineRule="auto" w:before="8"/>
        <w:rPr>
          <w:rFonts w:ascii="宋体" w:hAnsi="宋体" w:cs="宋体" w:eastAsia="宋体" w:hint="default"/>
          <w:sz w:val="24"/>
          <w:szCs w:val="24"/>
        </w:rPr>
      </w:pPr>
    </w:p>
    <w:tbl>
      <w:tblPr>
        <w:tblW w:w="0" w:type="auto"/>
        <w:jc w:val="left"/>
        <w:tblInd w:w="135" w:type="dxa"/>
        <w:tblLayout w:type="fixed"/>
        <w:tblCellMar>
          <w:top w:w="0" w:type="dxa"/>
          <w:left w:w="0" w:type="dxa"/>
          <w:bottom w:w="0" w:type="dxa"/>
          <w:right w:w="0" w:type="dxa"/>
        </w:tblCellMar>
        <w:tblLook w:val="01E0"/>
      </w:tblPr>
      <w:tblGrid>
        <w:gridCol w:w="2367"/>
        <w:gridCol w:w="686"/>
        <w:gridCol w:w="686"/>
        <w:gridCol w:w="686"/>
        <w:gridCol w:w="687"/>
        <w:gridCol w:w="684"/>
        <w:gridCol w:w="684"/>
        <w:gridCol w:w="687"/>
        <w:gridCol w:w="686"/>
        <w:gridCol w:w="818"/>
        <w:gridCol w:w="893"/>
      </w:tblGrid>
      <w:tr>
        <w:trPr>
          <w:trHeight w:val="713"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13,500,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487,906,</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035.00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501,406,03</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5.00</w:t>
            </w:r>
          </w:p>
        </w:tc>
      </w:tr>
      <w:tr>
        <w:trPr>
          <w:trHeight w:val="715"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center"/>
              <w:rPr>
                <w:rFonts w:ascii="Times New Roman" w:hAnsi="Times New Roman" w:cs="Times New Roman" w:eastAsia="Times New Roman" w:hint="default"/>
                <w:sz w:val="18"/>
                <w:szCs w:val="18"/>
              </w:rPr>
            </w:pPr>
            <w:r>
              <w:rPr>
                <w:rFonts w:ascii="Times New Roman"/>
                <w:sz w:val="18"/>
              </w:rPr>
              <w:t>6,009,2</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29.32</w:t>
            </w: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center"/>
              <w:rPr>
                <w:rFonts w:ascii="Times New Roman" w:hAnsi="Times New Roman" w:cs="Times New Roman" w:eastAsia="Times New Roman" w:hint="default"/>
                <w:sz w:val="18"/>
                <w:szCs w:val="18"/>
              </w:rPr>
            </w:pPr>
            <w:r>
              <w:rPr>
                <w:rFonts w:ascii="Times New Roman"/>
                <w:sz w:val="18"/>
              </w:rPr>
              <w:t>-6,009,2</w:t>
            </w:r>
          </w:p>
          <w:p>
            <w:pPr>
              <w:pStyle w:val="TableParagraph"/>
              <w:spacing w:line="240" w:lineRule="auto" w:before="102"/>
              <w:ind w:left="228" w:right="0"/>
              <w:jc w:val="center"/>
              <w:rPr>
                <w:rFonts w:ascii="Times New Roman" w:hAnsi="Times New Roman" w:cs="Times New Roman" w:eastAsia="Times New Roman" w:hint="default"/>
                <w:sz w:val="18"/>
                <w:szCs w:val="18"/>
              </w:rPr>
            </w:pPr>
            <w:r>
              <w:rPr>
                <w:rFonts w:ascii="Times New Roman"/>
                <w:sz w:val="18"/>
              </w:rPr>
              <w:t>29.32</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6,009,2</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29.32</w:t>
            </w: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-6,009,2</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29.32</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53,500,</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503,182,</w:t>
            </w:r>
          </w:p>
          <w:p>
            <w:pPr>
              <w:pStyle w:val="TableParagraph"/>
              <w:spacing w:line="240" w:lineRule="auto" w:before="102"/>
              <w:ind w:left="135" w:right="0"/>
              <w:jc w:val="center"/>
              <w:rPr>
                <w:rFonts w:ascii="Times New Roman" w:hAnsi="Times New Roman" w:cs="Times New Roman" w:eastAsia="Times New Roman" w:hint="default"/>
                <w:sz w:val="18"/>
                <w:szCs w:val="18"/>
              </w:rPr>
            </w:pPr>
            <w:r>
              <w:rPr>
                <w:rFonts w:ascii="Times New Roman"/>
                <w:sz w:val="18"/>
              </w:rPr>
              <w:t>020.13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12,338,</w:t>
            </w:r>
          </w:p>
          <w:p>
            <w:pPr>
              <w:pStyle w:val="TableParagraph"/>
              <w:spacing w:line="240" w:lineRule="auto" w:before="102"/>
              <w:ind w:left="155" w:right="0"/>
              <w:jc w:val="left"/>
              <w:rPr>
                <w:rFonts w:ascii="Times New Roman" w:hAnsi="Times New Roman" w:cs="Times New Roman" w:eastAsia="Times New Roman" w:hint="default"/>
                <w:sz w:val="18"/>
                <w:szCs w:val="18"/>
              </w:rPr>
            </w:pPr>
            <w:r>
              <w:rPr>
                <w:rFonts w:ascii="Times New Roman"/>
                <w:sz w:val="18"/>
              </w:rPr>
              <w:t>591.73</w:t>
            </w: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104,668,</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122.97</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673,688,73</w:t>
            </w:r>
          </w:p>
          <w:p>
            <w:pPr>
              <w:pStyle w:val="TableParagraph"/>
              <w:spacing w:line="240" w:lineRule="auto" w:before="102"/>
              <w:ind w:left="544" w:right="0"/>
              <w:jc w:val="left"/>
              <w:rPr>
                <w:rFonts w:ascii="Times New Roman" w:hAnsi="Times New Roman" w:cs="Times New Roman" w:eastAsia="Times New Roman" w:hint="default"/>
                <w:sz w:val="18"/>
                <w:szCs w:val="18"/>
              </w:rPr>
            </w:pPr>
            <w:r>
              <w:rPr>
                <w:rFonts w:ascii="Times New Roman"/>
                <w:sz w:val="18"/>
              </w:rPr>
              <w:t>4.83</w:t>
            </w:r>
          </w:p>
        </w:tc>
      </w:tr>
    </w:tbl>
    <w:p>
      <w:pPr>
        <w:spacing w:line="240" w:lineRule="auto" w:before="2"/>
        <w:rPr>
          <w:rFonts w:ascii="宋体" w:hAnsi="宋体" w:cs="宋体" w:eastAsia="宋体" w:hint="default"/>
          <w:sz w:val="20"/>
          <w:szCs w:val="20"/>
        </w:rPr>
      </w:pPr>
    </w:p>
    <w:p>
      <w:pPr>
        <w:tabs>
          <w:tab w:pos="3025" w:val="left" w:leader="none"/>
          <w:tab w:pos="6266" w:val="left" w:leader="none"/>
        </w:tabs>
        <w:spacing w:before="44"/>
        <w:ind w:left="140" w:right="1061" w:firstLine="0"/>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pacing w:val="1"/>
          <w:sz w:val="18"/>
          <w:szCs w:val="18"/>
        </w:rPr>
        <w:t> </w:t>
      </w:r>
      <w:r>
        <w:rPr>
          <w:rFonts w:ascii="宋体" w:hAnsi="宋体" w:cs="宋体" w:eastAsia="宋体" w:hint="default"/>
          <w:sz w:val="18"/>
          <w:szCs w:val="18"/>
        </w:rPr>
        <w:t>刘祥南</w:t>
        <w:tab/>
      </w:r>
      <w:r>
        <w:rPr>
          <w:rFonts w:ascii="宋体" w:hAnsi="宋体" w:cs="宋体" w:eastAsia="宋体" w:hint="default"/>
          <w:spacing w:val="-1"/>
          <w:sz w:val="18"/>
          <w:szCs w:val="18"/>
        </w:rPr>
        <w:t>主管会计工作负责人：张乃军</w:t>
        <w:tab/>
        <w:t>会计机构负责人：陈志友</w:t>
      </w:r>
    </w:p>
    <w:p>
      <w:pPr>
        <w:spacing w:line="240" w:lineRule="auto" w:before="0"/>
        <w:rPr>
          <w:rFonts w:ascii="宋体" w:hAnsi="宋体" w:cs="宋体" w:eastAsia="宋体" w:hint="default"/>
          <w:sz w:val="18"/>
          <w:szCs w:val="18"/>
        </w:rPr>
      </w:pPr>
    </w:p>
    <w:p>
      <w:pPr>
        <w:pStyle w:val="Heading3"/>
        <w:spacing w:line="240" w:lineRule="auto" w:before="120"/>
        <w:ind w:right="1061"/>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1227" w:top="1100" w:bottom="1420" w:left="1660" w:right="420"/>
        </w:sectPr>
      </w:pPr>
    </w:p>
    <w:p>
      <w:pPr>
        <w:spacing w:line="357" w:lineRule="auto" w:before="44"/>
        <w:ind w:left="140" w:right="-20" w:firstLine="0"/>
        <w:jc w:val="left"/>
        <w:rPr>
          <w:rFonts w:ascii="宋体" w:hAnsi="宋体" w:cs="宋体" w:eastAsia="宋体" w:hint="default"/>
          <w:sz w:val="18"/>
          <w:szCs w:val="18"/>
        </w:rPr>
      </w:pPr>
      <w:r>
        <w:rPr>
          <w:rFonts w:ascii="宋体" w:hAnsi="宋体" w:cs="宋体" w:eastAsia="宋体" w:hint="default"/>
          <w:sz w:val="18"/>
          <w:szCs w:val="18"/>
        </w:rPr>
        <w:t>编制单位：厦门市美亚柏科信息股份有限公司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880" w:bottom="280" w:left="1660" w:right="420"/>
          <w:cols w:num="2" w:equalWidth="0">
            <w:col w:w="3741" w:space="3847"/>
            <w:col w:w="2242"/>
          </w:cols>
        </w:sectPr>
      </w:pPr>
    </w:p>
    <w:p>
      <w:pPr>
        <w:spacing w:line="240" w:lineRule="auto" w:before="4"/>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2476"/>
        <w:gridCol w:w="874"/>
        <w:gridCol w:w="896"/>
        <w:gridCol w:w="886"/>
        <w:gridCol w:w="886"/>
        <w:gridCol w:w="898"/>
        <w:gridCol w:w="875"/>
        <w:gridCol w:w="886"/>
        <w:gridCol w:w="881"/>
      </w:tblGrid>
      <w:tr>
        <w:trPr>
          <w:trHeight w:val="39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6"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5"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9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98" w:type="dxa"/>
            <w:tcBorders>
              <w:top w:val="single" w:sz="4" w:space="0" w:color="000000"/>
              <w:left w:val="single" w:sz="4" w:space="0" w:color="000000"/>
              <w:bottom w:val="nil" w:sz="6" w:space="0" w:color="auto"/>
              <w:right w:val="single" w:sz="4" w:space="0" w:color="000000"/>
            </w:tcBorders>
            <w:shd w:val="clear" w:color="auto" w:fill="D2D2D2"/>
          </w:tcPr>
          <w:p>
            <w:pPr/>
          </w:p>
        </w:tc>
        <w:tc>
          <w:tcPr>
            <w:tcW w:w="87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47" w:right="76" w:hanging="181"/>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46" w:right="77"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69" w:right="69"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874" w:type="dxa"/>
            <w:vMerge/>
            <w:tcBorders>
              <w:left w:val="single" w:sz="4" w:space="0" w:color="000000"/>
              <w:right w:val="single" w:sz="4" w:space="0" w:color="000000"/>
            </w:tcBorders>
            <w:shd w:val="clear" w:color="auto" w:fill="D2D2D2"/>
          </w:tcPr>
          <w:p>
            <w:pPr/>
          </w:p>
        </w:tc>
        <w:tc>
          <w:tcPr>
            <w:tcW w:w="896" w:type="dxa"/>
            <w:vMerge w:val="restart"/>
            <w:tcBorders>
              <w:top w:val="nil" w:sz="6" w:space="0" w:color="auto"/>
              <w:left w:val="single" w:sz="4" w:space="0" w:color="000000"/>
              <w:right w:val="single" w:sz="4" w:space="0" w:color="000000"/>
            </w:tcBorders>
            <w:shd w:val="clear" w:color="auto" w:fill="D2D2D2"/>
          </w:tcPr>
          <w:p>
            <w:pPr>
              <w:pStyle w:val="TableParagraph"/>
              <w:spacing w:line="196" w:lineRule="exact" w:before="49"/>
              <w:ind w:left="87"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9"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75" w:type="dxa"/>
            <w:vMerge/>
            <w:tcBorders>
              <w:left w:val="single" w:sz="4" w:space="0" w:color="000000"/>
              <w:right w:val="single" w:sz="4" w:space="0" w:color="000000"/>
            </w:tcBorders>
            <w:shd w:val="clear" w:color="auto" w:fill="D2D2D2"/>
          </w:tcPr>
          <w:p>
            <w:pPr/>
          </w:p>
        </w:tc>
        <w:tc>
          <w:tcPr>
            <w:tcW w:w="886" w:type="dxa"/>
            <w:vMerge/>
            <w:tcBorders>
              <w:left w:val="single" w:sz="4" w:space="0" w:color="000000"/>
              <w:right w:val="single" w:sz="4" w:space="0" w:color="000000"/>
            </w:tcBorders>
            <w:shd w:val="clear" w:color="auto" w:fill="D2D2D2"/>
          </w:tcPr>
          <w:p>
            <w:pPr/>
          </w:p>
        </w:tc>
        <w:tc>
          <w:tcPr>
            <w:tcW w:w="881" w:type="dxa"/>
            <w:vMerge/>
            <w:tcBorders>
              <w:left w:val="single" w:sz="4" w:space="0" w:color="000000"/>
              <w:right w:val="single" w:sz="4" w:space="0" w:color="000000"/>
            </w:tcBorders>
            <w:shd w:val="clear" w:color="auto" w:fill="D2D2D2"/>
          </w:tcPr>
          <w:p>
            <w:pPr/>
          </w:p>
        </w:tc>
      </w:tr>
      <w:tr>
        <w:trPr>
          <w:trHeight w:val="202" w:hRule="exact"/>
        </w:trPr>
        <w:tc>
          <w:tcPr>
            <w:tcW w:w="2476" w:type="dxa"/>
            <w:vMerge w:val="restart"/>
            <w:tcBorders>
              <w:top w:val="nil" w:sz="6" w:space="0" w:color="auto"/>
              <w:left w:val="single" w:sz="4" w:space="0" w:color="000000"/>
              <w:right w:val="single" w:sz="4" w:space="0" w:color="000000"/>
            </w:tcBorders>
            <w:shd w:val="clear" w:color="auto" w:fill="D2D2D2"/>
          </w:tcPr>
          <w:p>
            <w:pPr/>
          </w:p>
        </w:tc>
        <w:tc>
          <w:tcPr>
            <w:tcW w:w="874" w:type="dxa"/>
            <w:vMerge/>
            <w:tcBorders>
              <w:left w:val="single" w:sz="4" w:space="0" w:color="000000"/>
              <w:right w:val="single" w:sz="4" w:space="0" w:color="000000"/>
            </w:tcBorders>
            <w:shd w:val="clear" w:color="auto" w:fill="D2D2D2"/>
          </w:tcPr>
          <w:p>
            <w:pPr/>
          </w:p>
        </w:tc>
        <w:tc>
          <w:tcPr>
            <w:tcW w:w="89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98" w:type="dxa"/>
            <w:vMerge/>
            <w:tcBorders>
              <w:left w:val="single" w:sz="4" w:space="0" w:color="000000"/>
              <w:bottom w:val="nil" w:sz="6" w:space="0" w:color="auto"/>
              <w:right w:val="single" w:sz="4" w:space="0" w:color="000000"/>
            </w:tcBorders>
            <w:shd w:val="clear" w:color="auto" w:fill="D2D2D2"/>
          </w:tcPr>
          <w:p>
            <w:pPr/>
          </w:p>
        </w:tc>
        <w:tc>
          <w:tcPr>
            <w:tcW w:w="875" w:type="dxa"/>
            <w:vMerge/>
            <w:tcBorders>
              <w:left w:val="single" w:sz="4" w:space="0" w:color="000000"/>
              <w:right w:val="single" w:sz="4" w:space="0" w:color="000000"/>
            </w:tcBorders>
            <w:shd w:val="clear" w:color="auto" w:fill="D2D2D2"/>
          </w:tcPr>
          <w:p>
            <w:pPr/>
          </w:p>
        </w:tc>
        <w:tc>
          <w:tcPr>
            <w:tcW w:w="886" w:type="dxa"/>
            <w:vMerge/>
            <w:tcBorders>
              <w:left w:val="single" w:sz="4" w:space="0" w:color="000000"/>
              <w:right w:val="single" w:sz="4" w:space="0" w:color="000000"/>
            </w:tcBorders>
            <w:shd w:val="clear" w:color="auto" w:fill="D2D2D2"/>
          </w:tcPr>
          <w:p>
            <w:pPr/>
          </w:p>
        </w:tc>
        <w:tc>
          <w:tcPr>
            <w:tcW w:w="881" w:type="dxa"/>
            <w:vMerge/>
            <w:tcBorders>
              <w:left w:val="single" w:sz="4" w:space="0" w:color="000000"/>
              <w:right w:val="single" w:sz="4" w:space="0" w:color="000000"/>
            </w:tcBorders>
            <w:shd w:val="clear" w:color="auto" w:fill="D2D2D2"/>
          </w:tcPr>
          <w:p>
            <w:pPr/>
          </w:p>
        </w:tc>
      </w:tr>
      <w:tr>
        <w:trPr>
          <w:trHeight w:val="161" w:hRule="exact"/>
        </w:trPr>
        <w:tc>
          <w:tcPr>
            <w:tcW w:w="2476" w:type="dxa"/>
            <w:vMerge/>
            <w:tcBorders>
              <w:left w:val="single" w:sz="4" w:space="0" w:color="000000"/>
              <w:bottom w:val="single" w:sz="4" w:space="0" w:color="000000"/>
              <w:right w:val="single" w:sz="4" w:space="0" w:color="000000"/>
            </w:tcBorders>
            <w:shd w:val="clear" w:color="auto" w:fill="D2D2D2"/>
          </w:tcPr>
          <w:p>
            <w:pPr/>
          </w:p>
        </w:tc>
        <w:tc>
          <w:tcPr>
            <w:tcW w:w="874" w:type="dxa"/>
            <w:vMerge/>
            <w:tcBorders>
              <w:left w:val="single" w:sz="4" w:space="0" w:color="000000"/>
              <w:bottom w:val="single" w:sz="4" w:space="0" w:color="000000"/>
              <w:right w:val="single" w:sz="4" w:space="0" w:color="000000"/>
            </w:tcBorders>
            <w:shd w:val="clear" w:color="auto" w:fill="D2D2D2"/>
          </w:tcPr>
          <w:p>
            <w:pPr/>
          </w:p>
        </w:tc>
        <w:tc>
          <w:tcPr>
            <w:tcW w:w="89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98" w:type="dxa"/>
            <w:tcBorders>
              <w:top w:val="nil" w:sz="6" w:space="0" w:color="auto"/>
              <w:left w:val="single" w:sz="4" w:space="0" w:color="000000"/>
              <w:bottom w:val="single" w:sz="4" w:space="0" w:color="000000"/>
              <w:right w:val="single" w:sz="4" w:space="0" w:color="000000"/>
            </w:tcBorders>
            <w:shd w:val="clear" w:color="auto" w:fill="D2D2D2"/>
          </w:tcPr>
          <w:p>
            <w:pPr/>
          </w:p>
        </w:tc>
        <w:tc>
          <w:tcPr>
            <w:tcW w:w="875" w:type="dxa"/>
            <w:vMerge/>
            <w:tcBorders>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88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0"/>
              <w:ind w:left="27" w:right="0"/>
              <w:jc w:val="left"/>
              <w:rPr>
                <w:rFonts w:ascii="Times New Roman" w:hAnsi="Times New Roman" w:cs="Times New Roman" w:eastAsia="Times New Roman" w:hint="default"/>
                <w:sz w:val="18"/>
                <w:szCs w:val="18"/>
              </w:rPr>
            </w:pPr>
            <w:r>
              <w:rPr>
                <w:rFonts w:ascii="Times New Roman"/>
                <w:sz w:val="18"/>
              </w:rPr>
              <w:t>53,500,000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1" w:right="0"/>
              <w:jc w:val="left"/>
              <w:rPr>
                <w:rFonts w:ascii="Times New Roman" w:hAnsi="Times New Roman" w:cs="Times New Roman" w:eastAsia="Times New Roman" w:hint="default"/>
                <w:sz w:val="18"/>
                <w:szCs w:val="18"/>
              </w:rPr>
            </w:pPr>
            <w:r>
              <w:rPr>
                <w:rFonts w:ascii="Times New Roman"/>
                <w:sz w:val="18"/>
              </w:rPr>
              <w:t>503,182,02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3" w:right="0"/>
              <w:jc w:val="left"/>
              <w:rPr>
                <w:rFonts w:ascii="Times New Roman" w:hAnsi="Times New Roman" w:cs="Times New Roman" w:eastAsia="Times New Roman" w:hint="default"/>
                <w:sz w:val="18"/>
                <w:szCs w:val="18"/>
              </w:rPr>
            </w:pPr>
            <w:r>
              <w:rPr>
                <w:rFonts w:ascii="Times New Roman"/>
                <w:sz w:val="18"/>
              </w:rPr>
              <w:t>12,338,591</w:t>
            </w:r>
          </w:p>
        </w:tc>
        <w:tc>
          <w:tcPr>
            <w:tcW w:w="87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2" w:right="0"/>
              <w:jc w:val="left"/>
              <w:rPr>
                <w:rFonts w:ascii="Times New Roman" w:hAnsi="Times New Roman" w:cs="Times New Roman" w:eastAsia="Times New Roman" w:hint="default"/>
                <w:sz w:val="18"/>
                <w:szCs w:val="18"/>
              </w:rPr>
            </w:pPr>
            <w:r>
              <w:rPr>
                <w:rFonts w:ascii="Times New Roman"/>
                <w:sz w:val="18"/>
              </w:rPr>
              <w:t>105,193,37</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6" w:right="0"/>
              <w:jc w:val="left"/>
              <w:rPr>
                <w:rFonts w:ascii="Times New Roman" w:hAnsi="Times New Roman" w:cs="Times New Roman" w:eastAsia="Times New Roman" w:hint="default"/>
                <w:sz w:val="18"/>
                <w:szCs w:val="18"/>
              </w:rPr>
            </w:pPr>
            <w:r>
              <w:rPr>
                <w:rFonts w:ascii="Times New Roman"/>
                <w:sz w:val="18"/>
              </w:rPr>
              <w:t>674,213,98</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880" w:bottom="280" w:left="1660" w:right="420"/>
        </w:sectPr>
      </w:pPr>
    </w:p>
    <w:p>
      <w:pPr>
        <w:spacing w:line="240" w:lineRule="auto" w:before="11"/>
        <w:rPr>
          <w:rFonts w:ascii="Times New Roman" w:hAnsi="Times New Roman" w:cs="Times New Roman" w:eastAsia="Times New Roman" w:hint="default"/>
          <w:sz w:val="27"/>
          <w:szCs w:val="27"/>
        </w:rPr>
      </w:pPr>
      <w:r>
        <w:rPr/>
        <w:pict>
          <v:shape style="position:absolute;margin-left:171.984009pt;margin-top:624.099976pt;width:84.75pt;height:22.05pt;mso-position-horizontal-relative:page;mso-position-vertical-relative:page;z-index:-803560" type="#_x0000_t202" filled="false" stroked="false">
            <v:textbox inset="0,0,0,0">
              <w:txbxContent>
                <w:p>
                  <w:pPr>
                    <w:spacing w:line="240" w:lineRule="auto" w:before="9"/>
                    <w:rPr>
                      <w:rFonts w:ascii="Times New Roman" w:hAnsi="Times New Roman" w:cs="Times New Roman" w:eastAsia="Times New Roman" w:hint="default"/>
                      <w:sz w:val="17"/>
                      <w:szCs w:val="17"/>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shape style="position:absolute;margin-left:171.984009pt;margin-top:659.73999pt;width:84.75pt;height:19.7pt;mso-position-horizontal-relative:page;mso-position-vertical-relative:page;z-index:-80353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p>
    <w:tbl>
      <w:tblPr>
        <w:tblW w:w="0" w:type="auto"/>
        <w:jc w:val="left"/>
        <w:tblInd w:w="135" w:type="dxa"/>
        <w:tblLayout w:type="fixed"/>
        <w:tblCellMar>
          <w:top w:w="0" w:type="dxa"/>
          <w:left w:w="0" w:type="dxa"/>
          <w:bottom w:w="0" w:type="dxa"/>
          <w:right w:w="0" w:type="dxa"/>
        </w:tblCellMar>
        <w:tblLook w:val="01E0"/>
      </w:tblPr>
      <w:tblGrid>
        <w:gridCol w:w="2477"/>
        <w:gridCol w:w="883"/>
        <w:gridCol w:w="886"/>
        <w:gridCol w:w="886"/>
        <w:gridCol w:w="886"/>
        <w:gridCol w:w="886"/>
        <w:gridCol w:w="886"/>
        <w:gridCol w:w="888"/>
        <w:gridCol w:w="891"/>
      </w:tblGrid>
      <w:tr>
        <w:trPr>
          <w:trHeight w:val="36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37" w:right="0"/>
              <w:jc w:val="left"/>
              <w:rPr>
                <w:rFonts w:ascii="Times New Roman" w:hAnsi="Times New Roman" w:cs="Times New Roman" w:eastAsia="Times New Roman" w:hint="default"/>
                <w:sz w:val="18"/>
                <w:szCs w:val="18"/>
              </w:rPr>
            </w:pPr>
            <w:r>
              <w:rPr>
                <w:rFonts w:ascii="Times New Roman"/>
                <w:sz w:val="18"/>
              </w:rPr>
              <w:t>0.13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.73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40" w:right="0"/>
              <w:jc w:val="left"/>
              <w:rPr>
                <w:rFonts w:ascii="Times New Roman" w:hAnsi="Times New Roman" w:cs="Times New Roman" w:eastAsia="Times New Roman" w:hint="default"/>
                <w:sz w:val="18"/>
                <w:szCs w:val="18"/>
              </w:rPr>
            </w:pPr>
            <w:r>
              <w:rPr>
                <w:rFonts w:ascii="Times New Roman"/>
                <w:sz w:val="18"/>
              </w:rPr>
              <w:t>0.34</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42" w:right="0"/>
              <w:jc w:val="left"/>
              <w:rPr>
                <w:rFonts w:ascii="Times New Roman" w:hAnsi="Times New Roman" w:cs="Times New Roman" w:eastAsia="Times New Roman" w:hint="default"/>
                <w:sz w:val="18"/>
                <w:szCs w:val="18"/>
              </w:rPr>
            </w:pPr>
            <w:r>
              <w:rPr>
                <w:rFonts w:ascii="Times New Roman"/>
                <w:sz w:val="18"/>
              </w:rPr>
              <w:t>2.20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503,182,02</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0.13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12,338,591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105,193,37</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0.34</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674,213,98</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2.20</w:t>
            </w:r>
          </w:p>
        </w:tc>
      </w:tr>
      <w:tr>
        <w:trPr>
          <w:trHeight w:val="71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01"/>
              <w:jc w:val="left"/>
              <w:rPr>
                <w:rFonts w:ascii="宋体" w:hAnsi="宋体" w:cs="宋体" w:eastAsia="宋体" w:hint="default"/>
                <w:sz w:val="18"/>
                <w:szCs w:val="18"/>
              </w:rPr>
            </w:pPr>
            <w:r>
              <w:rPr>
                <w:rFonts w:ascii="宋体" w:hAnsi="宋体" w:cs="宋体" w:eastAsia="宋体" w:hint="default"/>
                <w:sz w:val="18"/>
                <w:szCs w:val="18"/>
              </w:rPr>
              <w:t>三、本期增减变动金额（减少 以“－”号填列）</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57,406,600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-19,892,75</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2.04</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20"/>
                <w:szCs w:val="20"/>
              </w:rPr>
            </w:pPr>
            <w:r>
              <w:rPr>
                <w:rFonts w:ascii="Times New Roman"/>
                <w:w w:val="95"/>
                <w:sz w:val="20"/>
              </w:rPr>
              <w:t>7,822,886</w:t>
            </w:r>
            <w:r>
              <w:rPr>
                <w:rFonts w:ascii="Times New Roman"/>
                <w:sz w:val="20"/>
              </w:rPr>
            </w:r>
          </w:p>
          <w:p>
            <w:pPr>
              <w:pStyle w:val="TableParagraph"/>
              <w:spacing w:line="240" w:lineRule="auto" w:before="82"/>
              <w:ind w:right="18"/>
              <w:jc w:val="right"/>
              <w:rPr>
                <w:rFonts w:ascii="Times New Roman" w:hAnsi="Times New Roman" w:cs="Times New Roman" w:eastAsia="Times New Roman" w:hint="default"/>
                <w:sz w:val="20"/>
                <w:szCs w:val="20"/>
              </w:rPr>
            </w:pPr>
            <w:r>
              <w:rPr>
                <w:rFonts w:ascii="Times New Roman"/>
                <w:sz w:val="20"/>
              </w:rPr>
              <w:t>.13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5" w:right="0"/>
              <w:jc w:val="left"/>
              <w:rPr>
                <w:rFonts w:ascii="Times New Roman" w:hAnsi="Times New Roman" w:cs="Times New Roman" w:eastAsia="Times New Roman" w:hint="default"/>
                <w:sz w:val="20"/>
                <w:szCs w:val="20"/>
              </w:rPr>
            </w:pPr>
            <w:r>
              <w:rPr>
                <w:rFonts w:ascii="Times New Roman"/>
                <w:sz w:val="20"/>
              </w:rPr>
              <w:t>59,705,97</w:t>
            </w:r>
          </w:p>
          <w:p>
            <w:pPr>
              <w:pStyle w:val="TableParagraph"/>
              <w:spacing w:line="240" w:lineRule="auto" w:before="82"/>
              <w:ind w:left="501" w:right="0"/>
              <w:jc w:val="left"/>
              <w:rPr>
                <w:rFonts w:ascii="Times New Roman" w:hAnsi="Times New Roman" w:cs="Times New Roman" w:eastAsia="Times New Roman" w:hint="default"/>
                <w:sz w:val="20"/>
                <w:szCs w:val="20"/>
              </w:rPr>
            </w:pPr>
            <w:r>
              <w:rPr>
                <w:rFonts w:ascii="Times New Roman"/>
                <w:sz w:val="20"/>
              </w:rPr>
              <w:t>5.14</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7" w:right="0"/>
              <w:jc w:val="left"/>
              <w:rPr>
                <w:rFonts w:ascii="Times New Roman" w:hAnsi="Times New Roman" w:cs="Times New Roman" w:eastAsia="Times New Roman" w:hint="default"/>
                <w:sz w:val="20"/>
                <w:szCs w:val="20"/>
              </w:rPr>
            </w:pPr>
            <w:r>
              <w:rPr>
                <w:rFonts w:ascii="Times New Roman"/>
                <w:sz w:val="20"/>
              </w:rPr>
              <w:t>105,042,7</w:t>
            </w:r>
          </w:p>
          <w:p>
            <w:pPr>
              <w:pStyle w:val="TableParagraph"/>
              <w:spacing w:line="240" w:lineRule="auto" w:before="82"/>
              <w:ind w:left="405" w:right="0"/>
              <w:jc w:val="left"/>
              <w:rPr>
                <w:rFonts w:ascii="Times New Roman" w:hAnsi="Times New Roman" w:cs="Times New Roman" w:eastAsia="Times New Roman" w:hint="default"/>
                <w:sz w:val="20"/>
                <w:szCs w:val="20"/>
              </w:rPr>
            </w:pPr>
            <w:r>
              <w:rPr>
                <w:rFonts w:ascii="Times New Roman"/>
                <w:sz w:val="20"/>
              </w:rPr>
              <w:t>09.23</w:t>
            </w:r>
          </w:p>
        </w:tc>
      </w:tr>
      <w:tr>
        <w:trPr>
          <w:trHeight w:val="715"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5" w:right="0"/>
              <w:jc w:val="left"/>
              <w:rPr>
                <w:rFonts w:ascii="Times New Roman" w:hAnsi="Times New Roman" w:cs="Times New Roman" w:eastAsia="Times New Roman" w:hint="default"/>
                <w:sz w:val="20"/>
                <w:szCs w:val="20"/>
              </w:rPr>
            </w:pPr>
            <w:r>
              <w:rPr>
                <w:rFonts w:ascii="Times New Roman"/>
                <w:sz w:val="20"/>
              </w:rPr>
              <w:t>78,228,86</w:t>
            </w:r>
          </w:p>
          <w:p>
            <w:pPr>
              <w:pStyle w:val="TableParagraph"/>
              <w:spacing w:line="240" w:lineRule="auto" w:before="82"/>
              <w:ind w:left="501" w:right="0"/>
              <w:jc w:val="left"/>
              <w:rPr>
                <w:rFonts w:ascii="Times New Roman" w:hAnsi="Times New Roman" w:cs="Times New Roman" w:eastAsia="Times New Roman" w:hint="default"/>
                <w:sz w:val="20"/>
                <w:szCs w:val="20"/>
              </w:rPr>
            </w:pPr>
            <w:r>
              <w:rPr>
                <w:rFonts w:ascii="Times New Roman"/>
                <w:sz w:val="20"/>
              </w:rPr>
              <w:t>1.27</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7" w:right="0"/>
              <w:jc w:val="left"/>
              <w:rPr>
                <w:rFonts w:ascii="Times New Roman" w:hAnsi="Times New Roman" w:cs="Times New Roman" w:eastAsia="Times New Roman" w:hint="default"/>
                <w:sz w:val="20"/>
                <w:szCs w:val="20"/>
              </w:rPr>
            </w:pPr>
            <w:r>
              <w:rPr>
                <w:rFonts w:ascii="Times New Roman"/>
                <w:sz w:val="20"/>
              </w:rPr>
              <w:t>78,228,86</w:t>
            </w:r>
          </w:p>
          <w:p>
            <w:pPr>
              <w:pStyle w:val="TableParagraph"/>
              <w:spacing w:line="240" w:lineRule="auto" w:before="82"/>
              <w:ind w:left="504" w:right="0"/>
              <w:jc w:val="left"/>
              <w:rPr>
                <w:rFonts w:ascii="Times New Roman" w:hAnsi="Times New Roman" w:cs="Times New Roman" w:eastAsia="Times New Roman" w:hint="default"/>
                <w:sz w:val="20"/>
                <w:szCs w:val="20"/>
              </w:rPr>
            </w:pPr>
            <w:r>
              <w:rPr>
                <w:rFonts w:ascii="Times New Roman"/>
                <w:sz w:val="20"/>
              </w:rPr>
              <w:t>1.27</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5" w:right="0"/>
              <w:jc w:val="left"/>
              <w:rPr>
                <w:rFonts w:ascii="Times New Roman" w:hAnsi="Times New Roman" w:cs="Times New Roman" w:eastAsia="Times New Roman" w:hint="default"/>
                <w:sz w:val="20"/>
                <w:szCs w:val="20"/>
              </w:rPr>
            </w:pPr>
            <w:r>
              <w:rPr>
                <w:rFonts w:ascii="Times New Roman"/>
                <w:sz w:val="20"/>
              </w:rPr>
              <w:t>78,228,86</w:t>
            </w:r>
          </w:p>
          <w:p>
            <w:pPr>
              <w:pStyle w:val="TableParagraph"/>
              <w:spacing w:line="240" w:lineRule="auto" w:before="82"/>
              <w:ind w:left="501" w:right="0"/>
              <w:jc w:val="left"/>
              <w:rPr>
                <w:rFonts w:ascii="Times New Roman" w:hAnsi="Times New Roman" w:cs="Times New Roman" w:eastAsia="Times New Roman" w:hint="default"/>
                <w:sz w:val="20"/>
                <w:szCs w:val="20"/>
              </w:rPr>
            </w:pPr>
            <w:r>
              <w:rPr>
                <w:rFonts w:ascii="Times New Roman"/>
                <w:sz w:val="20"/>
              </w:rPr>
              <w:t>1.27</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7" w:right="0"/>
              <w:jc w:val="left"/>
              <w:rPr>
                <w:rFonts w:ascii="Times New Roman" w:hAnsi="Times New Roman" w:cs="Times New Roman" w:eastAsia="Times New Roman" w:hint="default"/>
                <w:sz w:val="20"/>
                <w:szCs w:val="20"/>
              </w:rPr>
            </w:pPr>
            <w:r>
              <w:rPr>
                <w:rFonts w:ascii="Times New Roman"/>
                <w:sz w:val="20"/>
              </w:rPr>
              <w:t>78,228,86</w:t>
            </w:r>
          </w:p>
          <w:p>
            <w:pPr>
              <w:pStyle w:val="TableParagraph"/>
              <w:spacing w:line="240" w:lineRule="auto" w:before="82"/>
              <w:ind w:left="504" w:right="0"/>
              <w:jc w:val="left"/>
              <w:rPr>
                <w:rFonts w:ascii="Times New Roman" w:hAnsi="Times New Roman" w:cs="Times New Roman" w:eastAsia="Times New Roman" w:hint="default"/>
                <w:sz w:val="20"/>
                <w:szCs w:val="20"/>
              </w:rPr>
            </w:pPr>
            <w:r>
              <w:rPr>
                <w:rFonts w:ascii="Times New Roman"/>
                <w:sz w:val="20"/>
              </w:rPr>
              <w:t>1.27</w:t>
            </w:r>
          </w:p>
        </w:tc>
      </w:tr>
      <w:tr>
        <w:trPr>
          <w:trHeight w:val="71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3,906,600.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33,607,247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37,513,847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.96</w:t>
            </w:r>
          </w:p>
        </w:tc>
      </w:tr>
      <w:tr>
        <w:trPr>
          <w:trHeight w:val="715"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3,906,600.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29,612,028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33,518,628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3,995,219.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3,995,219.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96</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7,822,886</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z w:val="20"/>
              </w:rPr>
              <w:t>.13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8" w:right="0"/>
              <w:jc w:val="left"/>
              <w:rPr>
                <w:rFonts w:ascii="Times New Roman" w:hAnsi="Times New Roman" w:cs="Times New Roman" w:eastAsia="Times New Roman" w:hint="default"/>
                <w:sz w:val="20"/>
                <w:szCs w:val="20"/>
              </w:rPr>
            </w:pPr>
            <w:r>
              <w:rPr>
                <w:rFonts w:ascii="Times New Roman"/>
                <w:sz w:val="20"/>
              </w:rPr>
              <w:t>-18,522,8</w:t>
            </w:r>
          </w:p>
          <w:p>
            <w:pPr>
              <w:pStyle w:val="TableParagraph"/>
              <w:spacing w:line="240" w:lineRule="auto" w:before="82"/>
              <w:ind w:left="403" w:right="0"/>
              <w:jc w:val="left"/>
              <w:rPr>
                <w:rFonts w:ascii="Times New Roman" w:hAnsi="Times New Roman" w:cs="Times New Roman" w:eastAsia="Times New Roman" w:hint="default"/>
                <w:sz w:val="20"/>
                <w:szCs w:val="20"/>
              </w:rPr>
            </w:pPr>
            <w:r>
              <w:rPr>
                <w:rFonts w:ascii="Times New Roman"/>
                <w:sz w:val="20"/>
              </w:rPr>
              <w:t>86.13</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-10,700,00</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20"/>
                <w:szCs w:val="20"/>
              </w:rPr>
            </w:pPr>
            <w:r>
              <w:rPr>
                <w:rFonts w:ascii="Times New Roman"/>
                <w:w w:val="95"/>
                <w:sz w:val="20"/>
              </w:rPr>
              <w:t>7,822,886</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z w:val="20"/>
              </w:rPr>
              <w:t>.13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88" w:right="0"/>
              <w:jc w:val="left"/>
              <w:rPr>
                <w:rFonts w:ascii="Times New Roman" w:hAnsi="Times New Roman" w:cs="Times New Roman" w:eastAsia="Times New Roman" w:hint="default"/>
                <w:sz w:val="20"/>
                <w:szCs w:val="20"/>
              </w:rPr>
            </w:pPr>
            <w:r>
              <w:rPr>
                <w:rFonts w:ascii="Times New Roman"/>
                <w:sz w:val="20"/>
              </w:rPr>
              <w:t>-7,822,88</w:t>
            </w:r>
          </w:p>
          <w:p>
            <w:pPr>
              <w:pStyle w:val="TableParagraph"/>
              <w:spacing w:line="240" w:lineRule="auto" w:before="82"/>
              <w:ind w:left="501" w:right="0"/>
              <w:jc w:val="left"/>
              <w:rPr>
                <w:rFonts w:ascii="Times New Roman" w:hAnsi="Times New Roman" w:cs="Times New Roman" w:eastAsia="Times New Roman" w:hint="default"/>
                <w:sz w:val="20"/>
                <w:szCs w:val="20"/>
              </w:rPr>
            </w:pPr>
            <w:r>
              <w:rPr>
                <w:rFonts w:ascii="Times New Roman"/>
                <w:sz w:val="20"/>
              </w:rPr>
              <w:t>6.13</w:t>
            </w: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-10,700,00</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0.00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-10,700,00</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-53,500,00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7" w:type="dxa"/>
            <w:tcBorders>
              <w:top w:val="single" w:sz="4" w:space="0" w:color="000000"/>
              <w:left w:val="single" w:sz="4" w:space="0" w:color="000000"/>
              <w:bottom w:val="single" w:sz="4" w:space="0" w:color="000000"/>
              <w:right w:val="single" w:sz="12" w:space="0" w:color="FFFFFF"/>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tc>
        <w:tc>
          <w:tcPr>
            <w:tcW w:w="883"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p>
            <w:pPr>
              <w:pStyle w:val="TableParagraph"/>
              <w:spacing w:line="352" w:lineRule="exact"/>
              <w:ind w:left="10" w:right="-2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41.55pt;height:17.650pt;mso-position-horizontal-relative:char;mso-position-vertical-relative:line" coordorigin="0,0" coordsize="831,353">
                  <v:group style="position:absolute;left:0;top:0;width:831;height:353" coordorigin="0,0" coordsize="831,353">
                    <v:shape style="position:absolute;left:0;top:0;width:831;height:353" coordorigin="0,0" coordsize="831,353" path="m0,353l830,353,830,0,0,0,0,353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-53,500,00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415" w:lineRule="exact"/>
              <w:ind w:right="-1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42.6pt;height:20.8pt;mso-position-horizontal-relative:char;mso-position-vertical-relative:line" coordorigin="0,0" coordsize="852,416">
                  <v:group style="position:absolute;left:11;top:11;width:2;height:394" coordorigin="11,11" coordsize="2,394">
                    <v:shape style="position:absolute;left:11;top:11;width:2;height:394" coordorigin="11,11" coordsize="0,394" path="m11,11l11,404e" filled="false" stroked="true" strokeweight="1.08pt" strokecolor="#ffffff">
                      <v:path arrowok="t"/>
                    </v:shape>
                  </v:group>
                  <v:group style="position:absolute;left:22;top:11;width:831;height:394" coordorigin="22,11" coordsize="831,394">
                    <v:shape style="position:absolute;left:22;top:11;width:831;height:394" coordorigin="22,11" coordsize="831,394" path="m22,404l852,404,852,11,22,11,22,404xe" filled="true" fillcolor="#ffffff" stroked="false">
                      <v:path arrowok="t"/>
                      <v:fill type="solid"/>
                    </v:shape>
                  </v:group>
                </v:group>
              </w:pict>
            </w:r>
            <w:r>
              <w:rPr>
                <w:rFonts w:ascii="Times New Roman" w:hAnsi="Times New Roman" w:cs="Times New Roman" w:eastAsia="Times New Roman" w:hint="default"/>
                <w:position w:val="-7"/>
                <w:sz w:val="20"/>
                <w:szCs w:val="20"/>
              </w:rPr>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27" w:top="1100" w:bottom="1420" w:left="1660" w:right="420"/>
        </w:sectPr>
      </w:pPr>
    </w:p>
    <w:p>
      <w:pPr>
        <w:spacing w:line="240" w:lineRule="auto" w:before="11"/>
        <w:rPr>
          <w:rFonts w:ascii="Times New Roman" w:hAnsi="Times New Roman" w:cs="Times New Roman" w:eastAsia="Times New Roman" w:hint="default"/>
          <w:sz w:val="27"/>
          <w:szCs w:val="27"/>
        </w:rPr>
      </w:pPr>
    </w:p>
    <w:tbl>
      <w:tblPr>
        <w:tblW w:w="0" w:type="auto"/>
        <w:jc w:val="left"/>
        <w:tblInd w:w="135" w:type="dxa"/>
        <w:tblLayout w:type="fixed"/>
        <w:tblCellMar>
          <w:top w:w="0" w:type="dxa"/>
          <w:left w:w="0" w:type="dxa"/>
          <w:bottom w:w="0" w:type="dxa"/>
          <w:right w:w="0" w:type="dxa"/>
        </w:tblCellMar>
        <w:tblLook w:val="01E0"/>
      </w:tblPr>
      <w:tblGrid>
        <w:gridCol w:w="2477"/>
        <w:gridCol w:w="883"/>
        <w:gridCol w:w="886"/>
        <w:gridCol w:w="886"/>
        <w:gridCol w:w="886"/>
        <w:gridCol w:w="886"/>
        <w:gridCol w:w="886"/>
        <w:gridCol w:w="888"/>
        <w:gridCol w:w="891"/>
      </w:tblGrid>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110,906,60</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483,289,26</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8.09</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5" w:right="0"/>
              <w:jc w:val="left"/>
              <w:rPr>
                <w:rFonts w:ascii="Times New Roman" w:hAnsi="Times New Roman" w:cs="Times New Roman" w:eastAsia="Times New Roman" w:hint="default"/>
                <w:sz w:val="20"/>
                <w:szCs w:val="20"/>
              </w:rPr>
            </w:pPr>
            <w:r>
              <w:rPr>
                <w:rFonts w:ascii="Times New Roman"/>
                <w:sz w:val="20"/>
              </w:rPr>
              <w:t>20,161,47</w:t>
            </w:r>
          </w:p>
          <w:p>
            <w:pPr>
              <w:pStyle w:val="TableParagraph"/>
              <w:spacing w:line="240" w:lineRule="auto" w:before="82"/>
              <w:ind w:left="501" w:right="0"/>
              <w:jc w:val="left"/>
              <w:rPr>
                <w:rFonts w:ascii="Times New Roman" w:hAnsi="Times New Roman" w:cs="Times New Roman" w:eastAsia="Times New Roman" w:hint="default"/>
                <w:sz w:val="20"/>
                <w:szCs w:val="20"/>
              </w:rPr>
            </w:pPr>
            <w:r>
              <w:rPr>
                <w:rFonts w:ascii="Times New Roman"/>
                <w:sz w:val="20"/>
              </w:rPr>
              <w:t>7.86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5" w:right="0"/>
              <w:jc w:val="left"/>
              <w:rPr>
                <w:rFonts w:ascii="Times New Roman" w:hAnsi="Times New Roman" w:cs="Times New Roman" w:eastAsia="Times New Roman" w:hint="default"/>
                <w:sz w:val="20"/>
                <w:szCs w:val="20"/>
              </w:rPr>
            </w:pPr>
            <w:r>
              <w:rPr>
                <w:rFonts w:ascii="Times New Roman"/>
                <w:sz w:val="20"/>
              </w:rPr>
              <w:t>164,899,3</w:t>
            </w:r>
          </w:p>
          <w:p>
            <w:pPr>
              <w:pStyle w:val="TableParagraph"/>
              <w:spacing w:line="240" w:lineRule="auto" w:before="82"/>
              <w:ind w:left="403" w:right="0"/>
              <w:jc w:val="left"/>
              <w:rPr>
                <w:rFonts w:ascii="Times New Roman" w:hAnsi="Times New Roman" w:cs="Times New Roman" w:eastAsia="Times New Roman" w:hint="default"/>
                <w:sz w:val="20"/>
                <w:szCs w:val="20"/>
              </w:rPr>
            </w:pPr>
            <w:r>
              <w:rPr>
                <w:rFonts w:ascii="Times New Roman"/>
                <w:sz w:val="20"/>
              </w:rPr>
              <w:t>45.48</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779,256,69</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1.43</w:t>
            </w:r>
          </w:p>
        </w:tc>
      </w:tr>
    </w:tbl>
    <w:p>
      <w:pPr>
        <w:spacing w:before="49"/>
        <w:ind w:left="140" w:right="1061"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5"/>
        <w:ind w:left="0" w:right="137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473"/>
        <w:gridCol w:w="895"/>
        <w:gridCol w:w="886"/>
        <w:gridCol w:w="886"/>
        <w:gridCol w:w="883"/>
        <w:gridCol w:w="886"/>
        <w:gridCol w:w="884"/>
        <w:gridCol w:w="883"/>
        <w:gridCol w:w="884"/>
      </w:tblGrid>
      <w:tr>
        <w:trPr>
          <w:trHeight w:val="396" w:hRule="exact"/>
        </w:trPr>
        <w:tc>
          <w:tcPr>
            <w:tcW w:w="247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6" w:hRule="exact"/>
        </w:trPr>
        <w:tc>
          <w:tcPr>
            <w:tcW w:w="247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33" w:right="-49"/>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3"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54" w:right="77" w:hanging="181"/>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47" w:right="74"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65" w:right="75"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2473" w:type="dxa"/>
            <w:vMerge/>
            <w:tcBorders>
              <w:left w:val="single" w:sz="4" w:space="0" w:color="000000"/>
              <w:bottom w:val="nil" w:sz="6" w:space="0" w:color="auto"/>
              <w:right w:val="single" w:sz="4" w:space="0" w:color="000000"/>
            </w:tcBorders>
            <w:shd w:val="clear" w:color="auto" w:fill="D2D2D2"/>
          </w:tcPr>
          <w:p>
            <w:pPr/>
          </w:p>
        </w:tc>
        <w:tc>
          <w:tcPr>
            <w:tcW w:w="895"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r>
      <w:tr>
        <w:trPr>
          <w:trHeight w:val="202" w:hRule="exact"/>
        </w:trPr>
        <w:tc>
          <w:tcPr>
            <w:tcW w:w="2473" w:type="dxa"/>
            <w:vMerge w:val="restart"/>
            <w:tcBorders>
              <w:top w:val="nil" w:sz="6" w:space="0" w:color="auto"/>
              <w:left w:val="single" w:sz="4" w:space="0" w:color="000000"/>
              <w:right w:val="single" w:sz="4" w:space="0" w:color="000000"/>
            </w:tcBorders>
            <w:shd w:val="clear" w:color="auto" w:fill="D2D2D2"/>
          </w:tcPr>
          <w:p>
            <w:pPr/>
          </w:p>
        </w:tc>
        <w:tc>
          <w:tcPr>
            <w:tcW w:w="895"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3"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r>
      <w:tr>
        <w:trPr>
          <w:trHeight w:val="161" w:hRule="exact"/>
        </w:trPr>
        <w:tc>
          <w:tcPr>
            <w:tcW w:w="2473" w:type="dxa"/>
            <w:vMerge/>
            <w:tcBorders>
              <w:left w:val="single" w:sz="4" w:space="0" w:color="000000"/>
              <w:bottom w:val="single" w:sz="4" w:space="0" w:color="000000"/>
              <w:right w:val="single" w:sz="4" w:space="0" w:color="000000"/>
            </w:tcBorders>
            <w:shd w:val="clear" w:color="auto" w:fill="D2D2D2"/>
          </w:tcPr>
          <w:p>
            <w:pPr/>
          </w:p>
        </w:tc>
        <w:tc>
          <w:tcPr>
            <w:tcW w:w="895"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3"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7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15,275,985</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.13</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6,329,362.</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41</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51,110,306</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.48</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112,715,65</w:t>
            </w:r>
          </w:p>
          <w:p>
            <w:pPr>
              <w:pStyle w:val="TableParagraph"/>
              <w:spacing w:line="240" w:lineRule="auto" w:before="103"/>
              <w:ind w:left="535" w:right="0"/>
              <w:jc w:val="left"/>
              <w:rPr>
                <w:rFonts w:ascii="Times New Roman" w:hAnsi="Times New Roman" w:cs="Times New Roman" w:eastAsia="Times New Roman" w:hint="default"/>
                <w:sz w:val="18"/>
                <w:szCs w:val="18"/>
              </w:rPr>
            </w:pPr>
            <w:r>
              <w:rPr>
                <w:rFonts w:ascii="Times New Roman"/>
                <w:sz w:val="18"/>
              </w:rPr>
              <w:t>4.02</w:t>
            </w:r>
          </w:p>
        </w:tc>
      </w:tr>
      <w:tr>
        <w:trPr>
          <w:trHeight w:val="392" w:hRule="exact"/>
        </w:trPr>
        <w:tc>
          <w:tcPr>
            <w:tcW w:w="24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5"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r>
      <w:tr>
        <w:trPr>
          <w:trHeight w:val="161" w:hRule="exact"/>
        </w:trPr>
        <w:tc>
          <w:tcPr>
            <w:tcW w:w="247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r>
      <w:tr>
        <w:trPr>
          <w:trHeight w:val="403"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15,275,985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.13</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6,329,362.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41</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51,110,306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.48</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112,715,65</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4.02</w:t>
            </w:r>
          </w:p>
        </w:tc>
      </w:tr>
      <w:tr>
        <w:trPr>
          <w:trHeight w:val="391" w:hRule="exact"/>
        </w:trPr>
        <w:tc>
          <w:tcPr>
            <w:tcW w:w="24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5"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r>
      <w:tr>
        <w:trPr>
          <w:trHeight w:val="161" w:hRule="exact"/>
        </w:trPr>
        <w:tc>
          <w:tcPr>
            <w:tcW w:w="247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r>
      <w:tr>
        <w:trPr>
          <w:trHeight w:val="715"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“－”号填列）</w:t>
            </w:r>
          </w:p>
        </w:tc>
        <w:tc>
          <w:tcPr>
            <w:tcW w:w="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487,906,03</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5.00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6,009,229.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54,083,063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.86</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561,498,32</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8.18</w:t>
            </w:r>
          </w:p>
        </w:tc>
      </w:tr>
      <w:tr>
        <w:trPr>
          <w:trHeight w:val="161" w:hRule="exact"/>
        </w:trPr>
        <w:tc>
          <w:tcPr>
            <w:tcW w:w="247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60,092,293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.18</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60,092,293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.18</w:t>
            </w:r>
          </w:p>
        </w:tc>
      </w:tr>
      <w:tr>
        <w:trPr>
          <w:trHeight w:val="391" w:hRule="exact"/>
        </w:trPr>
        <w:tc>
          <w:tcPr>
            <w:tcW w:w="24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5"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r>
      <w:tr>
        <w:trPr>
          <w:trHeight w:val="161" w:hRule="exact"/>
        </w:trPr>
        <w:tc>
          <w:tcPr>
            <w:tcW w:w="247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r>
      <w:tr>
        <w:trPr>
          <w:trHeight w:val="404"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60,092,293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.18</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60,092,293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.18</w:t>
            </w:r>
          </w:p>
        </w:tc>
      </w:tr>
      <w:tr>
        <w:trPr>
          <w:trHeight w:val="391" w:hRule="exact"/>
        </w:trPr>
        <w:tc>
          <w:tcPr>
            <w:tcW w:w="24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5"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r>
      <w:tr>
        <w:trPr>
          <w:trHeight w:val="161" w:hRule="exact"/>
        </w:trPr>
        <w:tc>
          <w:tcPr>
            <w:tcW w:w="247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r>
      <w:tr>
        <w:trPr>
          <w:trHeight w:val="161" w:hRule="exact"/>
        </w:trPr>
        <w:tc>
          <w:tcPr>
            <w:tcW w:w="247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487,906,03</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5.00</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501,406,03</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5.00</w:t>
            </w:r>
          </w:p>
        </w:tc>
      </w:tr>
      <w:tr>
        <w:trPr>
          <w:trHeight w:val="394" w:hRule="exact"/>
        </w:trPr>
        <w:tc>
          <w:tcPr>
            <w:tcW w:w="24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5"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r>
      <w:tr>
        <w:trPr>
          <w:trHeight w:val="161" w:hRule="exact"/>
        </w:trPr>
        <w:tc>
          <w:tcPr>
            <w:tcW w:w="247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r>
      <w:tr>
        <w:trPr>
          <w:trHeight w:val="161" w:hRule="exact"/>
        </w:trPr>
        <w:tc>
          <w:tcPr>
            <w:tcW w:w="247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487,906,03</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5.00</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501,406,03</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5.00</w:t>
            </w:r>
          </w:p>
        </w:tc>
      </w:tr>
      <w:tr>
        <w:trPr>
          <w:trHeight w:val="391" w:hRule="exact"/>
        </w:trPr>
        <w:tc>
          <w:tcPr>
            <w:tcW w:w="24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5"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r>
      <w:tr>
        <w:trPr>
          <w:trHeight w:val="161" w:hRule="exact"/>
        </w:trPr>
        <w:tc>
          <w:tcPr>
            <w:tcW w:w="247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r>
      <w:tr>
        <w:trPr>
          <w:trHeight w:val="715"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6,009,229.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-6,009,229.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32</w:t>
            </w:r>
          </w:p>
        </w:tc>
        <w:tc>
          <w:tcPr>
            <w:tcW w:w="884" w:type="dxa"/>
            <w:vMerge w:val="restart"/>
            <w:tcBorders>
              <w:top w:val="single" w:sz="4" w:space="0" w:color="000000"/>
              <w:left w:val="single" w:sz="4" w:space="0" w:color="000000"/>
              <w:right w:val="single" w:sz="4" w:space="0" w:color="000000"/>
            </w:tcBorders>
          </w:tcPr>
          <w:p>
            <w:pPr/>
          </w:p>
        </w:tc>
      </w:tr>
      <w:tr>
        <w:trPr>
          <w:trHeight w:val="394" w:hRule="exact"/>
        </w:trPr>
        <w:tc>
          <w:tcPr>
            <w:tcW w:w="24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95"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r>
      <w:tr>
        <w:trPr>
          <w:trHeight w:val="161" w:hRule="exact"/>
        </w:trPr>
        <w:tc>
          <w:tcPr>
            <w:tcW w:w="247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r>
      <w:tr>
        <w:trPr>
          <w:trHeight w:val="161" w:hRule="exact"/>
        </w:trPr>
        <w:tc>
          <w:tcPr>
            <w:tcW w:w="247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6,009,229.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32</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-6,009,229.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32</w:t>
            </w:r>
          </w:p>
        </w:tc>
        <w:tc>
          <w:tcPr>
            <w:tcW w:w="884" w:type="dxa"/>
            <w:vMerge w:val="restart"/>
            <w:tcBorders>
              <w:top w:val="single" w:sz="4" w:space="0" w:color="000000"/>
              <w:left w:val="single" w:sz="4" w:space="0" w:color="000000"/>
              <w:right w:val="single" w:sz="4" w:space="0" w:color="000000"/>
            </w:tcBorders>
          </w:tcPr>
          <w:p>
            <w:pPr/>
          </w:p>
        </w:tc>
      </w:tr>
      <w:tr>
        <w:trPr>
          <w:trHeight w:val="391" w:hRule="exact"/>
        </w:trPr>
        <w:tc>
          <w:tcPr>
            <w:tcW w:w="24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95"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r>
      <w:tr>
        <w:trPr>
          <w:trHeight w:val="161" w:hRule="exact"/>
        </w:trPr>
        <w:tc>
          <w:tcPr>
            <w:tcW w:w="247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r>
      <w:tr>
        <w:trPr>
          <w:trHeight w:val="403"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27" w:top="1100" w:bottom="1420" w:left="1660" w:right="420"/>
        </w:sectPr>
      </w:pPr>
    </w:p>
    <w:p>
      <w:pPr>
        <w:spacing w:line="240" w:lineRule="auto" w:before="8"/>
        <w:rPr>
          <w:rFonts w:ascii="宋体" w:hAnsi="宋体" w:cs="宋体" w:eastAsia="宋体" w:hint="default"/>
          <w:sz w:val="24"/>
          <w:szCs w:val="24"/>
        </w:rPr>
      </w:pPr>
      <w:r>
        <w:rPr/>
        <w:pict>
          <v:shape style="position:absolute;margin-left:172.938004pt;margin-top:92.659981pt;width:84.8pt;height:19.6pt;mso-position-horizontal-relative:page;mso-position-vertical-relative:page;z-index:-80351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shape style="position:absolute;margin-left:172.938004pt;margin-top:112.699982pt;width:84.8pt;height:19.6pt;mso-position-horizontal-relative:page;mso-position-vertical-relative:page;z-index:-803488"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group style="position:absolute;margin-left:215.089996pt;margin-top:92.11998pt;width:42.6pt;height:40.7pt;mso-position-horizontal-relative:page;mso-position-vertical-relative:page;z-index:-803464" coordorigin="4302,1842" coordsize="852,814">
            <v:group style="position:absolute;left:4313;top:1853;width:2;height:392" coordorigin="4313,1853" coordsize="2,392">
              <v:shape style="position:absolute;left:4313;top:1853;width:2;height:392" coordorigin="4313,1853" coordsize="0,392" path="m4313,1853l4313,2244e" filled="false" stroked="true" strokeweight="1.08pt" strokecolor="#ffffff">
                <v:path arrowok="t"/>
              </v:shape>
            </v:group>
            <v:group style="position:absolute;left:4323;top:1853;width:831;height:392" coordorigin="4323,1853" coordsize="831,392">
              <v:shape style="position:absolute;left:4323;top:1853;width:831;height:392" coordorigin="4323,1853" coordsize="831,392" path="m4323,2244l5154,2244,5154,1853,4323,1853,4323,2244xe" filled="true" fillcolor="#ffffff" stroked="false">
                <v:path arrowok="t"/>
                <v:fill type="solid"/>
              </v:shape>
            </v:group>
            <v:group style="position:absolute;left:4313;top:2254;width:2;height:392" coordorigin="4313,2254" coordsize="2,392">
              <v:shape style="position:absolute;left:4313;top:2254;width:2;height:392" coordorigin="4313,2254" coordsize="0,392" path="m4313,2254l4313,2645e" filled="false" stroked="true" strokeweight="1.08pt" strokecolor="#ffffff">
                <v:path arrowok="t"/>
              </v:shape>
            </v:group>
            <v:group style="position:absolute;left:4323;top:2254;width:831;height:392" coordorigin="4323,2254" coordsize="831,392">
              <v:shape style="position:absolute;left:4323;top:2254;width:831;height:392" coordorigin="4323,2254" coordsize="831,392" path="m4323,2645l5154,2645,5154,2254,4323,2254,4323,2645xe" filled="true" fillcolor="#ffffff" stroked="false">
                <v:path arrowok="t"/>
                <v:fill type="solid"/>
              </v:shape>
            </v:group>
            <w10:wrap type="none"/>
          </v:group>
        </w:pict>
      </w:r>
    </w:p>
    <w:tbl>
      <w:tblPr>
        <w:tblW w:w="0" w:type="auto"/>
        <w:jc w:val="left"/>
        <w:tblInd w:w="135" w:type="dxa"/>
        <w:tblLayout w:type="fixed"/>
        <w:tblCellMar>
          <w:top w:w="0" w:type="dxa"/>
          <w:left w:w="0" w:type="dxa"/>
          <w:bottom w:w="0" w:type="dxa"/>
          <w:right w:w="0" w:type="dxa"/>
        </w:tblCellMar>
        <w:tblLook w:val="01E0"/>
      </w:tblPr>
      <w:tblGrid>
        <w:gridCol w:w="2497"/>
        <w:gridCol w:w="883"/>
        <w:gridCol w:w="886"/>
        <w:gridCol w:w="886"/>
        <w:gridCol w:w="883"/>
        <w:gridCol w:w="886"/>
        <w:gridCol w:w="884"/>
        <w:gridCol w:w="883"/>
        <w:gridCol w:w="884"/>
      </w:tblGrid>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．资本公积转增资本</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．盈余公积转增资本</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53,500,000</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503,182,02</w:t>
            </w:r>
          </w:p>
          <w:p>
            <w:pPr>
              <w:pStyle w:val="TableParagraph"/>
              <w:spacing w:line="240" w:lineRule="auto" w:before="103"/>
              <w:ind w:left="537" w:right="0"/>
              <w:jc w:val="left"/>
              <w:rPr>
                <w:rFonts w:ascii="Times New Roman" w:hAnsi="Times New Roman" w:cs="Times New Roman" w:eastAsia="Times New Roman" w:hint="default"/>
                <w:sz w:val="18"/>
                <w:szCs w:val="18"/>
              </w:rPr>
            </w:pPr>
            <w:r>
              <w:rPr>
                <w:rFonts w:ascii="Times New Roman"/>
                <w:sz w:val="18"/>
              </w:rPr>
              <w:t>0.13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12,338,591</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.73</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105,193,37</w:t>
            </w:r>
          </w:p>
          <w:p>
            <w:pPr>
              <w:pStyle w:val="TableParagraph"/>
              <w:spacing w:line="240" w:lineRule="auto" w:before="103"/>
              <w:ind w:left="537" w:right="0"/>
              <w:jc w:val="left"/>
              <w:rPr>
                <w:rFonts w:ascii="Times New Roman" w:hAnsi="Times New Roman" w:cs="Times New Roman" w:eastAsia="Times New Roman" w:hint="default"/>
                <w:sz w:val="18"/>
                <w:szCs w:val="18"/>
              </w:rPr>
            </w:pPr>
            <w:r>
              <w:rPr>
                <w:rFonts w:ascii="Times New Roman"/>
                <w:sz w:val="18"/>
              </w:rPr>
              <w:t>0.34</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674,213,98</w:t>
            </w:r>
          </w:p>
          <w:p>
            <w:pPr>
              <w:pStyle w:val="TableParagraph"/>
              <w:spacing w:line="240" w:lineRule="auto" w:before="103"/>
              <w:ind w:left="535" w:right="0"/>
              <w:jc w:val="left"/>
              <w:rPr>
                <w:rFonts w:ascii="Times New Roman" w:hAnsi="Times New Roman" w:cs="Times New Roman" w:eastAsia="Times New Roman" w:hint="default"/>
                <w:sz w:val="18"/>
                <w:szCs w:val="18"/>
              </w:rPr>
            </w:pPr>
            <w:r>
              <w:rPr>
                <w:rFonts w:ascii="Times New Roman"/>
                <w:sz w:val="18"/>
              </w:rPr>
              <w:t>2.20</w:t>
            </w:r>
          </w:p>
        </w:tc>
      </w:tr>
    </w:tbl>
    <w:p>
      <w:pPr>
        <w:spacing w:line="240" w:lineRule="auto" w:before="2"/>
        <w:rPr>
          <w:rFonts w:ascii="宋体" w:hAnsi="宋体" w:cs="宋体" w:eastAsia="宋体" w:hint="default"/>
          <w:sz w:val="20"/>
          <w:szCs w:val="20"/>
        </w:rPr>
      </w:pPr>
    </w:p>
    <w:p>
      <w:pPr>
        <w:tabs>
          <w:tab w:pos="2934" w:val="left" w:leader="none"/>
          <w:tab w:pos="6174" w:val="left" w:leader="none"/>
        </w:tabs>
        <w:spacing w:before="44"/>
        <w:ind w:left="140" w:right="1061" w:firstLine="0"/>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pacing w:val="1"/>
          <w:sz w:val="18"/>
          <w:szCs w:val="18"/>
        </w:rPr>
        <w:t> </w:t>
      </w:r>
      <w:r>
        <w:rPr>
          <w:rFonts w:ascii="宋体" w:hAnsi="宋体" w:cs="宋体" w:eastAsia="宋体" w:hint="default"/>
          <w:sz w:val="18"/>
          <w:szCs w:val="18"/>
        </w:rPr>
        <w:t>刘祥南</w:t>
        <w:tab/>
      </w:r>
      <w:r>
        <w:rPr>
          <w:rFonts w:ascii="宋体" w:hAnsi="宋体" w:cs="宋体" w:eastAsia="宋体" w:hint="default"/>
          <w:spacing w:val="-1"/>
          <w:sz w:val="18"/>
          <w:szCs w:val="18"/>
        </w:rPr>
        <w:t>主管会计工作负责人：张乃军</w:t>
        <w:tab/>
        <w:t>会计机构负责人：陈志友</w:t>
      </w:r>
    </w:p>
    <w:p>
      <w:pPr>
        <w:spacing w:line="240" w:lineRule="auto" w:before="3"/>
        <w:rPr>
          <w:rFonts w:ascii="宋体" w:hAnsi="宋体" w:cs="宋体" w:eastAsia="宋体" w:hint="default"/>
          <w:sz w:val="25"/>
          <w:szCs w:val="25"/>
        </w:rPr>
      </w:pPr>
    </w:p>
    <w:p>
      <w:pPr>
        <w:pStyle w:val="Heading2"/>
        <w:spacing w:line="240" w:lineRule="auto"/>
        <w:ind w:left="140" w:right="1061"/>
        <w:jc w:val="left"/>
        <w:rPr>
          <w:b w:val="0"/>
          <w:bCs w:val="0"/>
        </w:rPr>
      </w:pPr>
      <w:r>
        <w:rPr/>
        <w:t>三、公司基本情况</w:t>
      </w:r>
      <w:r>
        <w:rPr>
          <w:b w:val="0"/>
          <w:bCs w:val="0"/>
        </w:rPr>
      </w:r>
    </w:p>
    <w:p>
      <w:pPr>
        <w:spacing w:line="240" w:lineRule="auto" w:before="10"/>
        <w:rPr>
          <w:rFonts w:ascii="宋体" w:hAnsi="宋体" w:cs="宋体" w:eastAsia="宋体" w:hint="default"/>
          <w:b/>
          <w:bCs/>
          <w:sz w:val="30"/>
          <w:szCs w:val="30"/>
        </w:rPr>
      </w:pPr>
    </w:p>
    <w:p>
      <w:pPr>
        <w:pStyle w:val="BodyText"/>
        <w:spacing w:line="386" w:lineRule="auto"/>
        <w:ind w:left="560" w:right="1061"/>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、历史沿革</w:t>
      </w:r>
      <w:r>
        <w:rPr>
          <w:w w:val="100"/>
        </w:rPr>
        <w:t> </w:t>
      </w:r>
      <w:r>
        <w:rPr>
          <w:spacing w:val="-2"/>
        </w:rPr>
        <w:t>厦门市美亚柏科信息股份有限公司（原名</w:t>
      </w:r>
      <w:r>
        <w:rPr>
          <w:rFonts w:ascii="Times New Roman" w:hAnsi="Times New Roman" w:cs="Times New Roman" w:eastAsia="Times New Roman" w:hint="default"/>
          <w:spacing w:val="-2"/>
        </w:rPr>
        <w:t>“</w:t>
      </w:r>
      <w:r>
        <w:rPr>
          <w:spacing w:val="-2"/>
        </w:rPr>
        <w:t>厦门市美亚柏科资讯科技有限公司</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2009</w:t>
      </w:r>
    </w:p>
    <w:p>
      <w:pPr>
        <w:pStyle w:val="BodyText"/>
        <w:spacing w:line="386" w:lineRule="auto" w:before="35"/>
        <w:ind w:right="1061"/>
        <w:jc w:val="left"/>
      </w:pP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22</w:t>
      </w:r>
      <w:r>
        <w:rPr>
          <w:spacing w:val="-3"/>
        </w:rPr>
        <w:t>日整体变更为股份有限公司，以下简称</w:t>
      </w:r>
      <w:r>
        <w:rPr>
          <w:rFonts w:ascii="Times New Roman" w:hAnsi="Times New Roman" w:cs="Times New Roman" w:eastAsia="Times New Roman" w:hint="default"/>
          <w:spacing w:val="-3"/>
        </w:rPr>
        <w:t>“</w:t>
      </w:r>
      <w:r>
        <w:rPr>
          <w:spacing w:val="-3"/>
        </w:rPr>
        <w:t>本公司</w:t>
      </w:r>
      <w:r>
        <w:rPr>
          <w:rFonts w:ascii="Times New Roman" w:hAnsi="Times New Roman" w:cs="Times New Roman" w:eastAsia="Times New Roman" w:hint="default"/>
          <w:spacing w:val="-3"/>
        </w:rPr>
        <w:t>”</w:t>
      </w:r>
      <w:r>
        <w:rPr>
          <w:spacing w:val="-3"/>
        </w:rPr>
        <w:t>），成立于</w:t>
      </w:r>
      <w:r>
        <w:rPr>
          <w:rFonts w:ascii="Times New Roman" w:hAnsi="Times New Roman" w:cs="Times New Roman" w:eastAsia="Times New Roman" w:hint="default"/>
          <w:spacing w:val="-3"/>
        </w:rPr>
        <w:t>1999</w:t>
      </w:r>
      <w:r>
        <w:rPr>
          <w:spacing w:val="-3"/>
        </w:rPr>
        <w:t>年</w:t>
      </w:r>
      <w:r>
        <w:rPr>
          <w:rFonts w:ascii="Times New Roman" w:hAnsi="Times New Roman" w:cs="Times New Roman" w:eastAsia="Times New Roman" w:hint="default"/>
          <w:spacing w:val="-3"/>
        </w:rPr>
        <w:t>9</w:t>
      </w:r>
      <w:r>
        <w:rPr>
          <w:spacing w:val="-3"/>
        </w:rPr>
        <w:t>月，原系由滕达</w:t>
      </w:r>
      <w:r>
        <w:rPr>
          <w:spacing w:val="-53"/>
        </w:rPr>
        <w:t> </w:t>
      </w:r>
      <w:r>
        <w:rPr>
          <w:spacing w:val="-53"/>
        </w:rPr>
      </w:r>
      <w:r>
        <w:rPr/>
        <w:t>和刘祥南出资组建的有限公司，于</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9</w:t>
      </w:r>
      <w:r>
        <w:rPr/>
        <w:t>月领取了厦门市工商行政管理局核发的</w:t>
      </w:r>
      <w:r>
        <w:rPr>
          <w:w w:val="100"/>
        </w:rPr>
        <w:t> </w:t>
      </w:r>
      <w:r>
        <w:rPr>
          <w:rFonts w:ascii="Times New Roman" w:hAnsi="Times New Roman" w:cs="Times New Roman" w:eastAsia="Times New Roman" w:hint="default"/>
          <w:spacing w:val="-4"/>
        </w:rPr>
        <w:t>350298200005610</w:t>
      </w:r>
      <w:r>
        <w:rPr>
          <w:spacing w:val="-4"/>
        </w:rPr>
        <w:t>号企业法人营业执照，初始注册资本人民币</w:t>
      </w:r>
      <w:r>
        <w:rPr>
          <w:rFonts w:ascii="Times New Roman" w:hAnsi="Times New Roman" w:cs="Times New Roman" w:eastAsia="Times New Roman" w:hint="default"/>
          <w:spacing w:val="-4"/>
        </w:rPr>
        <w:t>50</w:t>
      </w:r>
      <w:r>
        <w:rPr>
          <w:spacing w:val="-4"/>
        </w:rPr>
        <w:t>万元，其中滕达出资</w:t>
      </w:r>
      <w:r>
        <w:rPr>
          <w:rFonts w:ascii="Times New Roman" w:hAnsi="Times New Roman" w:cs="Times New Roman" w:eastAsia="Times New Roman" w:hint="default"/>
          <w:spacing w:val="-4"/>
        </w:rPr>
        <w:t>45</w:t>
      </w:r>
      <w:r>
        <w:rPr>
          <w:spacing w:val="-4"/>
        </w:rPr>
        <w:t>万元，</w:t>
      </w:r>
      <w:r>
        <w:rPr>
          <w:spacing w:val="-8"/>
        </w:rPr>
        <w:t> </w:t>
      </w:r>
      <w:r>
        <w:rPr>
          <w:spacing w:val="-8"/>
        </w:rPr>
      </w:r>
      <w:r>
        <w:rPr/>
        <w:t>股权比例为</w:t>
      </w:r>
      <w:r>
        <w:rPr>
          <w:rFonts w:ascii="Times New Roman" w:hAnsi="Times New Roman" w:cs="Times New Roman" w:eastAsia="Times New Roman" w:hint="default"/>
        </w:rPr>
        <w:t>90%</w:t>
      </w:r>
      <w:r>
        <w:rPr/>
        <w:t>；刘祥南出资</w:t>
      </w:r>
      <w:r>
        <w:rPr>
          <w:rFonts w:ascii="Times New Roman" w:hAnsi="Times New Roman" w:cs="Times New Roman" w:eastAsia="Times New Roman" w:hint="default"/>
        </w:rPr>
        <w:t>5</w:t>
      </w:r>
      <w:r>
        <w:rPr/>
        <w:t>万元，股权比例为</w:t>
      </w:r>
      <w:r>
        <w:rPr>
          <w:rFonts w:ascii="Times New Roman" w:hAnsi="Times New Roman" w:cs="Times New Roman" w:eastAsia="Times New Roman" w:hint="default"/>
        </w:rPr>
        <w:t>10%</w:t>
      </w:r>
      <w:r>
        <w:rPr/>
        <w:t>。</w:t>
      </w:r>
    </w:p>
    <w:p>
      <w:pPr>
        <w:pStyle w:val="BodyText"/>
        <w:spacing w:line="386" w:lineRule="auto" w:before="35"/>
        <w:ind w:right="1061" w:firstLine="419"/>
        <w:jc w:val="left"/>
      </w:pPr>
      <w:r>
        <w:rPr>
          <w:rFonts w:ascii="Times New Roman" w:hAnsi="Times New Roman" w:cs="Times New Roman" w:eastAsia="Times New Roman" w:hint="default"/>
          <w:spacing w:val="-4"/>
        </w:rPr>
        <w:t>2000</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15</w:t>
      </w:r>
      <w:r>
        <w:rPr>
          <w:spacing w:val="-4"/>
        </w:rPr>
        <w:t>日，本公司注册资本由人民币</w:t>
      </w:r>
      <w:r>
        <w:rPr>
          <w:rFonts w:ascii="Times New Roman" w:hAnsi="Times New Roman" w:cs="Times New Roman" w:eastAsia="Times New Roman" w:hint="default"/>
          <w:spacing w:val="-4"/>
        </w:rPr>
        <w:t>50</w:t>
      </w:r>
      <w:r>
        <w:rPr>
          <w:spacing w:val="-4"/>
        </w:rPr>
        <w:t>万元增至人民币</w:t>
      </w:r>
      <w:r>
        <w:rPr>
          <w:rFonts w:ascii="Times New Roman" w:hAnsi="Times New Roman" w:cs="Times New Roman" w:eastAsia="Times New Roman" w:hint="default"/>
          <w:spacing w:val="-4"/>
        </w:rPr>
        <w:t>160</w:t>
      </w:r>
      <w:r>
        <w:rPr>
          <w:spacing w:val="-4"/>
        </w:rPr>
        <w:t>万元，新增注册资本由</w:t>
      </w:r>
      <w:r>
        <w:rPr>
          <w:w w:val="100"/>
        </w:rPr>
        <w:t> </w:t>
      </w:r>
      <w:r>
        <w:rPr/>
        <w:t>滕达和刘祥南认缴。本次增资后滕达共出资</w:t>
      </w:r>
      <w:r>
        <w:rPr>
          <w:rFonts w:ascii="Times New Roman" w:hAnsi="Times New Roman" w:cs="Times New Roman" w:eastAsia="Times New Roman" w:hint="default"/>
        </w:rPr>
        <w:t>145</w:t>
      </w:r>
      <w:r>
        <w:rPr/>
        <w:t>万元，股权比例为</w:t>
      </w:r>
      <w:r>
        <w:rPr>
          <w:rFonts w:ascii="Times New Roman" w:hAnsi="Times New Roman" w:cs="Times New Roman" w:eastAsia="Times New Roman" w:hint="default"/>
        </w:rPr>
        <w:t>90.625%</w:t>
      </w:r>
      <w:r>
        <w:rPr/>
        <w:t>；刘祥南共出资</w:t>
      </w:r>
      <w:r>
        <w:rPr>
          <w:w w:val="100"/>
        </w:rPr>
        <w:t> </w:t>
      </w:r>
      <w:r>
        <w:rPr>
          <w:rFonts w:ascii="Times New Roman" w:hAnsi="Times New Roman" w:cs="Times New Roman" w:eastAsia="Times New Roman" w:hint="default"/>
        </w:rPr>
        <w:t>15</w:t>
      </w:r>
      <w:r>
        <w:rPr/>
        <w:t>万元，股权比例为</w:t>
      </w:r>
      <w:r>
        <w:rPr>
          <w:rFonts w:ascii="Times New Roman" w:hAnsi="Times New Roman" w:cs="Times New Roman" w:eastAsia="Times New Roman" w:hint="default"/>
        </w:rPr>
        <w:t>9.375%</w:t>
      </w:r>
      <w:r>
        <w:rPr/>
        <w:t>，本公司于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日办妥工商变更登记。</w:t>
      </w:r>
    </w:p>
    <w:p>
      <w:pPr>
        <w:pStyle w:val="BodyText"/>
        <w:spacing w:line="386" w:lineRule="auto" w:before="35"/>
        <w:ind w:right="1061" w:firstLine="419"/>
        <w:jc w:val="left"/>
      </w:pP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28</w:t>
      </w:r>
      <w:r>
        <w:rPr>
          <w:spacing w:val="-2"/>
        </w:rPr>
        <w:t>日，滕达将其所持有的占公司原注册资本</w:t>
      </w:r>
      <w:r>
        <w:rPr>
          <w:rFonts w:ascii="Times New Roman" w:hAnsi="Times New Roman" w:cs="Times New Roman" w:eastAsia="Times New Roman" w:hint="default"/>
          <w:spacing w:val="-2"/>
        </w:rPr>
        <w:t>6.25%</w:t>
      </w:r>
      <w:r>
        <w:rPr>
          <w:spacing w:val="-2"/>
        </w:rPr>
        <w:t>的股权转让给郭永芳，本</w:t>
      </w:r>
      <w:r>
        <w:rPr>
          <w:w w:val="100"/>
        </w:rPr>
        <w:t> </w:t>
      </w:r>
      <w:r>
        <w:rPr/>
        <w:t>次股权转让后滕达出资</w:t>
      </w:r>
      <w:r>
        <w:rPr>
          <w:rFonts w:ascii="Times New Roman" w:hAnsi="Times New Roman" w:cs="Times New Roman" w:eastAsia="Times New Roman" w:hint="default"/>
        </w:rPr>
        <w:t>135</w:t>
      </w:r>
      <w:r>
        <w:rPr/>
        <w:t>万元，股权比例为</w:t>
      </w:r>
      <w:r>
        <w:rPr>
          <w:rFonts w:ascii="Times New Roman" w:hAnsi="Times New Roman" w:cs="Times New Roman" w:eastAsia="Times New Roman" w:hint="default"/>
        </w:rPr>
        <w:t>84.375%</w:t>
      </w:r>
      <w:r>
        <w:rPr/>
        <w:t>；刘祥南出资</w:t>
      </w:r>
      <w:r>
        <w:rPr>
          <w:rFonts w:ascii="Times New Roman" w:hAnsi="Times New Roman" w:cs="Times New Roman" w:eastAsia="Times New Roman" w:hint="default"/>
        </w:rPr>
        <w:t>15</w:t>
      </w:r>
      <w:r>
        <w:rPr/>
        <w:t>万元，股权比例为</w:t>
      </w:r>
      <w:r>
        <w:rPr>
          <w:w w:val="100"/>
        </w:rPr>
        <w:t> </w:t>
      </w:r>
      <w:r>
        <w:rPr>
          <w:rFonts w:ascii="Times New Roman" w:hAnsi="Times New Roman" w:cs="Times New Roman" w:eastAsia="Times New Roman" w:hint="default"/>
        </w:rPr>
        <w:t>9.375%</w:t>
      </w:r>
      <w:r>
        <w:rPr/>
        <w:t>；郭永芳出资</w:t>
      </w:r>
      <w:r>
        <w:rPr>
          <w:rFonts w:ascii="Times New Roman" w:hAnsi="Times New Roman" w:cs="Times New Roman" w:eastAsia="Times New Roman" w:hint="default"/>
        </w:rPr>
        <w:t>10</w:t>
      </w:r>
      <w:r>
        <w:rPr/>
        <w:t>万元，股权比例为</w:t>
      </w:r>
      <w:r>
        <w:rPr>
          <w:rFonts w:ascii="Times New Roman" w:hAnsi="Times New Roman" w:cs="Times New Roman" w:eastAsia="Times New Roman" w:hint="default"/>
        </w:rPr>
        <w:t>6.25%</w:t>
      </w:r>
      <w:r>
        <w:rPr/>
        <w:t>，本公司于</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日办妥工商变更手</w:t>
      </w:r>
      <w:r>
        <w:rPr>
          <w:w w:val="100"/>
        </w:rPr>
        <w:t> </w:t>
      </w:r>
      <w:r>
        <w:rPr/>
        <w:t>续。</w:t>
      </w:r>
    </w:p>
    <w:p>
      <w:pPr>
        <w:pStyle w:val="BodyText"/>
        <w:spacing w:line="386" w:lineRule="auto" w:before="65"/>
        <w:ind w:right="1061" w:firstLine="419"/>
        <w:jc w:val="left"/>
      </w:pP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8</w:t>
      </w:r>
      <w:r>
        <w:rPr/>
        <w:t>日，滕达将其所持有的占公司原注册资本</w:t>
      </w:r>
      <w:r>
        <w:rPr>
          <w:rFonts w:ascii="Times New Roman" w:hAnsi="Times New Roman" w:cs="Times New Roman" w:eastAsia="Times New Roman" w:hint="default"/>
        </w:rPr>
        <w:t>84.375%</w:t>
      </w:r>
      <w:r>
        <w:rPr/>
        <w:t>的股权全部转让给郭永</w:t>
      </w:r>
      <w:r>
        <w:rPr>
          <w:w w:val="100"/>
        </w:rPr>
        <w:t> </w:t>
      </w:r>
      <w:r>
        <w:rPr>
          <w:spacing w:val="-2"/>
        </w:rPr>
        <w:t>芳，本次股权转让后郭永芳出资</w:t>
      </w:r>
      <w:r>
        <w:rPr>
          <w:rFonts w:ascii="Times New Roman" w:hAnsi="Times New Roman" w:cs="Times New Roman" w:eastAsia="Times New Roman" w:hint="default"/>
          <w:spacing w:val="-2"/>
        </w:rPr>
        <w:t>145</w:t>
      </w:r>
      <w:r>
        <w:rPr>
          <w:spacing w:val="-2"/>
        </w:rPr>
        <w:t>万元，股权比例为</w:t>
      </w:r>
      <w:r>
        <w:rPr>
          <w:rFonts w:ascii="Times New Roman" w:hAnsi="Times New Roman" w:cs="Times New Roman" w:eastAsia="Times New Roman" w:hint="default"/>
          <w:spacing w:val="-2"/>
        </w:rPr>
        <w:t>90.625%</w:t>
      </w:r>
      <w:r>
        <w:rPr>
          <w:spacing w:val="-2"/>
        </w:rPr>
        <w:t>；刘祥南出资</w:t>
      </w:r>
      <w:r>
        <w:rPr>
          <w:rFonts w:ascii="Times New Roman" w:hAnsi="Times New Roman" w:cs="Times New Roman" w:eastAsia="Times New Roman" w:hint="default"/>
          <w:spacing w:val="-2"/>
        </w:rPr>
        <w:t>15</w:t>
      </w:r>
      <w:r>
        <w:rPr>
          <w:spacing w:val="-2"/>
        </w:rPr>
        <w:t>万元，股权</w:t>
      </w:r>
      <w:r>
        <w:rPr>
          <w:spacing w:val="-20"/>
        </w:rPr>
        <w:t> </w:t>
      </w:r>
      <w:r>
        <w:rPr>
          <w:spacing w:val="-20"/>
        </w:rPr>
      </w:r>
      <w:r>
        <w:rPr/>
        <w:t>比例为</w:t>
      </w:r>
      <w:r>
        <w:rPr>
          <w:rFonts w:ascii="Times New Roman" w:hAnsi="Times New Roman" w:cs="Times New Roman" w:eastAsia="Times New Roman" w:hint="default"/>
        </w:rPr>
        <w:t>9.375%</w:t>
      </w:r>
      <w:r>
        <w:rPr/>
        <w:t>，本公司于</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日办妥工商变更手续。</w:t>
      </w:r>
    </w:p>
    <w:p>
      <w:pPr>
        <w:pStyle w:val="BodyText"/>
        <w:spacing w:line="240" w:lineRule="auto" w:before="35"/>
        <w:ind w:left="560" w:right="1061"/>
        <w:jc w:val="left"/>
      </w:pPr>
      <w:r>
        <w:rPr>
          <w:rFonts w:ascii="Times New Roman" w:hAnsi="Times New Roman" w:cs="Times New Roman" w:eastAsia="Times New Roman" w:hint="default"/>
        </w:rPr>
        <w:t>2004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日，郭永芳将其所持有的占公司原注册资本</w:t>
      </w:r>
      <w:r>
        <w:rPr>
          <w:rFonts w:ascii="Times New Roman" w:hAnsi="Times New Roman" w:cs="Times New Roman" w:eastAsia="Times New Roman" w:hint="default"/>
        </w:rPr>
        <w:t>6.25%</w:t>
      </w:r>
      <w:r>
        <w:rPr/>
        <w:t>、</w:t>
      </w:r>
      <w:r>
        <w:rPr>
          <w:rFonts w:ascii="Times New Roman" w:hAnsi="Times New Roman" w:cs="Times New Roman" w:eastAsia="Times New Roman" w:hint="default"/>
        </w:rPr>
        <w:t>3.125%</w:t>
      </w:r>
      <w:r>
        <w:rPr/>
        <w:t>的股权分别转</w:t>
      </w:r>
    </w:p>
    <w:p>
      <w:pPr>
        <w:spacing w:after="0" w:line="240" w:lineRule="auto"/>
        <w:jc w:val="left"/>
        <w:sectPr>
          <w:pgSz w:w="11910" w:h="16840"/>
          <w:pgMar w:header="877" w:footer="1227" w:top="1100" w:bottom="1420" w:left="1660" w:right="420"/>
        </w:sectPr>
      </w:pPr>
    </w:p>
    <w:p>
      <w:pPr>
        <w:spacing w:line="240" w:lineRule="auto" w:before="9"/>
        <w:rPr>
          <w:rFonts w:ascii="宋体" w:hAnsi="宋体" w:cs="宋体" w:eastAsia="宋体" w:hint="default"/>
          <w:sz w:val="26"/>
          <w:szCs w:val="26"/>
        </w:rPr>
      </w:pPr>
    </w:p>
    <w:p>
      <w:pPr>
        <w:pStyle w:val="BodyText"/>
        <w:spacing w:line="386" w:lineRule="auto" w:before="36"/>
        <w:ind w:right="0"/>
        <w:jc w:val="left"/>
      </w:pPr>
      <w:r>
        <w:rPr>
          <w:spacing w:val="-4"/>
        </w:rPr>
        <w:t>让给滕达、刘祥南，同时本公司注册资本由人民币</w:t>
      </w:r>
      <w:r>
        <w:rPr>
          <w:rFonts w:ascii="Times New Roman" w:hAnsi="Times New Roman" w:cs="Times New Roman" w:eastAsia="Times New Roman" w:hint="default"/>
          <w:spacing w:val="-4"/>
        </w:rPr>
        <w:t>160</w:t>
      </w:r>
      <w:r>
        <w:rPr>
          <w:spacing w:val="-4"/>
        </w:rPr>
        <w:t>万元增至人民币</w:t>
      </w:r>
      <w:r>
        <w:rPr>
          <w:rFonts w:ascii="Times New Roman" w:hAnsi="Times New Roman" w:cs="Times New Roman" w:eastAsia="Times New Roman" w:hint="default"/>
          <w:spacing w:val="-4"/>
        </w:rPr>
        <w:t>400</w:t>
      </w:r>
      <w:r>
        <w:rPr>
          <w:spacing w:val="-4"/>
        </w:rPr>
        <w:t>万元，其中郭永芳</w:t>
      </w:r>
      <w:r>
        <w:rPr>
          <w:spacing w:val="-42"/>
        </w:rPr>
        <w:t> </w:t>
      </w:r>
      <w:r>
        <w:rPr>
          <w:spacing w:val="-42"/>
        </w:rPr>
      </w:r>
      <w:r>
        <w:rPr/>
        <w:t>认缴</w:t>
      </w:r>
      <w:r>
        <w:rPr>
          <w:rFonts w:ascii="Times New Roman" w:hAnsi="Times New Roman" w:cs="Times New Roman" w:eastAsia="Times New Roman" w:hint="default"/>
        </w:rPr>
        <w:t>230</w:t>
      </w:r>
      <w:r>
        <w:rPr/>
        <w:t>万元，滕达认缴</w:t>
      </w:r>
      <w:r>
        <w:rPr>
          <w:rFonts w:ascii="Times New Roman" w:hAnsi="Times New Roman" w:cs="Times New Roman" w:eastAsia="Times New Roman" w:hint="default"/>
        </w:rPr>
        <w:t>10</w:t>
      </w:r>
      <w:r>
        <w:rPr/>
        <w:t>万元。本次股权转让及增资后郭永芳出资</w:t>
      </w:r>
      <w:r>
        <w:rPr>
          <w:rFonts w:ascii="Times New Roman" w:hAnsi="Times New Roman" w:cs="Times New Roman" w:eastAsia="Times New Roman" w:hint="default"/>
        </w:rPr>
        <w:t>360</w:t>
      </w:r>
      <w:r>
        <w:rPr/>
        <w:t>万元，股权比例为</w:t>
      </w:r>
      <w:r>
        <w:rPr>
          <w:w w:val="100"/>
        </w:rPr>
        <w:t> </w:t>
      </w:r>
      <w:r>
        <w:rPr>
          <w:rFonts w:ascii="Times New Roman" w:hAnsi="Times New Roman" w:cs="Times New Roman" w:eastAsia="Times New Roman" w:hint="default"/>
          <w:spacing w:val="-6"/>
        </w:rPr>
        <w:t>90%</w:t>
      </w:r>
      <w:r>
        <w:rPr>
          <w:spacing w:val="-6"/>
        </w:rPr>
        <w:t>；滕达出资</w:t>
      </w:r>
      <w:r>
        <w:rPr>
          <w:rFonts w:ascii="Times New Roman" w:hAnsi="Times New Roman" w:cs="Times New Roman" w:eastAsia="Times New Roman" w:hint="default"/>
          <w:spacing w:val="-6"/>
        </w:rPr>
        <w:t>20</w:t>
      </w:r>
      <w:r>
        <w:rPr>
          <w:spacing w:val="-6"/>
        </w:rPr>
        <w:t>万元，股权比例为</w:t>
      </w:r>
      <w:r>
        <w:rPr>
          <w:rFonts w:ascii="Times New Roman" w:hAnsi="Times New Roman" w:cs="Times New Roman" w:eastAsia="Times New Roman" w:hint="default"/>
          <w:spacing w:val="-6"/>
        </w:rPr>
        <w:t>5%</w:t>
      </w:r>
      <w:r>
        <w:rPr>
          <w:spacing w:val="-6"/>
        </w:rPr>
        <w:t>；刘祥南出资</w:t>
      </w:r>
      <w:r>
        <w:rPr>
          <w:rFonts w:ascii="Times New Roman" w:hAnsi="Times New Roman" w:cs="Times New Roman" w:eastAsia="Times New Roman" w:hint="default"/>
          <w:spacing w:val="-6"/>
        </w:rPr>
        <w:t>20</w:t>
      </w:r>
      <w:r>
        <w:rPr>
          <w:spacing w:val="-6"/>
        </w:rPr>
        <w:t>万元，股权比例为</w:t>
      </w:r>
      <w:r>
        <w:rPr>
          <w:rFonts w:ascii="Times New Roman" w:hAnsi="Times New Roman" w:cs="Times New Roman" w:eastAsia="Times New Roman" w:hint="default"/>
          <w:spacing w:val="-6"/>
        </w:rPr>
        <w:t>5%</w:t>
      </w:r>
      <w:r>
        <w:rPr>
          <w:spacing w:val="-6"/>
        </w:rPr>
        <w:t>，本公司于</w:t>
      </w:r>
      <w:r>
        <w:rPr>
          <w:rFonts w:ascii="Times New Roman" w:hAnsi="Times New Roman" w:cs="Times New Roman" w:eastAsia="Times New Roman" w:hint="default"/>
          <w:spacing w:val="-6"/>
        </w:rPr>
        <w:t>2004</w:t>
      </w:r>
      <w:r>
        <w:rPr>
          <w:rFonts w:ascii="Times New Roman" w:hAnsi="Times New Roman" w:cs="Times New Roman" w:eastAsia="Times New Roman" w:hint="default"/>
          <w:spacing w:val="22"/>
        </w:rPr>
        <w:t> </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14</w:t>
      </w:r>
      <w:r>
        <w:rPr/>
        <w:t>日办妥工商变更手续。</w:t>
      </w:r>
    </w:p>
    <w:p>
      <w:pPr>
        <w:pStyle w:val="BodyText"/>
        <w:spacing w:line="386" w:lineRule="auto" w:before="35"/>
        <w:ind w:right="211" w:firstLine="419"/>
        <w:jc w:val="both"/>
      </w:pP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w:t>
      </w:r>
      <w:r>
        <w:rPr>
          <w:spacing w:val="-2"/>
        </w:rPr>
        <w:t>日，本公司注册资本由人民币</w:t>
      </w:r>
      <w:r>
        <w:rPr>
          <w:rFonts w:ascii="Times New Roman" w:hAnsi="Times New Roman" w:cs="Times New Roman" w:eastAsia="Times New Roman" w:hint="default"/>
          <w:spacing w:val="-2"/>
        </w:rPr>
        <w:t>400</w:t>
      </w:r>
      <w:r>
        <w:rPr>
          <w:spacing w:val="-2"/>
        </w:rPr>
        <w:t>万元增至人民币</w:t>
      </w:r>
      <w:r>
        <w:rPr>
          <w:rFonts w:ascii="Times New Roman" w:hAnsi="Times New Roman" w:cs="Times New Roman" w:eastAsia="Times New Roman" w:hint="default"/>
          <w:spacing w:val="-2"/>
        </w:rPr>
        <w:t>500</w:t>
      </w:r>
      <w:r>
        <w:rPr>
          <w:spacing w:val="-2"/>
        </w:rPr>
        <w:t>万元，其中郭永芳认</w:t>
      </w:r>
      <w:r>
        <w:rPr>
          <w:w w:val="100"/>
        </w:rPr>
        <w:t> </w:t>
      </w:r>
      <w:r>
        <w:rPr>
          <w:spacing w:val="-4"/>
        </w:rPr>
        <w:t>缴</w:t>
      </w:r>
      <w:r>
        <w:rPr>
          <w:rFonts w:ascii="Times New Roman" w:hAnsi="Times New Roman" w:cs="Times New Roman" w:eastAsia="Times New Roman" w:hint="default"/>
          <w:spacing w:val="-4"/>
        </w:rPr>
        <w:t>45</w:t>
      </w:r>
      <w:r>
        <w:rPr>
          <w:spacing w:val="-4"/>
        </w:rPr>
        <w:t>万元，滕达认缴</w:t>
      </w:r>
      <w:r>
        <w:rPr>
          <w:rFonts w:ascii="Times New Roman" w:hAnsi="Times New Roman" w:cs="Times New Roman" w:eastAsia="Times New Roman" w:hint="default"/>
          <w:spacing w:val="-4"/>
        </w:rPr>
        <w:t>50</w:t>
      </w:r>
      <w:r>
        <w:rPr>
          <w:spacing w:val="-4"/>
        </w:rPr>
        <w:t>万元，刘祥南认缴</w:t>
      </w:r>
      <w:r>
        <w:rPr>
          <w:rFonts w:ascii="Times New Roman" w:hAnsi="Times New Roman" w:cs="Times New Roman" w:eastAsia="Times New Roman" w:hint="default"/>
          <w:spacing w:val="-4"/>
        </w:rPr>
        <w:t>5</w:t>
      </w:r>
      <w:r>
        <w:rPr>
          <w:spacing w:val="-4"/>
        </w:rPr>
        <w:t>万元。本次增资后郭永芳出资</w:t>
      </w:r>
      <w:r>
        <w:rPr>
          <w:rFonts w:ascii="Times New Roman" w:hAnsi="Times New Roman" w:cs="Times New Roman" w:eastAsia="Times New Roman" w:hint="default"/>
          <w:spacing w:val="-4"/>
        </w:rPr>
        <w:t>405</w:t>
      </w:r>
      <w:r>
        <w:rPr>
          <w:spacing w:val="-4"/>
        </w:rPr>
        <w:t>万元，股权比例</w:t>
      </w:r>
      <w:r>
        <w:rPr>
          <w:spacing w:val="-37"/>
        </w:rPr>
        <w:t> </w:t>
      </w:r>
      <w:r>
        <w:rPr>
          <w:spacing w:val="-37"/>
        </w:rPr>
      </w:r>
      <w:r>
        <w:rPr>
          <w:spacing w:val="-4"/>
        </w:rPr>
        <w:t>为</w:t>
      </w:r>
      <w:r>
        <w:rPr>
          <w:rFonts w:ascii="Times New Roman" w:hAnsi="Times New Roman" w:cs="Times New Roman" w:eastAsia="Times New Roman" w:hint="default"/>
          <w:spacing w:val="-4"/>
        </w:rPr>
        <w:t>81%</w:t>
      </w:r>
      <w:r>
        <w:rPr>
          <w:spacing w:val="-4"/>
        </w:rPr>
        <w:t>；滕达出资</w:t>
      </w:r>
      <w:r>
        <w:rPr>
          <w:rFonts w:ascii="Times New Roman" w:hAnsi="Times New Roman" w:cs="Times New Roman" w:eastAsia="Times New Roman" w:hint="default"/>
          <w:spacing w:val="-4"/>
        </w:rPr>
        <w:t>70</w:t>
      </w:r>
      <w:r>
        <w:rPr>
          <w:spacing w:val="-4"/>
        </w:rPr>
        <w:t>万元，股权比例为</w:t>
      </w:r>
      <w:r>
        <w:rPr>
          <w:rFonts w:ascii="Times New Roman" w:hAnsi="Times New Roman" w:cs="Times New Roman" w:eastAsia="Times New Roman" w:hint="default"/>
          <w:spacing w:val="-4"/>
        </w:rPr>
        <w:t>14%</w:t>
      </w:r>
      <w:r>
        <w:rPr>
          <w:spacing w:val="-4"/>
        </w:rPr>
        <w:t>；刘祥南出资</w:t>
      </w:r>
      <w:r>
        <w:rPr>
          <w:rFonts w:ascii="Times New Roman" w:hAnsi="Times New Roman" w:cs="Times New Roman" w:eastAsia="Times New Roman" w:hint="default"/>
          <w:spacing w:val="-4"/>
        </w:rPr>
        <w:t>25</w:t>
      </w:r>
      <w:r>
        <w:rPr>
          <w:spacing w:val="-4"/>
        </w:rPr>
        <w:t>万元，股权比例为</w:t>
      </w:r>
      <w:r>
        <w:rPr>
          <w:rFonts w:ascii="Times New Roman" w:hAnsi="Times New Roman" w:cs="Times New Roman" w:eastAsia="Times New Roman" w:hint="default"/>
          <w:spacing w:val="-4"/>
        </w:rPr>
        <w:t>5%</w:t>
      </w:r>
      <w:r>
        <w:rPr>
          <w:spacing w:val="-4"/>
        </w:rPr>
        <w:t>，本公司于</w:t>
      </w:r>
      <w:r>
        <w:rPr>
          <w:spacing w:val="-25"/>
        </w:rPr>
        <w:t> </w:t>
      </w:r>
      <w:r>
        <w:rPr>
          <w:spacing w:val="-25"/>
        </w:rPr>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日办妥工商变更手续。</w:t>
      </w:r>
    </w:p>
    <w:p>
      <w:pPr>
        <w:pStyle w:val="BodyText"/>
        <w:spacing w:line="386" w:lineRule="auto" w:before="36"/>
        <w:ind w:right="0" w:firstLine="419"/>
        <w:jc w:val="left"/>
      </w:pP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21</w:t>
      </w:r>
      <w:r>
        <w:rPr>
          <w:spacing w:val="-4"/>
        </w:rPr>
        <w:t>日，本公司注册资本由人民币</w:t>
      </w:r>
      <w:r>
        <w:rPr>
          <w:rFonts w:ascii="Times New Roman" w:hAnsi="Times New Roman" w:cs="Times New Roman" w:eastAsia="Times New Roman" w:hint="default"/>
          <w:spacing w:val="-4"/>
        </w:rPr>
        <w:t>500</w:t>
      </w:r>
      <w:r>
        <w:rPr>
          <w:spacing w:val="-4"/>
        </w:rPr>
        <w:t>万元增至人民币</w:t>
      </w:r>
      <w:r>
        <w:rPr>
          <w:rFonts w:ascii="Times New Roman" w:hAnsi="Times New Roman" w:cs="Times New Roman" w:eastAsia="Times New Roman" w:hint="default"/>
          <w:spacing w:val="-4"/>
        </w:rPr>
        <w:t>1000</w:t>
      </w:r>
      <w:r>
        <w:rPr>
          <w:spacing w:val="-4"/>
        </w:rPr>
        <w:t>万元，其中郭永芳认</w:t>
      </w:r>
      <w:r>
        <w:rPr>
          <w:w w:val="100"/>
        </w:rPr>
        <w:t> </w:t>
      </w:r>
      <w:r>
        <w:rPr>
          <w:spacing w:val="-3"/>
        </w:rPr>
        <w:t>缴</w:t>
      </w:r>
      <w:r>
        <w:rPr>
          <w:rFonts w:ascii="Times New Roman" w:hAnsi="Times New Roman" w:cs="Times New Roman" w:eastAsia="Times New Roman" w:hint="default"/>
          <w:spacing w:val="-3"/>
        </w:rPr>
        <w:t>425</w:t>
      </w:r>
      <w:r>
        <w:rPr>
          <w:spacing w:val="-3"/>
        </w:rPr>
        <w:t>万元，刘祥南认缴</w:t>
      </w:r>
      <w:r>
        <w:rPr>
          <w:rFonts w:ascii="Times New Roman" w:hAnsi="Times New Roman" w:cs="Times New Roman" w:eastAsia="Times New Roman" w:hint="default"/>
          <w:spacing w:val="-3"/>
        </w:rPr>
        <w:t>75</w:t>
      </w:r>
      <w:r>
        <w:rPr>
          <w:spacing w:val="-3"/>
        </w:rPr>
        <w:t>万元。本次增资后郭永芳出资</w:t>
      </w:r>
      <w:r>
        <w:rPr>
          <w:rFonts w:ascii="Times New Roman" w:hAnsi="Times New Roman" w:cs="Times New Roman" w:eastAsia="Times New Roman" w:hint="default"/>
          <w:spacing w:val="-3"/>
        </w:rPr>
        <w:t>830</w:t>
      </w:r>
      <w:r>
        <w:rPr>
          <w:spacing w:val="-3"/>
        </w:rPr>
        <w:t>万元，股权比例为</w:t>
      </w:r>
      <w:r>
        <w:rPr>
          <w:rFonts w:ascii="Times New Roman" w:hAnsi="Times New Roman" w:cs="Times New Roman" w:eastAsia="Times New Roman" w:hint="default"/>
          <w:spacing w:val="-3"/>
        </w:rPr>
        <w:t>83%</w:t>
      </w:r>
      <w:r>
        <w:rPr>
          <w:spacing w:val="-3"/>
        </w:rPr>
        <w:t>；滕达出</w:t>
      </w:r>
      <w:r>
        <w:rPr>
          <w:spacing w:val="-41"/>
        </w:rPr>
        <w:t> </w:t>
      </w:r>
      <w:r>
        <w:rPr>
          <w:spacing w:val="-41"/>
        </w:rPr>
      </w:r>
      <w:r>
        <w:rPr/>
        <w:t>资</w:t>
      </w:r>
      <w:r>
        <w:rPr>
          <w:rFonts w:ascii="Times New Roman" w:hAnsi="Times New Roman" w:cs="Times New Roman" w:eastAsia="Times New Roman" w:hint="default"/>
        </w:rPr>
        <w:t>70</w:t>
      </w:r>
      <w:r>
        <w:rPr/>
        <w:t>万元，股权比例为</w:t>
      </w:r>
      <w:r>
        <w:rPr>
          <w:rFonts w:ascii="Times New Roman" w:hAnsi="Times New Roman" w:cs="Times New Roman" w:eastAsia="Times New Roman" w:hint="default"/>
        </w:rPr>
        <w:t>7%</w:t>
      </w:r>
      <w:r>
        <w:rPr/>
        <w:t>；刘祥南出资</w:t>
      </w:r>
      <w:r>
        <w:rPr>
          <w:rFonts w:ascii="Times New Roman" w:hAnsi="Times New Roman" w:cs="Times New Roman" w:eastAsia="Times New Roman" w:hint="default"/>
        </w:rPr>
        <w:t>100</w:t>
      </w:r>
      <w:r>
        <w:rPr/>
        <w:t>万元，股权比例为</w:t>
      </w:r>
      <w:r>
        <w:rPr>
          <w:rFonts w:ascii="Times New Roman" w:hAnsi="Times New Roman" w:cs="Times New Roman" w:eastAsia="Times New Roman" w:hint="default"/>
        </w:rPr>
        <w:t>10%</w:t>
      </w:r>
      <w:r>
        <w:rPr/>
        <w:t>，本公司于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rFonts w:ascii="Times New Roman" w:hAnsi="Times New Roman" w:cs="Times New Roman" w:eastAsia="Times New Roman" w:hint="default"/>
          <w:w w:val="100"/>
        </w:rPr>
        <w:t> </w:t>
      </w:r>
      <w:r>
        <w:rPr/>
        <w:t>日办妥工商变更手续。</w:t>
      </w:r>
    </w:p>
    <w:p>
      <w:pPr>
        <w:pStyle w:val="BodyText"/>
        <w:spacing w:line="386" w:lineRule="auto" w:before="65"/>
        <w:ind w:right="0" w:firstLine="419"/>
        <w:jc w:val="left"/>
      </w:pPr>
      <w:r>
        <w:rPr>
          <w:rFonts w:ascii="Times New Roman" w:hAnsi="Times New Roman" w:cs="Times New Roman" w:eastAsia="Times New Roman" w:hint="default"/>
          <w:spacing w:val="-3"/>
        </w:rPr>
        <w:t>2006</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6</w:t>
      </w:r>
      <w:r>
        <w:rPr>
          <w:spacing w:val="-3"/>
        </w:rPr>
        <w:t>日，滕达将其所持有的占公司原注册资本</w:t>
      </w:r>
      <w:r>
        <w:rPr>
          <w:rFonts w:ascii="Times New Roman" w:hAnsi="Times New Roman" w:cs="Times New Roman" w:eastAsia="Times New Roman" w:hint="default"/>
          <w:spacing w:val="-3"/>
        </w:rPr>
        <w:t>7%</w:t>
      </w:r>
      <w:r>
        <w:rPr>
          <w:spacing w:val="-3"/>
        </w:rPr>
        <w:t>的股权全部转让给郭永芳，本</w:t>
      </w:r>
      <w:r>
        <w:rPr>
          <w:w w:val="100"/>
        </w:rPr>
        <w:t> </w:t>
      </w:r>
      <w:r>
        <w:rPr>
          <w:spacing w:val="-5"/>
        </w:rPr>
        <w:t>次股权转让后郭永芳出资</w:t>
      </w:r>
      <w:r>
        <w:rPr>
          <w:rFonts w:ascii="Times New Roman" w:hAnsi="Times New Roman" w:cs="Times New Roman" w:eastAsia="Times New Roman" w:hint="default"/>
          <w:spacing w:val="-5"/>
        </w:rPr>
        <w:t>900</w:t>
      </w:r>
      <w:r>
        <w:rPr>
          <w:spacing w:val="-5"/>
        </w:rPr>
        <w:t>万元，股权比例为</w:t>
      </w:r>
      <w:r>
        <w:rPr>
          <w:rFonts w:ascii="Times New Roman" w:hAnsi="Times New Roman" w:cs="Times New Roman" w:eastAsia="Times New Roman" w:hint="default"/>
          <w:spacing w:val="-5"/>
        </w:rPr>
        <w:t>90%</w:t>
      </w:r>
      <w:r>
        <w:rPr>
          <w:spacing w:val="-5"/>
        </w:rPr>
        <w:t>；刘祥南出资</w:t>
      </w:r>
      <w:r>
        <w:rPr>
          <w:rFonts w:ascii="Times New Roman" w:hAnsi="Times New Roman" w:cs="Times New Roman" w:eastAsia="Times New Roman" w:hint="default"/>
          <w:spacing w:val="-5"/>
        </w:rPr>
        <w:t>100</w:t>
      </w:r>
      <w:r>
        <w:rPr>
          <w:spacing w:val="-5"/>
        </w:rPr>
        <w:t>万元，股权比例为</w:t>
      </w:r>
      <w:r>
        <w:rPr>
          <w:rFonts w:ascii="Times New Roman" w:hAnsi="Times New Roman" w:cs="Times New Roman" w:eastAsia="Times New Roman" w:hint="default"/>
          <w:spacing w:val="-5"/>
        </w:rPr>
        <w:t>10%</w:t>
      </w:r>
      <w:r>
        <w:rPr>
          <w:spacing w:val="-5"/>
        </w:rPr>
        <w:t>，</w:t>
      </w:r>
      <w:r>
        <w:rPr>
          <w:spacing w:val="-11"/>
        </w:rPr>
        <w:t> </w:t>
      </w:r>
      <w:r>
        <w:rPr/>
        <w:t>本公司于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16</w:t>
      </w:r>
      <w:r>
        <w:rPr/>
        <w:t>日办妥工商变更手续。</w:t>
      </w:r>
    </w:p>
    <w:p>
      <w:pPr>
        <w:pStyle w:val="BodyText"/>
        <w:spacing w:line="386" w:lineRule="auto" w:before="35"/>
        <w:ind w:right="0" w:firstLine="419"/>
        <w:jc w:val="left"/>
      </w:pP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3</w:t>
      </w:r>
      <w:r>
        <w:rPr>
          <w:spacing w:val="-3"/>
        </w:rPr>
        <w:t>日，郭永芳将其所持有的占公司原注册资本</w:t>
      </w:r>
      <w:r>
        <w:rPr>
          <w:rFonts w:ascii="Times New Roman" w:hAnsi="Times New Roman" w:cs="Times New Roman" w:eastAsia="Times New Roman" w:hint="default"/>
          <w:spacing w:val="-3"/>
        </w:rPr>
        <w:t>51%</w:t>
      </w:r>
      <w:r>
        <w:rPr>
          <w:spacing w:val="-3"/>
        </w:rPr>
        <w:t>的股权分别转让给广州通连</w:t>
      </w:r>
      <w:r>
        <w:rPr>
          <w:w w:val="100"/>
        </w:rPr>
        <w:t> </w:t>
      </w:r>
      <w:r>
        <w:rPr/>
        <w:t>投资咨询有限公司、李国林等，本次股权转让后郭永芳出资人民币</w:t>
      </w:r>
      <w:r>
        <w:rPr>
          <w:rFonts w:ascii="Times New Roman" w:hAnsi="Times New Roman" w:cs="Times New Roman" w:eastAsia="Times New Roman" w:hint="default"/>
        </w:rPr>
        <w:t>390</w:t>
      </w:r>
      <w:r>
        <w:rPr/>
        <w:t>万元，股权比例为</w:t>
      </w:r>
      <w:r>
        <w:rPr>
          <w:w w:val="100"/>
        </w:rPr>
        <w:t> </w:t>
      </w:r>
      <w:r>
        <w:rPr>
          <w:rFonts w:ascii="Times New Roman" w:hAnsi="Times New Roman" w:cs="Times New Roman" w:eastAsia="Times New Roman" w:hint="default"/>
        </w:rPr>
        <w:t>39%</w:t>
      </w:r>
      <w:r>
        <w:rPr/>
        <w:t>；李国林出资人民币</w:t>
      </w:r>
      <w:r>
        <w:rPr>
          <w:rFonts w:ascii="Times New Roman" w:hAnsi="Times New Roman" w:cs="Times New Roman" w:eastAsia="Times New Roman" w:hint="default"/>
        </w:rPr>
        <w:t>200</w:t>
      </w:r>
      <w:r>
        <w:rPr/>
        <w:t>万元，股权比例为</w:t>
      </w:r>
      <w:r>
        <w:rPr>
          <w:rFonts w:ascii="Times New Roman" w:hAnsi="Times New Roman" w:cs="Times New Roman" w:eastAsia="Times New Roman" w:hint="default"/>
        </w:rPr>
        <w:t>20%</w:t>
      </w:r>
      <w:r>
        <w:rPr/>
        <w:t>；广州通连投资咨询有限公司出资人民</w:t>
      </w:r>
      <w:r>
        <w:rPr>
          <w:w w:val="100"/>
        </w:rPr>
        <w:t> </w:t>
      </w:r>
      <w:r>
        <w:rPr>
          <w:spacing w:val="-2"/>
        </w:rPr>
        <w:t>币</w:t>
      </w:r>
      <w:r>
        <w:rPr>
          <w:rFonts w:ascii="Times New Roman" w:hAnsi="Times New Roman" w:cs="Times New Roman" w:eastAsia="Times New Roman" w:hint="default"/>
          <w:spacing w:val="-2"/>
        </w:rPr>
        <w:t>200</w:t>
      </w:r>
      <w:r>
        <w:rPr>
          <w:spacing w:val="-2"/>
        </w:rPr>
        <w:t>万元，股权比例为</w:t>
      </w:r>
      <w:r>
        <w:rPr>
          <w:rFonts w:ascii="Times New Roman" w:hAnsi="Times New Roman" w:cs="Times New Roman" w:eastAsia="Times New Roman" w:hint="default"/>
          <w:spacing w:val="-2"/>
        </w:rPr>
        <w:t>20%</w:t>
      </w:r>
      <w:r>
        <w:rPr>
          <w:spacing w:val="-2"/>
        </w:rPr>
        <w:t>；刘祥南出资人民币</w:t>
      </w:r>
      <w:r>
        <w:rPr>
          <w:rFonts w:ascii="Times New Roman" w:hAnsi="Times New Roman" w:cs="Times New Roman" w:eastAsia="Times New Roman" w:hint="default"/>
          <w:spacing w:val="-2"/>
        </w:rPr>
        <w:t>160</w:t>
      </w:r>
      <w:r>
        <w:rPr>
          <w:spacing w:val="-2"/>
        </w:rPr>
        <w:t>万元，股权比例为</w:t>
      </w:r>
      <w:r>
        <w:rPr>
          <w:rFonts w:ascii="Times New Roman" w:hAnsi="Times New Roman" w:cs="Times New Roman" w:eastAsia="Times New Roman" w:hint="default"/>
          <w:spacing w:val="-2"/>
        </w:rPr>
        <w:t>16%</w:t>
      </w:r>
      <w:r>
        <w:rPr>
          <w:spacing w:val="-2"/>
        </w:rPr>
        <w:t>；其余</w:t>
      </w:r>
      <w:r>
        <w:rPr>
          <w:rFonts w:ascii="Times New Roman" w:hAnsi="Times New Roman" w:cs="Times New Roman" w:eastAsia="Times New Roman" w:hint="default"/>
          <w:spacing w:val="-2"/>
        </w:rPr>
        <w:t>12</w:t>
      </w:r>
      <w:r>
        <w:rPr>
          <w:spacing w:val="-2"/>
        </w:rPr>
        <w:t>位自然</w:t>
      </w:r>
      <w:r>
        <w:rPr>
          <w:spacing w:val="-49"/>
        </w:rPr>
        <w:t> </w:t>
      </w:r>
      <w:r>
        <w:rPr>
          <w:spacing w:val="-49"/>
        </w:rPr>
      </w:r>
      <w:r>
        <w:rPr/>
        <w:t>人合计出资人民币</w:t>
      </w:r>
      <w:r>
        <w:rPr>
          <w:rFonts w:ascii="Times New Roman" w:hAnsi="Times New Roman" w:cs="Times New Roman" w:eastAsia="Times New Roman" w:hint="default"/>
        </w:rPr>
        <w:t>50</w:t>
      </w:r>
      <w:r>
        <w:rPr/>
        <w:t>万元，股权比例为</w:t>
      </w:r>
      <w:r>
        <w:rPr>
          <w:rFonts w:ascii="Times New Roman" w:hAnsi="Times New Roman" w:cs="Times New Roman" w:eastAsia="Times New Roman" w:hint="default"/>
        </w:rPr>
        <w:t>5%</w:t>
      </w:r>
      <w:r>
        <w:rPr/>
        <w:t>，本公司于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日办妥工商变更手续。</w:t>
      </w:r>
    </w:p>
    <w:p>
      <w:pPr>
        <w:pStyle w:val="BodyText"/>
        <w:spacing w:line="391" w:lineRule="auto" w:before="35"/>
        <w:ind w:right="211" w:firstLine="419"/>
        <w:jc w:val="both"/>
      </w:pPr>
      <w:r>
        <w:rPr>
          <w:spacing w:val="-2"/>
        </w:rPr>
        <w:t>根据本公司</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17</w:t>
      </w:r>
      <w:r>
        <w:rPr>
          <w:spacing w:val="-2"/>
        </w:rPr>
        <w:t>日股东会决议，同意将公司整体变更为股份有限公司，公司更</w:t>
      </w:r>
      <w:r>
        <w:rPr>
          <w:w w:val="100"/>
        </w:rPr>
        <w:t> </w:t>
      </w:r>
      <w:r>
        <w:rPr>
          <w:spacing w:val="-4"/>
        </w:rPr>
        <w:t>名为现名。根据本公司发起人协议、创立大会决议及修改后公司章程的规定：以本公司原全</w:t>
      </w:r>
      <w:r>
        <w:rPr>
          <w:spacing w:val="-47"/>
        </w:rPr>
        <w:t> </w:t>
      </w:r>
      <w:r>
        <w:rPr>
          <w:spacing w:val="-47"/>
        </w:rPr>
      </w:r>
      <w:r>
        <w:rPr>
          <w:spacing w:val="-2"/>
        </w:rPr>
        <w:t>体股东作为发起人，以</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31</w:t>
      </w:r>
      <w:r>
        <w:rPr>
          <w:spacing w:val="-2"/>
        </w:rPr>
        <w:t>日为改制变更基准日，全体股东同意以本公司截止</w:t>
      </w:r>
      <w:r>
        <w:rPr>
          <w:rFonts w:ascii="Times New Roman" w:hAnsi="Times New Roman" w:cs="Times New Roman" w:eastAsia="Times New Roman" w:hint="default"/>
          <w:spacing w:val="-2"/>
        </w:rPr>
        <w:t>2009</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31</w:t>
      </w:r>
      <w:r>
        <w:rPr>
          <w:spacing w:val="-2"/>
        </w:rPr>
        <w:t>日经审计的净资产中的</w:t>
      </w:r>
      <w:r>
        <w:rPr>
          <w:rFonts w:ascii="Times New Roman" w:hAnsi="Times New Roman" w:cs="Times New Roman" w:eastAsia="Times New Roman" w:hint="default"/>
          <w:spacing w:val="-2"/>
        </w:rPr>
        <w:t>40,000,000.00</w:t>
      </w:r>
      <w:r>
        <w:rPr>
          <w:spacing w:val="-2"/>
        </w:rPr>
        <w:t>元折为股份公司的总股本</w:t>
      </w:r>
      <w:r>
        <w:rPr>
          <w:rFonts w:ascii="Times New Roman" w:hAnsi="Times New Roman" w:cs="Times New Roman" w:eastAsia="Times New Roman" w:hint="default"/>
          <w:spacing w:val="-2"/>
        </w:rPr>
        <w:t>4,000</w:t>
      </w:r>
      <w:r>
        <w:rPr>
          <w:spacing w:val="-2"/>
        </w:rPr>
        <w:t>万股，每股面值</w:t>
      </w:r>
      <w:r>
        <w:rPr>
          <w:spacing w:val="-15"/>
        </w:rPr>
        <w:t> </w:t>
      </w:r>
      <w:r>
        <w:rPr>
          <w:spacing w:val="-15"/>
        </w:rPr>
      </w:r>
      <w:r>
        <w:rPr>
          <w:spacing w:val="-2"/>
        </w:rPr>
        <w:t>为人民币</w:t>
      </w:r>
      <w:r>
        <w:rPr>
          <w:rFonts w:ascii="Times New Roman" w:hAnsi="Times New Roman" w:cs="Times New Roman" w:eastAsia="Times New Roman" w:hint="default"/>
          <w:spacing w:val="-2"/>
        </w:rPr>
        <w:t>1</w:t>
      </w:r>
      <w:r>
        <w:rPr>
          <w:spacing w:val="-2"/>
        </w:rPr>
        <w:t>元，各发起人按变更前所持有的股权比例认购本公司的股份，变更前后各股东出</w:t>
      </w:r>
      <w:r>
        <w:rPr>
          <w:spacing w:val="-33"/>
        </w:rPr>
        <w:t> </w:t>
      </w:r>
      <w:r>
        <w:rPr>
          <w:spacing w:val="-33"/>
        </w:rPr>
      </w:r>
      <w:r>
        <w:rPr>
          <w:spacing w:val="-2"/>
        </w:rPr>
        <w:t>资比例不变，超出股本部分作为公司资本公积。本公司于</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22</w:t>
      </w:r>
      <w:r>
        <w:rPr>
          <w:spacing w:val="-2"/>
        </w:rPr>
        <w:t>日取得厦门市工商行</w:t>
      </w:r>
      <w:r>
        <w:rPr>
          <w:spacing w:val="-26"/>
        </w:rPr>
        <w:t> </w:t>
      </w:r>
      <w:r>
        <w:rPr>
          <w:spacing w:val="-26"/>
        </w:rPr>
      </w:r>
      <w:r>
        <w:rPr/>
        <w:t>政管理局颁发的变更后营业执照，注册资本为</w:t>
      </w:r>
      <w:r>
        <w:rPr>
          <w:rFonts w:ascii="Times New Roman" w:hAnsi="Times New Roman" w:cs="Times New Roman" w:eastAsia="Times New Roman" w:hint="default"/>
        </w:rPr>
        <w:t>4,000</w:t>
      </w:r>
      <w:r>
        <w:rPr/>
        <w:t>万元。</w:t>
      </w:r>
    </w:p>
    <w:p>
      <w:pPr>
        <w:pStyle w:val="BodyText"/>
        <w:spacing w:line="386" w:lineRule="auto" w:before="30"/>
        <w:ind w:right="0" w:firstLine="419"/>
        <w:jc w:val="left"/>
      </w:pPr>
      <w:r>
        <w:rPr>
          <w:spacing w:val="-4"/>
        </w:rPr>
        <w:t>根据本公司股东大会决议，并经中国证券监督管理委员会</w:t>
      </w:r>
      <w:r>
        <w:rPr>
          <w:rFonts w:ascii="Times New Roman" w:hAnsi="Times New Roman" w:cs="Times New Roman" w:eastAsia="Times New Roman" w:hint="default"/>
          <w:spacing w:val="-4"/>
        </w:rPr>
        <w:t>“</w:t>
      </w:r>
      <w:r>
        <w:rPr>
          <w:spacing w:val="-4"/>
        </w:rPr>
        <w:t>证监许可</w:t>
      </w:r>
      <w:r>
        <w:rPr>
          <w:rFonts w:ascii="Times New Roman" w:hAnsi="Times New Roman" w:cs="Times New Roman" w:eastAsia="Times New Roman" w:hint="default"/>
          <w:spacing w:val="-4"/>
        </w:rPr>
        <w:t>[2011]263</w:t>
      </w:r>
      <w:r>
        <w:rPr>
          <w:spacing w:val="-4"/>
        </w:rPr>
        <w:t>号</w:t>
      </w:r>
      <w:r>
        <w:rPr>
          <w:rFonts w:ascii="Times New Roman" w:hAnsi="Times New Roman" w:cs="Times New Roman" w:eastAsia="Times New Roman" w:hint="default"/>
          <w:spacing w:val="-4"/>
        </w:rPr>
        <w:t>”</w:t>
      </w:r>
      <w:r>
        <w:rPr>
          <w:spacing w:val="-4"/>
        </w:rPr>
        <w:t>文《关</w:t>
      </w:r>
      <w:r>
        <w:rPr>
          <w:w w:val="100"/>
        </w:rPr>
        <w:t> </w:t>
      </w:r>
      <w:r>
        <w:rPr>
          <w:spacing w:val="-2"/>
        </w:rPr>
        <w:t>于核准厦门市美亚柏科信息股份有限公司首次公开发行股票并在创业板上市的批复》核准，</w:t>
      </w:r>
    </w:p>
    <w:p>
      <w:pPr>
        <w:spacing w:after="0" w:line="386" w:lineRule="auto"/>
        <w:jc w:val="left"/>
        <w:sectPr>
          <w:pgSz w:w="11910" w:h="16840"/>
          <w:pgMar w:header="877" w:footer="1227" w:top="1100" w:bottom="1420" w:left="1660" w:right="1580"/>
        </w:sectPr>
      </w:pPr>
    </w:p>
    <w:p>
      <w:pPr>
        <w:spacing w:line="240" w:lineRule="auto" w:before="9"/>
        <w:rPr>
          <w:rFonts w:ascii="宋体" w:hAnsi="宋体" w:cs="宋体" w:eastAsia="宋体" w:hint="default"/>
          <w:sz w:val="26"/>
          <w:szCs w:val="26"/>
        </w:rPr>
      </w:pPr>
    </w:p>
    <w:p>
      <w:pPr>
        <w:pStyle w:val="BodyText"/>
        <w:spacing w:line="386" w:lineRule="auto" w:before="36"/>
        <w:ind w:right="108"/>
        <w:jc w:val="both"/>
      </w:pPr>
      <w:r>
        <w:rPr/>
        <w:t>本公司申请首次向社会公开发行人民币普通股（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1,350</w:t>
      </w:r>
      <w:r>
        <w:rPr/>
        <w:t>万股，每股面值</w:t>
      </w:r>
      <w:r>
        <w:rPr>
          <w:rFonts w:ascii="Times New Roman" w:hAnsi="Times New Roman" w:cs="Times New Roman" w:eastAsia="Times New Roman" w:hint="default"/>
        </w:rPr>
        <w:t>1</w:t>
      </w:r>
      <w:r>
        <w:rPr/>
        <w:t>元，实际发行</w:t>
      </w:r>
      <w:r>
        <w:rPr>
          <w:w w:val="100"/>
        </w:rPr>
        <w:t> </w:t>
      </w:r>
      <w:r>
        <w:rPr>
          <w:spacing w:val="-3"/>
        </w:rPr>
        <w:t>价格</w:t>
      </w:r>
      <w:r>
        <w:rPr>
          <w:rFonts w:ascii="Times New Roman" w:hAnsi="Times New Roman" w:cs="Times New Roman" w:eastAsia="Times New Roman" w:hint="default"/>
          <w:spacing w:val="-3"/>
        </w:rPr>
        <w:t>40</w:t>
      </w:r>
      <w:r>
        <w:rPr>
          <w:spacing w:val="-3"/>
        </w:rPr>
        <w:t>元</w:t>
      </w:r>
      <w:r>
        <w:rPr>
          <w:rFonts w:ascii="Times New Roman" w:hAnsi="Times New Roman" w:cs="Times New Roman" w:eastAsia="Times New Roman" w:hint="default"/>
          <w:spacing w:val="-3"/>
        </w:rPr>
        <w:t>/</w:t>
      </w:r>
      <w:r>
        <w:rPr>
          <w:spacing w:val="-3"/>
        </w:rPr>
        <w:t>股，发行后本公司注册资本（股本）变更为</w:t>
      </w:r>
      <w:r>
        <w:rPr>
          <w:rFonts w:ascii="Times New Roman" w:hAnsi="Times New Roman" w:cs="Times New Roman" w:eastAsia="Times New Roman" w:hint="default"/>
          <w:spacing w:val="-3"/>
        </w:rPr>
        <w:t>5,350</w:t>
      </w:r>
      <w:r>
        <w:rPr>
          <w:spacing w:val="-3"/>
        </w:rPr>
        <w:t>万元。本公司</w:t>
      </w:r>
      <w:r>
        <w:rPr>
          <w:rFonts w:ascii="Times New Roman" w:hAnsi="Times New Roman" w:cs="Times New Roman" w:eastAsia="Times New Roman" w:hint="default"/>
          <w:spacing w:val="-3"/>
        </w:rPr>
        <w:t>A</w:t>
      </w:r>
      <w:r>
        <w:rPr>
          <w:spacing w:val="-3"/>
        </w:rPr>
        <w:t>股股票自</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3</w:t>
      </w:r>
      <w:r>
        <w:rPr>
          <w:rFonts w:ascii="Times New Roman" w:hAnsi="Times New Roman" w:cs="Times New Roman" w:eastAsia="Times New Roman" w:hint="default"/>
          <w:spacing w:val="39"/>
        </w:rPr>
        <w:t> </w:t>
      </w:r>
      <w:r>
        <w:rPr>
          <w:spacing w:val="-5"/>
        </w:rPr>
        <w:t>月</w:t>
      </w:r>
      <w:r>
        <w:rPr>
          <w:rFonts w:ascii="Times New Roman" w:hAnsi="Times New Roman" w:cs="Times New Roman" w:eastAsia="Times New Roman" w:hint="default"/>
          <w:spacing w:val="-5"/>
        </w:rPr>
        <w:t>16</w:t>
      </w:r>
      <w:r>
        <w:rPr>
          <w:spacing w:val="-5"/>
        </w:rPr>
        <w:t>日起在深圳证券交易所创业板上市交易，证券简称为</w:t>
      </w:r>
      <w:r>
        <w:rPr>
          <w:rFonts w:ascii="Times New Roman" w:hAnsi="Times New Roman" w:cs="Times New Roman" w:eastAsia="Times New Roman" w:hint="default"/>
          <w:spacing w:val="-5"/>
        </w:rPr>
        <w:t>“</w:t>
      </w:r>
      <w:r>
        <w:rPr>
          <w:spacing w:val="-5"/>
        </w:rPr>
        <w:t>美亚柏科</w:t>
      </w:r>
      <w:r>
        <w:rPr>
          <w:rFonts w:ascii="Times New Roman" w:hAnsi="Times New Roman" w:cs="Times New Roman" w:eastAsia="Times New Roman" w:hint="default"/>
          <w:spacing w:val="-5"/>
        </w:rPr>
        <w:t>”</w:t>
      </w:r>
      <w:r>
        <w:rPr>
          <w:spacing w:val="-5"/>
        </w:rPr>
        <w:t>，证券代码为</w:t>
      </w:r>
      <w:r>
        <w:rPr>
          <w:rFonts w:ascii="Times New Roman" w:hAnsi="Times New Roman" w:cs="Times New Roman" w:eastAsia="Times New Roman" w:hint="default"/>
          <w:spacing w:val="-5"/>
        </w:rPr>
        <w:t>“300188”</w:t>
      </w:r>
      <w:r>
        <w:rPr>
          <w:spacing w:val="-5"/>
        </w:rPr>
        <w:t>。</w:t>
      </w:r>
    </w:p>
    <w:p>
      <w:pPr>
        <w:pStyle w:val="BodyText"/>
        <w:spacing w:line="386" w:lineRule="auto" w:before="35"/>
        <w:ind w:right="0" w:firstLine="419"/>
        <w:jc w:val="left"/>
      </w:pPr>
      <w:r>
        <w:rPr/>
        <w:t>根据</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日本公司召开的</w:t>
      </w:r>
      <w:r>
        <w:rPr>
          <w:rFonts w:ascii="Times New Roman" w:hAnsi="Times New Roman" w:cs="Times New Roman" w:eastAsia="Times New Roman" w:hint="default"/>
        </w:rPr>
        <w:t>2011</w:t>
      </w:r>
      <w:r>
        <w:rPr/>
        <w:t>年度股东大会审议通过</w:t>
      </w:r>
      <w:r>
        <w:rPr>
          <w:rFonts w:ascii="Times New Roman" w:hAnsi="Times New Roman" w:cs="Times New Roman" w:eastAsia="Times New Roman" w:hint="default"/>
        </w:rPr>
        <w:t>2011</w:t>
      </w:r>
      <w:r>
        <w:rPr/>
        <w:t>年度利润分配方案，</w:t>
      </w:r>
      <w:r>
        <w:rPr>
          <w:w w:val="100"/>
        </w:rPr>
        <w:t> </w:t>
      </w:r>
      <w:r>
        <w:rPr/>
        <w:t>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 </w:t>
      </w:r>
      <w:r>
        <w:rPr>
          <w:spacing w:val="-4"/>
        </w:rPr>
        <w:t>月</w:t>
      </w:r>
      <w:r>
        <w:rPr>
          <w:rFonts w:ascii="Times New Roman" w:hAnsi="Times New Roman" w:cs="Times New Roman" w:eastAsia="Times New Roman" w:hint="default"/>
          <w:spacing w:val="-4"/>
        </w:rPr>
        <w:t>31</w:t>
      </w:r>
      <w:r>
        <w:rPr>
          <w:spacing w:val="-4"/>
        </w:rPr>
        <w:t>日总股本</w:t>
      </w:r>
      <w:r>
        <w:rPr>
          <w:rFonts w:ascii="Times New Roman" w:hAnsi="Times New Roman" w:cs="Times New Roman" w:eastAsia="Times New Roman" w:hint="default"/>
          <w:spacing w:val="-4"/>
        </w:rPr>
        <w:t>5,350</w:t>
      </w:r>
      <w:r>
        <w:rPr>
          <w:spacing w:val="-4"/>
        </w:rPr>
        <w:t>万股为基数，以资本公积金每</w:t>
      </w:r>
      <w:r>
        <w:rPr>
          <w:rFonts w:ascii="Times New Roman" w:hAnsi="Times New Roman" w:cs="Times New Roman" w:eastAsia="Times New Roman" w:hint="default"/>
          <w:spacing w:val="-4"/>
        </w:rPr>
        <w:t>10</w:t>
      </w:r>
      <w:r>
        <w:rPr>
          <w:spacing w:val="-4"/>
        </w:rPr>
        <w:t>股转增</w:t>
      </w:r>
      <w:r>
        <w:rPr>
          <w:rFonts w:ascii="Times New Roman" w:hAnsi="Times New Roman" w:cs="Times New Roman" w:eastAsia="Times New Roman" w:hint="default"/>
          <w:spacing w:val="-4"/>
        </w:rPr>
        <w:t>10</w:t>
      </w:r>
      <w:r>
        <w:rPr>
          <w:spacing w:val="-4"/>
        </w:rPr>
        <w:t>股，共计转增</w:t>
      </w:r>
      <w:r>
        <w:rPr>
          <w:rFonts w:ascii="Times New Roman" w:hAnsi="Times New Roman" w:cs="Times New Roman" w:eastAsia="Times New Roman" w:hint="default"/>
          <w:spacing w:val="-4"/>
        </w:rPr>
        <w:t>5,350</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spacing w:val="-3"/>
        </w:rPr>
        <w:t>万股。根据</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15</w:t>
      </w:r>
      <w:r>
        <w:rPr>
          <w:spacing w:val="-3"/>
        </w:rPr>
        <w:t>日本公司召开的</w:t>
      </w:r>
      <w:r>
        <w:rPr>
          <w:rFonts w:ascii="Times New Roman" w:hAnsi="Times New Roman" w:cs="Times New Roman" w:eastAsia="Times New Roman" w:hint="default"/>
          <w:spacing w:val="-3"/>
        </w:rPr>
        <w:t>2012 </w:t>
      </w:r>
      <w:r>
        <w:rPr>
          <w:spacing w:val="-4"/>
        </w:rPr>
        <w:t>年第一次临时股东大会决议、</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6</w:t>
      </w:r>
      <w:r>
        <w:rPr>
          <w:spacing w:val="-4"/>
        </w:rPr>
        <w:t>日第</w:t>
      </w:r>
      <w:r>
        <w:rPr>
          <w:spacing w:val="-88"/>
        </w:rPr>
        <w:t> </w:t>
      </w:r>
      <w:r>
        <w:rPr/>
        <w:t>一届董事会第二十一次会议决议和修改后的章程规定，本公司以定向增发方式向</w:t>
      </w:r>
      <w:r>
        <w:rPr>
          <w:rFonts w:ascii="Times New Roman" w:hAnsi="Times New Roman" w:cs="Times New Roman" w:eastAsia="Times New Roman" w:hint="default"/>
        </w:rPr>
        <w:t>201</w:t>
      </w:r>
      <w:r>
        <w:rPr/>
        <w:t>名激励</w:t>
      </w:r>
      <w:r>
        <w:rPr>
          <w:w w:val="100"/>
        </w:rPr>
        <w:t> </w:t>
      </w:r>
      <w:r>
        <w:rPr>
          <w:spacing w:val="-3"/>
        </w:rPr>
        <w:t>对象授予限制性人民币普通股（</w:t>
      </w:r>
      <w:r>
        <w:rPr>
          <w:rFonts w:ascii="Times New Roman" w:hAnsi="Times New Roman" w:cs="Times New Roman" w:eastAsia="Times New Roman" w:hint="default"/>
          <w:spacing w:val="-3"/>
        </w:rPr>
        <w:t>A </w:t>
      </w:r>
      <w:r>
        <w:rPr>
          <w:spacing w:val="-4"/>
        </w:rPr>
        <w:t>股）</w:t>
      </w:r>
      <w:r>
        <w:rPr>
          <w:rFonts w:ascii="Times New Roman" w:hAnsi="Times New Roman" w:cs="Times New Roman" w:eastAsia="Times New Roman" w:hint="default"/>
          <w:spacing w:val="-4"/>
        </w:rPr>
        <w:t>390.66</w:t>
      </w:r>
      <w:r>
        <w:rPr>
          <w:spacing w:val="-4"/>
        </w:rPr>
        <w:t>万股，每股面值</w:t>
      </w:r>
      <w:r>
        <w:rPr>
          <w:rFonts w:ascii="Times New Roman" w:hAnsi="Times New Roman" w:cs="Times New Roman" w:eastAsia="Times New Roman" w:hint="default"/>
          <w:spacing w:val="-4"/>
        </w:rPr>
        <w:t>1</w:t>
      </w:r>
      <w:r>
        <w:rPr>
          <w:spacing w:val="-4"/>
        </w:rPr>
        <w:t>元，发行价格每股</w:t>
      </w:r>
      <w:r>
        <w:rPr>
          <w:rFonts w:ascii="Times New Roman" w:hAnsi="Times New Roman" w:cs="Times New Roman" w:eastAsia="Times New Roman" w:hint="default"/>
          <w:spacing w:val="-4"/>
        </w:rPr>
        <w:t>8.58</w:t>
      </w:r>
      <w:r>
        <w:rPr>
          <w:spacing w:val="-4"/>
        </w:rPr>
        <w:t>元</w:t>
      </w:r>
      <w:r>
        <w:rPr>
          <w:rFonts w:ascii="Times New Roman" w:hAnsi="Times New Roman" w:cs="Times New Roman" w:eastAsia="Times New Roman" w:hint="default"/>
          <w:spacing w:val="-4"/>
        </w:rPr>
        <w:t>/</w:t>
      </w:r>
      <w:r>
        <w:rPr>
          <w:spacing w:val="-4"/>
        </w:rPr>
        <w:t>股，</w:t>
      </w:r>
      <w:r>
        <w:rPr>
          <w:spacing w:val="-77"/>
        </w:rPr>
        <w:t> </w:t>
      </w:r>
      <w:r>
        <w:rPr/>
        <w:t>募集资金总额</w:t>
      </w:r>
      <w:r>
        <w:rPr>
          <w:rFonts w:ascii="Times New Roman" w:hAnsi="Times New Roman" w:cs="Times New Roman" w:eastAsia="Times New Roman" w:hint="default"/>
        </w:rPr>
        <w:t>33,518,628.00 </w:t>
      </w:r>
      <w:r>
        <w:rPr/>
        <w:t>元，其中计入股本</w:t>
      </w:r>
      <w:r>
        <w:rPr>
          <w:rFonts w:ascii="Times New Roman" w:hAnsi="Times New Roman" w:cs="Times New Roman" w:eastAsia="Times New Roman" w:hint="default"/>
        </w:rPr>
        <w:t>3,906,600.00</w:t>
      </w:r>
      <w:r>
        <w:rPr>
          <w:rFonts w:ascii="Times New Roman" w:hAnsi="Times New Roman" w:cs="Times New Roman" w:eastAsia="Times New Roman" w:hint="default"/>
          <w:spacing w:val="20"/>
        </w:rPr>
        <w:t> </w:t>
      </w:r>
      <w:r>
        <w:rPr/>
        <w:t>元，计入资本公积</w:t>
      </w:r>
      <w:r>
        <w:rPr>
          <w:rFonts w:ascii="Times New Roman" w:hAnsi="Times New Roman" w:cs="Times New Roman" w:eastAsia="Times New Roman" w:hint="default"/>
        </w:rPr>
        <w:t>29,612,028.00</w:t>
      </w:r>
      <w:r>
        <w:rPr>
          <w:rFonts w:ascii="Times New Roman" w:hAnsi="Times New Roman" w:cs="Times New Roman" w:eastAsia="Times New Roman" w:hint="default"/>
          <w:w w:val="100"/>
        </w:rPr>
        <w:t> </w:t>
      </w:r>
      <w:r>
        <w:rPr/>
        <w:t>元。上述增资后注册资本变更为人民币</w:t>
      </w:r>
      <w:r>
        <w:rPr>
          <w:rFonts w:ascii="Times New Roman" w:hAnsi="Times New Roman" w:cs="Times New Roman" w:eastAsia="Times New Roman" w:hint="default"/>
        </w:rPr>
        <w:t>110,906600</w:t>
      </w:r>
      <w:r>
        <w:rPr/>
        <w:t>元。</w:t>
      </w:r>
    </w:p>
    <w:p>
      <w:pPr>
        <w:pStyle w:val="BodyText"/>
        <w:spacing w:line="393" w:lineRule="auto" w:before="35"/>
        <w:ind w:left="560" w:right="0"/>
        <w:jc w:val="left"/>
      </w:pPr>
      <w:r>
        <w:rPr>
          <w:spacing w:val="-2"/>
        </w:rPr>
        <w:t>本公司注册地址：厦门市软件园二期观日路</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102-402</w:t>
      </w:r>
      <w:r>
        <w:rPr>
          <w:spacing w:val="-2"/>
        </w:rPr>
        <w:t>单元，法定代表人：刘祥南。</w:t>
      </w:r>
      <w:r>
        <w:rPr>
          <w:spacing w:val="-27"/>
        </w:rPr>
        <w:t> </w:t>
      </w:r>
      <w:r>
        <w:rPr>
          <w:spacing w:val="-27"/>
        </w:rPr>
      </w:r>
      <w:r>
        <w:rPr/>
        <w:t>本公司分支机构：厦门市美亚柏科信息股份有限公司北京分公司。</w:t>
      </w:r>
      <w:r>
        <w:rPr>
          <w:w w:val="100"/>
        </w:rPr>
        <w:t> </w:t>
      </w:r>
      <w:r>
        <w:rPr>
          <w:rFonts w:ascii="Times New Roman" w:hAnsi="Times New Roman" w:cs="Times New Roman" w:eastAsia="Times New Roman" w:hint="default"/>
        </w:rPr>
        <w:t>2</w:t>
      </w:r>
      <w:r>
        <w:rPr/>
        <w:t>、行业性质及经营范围</w:t>
      </w:r>
      <w:r>
        <w:rPr>
          <w:w w:val="100"/>
        </w:rPr>
        <w:t> </w:t>
      </w:r>
      <w:r>
        <w:rPr>
          <w:spacing w:val="-4"/>
        </w:rPr>
        <w:t>本公司属电子信息行业，经营范围主要包括：国内版电子出版物批发零售；非限定发行</w:t>
      </w:r>
    </w:p>
    <w:p>
      <w:pPr>
        <w:pStyle w:val="BodyText"/>
        <w:spacing w:line="408" w:lineRule="auto" w:before="58"/>
        <w:ind w:right="0"/>
        <w:jc w:val="left"/>
      </w:pPr>
      <w:r>
        <w:rPr>
          <w:spacing w:val="-4"/>
        </w:rPr>
        <w:t>范围进口电子出版物零售；系统集成、计算机软件开发；信息咨询服务；批发零售电子计算</w:t>
      </w:r>
      <w:r>
        <w:rPr>
          <w:spacing w:val="-46"/>
        </w:rPr>
        <w:t> </w:t>
      </w:r>
      <w:r>
        <w:rPr>
          <w:spacing w:val="-46"/>
        </w:rPr>
      </w:r>
      <w:r>
        <w:rPr>
          <w:spacing w:val="-7"/>
        </w:rPr>
        <w:t>机、网络设备、通信设备；代制作网页、服务器内存空间出租、网站建设；互联网上网服务。</w:t>
      </w:r>
      <w:r>
        <w:rPr>
          <w:spacing w:val="-24"/>
        </w:rPr>
        <w:t> </w:t>
      </w:r>
      <w:r>
        <w:rPr>
          <w:spacing w:val="-24"/>
        </w:rPr>
      </w:r>
      <w:r>
        <w:rPr/>
        <w:t>经营各类商品和产品的进出口等。</w:t>
      </w:r>
    </w:p>
    <w:p>
      <w:pPr>
        <w:pStyle w:val="BodyText"/>
        <w:spacing w:line="386" w:lineRule="auto" w:before="46"/>
        <w:ind w:left="560" w:right="2592"/>
        <w:jc w:val="left"/>
      </w:pPr>
      <w:r>
        <w:rPr>
          <w:rFonts w:ascii="Times New Roman" w:hAnsi="Times New Roman" w:cs="Times New Roman" w:eastAsia="Times New Roman" w:hint="default"/>
        </w:rPr>
        <w:t>3</w:t>
      </w:r>
      <w:r>
        <w:rPr/>
        <w:t>、本公司实际控制人</w:t>
      </w:r>
      <w:r>
        <w:rPr>
          <w:w w:val="100"/>
        </w:rPr>
        <w:t> </w:t>
      </w:r>
      <w:r>
        <w:rPr>
          <w:spacing w:val="-2"/>
        </w:rPr>
        <w:t>本公司的实际控制人为郭永芳、滕达、刘祥南。</w:t>
      </w:r>
    </w:p>
    <w:p>
      <w:pPr>
        <w:spacing w:line="240" w:lineRule="auto" w:before="1"/>
        <w:rPr>
          <w:rFonts w:ascii="宋体" w:hAnsi="宋体" w:cs="宋体" w:eastAsia="宋体" w:hint="default"/>
          <w:sz w:val="20"/>
          <w:szCs w:val="20"/>
        </w:rPr>
      </w:pPr>
    </w:p>
    <w:p>
      <w:pPr>
        <w:pStyle w:val="Heading2"/>
        <w:spacing w:line="240" w:lineRule="auto"/>
        <w:ind w:left="140" w:right="0"/>
        <w:jc w:val="both"/>
        <w:rPr>
          <w:b w:val="0"/>
          <w:bCs w:val="0"/>
        </w:rPr>
      </w:pPr>
      <w:r>
        <w:rPr/>
        <w:t>四、公司主要会计政策、会计估计和前期差错</w:t>
      </w:r>
      <w:r>
        <w:rPr>
          <w:b w:val="0"/>
          <w:bCs w:val="0"/>
        </w:rPr>
      </w:r>
    </w:p>
    <w:p>
      <w:pPr>
        <w:spacing w:line="692" w:lineRule="exact" w:before="15"/>
        <w:ind w:left="560"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、财务报表的编制基础</w:t>
      </w:r>
      <w:r>
        <w:rPr>
          <w:rFonts w:ascii="宋体" w:hAnsi="宋体" w:cs="宋体" w:eastAsia="宋体" w:hint="default"/>
          <w:b/>
          <w:bCs/>
          <w:w w:val="100"/>
          <w:sz w:val="21"/>
          <w:szCs w:val="21"/>
        </w:rPr>
        <w:t> </w:t>
      </w:r>
      <w:r>
        <w:rPr>
          <w:rFonts w:ascii="宋体" w:hAnsi="宋体" w:cs="宋体" w:eastAsia="宋体" w:hint="default"/>
          <w:spacing w:val="-2"/>
          <w:sz w:val="21"/>
          <w:szCs w:val="21"/>
        </w:rPr>
        <w:t>本财务报表按照财政部</w:t>
      </w:r>
      <w:r>
        <w:rPr>
          <w:rFonts w:ascii="Times New Roman" w:hAnsi="Times New Roman" w:cs="Times New Roman" w:eastAsia="Times New Roman" w:hint="default"/>
          <w:spacing w:val="-2"/>
          <w:sz w:val="21"/>
          <w:szCs w:val="21"/>
        </w:rPr>
        <w:t>2006</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月颁布的《企业会计准则</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基本准则》和</w:t>
      </w:r>
      <w:r>
        <w:rPr>
          <w:rFonts w:ascii="Times New Roman" w:hAnsi="Times New Roman" w:cs="Times New Roman" w:eastAsia="Times New Roman" w:hint="default"/>
          <w:spacing w:val="-2"/>
          <w:sz w:val="21"/>
          <w:szCs w:val="21"/>
        </w:rPr>
        <w:t>38</w:t>
      </w:r>
      <w:r>
        <w:rPr>
          <w:rFonts w:ascii="宋体" w:hAnsi="宋体" w:cs="宋体" w:eastAsia="宋体" w:hint="default"/>
          <w:spacing w:val="-2"/>
          <w:sz w:val="21"/>
          <w:szCs w:val="21"/>
        </w:rPr>
        <w:t>项具体会计</w:t>
      </w:r>
    </w:p>
    <w:p>
      <w:pPr>
        <w:pStyle w:val="BodyText"/>
        <w:spacing w:line="386" w:lineRule="auto" w:before="85"/>
        <w:ind w:right="211"/>
        <w:jc w:val="both"/>
      </w:pPr>
      <w:r>
        <w:rPr>
          <w:spacing w:val="-4"/>
        </w:rPr>
        <w:t>准则及其应用指南、解释及其他有关规定（统称</w:t>
      </w:r>
      <w:r>
        <w:rPr>
          <w:rFonts w:ascii="Times New Roman" w:hAnsi="Times New Roman" w:cs="Times New Roman" w:eastAsia="Times New Roman" w:hint="default"/>
          <w:spacing w:val="-4"/>
        </w:rPr>
        <w:t>“</w:t>
      </w:r>
      <w:r>
        <w:rPr>
          <w:spacing w:val="-4"/>
        </w:rPr>
        <w:t>企业会计准则</w:t>
      </w:r>
      <w:r>
        <w:rPr>
          <w:rFonts w:ascii="Times New Roman" w:hAnsi="Times New Roman" w:cs="Times New Roman" w:eastAsia="Times New Roman" w:hint="default"/>
          <w:spacing w:val="-4"/>
        </w:rPr>
        <w:t>”</w:t>
      </w:r>
      <w:r>
        <w:rPr>
          <w:spacing w:val="-4"/>
        </w:rPr>
        <w:t>）编制。此外，本公司还按</w:t>
      </w:r>
      <w:r>
        <w:rPr>
          <w:spacing w:val="-18"/>
        </w:rPr>
        <w:t> </w:t>
      </w:r>
      <w:r>
        <w:rPr>
          <w:spacing w:val="-18"/>
        </w:rPr>
      </w:r>
      <w:r>
        <w:rPr>
          <w:spacing w:val="-9"/>
          <w:w w:val="100"/>
        </w:rPr>
        <w:t>照中国证监会《公开发行证券的公司信息披露编报规则第</w:t>
      </w:r>
      <w:r>
        <w:rPr>
          <w:rFonts w:ascii="Times New Roman" w:hAnsi="Times New Roman" w:cs="Times New Roman" w:eastAsia="Times New Roman" w:hint="default"/>
          <w:spacing w:val="-9"/>
          <w:w w:val="100"/>
        </w:rPr>
        <w:t>15</w:t>
      </w:r>
      <w:r>
        <w:rPr>
          <w:spacing w:val="-9"/>
          <w:w w:val="100"/>
        </w:rPr>
        <w:t>号</w:t>
      </w:r>
      <w:r>
        <w:rPr>
          <w:rFonts w:ascii="Times New Roman" w:hAnsi="Times New Roman" w:cs="Times New Roman" w:eastAsia="Times New Roman" w:hint="default"/>
          <w:spacing w:val="-9"/>
          <w:w w:val="100"/>
        </w:rPr>
        <w:t>—</w:t>
      </w:r>
      <w:r>
        <w:rPr>
          <w:spacing w:val="-9"/>
          <w:w w:val="100"/>
        </w:rPr>
        <w:t>财务报告的一般规定》（</w:t>
      </w:r>
      <w:r>
        <w:rPr>
          <w:rFonts w:ascii="Times New Roman" w:hAnsi="Times New Roman" w:cs="Times New Roman" w:eastAsia="Times New Roman" w:hint="default"/>
          <w:spacing w:val="-9"/>
          <w:w w:val="100"/>
        </w:rPr>
        <w:t>2010</w:t>
      </w:r>
      <w:r>
        <w:rPr>
          <w:rFonts w:ascii="Times New Roman" w:hAnsi="Times New Roman" w:cs="Times New Roman" w:eastAsia="Times New Roman" w:hint="default"/>
          <w:spacing w:val="-16"/>
          <w:w w:val="100"/>
        </w:rPr>
        <w:t> </w:t>
      </w:r>
      <w:r>
        <w:rPr>
          <w:rFonts w:ascii="Times New Roman" w:hAnsi="Times New Roman" w:cs="Times New Roman" w:eastAsia="Times New Roman" w:hint="default"/>
          <w:spacing w:val="-16"/>
          <w:w w:val="100"/>
        </w:rPr>
      </w:r>
      <w:r>
        <w:rPr/>
        <w:t>年修订）披露有关财务信息。</w:t>
      </w:r>
    </w:p>
    <w:p>
      <w:pPr>
        <w:pStyle w:val="BodyText"/>
        <w:spacing w:line="408" w:lineRule="auto" w:before="65"/>
        <w:ind w:left="560" w:right="0"/>
        <w:jc w:val="left"/>
      </w:pPr>
      <w:r>
        <w:rPr/>
        <w:t>本财务报表以持续经营为基础列报。</w:t>
      </w:r>
      <w:r>
        <w:rPr>
          <w:w w:val="100"/>
        </w:rPr>
        <w:t> </w:t>
      </w:r>
      <w:r>
        <w:rPr>
          <w:spacing w:val="-4"/>
        </w:rPr>
        <w:t>本公司会计核算以权责发生制为基础。本财务报表均以历史成本为计量基础。资产如果</w:t>
      </w:r>
    </w:p>
    <w:p>
      <w:pPr>
        <w:pStyle w:val="BodyText"/>
        <w:spacing w:line="240" w:lineRule="auto" w:before="46"/>
        <w:ind w:right="0"/>
        <w:jc w:val="both"/>
      </w:pPr>
      <w:r>
        <w:rPr/>
        <w:t>发生减值，则按照相关规定计提相应的减值准备。</w:t>
      </w:r>
    </w:p>
    <w:p>
      <w:pPr>
        <w:spacing w:after="0" w:line="240" w:lineRule="auto"/>
        <w:jc w:val="both"/>
        <w:sectPr>
          <w:pgSz w:w="11910" w:h="16840"/>
          <w:pgMar w:header="877" w:footer="1227" w:top="1100" w:bottom="1420" w:left="1660" w:right="158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8"/>
        <w:rPr>
          <w:rFonts w:ascii="宋体" w:hAnsi="宋体" w:cs="宋体" w:eastAsia="宋体" w:hint="default"/>
          <w:b/>
          <w:bCs/>
          <w:sz w:val="30"/>
          <w:szCs w:val="30"/>
        </w:rPr>
      </w:pPr>
    </w:p>
    <w:p>
      <w:pPr>
        <w:pStyle w:val="BodyText"/>
        <w:spacing w:line="386" w:lineRule="auto"/>
        <w:ind w:right="0" w:firstLine="419"/>
        <w:jc w:val="left"/>
      </w:pPr>
      <w:r>
        <w:rPr>
          <w:spacing w:val="-4"/>
        </w:rPr>
        <w:t>本财务报表符合企业会计准则的要求，真实、完整地反映了本公司</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日的合</w:t>
      </w:r>
      <w:r>
        <w:rPr>
          <w:w w:val="100"/>
        </w:rPr>
        <w:t> </w:t>
      </w:r>
      <w:r>
        <w:rPr>
          <w:spacing w:val="-2"/>
        </w:rPr>
        <w:t>并及公司财务状况以及</w:t>
      </w:r>
      <w:r>
        <w:rPr>
          <w:rFonts w:ascii="Times New Roman" w:hAnsi="Times New Roman" w:cs="Times New Roman" w:eastAsia="Times New Roman" w:hint="default"/>
          <w:spacing w:val="-2"/>
        </w:rPr>
        <w:t>2012</w:t>
      </w:r>
      <w:r>
        <w:rPr>
          <w:spacing w:val="-2"/>
        </w:rPr>
        <w:t>年度的合并及公司经营成果和合并及公司现金流量等有关信息。</w:t>
      </w:r>
    </w:p>
    <w:p>
      <w:pPr>
        <w:spacing w:line="240" w:lineRule="auto" w:before="10"/>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left="560" w:right="0"/>
        <w:jc w:val="left"/>
      </w:pPr>
      <w:r>
        <w:rPr/>
        <w:t>本公司会计期间采用公历年度，即每年自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8"/>
        <w:rPr>
          <w:rFonts w:ascii="宋体" w:hAnsi="宋体" w:cs="宋体" w:eastAsia="宋体" w:hint="default"/>
          <w:sz w:val="30"/>
          <w:szCs w:val="30"/>
        </w:rPr>
      </w:pPr>
    </w:p>
    <w:p>
      <w:pPr>
        <w:pStyle w:val="Heading3"/>
        <w:spacing w:line="240" w:lineRule="auto"/>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9"/>
        <w:rPr>
          <w:rFonts w:ascii="宋体" w:hAnsi="宋体" w:cs="宋体" w:eastAsia="宋体" w:hint="default"/>
          <w:b/>
          <w:bCs/>
          <w:sz w:val="30"/>
          <w:szCs w:val="30"/>
        </w:rPr>
      </w:pPr>
    </w:p>
    <w:p>
      <w:pPr>
        <w:pStyle w:val="BodyText"/>
        <w:spacing w:line="240" w:lineRule="auto"/>
        <w:ind w:left="560" w:right="0"/>
        <w:jc w:val="left"/>
      </w:pPr>
      <w:r>
        <w:rPr/>
        <w:t>本公司以人民币为记账本位币。</w:t>
      </w:r>
    </w:p>
    <w:p>
      <w:pPr>
        <w:spacing w:line="240" w:lineRule="auto" w:before="0"/>
        <w:rPr>
          <w:rFonts w:ascii="宋体" w:hAnsi="宋体" w:cs="宋体" w:eastAsia="宋体" w:hint="default"/>
          <w:sz w:val="20"/>
          <w:szCs w:val="20"/>
        </w:rPr>
      </w:pPr>
    </w:p>
    <w:p>
      <w:pPr>
        <w:pStyle w:val="Heading3"/>
        <w:spacing w:line="240" w:lineRule="auto" w:before="154"/>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692" w:lineRule="exact" w:before="13"/>
        <w:ind w:left="560"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b/>
          <w:bCs/>
          <w:w w:val="100"/>
          <w:sz w:val="21"/>
          <w:szCs w:val="21"/>
        </w:rPr>
        <w:t> </w:t>
      </w:r>
      <w:r>
        <w:rPr>
          <w:rFonts w:ascii="宋体" w:hAnsi="宋体" w:cs="宋体" w:eastAsia="宋体" w:hint="default"/>
          <w:spacing w:val="-4"/>
          <w:sz w:val="21"/>
          <w:szCs w:val="21"/>
        </w:rPr>
        <w:t>对于同一控制下的企业合并，合并方在合并中取得的被合并方的资产、负债，除因会计</w:t>
      </w:r>
    </w:p>
    <w:p>
      <w:pPr>
        <w:pStyle w:val="BodyText"/>
        <w:spacing w:line="408" w:lineRule="auto" w:before="84"/>
        <w:ind w:right="211"/>
        <w:jc w:val="both"/>
      </w:pPr>
      <w:r>
        <w:rPr>
          <w:spacing w:val="-9"/>
          <w:w w:val="100"/>
        </w:rPr>
        <w:t>政策不同而进行的调整以外，按合并日被合并方的原账面价值计量。合并对价的账面价值（或</w:t>
      </w:r>
      <w:r>
        <w:rPr>
          <w:spacing w:val="-97"/>
          <w:w w:val="100"/>
        </w:rPr>
        <w:t> </w:t>
      </w:r>
      <w:r>
        <w:rPr>
          <w:spacing w:val="-97"/>
          <w:w w:val="100"/>
        </w:rPr>
      </w:r>
      <w:r>
        <w:rPr>
          <w:spacing w:val="-4"/>
        </w:rPr>
        <w:t>发行股份面值总额）与合并中取得的净资产账面价值的差额调整资本公积（股本溢价），资</w:t>
      </w:r>
      <w:r>
        <w:rPr>
          <w:spacing w:val="-46"/>
        </w:rPr>
        <w:t> </w:t>
      </w:r>
      <w:r>
        <w:rPr>
          <w:spacing w:val="-46"/>
        </w:rPr>
      </w:r>
      <w:r>
        <w:rPr/>
        <w:t>本公积（股本溢价）不足冲减的，调整留存收益。</w:t>
      </w:r>
    </w:p>
    <w:p>
      <w:pPr>
        <w:pStyle w:val="BodyText"/>
        <w:spacing w:line="240" w:lineRule="auto" w:before="46"/>
        <w:ind w:left="560" w:right="0"/>
        <w:jc w:val="left"/>
      </w:pPr>
      <w:r>
        <w:rPr/>
        <w:t>为进行企业合并发生的直接相关费用于发生时计入当期损益。</w:t>
      </w:r>
    </w:p>
    <w:p>
      <w:pPr>
        <w:spacing w:line="670" w:lineRule="atLeast" w:before="37"/>
        <w:ind w:left="560"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）非同一控制下的企业合并</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对于非同一控制下的企业合并，合并成本为本公司在购买日为取得对被购买方的控制权</w:t>
      </w:r>
    </w:p>
    <w:p>
      <w:pPr>
        <w:spacing w:line="240" w:lineRule="auto" w:before="10"/>
        <w:rPr>
          <w:rFonts w:ascii="宋体" w:hAnsi="宋体" w:cs="宋体" w:eastAsia="宋体" w:hint="default"/>
          <w:sz w:val="14"/>
          <w:szCs w:val="14"/>
        </w:rPr>
      </w:pPr>
    </w:p>
    <w:p>
      <w:pPr>
        <w:pStyle w:val="BodyText"/>
        <w:spacing w:line="408" w:lineRule="auto"/>
        <w:ind w:right="211"/>
        <w:jc w:val="both"/>
      </w:pPr>
      <w:r>
        <w:rPr>
          <w:spacing w:val="-4"/>
        </w:rPr>
        <w:t>而付出的资产、发生或承担的负债以及发行的权益性证券的公允价值。在购买日，本公司取</w:t>
      </w:r>
      <w:r>
        <w:rPr>
          <w:spacing w:val="-46"/>
        </w:rPr>
        <w:t> </w:t>
      </w:r>
      <w:r>
        <w:rPr>
          <w:spacing w:val="-46"/>
        </w:rPr>
      </w:r>
      <w:r>
        <w:rPr/>
        <w:t>得的被购买方的资产、负债及或有负债按公允价值确认。</w:t>
      </w:r>
    </w:p>
    <w:p>
      <w:pPr>
        <w:pStyle w:val="BodyText"/>
        <w:spacing w:line="408" w:lineRule="auto" w:before="46"/>
        <w:ind w:right="0" w:firstLine="419"/>
        <w:jc w:val="left"/>
      </w:pPr>
      <w:r>
        <w:rPr>
          <w:spacing w:val="-2"/>
        </w:rPr>
        <w:t>为进行企业合并发生的审计、法律服务、评估咨询等中介费用以及其他相关管理费用，</w:t>
      </w:r>
      <w:r>
        <w:rPr>
          <w:w w:val="100"/>
        </w:rPr>
        <w:t> </w:t>
      </w:r>
      <w:r>
        <w:rPr>
          <w:spacing w:val="-4"/>
        </w:rPr>
        <w:t>于发生时计入当期损益。作为合并对价发行的权益性证券或债务性证券的交易费用，计入权</w:t>
      </w:r>
      <w:r>
        <w:rPr>
          <w:spacing w:val="-44"/>
        </w:rPr>
        <w:t> </w:t>
      </w:r>
      <w:r>
        <w:rPr>
          <w:spacing w:val="-44"/>
        </w:rPr>
      </w:r>
      <w:r>
        <w:rPr/>
        <w:t>益性证券或债务性证券的初始确认金额。</w:t>
      </w:r>
    </w:p>
    <w:p>
      <w:pPr>
        <w:pStyle w:val="BodyText"/>
        <w:spacing w:line="408" w:lineRule="auto" w:before="46"/>
        <w:ind w:right="211" w:firstLine="419"/>
        <w:jc w:val="both"/>
      </w:pPr>
      <w:r>
        <w:rPr>
          <w:spacing w:val="-4"/>
          <w:w w:val="100"/>
        </w:rPr>
        <w:t>本公司对合并成本大于合并中取得的被购买方可辨认净资产公允价值份额的差额，确认</w:t>
      </w:r>
      <w:r>
        <w:rPr>
          <w:w w:val="100"/>
        </w:rPr>
        <w:t> </w:t>
      </w:r>
      <w:r>
        <w:rPr>
          <w:spacing w:val="-4"/>
        </w:rPr>
        <w:t>为商誉，按成本扣除累计减值准备进行后续计量；对合并成本小于合并中取得的被购买方可</w:t>
      </w:r>
      <w:r>
        <w:rPr>
          <w:spacing w:val="-44"/>
        </w:rPr>
        <w:t> </w:t>
      </w:r>
      <w:r>
        <w:rPr>
          <w:spacing w:val="-44"/>
        </w:rPr>
      </w:r>
      <w:r>
        <w:rPr/>
        <w:t>辨认净资产公允价值份额的差额，经复核后计入当期损益。</w:t>
      </w:r>
    </w:p>
    <w:p>
      <w:pPr>
        <w:pStyle w:val="BodyText"/>
        <w:spacing w:line="240" w:lineRule="auto" w:before="46"/>
        <w:ind w:left="560" w:right="0"/>
        <w:jc w:val="left"/>
      </w:pPr>
      <w:r>
        <w:rPr>
          <w:spacing w:val="-4"/>
        </w:rPr>
        <w:t>通过多次交易分步实现非同一控制下的企业合并的，在合并财务报表中，合并成本为购</w:t>
      </w:r>
    </w:p>
    <w:p>
      <w:pPr>
        <w:spacing w:after="0" w:line="240" w:lineRule="auto"/>
        <w:jc w:val="left"/>
        <w:sectPr>
          <w:pgSz w:w="11910" w:h="16840"/>
          <w:pgMar w:header="877" w:footer="1227" w:top="1100" w:bottom="1420" w:left="1660" w:right="1580"/>
        </w:sectPr>
      </w:pPr>
    </w:p>
    <w:p>
      <w:pPr>
        <w:spacing w:line="240" w:lineRule="auto" w:before="9"/>
        <w:rPr>
          <w:rFonts w:ascii="宋体" w:hAnsi="宋体" w:cs="宋体" w:eastAsia="宋体" w:hint="default"/>
          <w:sz w:val="26"/>
          <w:szCs w:val="26"/>
        </w:rPr>
      </w:pPr>
    </w:p>
    <w:p>
      <w:pPr>
        <w:pStyle w:val="BodyText"/>
        <w:spacing w:line="408" w:lineRule="auto" w:before="36"/>
        <w:ind w:right="211"/>
        <w:jc w:val="both"/>
      </w:pPr>
      <w:r>
        <w:rPr>
          <w:spacing w:val="-4"/>
          <w:w w:val="100"/>
        </w:rPr>
        <w:t>买日支付的对价与购买日之前已经持有的被购买方的股权在购买日的公允价值之和。对于购</w:t>
      </w:r>
      <w:r>
        <w:rPr>
          <w:spacing w:val="-94"/>
          <w:w w:val="100"/>
        </w:rPr>
        <w:t> </w:t>
      </w:r>
      <w:r>
        <w:rPr>
          <w:spacing w:val="-94"/>
          <w:w w:val="100"/>
        </w:rPr>
      </w:r>
      <w:r>
        <w:rPr>
          <w:spacing w:val="-4"/>
        </w:rPr>
        <w:t>买日之前已经持有的被购买方的股权，按照购买日的公允价值进行重新计量，公允价值与其</w:t>
      </w:r>
      <w:r>
        <w:rPr>
          <w:spacing w:val="-44"/>
        </w:rPr>
        <w:t> </w:t>
      </w:r>
      <w:r>
        <w:rPr>
          <w:spacing w:val="-44"/>
        </w:rPr>
      </w:r>
      <w:r>
        <w:rPr>
          <w:spacing w:val="-4"/>
          <w:w w:val="100"/>
        </w:rPr>
        <w:t>账面价值之间的差额计入当期投资收益；购买日之前已经持有的被购买方的股权涉及其他综</w:t>
      </w:r>
      <w:r>
        <w:rPr>
          <w:spacing w:val="-94"/>
          <w:w w:val="100"/>
        </w:rPr>
        <w:t> </w:t>
      </w:r>
      <w:r>
        <w:rPr>
          <w:spacing w:val="-94"/>
          <w:w w:val="100"/>
        </w:rPr>
      </w:r>
      <w:r>
        <w:rPr/>
        <w:t>合收益的，与其相关的其他综合收益转为购买日当期投资收益。</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688" w:lineRule="exact" w:before="18"/>
        <w:ind w:left="560" w:right="259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）合并财务报表的编制方法</w:t>
      </w:r>
      <w:r>
        <w:rPr>
          <w:rFonts w:ascii="宋体" w:hAnsi="宋体" w:cs="宋体" w:eastAsia="宋体" w:hint="default"/>
          <w:b/>
          <w:bCs/>
          <w:w w:val="100"/>
          <w:sz w:val="21"/>
          <w:szCs w:val="21"/>
        </w:rPr>
        <w:t> </w:t>
      </w:r>
      <w:r>
        <w:rPr>
          <w:rFonts w:ascii="宋体" w:hAnsi="宋体" w:cs="宋体" w:eastAsia="宋体" w:hint="default"/>
          <w:spacing w:val="-2"/>
          <w:sz w:val="21"/>
          <w:szCs w:val="21"/>
        </w:rPr>
        <w:t>合并财务报表的合并范围包括本公司及全部子公司。</w:t>
      </w:r>
    </w:p>
    <w:p>
      <w:pPr>
        <w:pStyle w:val="BodyText"/>
        <w:spacing w:line="408" w:lineRule="auto" w:before="85"/>
        <w:ind w:right="211" w:firstLine="419"/>
        <w:jc w:val="both"/>
      </w:pPr>
      <w:r>
        <w:rPr>
          <w:spacing w:val="-4"/>
        </w:rPr>
        <w:t>本公司合并财务报表以本公司和子公司的财务报表为基础，根据其他有关资料，按照权</w:t>
      </w:r>
      <w:r>
        <w:rPr>
          <w:w w:val="100"/>
        </w:rPr>
        <w:t> </w:t>
      </w:r>
      <w:r>
        <w:rPr>
          <w:spacing w:val="-4"/>
        </w:rPr>
        <w:t>益法调整对子公司的长期股权投资后，由本公司编制。在编制合并财务报表时，本公司和子</w:t>
      </w:r>
      <w:r>
        <w:rPr>
          <w:spacing w:val="-44"/>
        </w:rPr>
        <w:t> </w:t>
      </w:r>
      <w:r>
        <w:rPr>
          <w:spacing w:val="-44"/>
        </w:rPr>
      </w:r>
      <w:r>
        <w:rPr/>
        <w:t>公司的会计政策和会计期间要求保持一致，公司间的重大交易和往来余额予以抵销。</w:t>
      </w:r>
    </w:p>
    <w:p>
      <w:pPr>
        <w:pStyle w:val="BodyText"/>
        <w:spacing w:line="408" w:lineRule="auto" w:before="46"/>
        <w:ind w:right="211" w:firstLine="419"/>
        <w:jc w:val="both"/>
      </w:pPr>
      <w:r>
        <w:rPr>
          <w:spacing w:val="-4"/>
          <w:w w:val="100"/>
        </w:rPr>
        <w:t>在报告期内因同一控制下企业合并增加的子公司，本公司将该子公司合并当期期初至报</w:t>
      </w:r>
      <w:r>
        <w:rPr>
          <w:w w:val="100"/>
        </w:rPr>
        <w:t> </w:t>
      </w:r>
      <w:r>
        <w:rPr>
          <w:spacing w:val="-4"/>
        </w:rPr>
        <w:t>告期末的收入、费用、利润纳入合并利润表，将其现金流量纳入合并现金流量表；因非同一</w:t>
      </w:r>
      <w:r>
        <w:rPr>
          <w:spacing w:val="-45"/>
        </w:rPr>
        <w:t> </w:t>
      </w:r>
      <w:r>
        <w:rPr>
          <w:spacing w:val="-45"/>
        </w:rPr>
      </w:r>
      <w:r>
        <w:rPr>
          <w:spacing w:val="-4"/>
        </w:rPr>
        <w:t>控制下企业合并增加的子公司，本公司将该子公司购买日至报告期末的收入、费用、利润纳</w:t>
      </w:r>
      <w:r>
        <w:rPr>
          <w:spacing w:val="-46"/>
        </w:rPr>
        <w:t> </w:t>
      </w:r>
      <w:r>
        <w:rPr>
          <w:spacing w:val="-46"/>
        </w:rPr>
      </w:r>
      <w:r>
        <w:rPr/>
        <w:t>入合并利润表，将其现金流量纳入合并现金流量表。</w:t>
      </w:r>
    </w:p>
    <w:p>
      <w:pPr>
        <w:pStyle w:val="BodyText"/>
        <w:spacing w:line="400" w:lineRule="auto" w:before="46"/>
        <w:ind w:right="0" w:firstLine="419"/>
        <w:jc w:val="left"/>
      </w:pPr>
      <w:r>
        <w:rPr/>
        <w:t>子公司的股东权益中不属于本公司所拥有的部分作为少数股东权益在合并资产负债表</w:t>
      </w:r>
      <w:r>
        <w:rPr>
          <w:w w:val="100"/>
        </w:rPr>
        <w:t> </w:t>
      </w:r>
      <w:r>
        <w:rPr>
          <w:spacing w:val="-4"/>
        </w:rPr>
        <w:t>中股东权益项下单独列示。子公司当期净损益中属于少数股东权益的份额，在合并利润表中</w:t>
      </w:r>
      <w:r>
        <w:rPr>
          <w:spacing w:val="-44"/>
        </w:rPr>
        <w:t> </w:t>
      </w:r>
      <w:r>
        <w:rPr>
          <w:spacing w:val="-44"/>
        </w:rPr>
      </w:r>
      <w:r>
        <w:rPr>
          <w:spacing w:val="-4"/>
        </w:rPr>
        <w:t>净利润项目下以</w:t>
      </w:r>
      <w:r>
        <w:rPr>
          <w:rFonts w:ascii="Times New Roman" w:hAnsi="Times New Roman" w:cs="Times New Roman" w:eastAsia="Times New Roman" w:hint="default"/>
          <w:spacing w:val="-4"/>
        </w:rPr>
        <w:t>“</w:t>
      </w:r>
      <w:r>
        <w:rPr>
          <w:spacing w:val="-4"/>
        </w:rPr>
        <w:t>少数股东损益</w:t>
      </w:r>
      <w:r>
        <w:rPr>
          <w:rFonts w:ascii="Times New Roman" w:hAnsi="Times New Roman" w:cs="Times New Roman" w:eastAsia="Times New Roman" w:hint="default"/>
          <w:spacing w:val="-4"/>
        </w:rPr>
        <w:t>”</w:t>
      </w:r>
      <w:r>
        <w:rPr>
          <w:spacing w:val="-4"/>
        </w:rPr>
        <w:t>项目列示。少数股东分担的子公司的亏损超过了少数股东在</w:t>
      </w:r>
      <w:r>
        <w:rPr>
          <w:spacing w:val="-21"/>
        </w:rPr>
        <w:t> </w:t>
      </w:r>
      <w:r>
        <w:rPr>
          <w:spacing w:val="-21"/>
        </w:rPr>
      </w:r>
      <w:r>
        <w:rPr/>
        <w:t>该子公司期初所有者权益中所享有的份额，其余额仍冲减少数股东权益。</w:t>
      </w:r>
    </w:p>
    <w:p>
      <w:pPr>
        <w:pStyle w:val="BodyText"/>
        <w:spacing w:line="400" w:lineRule="auto" w:before="52"/>
        <w:ind w:right="0" w:firstLine="419"/>
        <w:jc w:val="left"/>
      </w:pPr>
      <w:r>
        <w:rPr>
          <w:spacing w:val="-2"/>
        </w:rPr>
        <w:t>对于购买子公司少数股权或因处置部分股权投资但没有丧失对该子公司控制权的交易，</w:t>
      </w:r>
      <w:r>
        <w:rPr>
          <w:w w:val="100"/>
        </w:rPr>
        <w:t> </w:t>
      </w:r>
      <w:r>
        <w:rPr>
          <w:spacing w:val="-4"/>
          <w:w w:val="100"/>
        </w:rPr>
        <w:t>作为权益性交易核算，调整归属于母公司所有者权益和少数股东权益的账面价值以反映其在</w:t>
      </w:r>
      <w:r>
        <w:rPr>
          <w:spacing w:val="-94"/>
          <w:w w:val="100"/>
        </w:rPr>
        <w:t> </w:t>
      </w:r>
      <w:r>
        <w:rPr>
          <w:spacing w:val="-94"/>
          <w:w w:val="100"/>
        </w:rPr>
      </w:r>
      <w:r>
        <w:rPr/>
        <w:t>子公司中相关权益的变化。少数股东权益的调整额与支付</w:t>
      </w:r>
      <w:r>
        <w:rPr>
          <w:rFonts w:ascii="Times New Roman" w:hAnsi="Times New Roman" w:cs="Times New Roman" w:eastAsia="Times New Roman" w:hint="default"/>
        </w:rPr>
        <w:t>/</w:t>
      </w:r>
      <w:r>
        <w:rPr/>
        <w:t>收到对价的公允价值之间的差额</w:t>
      </w:r>
      <w:r>
        <w:rPr>
          <w:w w:val="100"/>
        </w:rPr>
        <w:t> </w:t>
      </w:r>
      <w:r>
        <w:rPr/>
        <w:t>调整资本公积，资本公积不足冲减的，调整留存收益。</w:t>
      </w:r>
    </w:p>
    <w:p>
      <w:pPr>
        <w:pStyle w:val="BodyText"/>
        <w:spacing w:line="408" w:lineRule="auto" w:before="53"/>
        <w:ind w:right="211" w:firstLine="419"/>
        <w:jc w:val="both"/>
      </w:pPr>
      <w:r>
        <w:rPr>
          <w:spacing w:val="-4"/>
          <w:w w:val="100"/>
        </w:rPr>
        <w:t>因处置部分股权投资或其他原因丧失了对原有子公司控制权的，剩余股权按照其在丧失</w:t>
      </w:r>
      <w:r>
        <w:rPr>
          <w:w w:val="100"/>
        </w:rPr>
        <w:t> </w:t>
      </w:r>
      <w:r>
        <w:rPr>
          <w:spacing w:val="-4"/>
        </w:rPr>
        <w:t>控制权日的公允价值进行重新计量；处置股权取得的对价与剩余股权公允价值之和，减去按</w:t>
      </w:r>
      <w:r>
        <w:rPr>
          <w:spacing w:val="-44"/>
        </w:rPr>
        <w:t> </w:t>
      </w:r>
      <w:r>
        <w:rPr>
          <w:spacing w:val="-44"/>
        </w:rPr>
      </w:r>
      <w:r>
        <w:rPr>
          <w:spacing w:val="-4"/>
          <w:w w:val="100"/>
        </w:rPr>
        <w:t>原持股比例计算应享有原子公司自购买日开始持续计算的净资产的份额之间的差额，计入丧</w:t>
      </w:r>
      <w:r>
        <w:rPr>
          <w:spacing w:val="-94"/>
          <w:w w:val="100"/>
        </w:rPr>
        <w:t> </w:t>
      </w:r>
      <w:r>
        <w:rPr>
          <w:spacing w:val="-94"/>
          <w:w w:val="100"/>
        </w:rPr>
      </w:r>
      <w:r>
        <w:rPr>
          <w:spacing w:val="-4"/>
        </w:rPr>
        <w:t>失控制权当期的投资收益；与原有子公司股权投资相关的其他综合收益，在丧失控制权时转</w:t>
      </w:r>
      <w:r>
        <w:rPr>
          <w:spacing w:val="-44"/>
        </w:rPr>
        <w:t> </w:t>
      </w:r>
      <w:r>
        <w:rPr>
          <w:spacing w:val="-44"/>
        </w:rPr>
      </w:r>
      <w:r>
        <w:rPr/>
        <w:t>为当期投资收益。</w:t>
      </w:r>
    </w:p>
    <w:p>
      <w:pPr>
        <w:pStyle w:val="BodyText"/>
        <w:spacing w:line="240" w:lineRule="auto" w:before="46"/>
        <w:ind w:left="560" w:right="0"/>
        <w:jc w:val="left"/>
      </w:pPr>
      <w:r>
        <w:rPr>
          <w:w w:val="100"/>
        </w:rPr>
        <w:t>处置</w:t>
      </w:r>
      <w:r>
        <w:rPr>
          <w:spacing w:val="-3"/>
          <w:w w:val="100"/>
        </w:rPr>
        <w:t>对</w:t>
      </w:r>
      <w:r>
        <w:rPr>
          <w:w w:val="100"/>
        </w:rPr>
        <w:t>子</w:t>
      </w:r>
      <w:r>
        <w:rPr>
          <w:spacing w:val="-3"/>
          <w:w w:val="100"/>
        </w:rPr>
        <w:t>公</w:t>
      </w:r>
      <w:r>
        <w:rPr>
          <w:w w:val="100"/>
        </w:rPr>
        <w:t>司</w:t>
      </w:r>
      <w:r>
        <w:rPr>
          <w:spacing w:val="-3"/>
          <w:w w:val="100"/>
        </w:rPr>
        <w:t>股</w:t>
      </w:r>
      <w:r>
        <w:rPr>
          <w:w w:val="100"/>
        </w:rPr>
        <w:t>权</w:t>
      </w:r>
      <w:r>
        <w:rPr>
          <w:spacing w:val="-3"/>
          <w:w w:val="100"/>
        </w:rPr>
        <w:t>投</w:t>
      </w:r>
      <w:r>
        <w:rPr>
          <w:w w:val="100"/>
        </w:rPr>
        <w:t>资</w:t>
      </w:r>
      <w:r>
        <w:rPr>
          <w:spacing w:val="-3"/>
          <w:w w:val="100"/>
        </w:rPr>
        <w:t>直</w:t>
      </w:r>
      <w:r>
        <w:rPr>
          <w:w w:val="100"/>
        </w:rPr>
        <w:t>至丧</w:t>
      </w:r>
      <w:r>
        <w:rPr>
          <w:spacing w:val="-3"/>
          <w:w w:val="100"/>
        </w:rPr>
        <w:t>失</w:t>
      </w:r>
      <w:r>
        <w:rPr>
          <w:w w:val="100"/>
        </w:rPr>
        <w:t>控</w:t>
      </w:r>
      <w:r>
        <w:rPr>
          <w:spacing w:val="-3"/>
          <w:w w:val="100"/>
        </w:rPr>
        <w:t>制</w:t>
      </w:r>
      <w:r>
        <w:rPr>
          <w:w w:val="100"/>
        </w:rPr>
        <w:t>权</w:t>
      </w:r>
      <w:r>
        <w:rPr>
          <w:spacing w:val="-3"/>
          <w:w w:val="100"/>
        </w:rPr>
        <w:t>的</w:t>
      </w:r>
      <w:r>
        <w:rPr>
          <w:w w:val="100"/>
        </w:rPr>
        <w:t>各</w:t>
      </w:r>
      <w:r>
        <w:rPr>
          <w:spacing w:val="-3"/>
          <w:w w:val="100"/>
        </w:rPr>
        <w:t>项</w:t>
      </w:r>
      <w:r>
        <w:rPr>
          <w:w w:val="100"/>
        </w:rPr>
        <w:t>交</w:t>
      </w:r>
      <w:r>
        <w:rPr>
          <w:spacing w:val="-3"/>
          <w:w w:val="100"/>
        </w:rPr>
        <w:t>易</w:t>
      </w:r>
      <w:r>
        <w:rPr>
          <w:w w:val="100"/>
        </w:rPr>
        <w:t>属于</w:t>
      </w:r>
      <w:r>
        <w:rPr>
          <w:spacing w:val="-3"/>
          <w:w w:val="100"/>
        </w:rPr>
        <w:t>一</w:t>
      </w:r>
      <w:r>
        <w:rPr>
          <w:w w:val="100"/>
        </w:rPr>
        <w:t>揽</w:t>
      </w:r>
      <w:r>
        <w:rPr>
          <w:spacing w:val="-3"/>
          <w:w w:val="100"/>
        </w:rPr>
        <w:t>子</w:t>
      </w:r>
      <w:r>
        <w:rPr>
          <w:w w:val="100"/>
        </w:rPr>
        <w:t>交</w:t>
      </w:r>
      <w:r>
        <w:rPr>
          <w:spacing w:val="-3"/>
          <w:w w:val="100"/>
        </w:rPr>
        <w:t>易的</w:t>
      </w:r>
      <w:r>
        <w:rPr>
          <w:spacing w:val="-94"/>
          <w:w w:val="100"/>
        </w:rPr>
        <w:t>，</w:t>
      </w:r>
      <w:r>
        <w:rPr>
          <w:spacing w:val="-3"/>
          <w:w w:val="100"/>
        </w:rPr>
        <w:t>在</w:t>
      </w:r>
      <w:r>
        <w:rPr>
          <w:w w:val="100"/>
        </w:rPr>
        <w:t>丧</w:t>
      </w:r>
      <w:r>
        <w:rPr>
          <w:spacing w:val="-3"/>
          <w:w w:val="100"/>
        </w:rPr>
        <w:t>失</w:t>
      </w:r>
      <w:r>
        <w:rPr>
          <w:w w:val="100"/>
        </w:rPr>
        <w:t>控制</w:t>
      </w:r>
      <w:r>
        <w:rPr>
          <w:spacing w:val="-3"/>
          <w:w w:val="100"/>
        </w:rPr>
        <w:t>权</w:t>
      </w:r>
      <w:r>
        <w:rPr>
          <w:w w:val="100"/>
        </w:rPr>
        <w:t>之</w:t>
      </w:r>
    </w:p>
    <w:p>
      <w:pPr>
        <w:spacing w:after="0" w:line="240" w:lineRule="auto"/>
        <w:jc w:val="left"/>
        <w:sectPr>
          <w:footerReference w:type="default" r:id="rId66"/>
          <w:pgSz w:w="11910" w:h="16840"/>
          <w:pgMar w:footer="1227" w:header="877" w:top="1100" w:bottom="1420" w:left="1660" w:right="1580"/>
          <w:pgNumType w:start="92"/>
        </w:sectPr>
      </w:pPr>
    </w:p>
    <w:p>
      <w:pPr>
        <w:spacing w:line="240" w:lineRule="auto" w:before="9"/>
        <w:rPr>
          <w:rFonts w:ascii="宋体" w:hAnsi="宋体" w:cs="宋体" w:eastAsia="宋体" w:hint="default"/>
          <w:sz w:val="26"/>
          <w:szCs w:val="26"/>
        </w:rPr>
      </w:pPr>
    </w:p>
    <w:p>
      <w:pPr>
        <w:pStyle w:val="BodyText"/>
        <w:spacing w:line="408" w:lineRule="auto" w:before="36"/>
        <w:ind w:right="0"/>
        <w:jc w:val="left"/>
      </w:pPr>
      <w:r>
        <w:rPr>
          <w:spacing w:val="-4"/>
          <w:w w:val="100"/>
        </w:rPr>
        <w:t>前每一次处置价款与处置投资对应的享有该子公司净资产份额的差额，在合并财务报表中确</w:t>
      </w:r>
      <w:r>
        <w:rPr>
          <w:spacing w:val="-94"/>
          <w:w w:val="100"/>
        </w:rPr>
        <w:t> </w:t>
      </w:r>
      <w:r>
        <w:rPr>
          <w:spacing w:val="-94"/>
          <w:w w:val="100"/>
        </w:rPr>
      </w:r>
      <w:r>
        <w:rPr/>
        <w:t>认为其他综合收益，在丧失控制权时一并转入丧失控制权当期的损益。</w:t>
      </w:r>
    </w:p>
    <w:p>
      <w:pPr>
        <w:spacing w:line="240" w:lineRule="auto" w:before="8"/>
        <w:rPr>
          <w:rFonts w:ascii="宋体" w:hAnsi="宋体" w:cs="宋体" w:eastAsia="宋体" w:hint="default"/>
          <w:sz w:val="20"/>
          <w:szCs w:val="20"/>
        </w:rPr>
      </w:pPr>
    </w:p>
    <w:p>
      <w:pPr>
        <w:pStyle w:val="Heading3"/>
        <w:spacing w:line="259" w:lineRule="auto"/>
        <w:ind w:right="0"/>
        <w:jc w:val="left"/>
        <w:rPr>
          <w:b w:val="0"/>
          <w:bCs w:val="0"/>
        </w:rPr>
      </w:pPr>
      <w:r>
        <w:rPr>
          <w:spacing w:val="-1"/>
        </w:rPr>
        <w:t>（</w:t>
      </w:r>
      <w:r>
        <w:rPr>
          <w:rFonts w:ascii="Times New Roman" w:hAnsi="Times New Roman" w:cs="Times New Roman" w:eastAsia="Times New Roman" w:hint="default"/>
          <w:spacing w:val="-1"/>
        </w:rPr>
        <w:t>2</w:t>
      </w:r>
      <w:r>
        <w:rPr>
          <w:spacing w:val="-1"/>
        </w:rPr>
        <w:t>）对同一子公司的股权在连续两个会计年度买入再卖出，或卖出再买入的应披露相关的</w:t>
      </w:r>
      <w:r>
        <w:rPr>
          <w:spacing w:val="-90"/>
        </w:rPr>
        <w:t> </w:t>
      </w:r>
      <w:r>
        <w:rPr>
          <w:spacing w:val="-90"/>
        </w:rPr>
      </w:r>
      <w:r>
        <w:rPr/>
        <w:t>会计处理方法</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35"/>
        <w:ind w:left="560" w:right="0"/>
        <w:jc w:val="left"/>
      </w:pPr>
      <w:r>
        <w:rPr/>
        <w:t>无。</w:t>
      </w:r>
    </w:p>
    <w:p>
      <w:pPr>
        <w:spacing w:line="670" w:lineRule="atLeast" w:before="37"/>
        <w:ind w:left="560"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4"/>
          <w:sz w:val="21"/>
          <w:szCs w:val="21"/>
        </w:rPr>
        <w:t>现金是指库存现金以及可以随时用于支付的存款。现金等价物，是指本公司持有的期限</w:t>
      </w:r>
    </w:p>
    <w:p>
      <w:pPr>
        <w:spacing w:line="240" w:lineRule="auto" w:before="11"/>
        <w:rPr>
          <w:rFonts w:ascii="宋体" w:hAnsi="宋体" w:cs="宋体" w:eastAsia="宋体" w:hint="default"/>
          <w:sz w:val="14"/>
          <w:szCs w:val="14"/>
        </w:rPr>
      </w:pPr>
    </w:p>
    <w:p>
      <w:pPr>
        <w:pStyle w:val="BodyText"/>
        <w:spacing w:line="240" w:lineRule="auto"/>
        <w:ind w:right="0"/>
        <w:jc w:val="both"/>
      </w:pPr>
      <w:r>
        <w:rPr/>
        <w:t>短、流动性强、易于转换为已知金额现金、价值变动风险很小的投资。</w:t>
      </w:r>
    </w:p>
    <w:p>
      <w:pPr>
        <w:spacing w:line="240" w:lineRule="auto" w:before="0"/>
        <w:rPr>
          <w:rFonts w:ascii="宋体" w:hAnsi="宋体" w:cs="宋体" w:eastAsia="宋体" w:hint="default"/>
          <w:sz w:val="20"/>
          <w:szCs w:val="20"/>
        </w:rPr>
      </w:pPr>
    </w:p>
    <w:p>
      <w:pPr>
        <w:pStyle w:val="Heading3"/>
        <w:spacing w:line="240" w:lineRule="auto" w:before="154"/>
        <w:ind w:right="0"/>
        <w:jc w:val="both"/>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560" w:right="0"/>
        <w:jc w:val="left"/>
      </w:pPr>
      <w:r>
        <w:rPr/>
        <w:t>本公司发生外币业务，按交易发生日的即期汇率折算为记账本位币金额。</w:t>
      </w:r>
    </w:p>
    <w:p>
      <w:pPr>
        <w:spacing w:line="240" w:lineRule="auto" w:before="0"/>
        <w:rPr>
          <w:rFonts w:ascii="宋体" w:hAnsi="宋体" w:cs="宋体" w:eastAsia="宋体" w:hint="default"/>
          <w:sz w:val="20"/>
          <w:szCs w:val="20"/>
        </w:rPr>
      </w:pPr>
    </w:p>
    <w:p>
      <w:pPr>
        <w:pStyle w:val="Heading3"/>
        <w:spacing w:line="240" w:lineRule="auto" w:before="154"/>
        <w:ind w:right="0"/>
        <w:jc w:val="both"/>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left="560" w:right="0"/>
        <w:jc w:val="left"/>
      </w:pPr>
      <w:r>
        <w:rPr/>
        <w:t>本公司发生外币业务，按交易发生日的即期汇率折算为记账本位币金额。</w:t>
      </w:r>
      <w:r>
        <w:rPr>
          <w:w w:val="100"/>
        </w:rPr>
        <w:t> </w:t>
      </w:r>
      <w:r>
        <w:rPr>
          <w:spacing w:val="-4"/>
        </w:rPr>
        <w:t>资产负债表日，对外币货币性项目，采用资产负债表日即期汇率折算。因资产负债表日</w:t>
      </w:r>
    </w:p>
    <w:p>
      <w:pPr>
        <w:pStyle w:val="BodyText"/>
        <w:spacing w:line="408" w:lineRule="auto" w:before="46"/>
        <w:ind w:right="131"/>
        <w:jc w:val="both"/>
      </w:pPr>
      <w:r>
        <w:rPr>
          <w:spacing w:val="-4"/>
          <w:w w:val="100"/>
        </w:rPr>
        <w:t>即期汇率与初始确认时或者前一资产负债表日即期汇率不同而产生的汇兑差额，计入当期损</w:t>
      </w:r>
      <w:r>
        <w:rPr>
          <w:spacing w:val="-94"/>
          <w:w w:val="100"/>
        </w:rPr>
        <w:t> </w:t>
      </w:r>
      <w:r>
        <w:rPr>
          <w:spacing w:val="-94"/>
          <w:w w:val="100"/>
        </w:rPr>
      </w:r>
      <w:r>
        <w:rPr>
          <w:spacing w:val="-4"/>
        </w:rPr>
        <w:t>益；对以历史成本计量的外币非货币性项目，仍采用交易发生日的即期汇率折算；对以公允</w:t>
      </w:r>
      <w:r>
        <w:rPr>
          <w:spacing w:val="-45"/>
        </w:rPr>
        <w:t> </w:t>
      </w:r>
      <w:r>
        <w:rPr>
          <w:spacing w:val="-45"/>
        </w:rPr>
      </w:r>
      <w:r>
        <w:rPr>
          <w:spacing w:val="-4"/>
        </w:rPr>
        <w:t>价值计量的外币非货币性项目，采用公允价值确定日的即期汇率折算，折算后的记账本位币</w:t>
      </w:r>
      <w:r>
        <w:rPr>
          <w:spacing w:val="-44"/>
        </w:rPr>
        <w:t> </w:t>
      </w:r>
      <w:r>
        <w:rPr>
          <w:spacing w:val="-44"/>
        </w:rPr>
      </w:r>
      <w:r>
        <w:rPr/>
        <w:t>金额与原记账本位币金额的差额，计入当期损益。</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9"/>
        <w:rPr>
          <w:rFonts w:ascii="宋体" w:hAnsi="宋体" w:cs="宋体" w:eastAsia="宋体" w:hint="default"/>
          <w:b/>
          <w:bCs/>
          <w:sz w:val="30"/>
          <w:szCs w:val="30"/>
        </w:rPr>
      </w:pPr>
    </w:p>
    <w:p>
      <w:pPr>
        <w:pStyle w:val="BodyText"/>
        <w:spacing w:line="408" w:lineRule="auto"/>
        <w:ind w:right="0" w:firstLine="419"/>
        <w:jc w:val="left"/>
      </w:pPr>
      <w:r>
        <w:rPr>
          <w:spacing w:val="-2"/>
        </w:rPr>
        <w:t>金融工具是指形成一个企业的金融资产，并形成其他单位的金融负债或权益工具的合</w:t>
      </w:r>
      <w:r>
        <w:rPr>
          <w:w w:val="100"/>
        </w:rPr>
        <w:t> </w:t>
      </w:r>
      <w:r>
        <w:rPr/>
        <w:t>同。</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0" w:firstLine="419"/>
        <w:jc w:val="left"/>
      </w:pPr>
      <w:r>
        <w:rPr>
          <w:spacing w:val="-4"/>
          <w:w w:val="100"/>
        </w:rPr>
        <w:t>本公司的金融资产于初始确认时分为：以公允价值计量且其变动计入当期损益的金融资</w:t>
      </w:r>
      <w:r>
        <w:rPr>
          <w:w w:val="100"/>
        </w:rPr>
        <w:t> </w:t>
      </w:r>
      <w:r>
        <w:rPr/>
        <w:t>产、持有至到期投资、应收款项、可供出售金融资产。</w:t>
      </w:r>
    </w:p>
    <w:p>
      <w:pPr>
        <w:spacing w:after="0" w:line="408" w:lineRule="auto"/>
        <w:jc w:val="left"/>
        <w:sectPr>
          <w:pgSz w:w="11910" w:h="16840"/>
          <w:pgMar w:header="877" w:footer="1227" w:top="1100" w:bottom="1420" w:left="1660" w:right="1660"/>
        </w:sectPr>
      </w:pPr>
    </w:p>
    <w:p>
      <w:pPr>
        <w:spacing w:line="240" w:lineRule="auto" w:before="9"/>
        <w:rPr>
          <w:rFonts w:ascii="宋体" w:hAnsi="宋体" w:cs="宋体" w:eastAsia="宋体" w:hint="default"/>
          <w:sz w:val="26"/>
          <w:szCs w:val="26"/>
        </w:rPr>
      </w:pPr>
    </w:p>
    <w:p>
      <w:pPr>
        <w:pStyle w:val="BodyText"/>
        <w:spacing w:line="408" w:lineRule="auto" w:before="36"/>
        <w:ind w:right="0" w:firstLine="419"/>
        <w:jc w:val="left"/>
      </w:pPr>
      <w:r>
        <w:rPr>
          <w:spacing w:val="-4"/>
          <w:w w:val="100"/>
        </w:rPr>
        <w:t>本公司的金融负债于初始确认时分类为：以公允价值计量且其变动计入当期损益的金融</w:t>
      </w:r>
      <w:r>
        <w:rPr>
          <w:w w:val="100"/>
        </w:rPr>
        <w:t> </w:t>
      </w:r>
      <w:r>
        <w:rPr/>
        <w:t>负债、其他金融负债。</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left="560" w:right="0"/>
        <w:jc w:val="left"/>
      </w:pPr>
      <w:r>
        <w:rPr/>
        <w:t>以公允价值计量且其变动计入当期损益的金融资产：</w:t>
      </w:r>
      <w:r>
        <w:rPr>
          <w:w w:val="100"/>
        </w:rPr>
        <w:t> </w:t>
      </w:r>
      <w:r>
        <w:rPr>
          <w:spacing w:val="-4"/>
          <w:w w:val="100"/>
        </w:rPr>
        <w:t>以公允价值计量且其变动计入当期损益的金融资产，包括交易性金融资产和初始确认时</w:t>
      </w:r>
    </w:p>
    <w:p>
      <w:pPr>
        <w:pStyle w:val="BodyText"/>
        <w:spacing w:line="408" w:lineRule="auto" w:before="46"/>
        <w:ind w:right="131"/>
        <w:jc w:val="both"/>
      </w:pPr>
      <w:r>
        <w:rPr>
          <w:spacing w:val="-4"/>
        </w:rPr>
        <w:t>指定为以公允价值计量且其变动计入当期损益的金融资产。对于此类金融资产，采用公允价</w:t>
      </w:r>
      <w:r>
        <w:rPr>
          <w:spacing w:val="-44"/>
        </w:rPr>
        <w:t> </w:t>
      </w:r>
      <w:r>
        <w:rPr>
          <w:spacing w:val="-44"/>
        </w:rPr>
      </w:r>
      <w:r>
        <w:rPr>
          <w:spacing w:val="-4"/>
          <w:w w:val="100"/>
        </w:rPr>
        <w:t>值进行后续计量，公允价值变动形成的利得或损失以及与该等金融资产相关的股利和利息收</w:t>
      </w:r>
      <w:r>
        <w:rPr>
          <w:spacing w:val="-94"/>
          <w:w w:val="100"/>
        </w:rPr>
        <w:t> </w:t>
      </w:r>
      <w:r>
        <w:rPr>
          <w:spacing w:val="-94"/>
          <w:w w:val="100"/>
        </w:rPr>
      </w:r>
      <w:r>
        <w:rPr/>
        <w:t>入计入当期损益。</w:t>
      </w:r>
    </w:p>
    <w:p>
      <w:pPr>
        <w:pStyle w:val="BodyText"/>
        <w:spacing w:line="408" w:lineRule="auto" w:before="46"/>
        <w:ind w:left="560" w:right="0"/>
        <w:jc w:val="left"/>
      </w:pPr>
      <w:r>
        <w:rPr/>
        <w:t>持有至到期投资：</w:t>
      </w:r>
      <w:r>
        <w:rPr>
          <w:w w:val="100"/>
        </w:rPr>
        <w:t> </w:t>
      </w:r>
      <w:r>
        <w:rPr>
          <w:spacing w:val="-4"/>
        </w:rPr>
        <w:t>持有至到期投资，是指到期日固定、回收金额固定或可确定，且本公司有明确意图和能</w:t>
      </w:r>
    </w:p>
    <w:p>
      <w:pPr>
        <w:pStyle w:val="BodyText"/>
        <w:spacing w:line="408" w:lineRule="auto" w:before="46"/>
        <w:ind w:right="131"/>
        <w:jc w:val="both"/>
      </w:pPr>
      <w:r>
        <w:rPr>
          <w:spacing w:val="-4"/>
        </w:rPr>
        <w:t>力持有至到期的非衍生金融资产。持有至到期投资采用实际利率法，按照摊余成本进行后续</w:t>
      </w:r>
      <w:r>
        <w:rPr>
          <w:spacing w:val="-44"/>
        </w:rPr>
        <w:t> </w:t>
      </w:r>
      <w:r>
        <w:rPr>
          <w:spacing w:val="-44"/>
        </w:rPr>
      </w:r>
      <w:r>
        <w:rPr/>
        <w:t>计量，其终止确认、发生减值或摊销产生的利得或损失，均计入当期损益。</w:t>
      </w:r>
    </w:p>
    <w:p>
      <w:pPr>
        <w:pStyle w:val="BodyText"/>
        <w:spacing w:line="408" w:lineRule="auto" w:before="46"/>
        <w:ind w:left="560" w:right="0"/>
        <w:jc w:val="left"/>
      </w:pPr>
      <w:r>
        <w:rPr/>
        <w:t>应收款项：</w:t>
      </w:r>
      <w:r>
        <w:rPr>
          <w:spacing w:val="-102"/>
        </w:rPr>
        <w:t> </w:t>
      </w:r>
      <w:r>
        <w:rPr>
          <w:spacing w:val="-102"/>
        </w:rPr>
      </w:r>
      <w:r>
        <w:rPr>
          <w:spacing w:val="-4"/>
        </w:rPr>
        <w:t>应收款项，是指在活跃市场中没有报价、回收金额固定或可确定的非衍生金融资产，包</w:t>
      </w:r>
    </w:p>
    <w:p>
      <w:pPr>
        <w:pStyle w:val="BodyText"/>
        <w:spacing w:line="408" w:lineRule="auto" w:before="46"/>
        <w:ind w:right="131"/>
        <w:jc w:val="both"/>
      </w:pPr>
      <w:r>
        <w:rPr>
          <w:spacing w:val="-4"/>
        </w:rPr>
        <w:t>括应收账款和其他应收款等。应收款项采用实际利率法，按摊余成本进行后续计量，在终止</w:t>
      </w:r>
      <w:r>
        <w:rPr>
          <w:spacing w:val="-45"/>
        </w:rPr>
        <w:t> </w:t>
      </w:r>
      <w:r>
        <w:rPr>
          <w:spacing w:val="-45"/>
        </w:rPr>
      </w:r>
      <w:r>
        <w:rPr/>
        <w:t>确认、发生减值或摊销时产生的利得或损失，计入当期损益。</w:t>
      </w:r>
    </w:p>
    <w:p>
      <w:pPr>
        <w:pStyle w:val="BodyText"/>
        <w:spacing w:line="408" w:lineRule="auto" w:before="43"/>
        <w:ind w:left="560" w:right="0"/>
        <w:jc w:val="left"/>
      </w:pPr>
      <w:r>
        <w:rPr/>
        <w:t>可供出售金融资产：</w:t>
      </w:r>
      <w:r>
        <w:rPr>
          <w:w w:val="100"/>
        </w:rPr>
        <w:t> </w:t>
      </w:r>
      <w:r>
        <w:rPr>
          <w:spacing w:val="-4"/>
        </w:rPr>
        <w:t>可供出售金融资产，是指初始确认时即指定为可供出售的非衍生金融资产，以及除上述</w:t>
      </w:r>
    </w:p>
    <w:p>
      <w:pPr>
        <w:pStyle w:val="BodyText"/>
        <w:spacing w:line="408" w:lineRule="auto" w:before="46"/>
        <w:ind w:right="131"/>
        <w:jc w:val="both"/>
      </w:pPr>
      <w:r>
        <w:rPr>
          <w:spacing w:val="-4"/>
        </w:rPr>
        <w:t>金融资产类别以外的金融资产。可供出售金融资产采用公允价值进行后续计量，其折溢价采</w:t>
      </w:r>
      <w:r>
        <w:rPr>
          <w:spacing w:val="-44"/>
        </w:rPr>
        <w:t> </w:t>
      </w:r>
      <w:r>
        <w:rPr>
          <w:spacing w:val="-44"/>
        </w:rPr>
      </w:r>
      <w:r>
        <w:rPr>
          <w:spacing w:val="-4"/>
          <w:w w:val="100"/>
        </w:rPr>
        <w:t>用实际利率法摊销并确认为利息收入。除减值损失及外币货币性金融资产的汇兑差额确认为</w:t>
      </w:r>
      <w:r>
        <w:rPr>
          <w:spacing w:val="-94"/>
          <w:w w:val="100"/>
        </w:rPr>
        <w:t> </w:t>
      </w:r>
      <w:r>
        <w:rPr>
          <w:spacing w:val="-94"/>
          <w:w w:val="100"/>
        </w:rPr>
      </w:r>
      <w:r>
        <w:rPr>
          <w:spacing w:val="-4"/>
        </w:rPr>
        <w:t>当期损益外，可供出售金融资产的公允价值变动确认为其他综合收益并计入资本公积，在该</w:t>
      </w:r>
      <w:r>
        <w:rPr>
          <w:spacing w:val="-44"/>
        </w:rPr>
        <w:t> </w:t>
      </w:r>
      <w:r>
        <w:rPr>
          <w:spacing w:val="-44"/>
        </w:rPr>
      </w:r>
      <w:r>
        <w:rPr>
          <w:spacing w:val="-4"/>
        </w:rPr>
        <w:t>金融资产终止确认时转出，计入当期损益。与可供出售金融资产相关的股利或利息收入，计</w:t>
      </w:r>
      <w:r>
        <w:rPr>
          <w:spacing w:val="-48"/>
        </w:rPr>
        <w:t> </w:t>
      </w:r>
      <w:r>
        <w:rPr>
          <w:spacing w:val="-48"/>
        </w:rPr>
      </w:r>
      <w:r>
        <w:rPr/>
        <w:t>入当期损益。</w:t>
      </w:r>
    </w:p>
    <w:p>
      <w:pPr>
        <w:pStyle w:val="BodyText"/>
        <w:spacing w:line="408" w:lineRule="auto" w:before="46"/>
        <w:ind w:left="560" w:right="0"/>
        <w:jc w:val="left"/>
      </w:pPr>
      <w:r>
        <w:rPr/>
        <w:t>以公允价值计量且其变动计入当期损益的金融负债：</w:t>
      </w:r>
      <w:r>
        <w:rPr>
          <w:w w:val="100"/>
        </w:rPr>
        <w:t> </w:t>
      </w:r>
      <w:r>
        <w:rPr>
          <w:spacing w:val="-4"/>
          <w:w w:val="100"/>
        </w:rPr>
        <w:t>以公允价值计量且其变动计入当期损益的金融负债，包括交易性金融负债和初始确认时</w:t>
      </w:r>
    </w:p>
    <w:p>
      <w:pPr>
        <w:pStyle w:val="BodyText"/>
        <w:spacing w:line="408" w:lineRule="auto" w:before="46"/>
        <w:ind w:right="131"/>
        <w:jc w:val="both"/>
      </w:pPr>
      <w:r>
        <w:rPr>
          <w:spacing w:val="-4"/>
        </w:rPr>
        <w:t>指定为以公允价值计量且其变动计入当期损益的金融负债。对于此类金融负债，按照公允价</w:t>
      </w:r>
      <w:r>
        <w:rPr>
          <w:spacing w:val="-44"/>
        </w:rPr>
        <w:t> </w:t>
      </w:r>
      <w:r>
        <w:rPr>
          <w:spacing w:val="-44"/>
        </w:rPr>
      </w:r>
      <w:r>
        <w:rPr>
          <w:spacing w:val="-4"/>
          <w:w w:val="100"/>
        </w:rPr>
        <w:t>值进行后续计量，公允价值变动形成的利得或损失以及与该等金融负债相关的股利和利息支</w:t>
      </w:r>
      <w:r>
        <w:rPr>
          <w:spacing w:val="-94"/>
          <w:w w:val="100"/>
        </w:rPr>
        <w:t> </w:t>
      </w:r>
      <w:r>
        <w:rPr>
          <w:spacing w:val="-94"/>
          <w:w w:val="100"/>
        </w:rPr>
      </w:r>
      <w:r>
        <w:rPr/>
        <w:t>出计入当期损益。</w:t>
      </w:r>
    </w:p>
    <w:p>
      <w:pPr>
        <w:spacing w:after="0" w:line="408" w:lineRule="auto"/>
        <w:jc w:val="both"/>
        <w:sectPr>
          <w:pgSz w:w="11910" w:h="16840"/>
          <w:pgMar w:header="877" w:footer="1227" w:top="1100" w:bottom="1420" w:left="1660" w:right="1660"/>
        </w:sectPr>
      </w:pPr>
    </w:p>
    <w:p>
      <w:pPr>
        <w:spacing w:line="240" w:lineRule="auto" w:before="9"/>
        <w:rPr>
          <w:rFonts w:ascii="宋体" w:hAnsi="宋体" w:cs="宋体" w:eastAsia="宋体" w:hint="default"/>
          <w:sz w:val="26"/>
          <w:szCs w:val="26"/>
        </w:rPr>
      </w:pPr>
    </w:p>
    <w:p>
      <w:pPr>
        <w:pStyle w:val="BodyText"/>
        <w:spacing w:line="408" w:lineRule="auto" w:before="36"/>
        <w:ind w:left="560" w:right="0"/>
        <w:jc w:val="left"/>
      </w:pPr>
      <w:r>
        <w:rPr/>
        <w:t>其他金融负债：</w:t>
      </w:r>
      <w:r>
        <w:rPr>
          <w:w w:val="100"/>
        </w:rPr>
        <w:t> </w:t>
      </w:r>
      <w:r>
        <w:rPr>
          <w:spacing w:val="-4"/>
          <w:w w:val="100"/>
        </w:rPr>
        <w:t>与在活跃市场中没有报价、公允价值不能可靠计量的权益工具挂钩并须通过交付该权益</w:t>
      </w:r>
    </w:p>
    <w:p>
      <w:pPr>
        <w:pStyle w:val="BodyText"/>
        <w:spacing w:line="408" w:lineRule="auto" w:before="46"/>
        <w:ind w:right="0"/>
        <w:jc w:val="left"/>
      </w:pPr>
      <w:r>
        <w:rPr>
          <w:spacing w:val="-4"/>
        </w:rPr>
        <w:t>工具结算的衍生金融负债，按照成本进行后续计量。其他金融负债采用实际利率法，按摊余</w:t>
      </w:r>
      <w:r>
        <w:rPr>
          <w:spacing w:val="-46"/>
        </w:rPr>
        <w:t> </w:t>
      </w:r>
      <w:r>
        <w:rPr>
          <w:spacing w:val="-46"/>
        </w:rPr>
      </w:r>
      <w:r>
        <w:rPr/>
        <w:t>成本进行后续计量，终止确认或摊销产生的利得或损失计入当期损益。</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0" w:firstLine="419"/>
        <w:jc w:val="left"/>
      </w:pPr>
      <w:r>
        <w:rPr>
          <w:spacing w:val="-2"/>
        </w:rPr>
        <w:t>金融资产转移，是指将金融资产让与或交付给该金融资产发行方以外的另一方（转入</w:t>
      </w:r>
      <w:r>
        <w:rPr>
          <w:w w:val="100"/>
        </w:rPr>
        <w:t> </w:t>
      </w:r>
      <w:r>
        <w:rPr/>
        <w:t>方）。</w:t>
      </w:r>
    </w:p>
    <w:p>
      <w:pPr>
        <w:pStyle w:val="BodyText"/>
        <w:spacing w:line="408" w:lineRule="auto" w:before="46"/>
        <w:ind w:right="0" w:firstLine="419"/>
        <w:jc w:val="left"/>
      </w:pPr>
      <w:r>
        <w:rPr>
          <w:spacing w:val="-4"/>
          <w:w w:val="100"/>
        </w:rPr>
        <w:t>本公司已将金融资产所有权上几乎所有的风险和报酬转移给转入方的，终止确认该金融</w:t>
      </w:r>
      <w:r>
        <w:rPr>
          <w:w w:val="100"/>
        </w:rPr>
        <w:t> </w:t>
      </w:r>
      <w:r>
        <w:rPr/>
        <w:t>资产；保留了金融资产所有权上几乎所有的风险和报酬的，不终止确认该金融资产。</w:t>
      </w:r>
    </w:p>
    <w:p>
      <w:pPr>
        <w:pStyle w:val="BodyText"/>
        <w:spacing w:line="408" w:lineRule="auto" w:before="46"/>
        <w:ind w:right="131" w:firstLine="419"/>
        <w:jc w:val="both"/>
      </w:pPr>
      <w:r>
        <w:rPr>
          <w:spacing w:val="-4"/>
          <w:w w:val="100"/>
        </w:rPr>
        <w:t>本公司既没有转移也没有保留金融资产所有权上几乎所有的风险和报酬的，分别下列情</w:t>
      </w:r>
      <w:r>
        <w:rPr>
          <w:w w:val="100"/>
        </w:rPr>
        <w:t> </w:t>
      </w:r>
      <w:r>
        <w:rPr>
          <w:spacing w:val="-4"/>
        </w:rPr>
        <w:t>况处理：放弃了对该金融资产控制的，终止确认该金融资产并确认产生的资产和负债；未放</w:t>
      </w:r>
      <w:r>
        <w:rPr>
          <w:spacing w:val="-45"/>
        </w:rPr>
        <w:t> </w:t>
      </w:r>
      <w:r>
        <w:rPr>
          <w:spacing w:val="-45"/>
        </w:rPr>
      </w:r>
      <w:r>
        <w:rPr>
          <w:spacing w:val="-4"/>
        </w:rPr>
        <w:t>弃对该金融资产控制的，按照其继续涉入所转移金融资产的程度确认有关金融资产，并相应</w:t>
      </w:r>
      <w:r>
        <w:rPr>
          <w:spacing w:val="-44"/>
        </w:rPr>
        <w:t> </w:t>
      </w:r>
      <w:r>
        <w:rPr>
          <w:spacing w:val="-44"/>
        </w:rPr>
      </w:r>
      <w:r>
        <w:rPr/>
        <w:t>确认有关负债。</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left="560" w:right="0"/>
        <w:jc w:val="left"/>
      </w:pPr>
      <w:r>
        <w:rPr>
          <w:spacing w:val="-2"/>
        </w:rPr>
        <w:t>本公司于成为金融工具合同的一方时确认一项金融资产或金融负债。</w:t>
      </w:r>
      <w:r>
        <w:rPr>
          <w:spacing w:val="-48"/>
        </w:rPr>
        <w:t> </w:t>
      </w:r>
      <w:r>
        <w:rPr>
          <w:spacing w:val="-48"/>
        </w:rPr>
      </w:r>
      <w:r>
        <w:rPr/>
        <w:t>金融资产满足下列条件之一的，终止确认：</w:t>
      </w:r>
    </w:p>
    <w:p>
      <w:pPr>
        <w:pStyle w:val="BodyText"/>
        <w:spacing w:line="240" w:lineRule="auto" w:before="46"/>
        <w:ind w:left="560" w:right="0"/>
        <w:jc w:val="left"/>
      </w:pPr>
      <w:r>
        <w:rPr/>
        <w:t>①</w:t>
      </w:r>
      <w:r>
        <w:rPr>
          <w:spacing w:val="-3"/>
        </w:rPr>
        <w:t> </w:t>
      </w:r>
      <w:r>
        <w:rPr/>
        <w:t>收取该金融资产现金流量的合同权利终止；</w:t>
      </w:r>
    </w:p>
    <w:p>
      <w:pPr>
        <w:spacing w:line="240" w:lineRule="auto" w:before="10"/>
        <w:rPr>
          <w:rFonts w:ascii="宋体" w:hAnsi="宋体" w:cs="宋体" w:eastAsia="宋体" w:hint="default"/>
          <w:sz w:val="14"/>
          <w:szCs w:val="14"/>
        </w:rPr>
      </w:pPr>
    </w:p>
    <w:p>
      <w:pPr>
        <w:pStyle w:val="BodyText"/>
        <w:spacing w:line="408" w:lineRule="auto"/>
        <w:ind w:left="560" w:right="0"/>
        <w:jc w:val="left"/>
      </w:pPr>
      <w:r>
        <w:rPr/>
        <w:t>②</w:t>
      </w:r>
      <w:r>
        <w:rPr>
          <w:spacing w:val="-1"/>
        </w:rPr>
        <w:t> </w:t>
      </w:r>
      <w:r>
        <w:rPr/>
        <w:t>该金融资产已转移，且符合下述金融资产转移的终止确认条件。</w:t>
      </w:r>
      <w:r>
        <w:rPr>
          <w:w w:val="100"/>
        </w:rPr>
        <w:t> </w:t>
      </w:r>
      <w:r>
        <w:rPr>
          <w:spacing w:val="-4"/>
        </w:rPr>
        <w:t>金融负债的现时义务全部或部分已经解除的，终止确认该金融负债或其一部分。本公司</w:t>
      </w:r>
    </w:p>
    <w:p>
      <w:pPr>
        <w:pStyle w:val="BodyText"/>
        <w:spacing w:line="408" w:lineRule="auto" w:before="46"/>
        <w:ind w:right="131"/>
        <w:jc w:val="both"/>
      </w:pPr>
      <w:r>
        <w:rPr>
          <w:spacing w:val="-4"/>
        </w:rPr>
        <w:t>（债务人）与债权人之间签订协议，以承担新金融负债方式替换现存金融负债，且新金融负</w:t>
      </w:r>
      <w:r>
        <w:rPr>
          <w:spacing w:val="-46"/>
        </w:rPr>
        <w:t> </w:t>
      </w:r>
      <w:r>
        <w:rPr>
          <w:spacing w:val="-46"/>
        </w:rPr>
      </w:r>
      <w:r>
        <w:rPr>
          <w:spacing w:val="-4"/>
        </w:rPr>
        <w:t>债与现存金融负债的合同条款实质上不同的，终止确认现存金融负债，并同时确认新金融负</w:t>
      </w:r>
      <w:r>
        <w:rPr>
          <w:spacing w:val="-44"/>
        </w:rPr>
        <w:t> </w:t>
      </w:r>
      <w:r>
        <w:rPr>
          <w:spacing w:val="-44"/>
        </w:rPr>
      </w:r>
      <w:r>
        <w:rPr/>
        <w:t>债。</w:t>
      </w:r>
    </w:p>
    <w:p>
      <w:pPr>
        <w:pStyle w:val="BodyText"/>
        <w:spacing w:line="240" w:lineRule="auto" w:before="46"/>
        <w:ind w:left="560" w:right="0"/>
        <w:jc w:val="left"/>
      </w:pPr>
      <w:r>
        <w:rPr/>
        <w:t>以常规方式买卖金融资产，按交易日进行会计确认和终止确认。</w:t>
      </w:r>
    </w:p>
    <w:p>
      <w:pPr>
        <w:spacing w:line="670" w:lineRule="atLeast" w:before="37"/>
        <w:ind w:left="560"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存在活跃市场的金融资产或金融负债，本公司将活跃市场中的现行出价或现行要价用于</w:t>
      </w:r>
    </w:p>
    <w:p>
      <w:pPr>
        <w:pStyle w:val="BodyText"/>
        <w:spacing w:line="460" w:lineRule="atLeast" w:before="8"/>
        <w:ind w:left="560" w:right="0" w:hanging="420"/>
        <w:jc w:val="left"/>
      </w:pPr>
      <w:r>
        <w:rPr/>
        <w:t>确定其公允价值。</w:t>
      </w:r>
      <w:r>
        <w:rPr>
          <w:w w:val="100"/>
        </w:rPr>
        <w:t> </w:t>
      </w:r>
      <w:r>
        <w:rPr>
          <w:spacing w:val="-4"/>
        </w:rPr>
        <w:t>金融工具不存在活跃市场的，本公司采用估值技术确定其公允价值。采用估值技术得出</w:t>
      </w:r>
    </w:p>
    <w:p>
      <w:pPr>
        <w:spacing w:after="0" w:line="460" w:lineRule="atLeast"/>
        <w:jc w:val="left"/>
        <w:sectPr>
          <w:pgSz w:w="11910" w:h="16840"/>
          <w:pgMar w:header="877" w:footer="1227" w:top="1100" w:bottom="1420" w:left="1660" w:right="1660"/>
        </w:sectPr>
      </w:pPr>
    </w:p>
    <w:p>
      <w:pPr>
        <w:spacing w:line="240" w:lineRule="auto" w:before="9"/>
        <w:rPr>
          <w:rFonts w:ascii="宋体" w:hAnsi="宋体" w:cs="宋体" w:eastAsia="宋体" w:hint="default"/>
          <w:sz w:val="26"/>
          <w:szCs w:val="26"/>
        </w:rPr>
      </w:pPr>
    </w:p>
    <w:p>
      <w:pPr>
        <w:pStyle w:val="BodyText"/>
        <w:spacing w:line="408" w:lineRule="auto" w:before="36"/>
        <w:ind w:right="131"/>
        <w:jc w:val="both"/>
      </w:pPr>
      <w:r>
        <w:rPr>
          <w:spacing w:val="-4"/>
        </w:rPr>
        <w:t>的结果，反映估值日在公平交易中可能采用的交易价格。估值技术包括参考熟悉情况并自愿</w:t>
      </w:r>
      <w:r>
        <w:rPr>
          <w:spacing w:val="-44"/>
        </w:rPr>
        <w:t> </w:t>
      </w:r>
      <w:r>
        <w:rPr>
          <w:spacing w:val="-44"/>
        </w:rPr>
      </w:r>
      <w:r>
        <w:rPr>
          <w:spacing w:val="-4"/>
          <w:w w:val="100"/>
        </w:rPr>
        <w:t>交易的各方最近进行的市场交易中使用的价格、参照实质上相同的其他金融工具的当前公允</w:t>
      </w:r>
      <w:r>
        <w:rPr>
          <w:spacing w:val="-94"/>
          <w:w w:val="100"/>
        </w:rPr>
        <w:t> </w:t>
      </w:r>
      <w:r>
        <w:rPr>
          <w:spacing w:val="-94"/>
          <w:w w:val="100"/>
        </w:rPr>
      </w:r>
      <w:r>
        <w:rPr/>
        <w:t>价值、现金流量折现法和期权定价模型等。</w:t>
      </w:r>
    </w:p>
    <w:p>
      <w:pPr>
        <w:pStyle w:val="BodyText"/>
        <w:spacing w:line="408" w:lineRule="auto" w:before="46"/>
        <w:ind w:right="0" w:firstLine="419"/>
        <w:jc w:val="left"/>
      </w:pPr>
      <w:r>
        <w:rPr>
          <w:spacing w:val="-4"/>
          <w:w w:val="100"/>
        </w:rPr>
        <w:t>本公司选择市场参与者普遍认同，且被以往市场实际交易价格验证具有可靠性的估值技</w:t>
      </w:r>
      <w:r>
        <w:rPr>
          <w:w w:val="100"/>
        </w:rPr>
        <w:t> </w:t>
      </w:r>
      <w:r>
        <w:rPr>
          <w:spacing w:val="-4"/>
        </w:rPr>
        <w:t>术确定金融工具的公允价值。采用估值技术确定金融工具的公允价值时，本公司尽可能使用</w:t>
      </w:r>
      <w:r>
        <w:rPr>
          <w:spacing w:val="-44"/>
        </w:rPr>
        <w:t> </w:t>
      </w:r>
      <w:r>
        <w:rPr>
          <w:spacing w:val="-44"/>
        </w:rPr>
      </w:r>
      <w:r>
        <w:rPr/>
        <w:t>市场参与者在金融工具定价时考虑的所有市场参数和相同金融工具当前市场的可观察到的</w:t>
      </w:r>
      <w:r>
        <w:rPr>
          <w:w w:val="100"/>
        </w:rPr>
        <w:t> </w:t>
      </w:r>
      <w:r>
        <w:rPr/>
        <w:t>交易价格来测试估值技术的有效性。</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spacing w:line="240" w:lineRule="auto" w:before="9"/>
        <w:rPr>
          <w:rFonts w:ascii="宋体" w:hAnsi="宋体" w:cs="宋体" w:eastAsia="宋体" w:hint="default"/>
          <w:b/>
          <w:bCs/>
          <w:sz w:val="30"/>
          <w:szCs w:val="30"/>
        </w:rPr>
      </w:pPr>
    </w:p>
    <w:p>
      <w:pPr>
        <w:pStyle w:val="BodyText"/>
        <w:spacing w:line="408" w:lineRule="auto"/>
        <w:ind w:right="131" w:firstLine="419"/>
        <w:jc w:val="both"/>
      </w:pPr>
      <w:r>
        <w:rPr>
          <w:spacing w:val="-4"/>
          <w:w w:val="100"/>
        </w:rPr>
        <w:t>本公司于资产负债表日对金融资产的账面价值进行检查，有客观证据表明该金融资产发</w:t>
      </w:r>
      <w:r>
        <w:rPr>
          <w:w w:val="100"/>
        </w:rPr>
        <w:t> </w:t>
      </w:r>
      <w:r>
        <w:rPr>
          <w:spacing w:val="-4"/>
        </w:rPr>
        <w:t>生减值的，计提减值准备。表明金融资产发生减值的客观证据，是指金融资产初始确认后实</w:t>
      </w:r>
      <w:r>
        <w:rPr>
          <w:spacing w:val="-46"/>
        </w:rPr>
        <w:t> </w:t>
      </w:r>
      <w:r>
        <w:rPr>
          <w:spacing w:val="-46"/>
        </w:rPr>
      </w:r>
      <w:r>
        <w:rPr>
          <w:spacing w:val="-4"/>
        </w:rPr>
        <w:t>际发生的、对该金融资产的预计未来现金流量有影响，且企业能够对该影响进行可靠计量的</w:t>
      </w:r>
      <w:r>
        <w:rPr>
          <w:spacing w:val="-44"/>
        </w:rPr>
        <w:t> </w:t>
      </w:r>
      <w:r>
        <w:rPr>
          <w:spacing w:val="-44"/>
        </w:rPr>
      </w:r>
      <w:r>
        <w:rPr/>
        <w:t>事项。</w:t>
      </w:r>
    </w:p>
    <w:p>
      <w:pPr>
        <w:pStyle w:val="BodyText"/>
        <w:spacing w:line="408" w:lineRule="auto" w:before="46"/>
        <w:ind w:left="560" w:right="0"/>
        <w:jc w:val="left"/>
      </w:pPr>
      <w:r>
        <w:rPr/>
        <w:t>以摊余成本计量的金融资产</w:t>
      </w:r>
      <w:r>
        <w:rPr>
          <w:w w:val="100"/>
        </w:rPr>
        <w:t> </w:t>
      </w:r>
      <w:r>
        <w:rPr>
          <w:spacing w:val="-4"/>
          <w:w w:val="100"/>
        </w:rPr>
        <w:t>如果有客观证据表明该金融资产发生减值，则将该金融资产的账面价值减记至预计未来</w:t>
      </w:r>
    </w:p>
    <w:p>
      <w:pPr>
        <w:pStyle w:val="BodyText"/>
        <w:spacing w:line="408" w:lineRule="auto" w:before="46"/>
        <w:ind w:right="131"/>
        <w:jc w:val="both"/>
      </w:pPr>
      <w:r>
        <w:rPr>
          <w:spacing w:val="-4"/>
        </w:rPr>
        <w:t>现金流量（不包括尚未发生的未来信用损失）现值，减记金额计入当期损益。预计未来现金</w:t>
      </w:r>
      <w:r>
        <w:rPr>
          <w:spacing w:val="-47"/>
        </w:rPr>
        <w:t> </w:t>
      </w:r>
      <w:r>
        <w:rPr>
          <w:spacing w:val="-47"/>
        </w:rPr>
      </w:r>
      <w:r>
        <w:rPr/>
        <w:t>流量现值，按照该金融资产原实际利率折现确定，并考虑相关担保物的价值。</w:t>
      </w:r>
    </w:p>
    <w:p>
      <w:pPr>
        <w:pStyle w:val="BodyText"/>
        <w:spacing w:line="408" w:lineRule="auto" w:before="43"/>
        <w:ind w:right="0" w:firstLine="419"/>
        <w:jc w:val="left"/>
      </w:pPr>
      <w:r>
        <w:rPr>
          <w:spacing w:val="-4"/>
        </w:rPr>
        <w:t>对单项金额重大的金融资产单独进行减值测试，如有客观证据表明其已发生减值，确认</w:t>
      </w:r>
      <w:r>
        <w:rPr>
          <w:w w:val="100"/>
        </w:rPr>
        <w:t> </w:t>
      </w:r>
      <w:r>
        <w:rPr>
          <w:spacing w:val="-4"/>
        </w:rPr>
        <w:t>减值损失，计入当期损益。对单项金额不重大的金融资产，包括在具有类似信用风险特征的</w:t>
      </w:r>
      <w:r>
        <w:rPr>
          <w:spacing w:val="-46"/>
        </w:rPr>
        <w:t> </w:t>
      </w:r>
      <w:r>
        <w:rPr>
          <w:spacing w:val="-46"/>
        </w:rPr>
      </w:r>
      <w:r>
        <w:rPr>
          <w:spacing w:val="-4"/>
        </w:rPr>
        <w:t>金融资产组合中进行减值测试。单独测试未发生减值的金融资产（包括单项金额重大和不重</w:t>
      </w:r>
      <w:r>
        <w:rPr>
          <w:spacing w:val="-44"/>
        </w:rPr>
        <w:t> </w:t>
      </w:r>
      <w:r>
        <w:rPr>
          <w:spacing w:val="-44"/>
        </w:rPr>
      </w:r>
      <w:r>
        <w:rPr>
          <w:spacing w:val="-4"/>
        </w:rPr>
        <w:t>大的金融资产），包括在具有类似信用风险特征的金融资产组合中再进行减值测试。已单项</w:t>
      </w:r>
      <w:r>
        <w:rPr>
          <w:spacing w:val="-48"/>
        </w:rPr>
        <w:t> </w:t>
      </w:r>
      <w:r>
        <w:rPr>
          <w:spacing w:val="-48"/>
        </w:rPr>
      </w:r>
      <w:r>
        <w:rPr/>
        <w:t>确认减值损失的金融资产，不包括在具有类似信用风险特征的金融资产组合中进行减值测</w:t>
      </w:r>
      <w:r>
        <w:rPr>
          <w:w w:val="100"/>
        </w:rPr>
        <w:t> </w:t>
      </w:r>
      <w:r>
        <w:rPr/>
        <w:t>试。</w:t>
      </w:r>
    </w:p>
    <w:p>
      <w:pPr>
        <w:pStyle w:val="BodyText"/>
        <w:spacing w:line="408" w:lineRule="auto" w:before="46"/>
        <w:ind w:right="131" w:firstLine="419"/>
        <w:jc w:val="both"/>
      </w:pPr>
      <w:r>
        <w:rPr>
          <w:spacing w:val="-4"/>
          <w:w w:val="100"/>
        </w:rPr>
        <w:t>本公司对以摊余成本计量的金融资产确认减值损失后，如有客观证据表明该金融资产价</w:t>
      </w:r>
      <w:r>
        <w:rPr>
          <w:w w:val="100"/>
        </w:rPr>
        <w:t> </w:t>
      </w:r>
      <w:r>
        <w:rPr>
          <w:spacing w:val="-4"/>
        </w:rPr>
        <w:t>值已恢复，且客观上与确认该损失后发生的事项有关，原确认的减值损失予以转回，计入当</w:t>
      </w:r>
      <w:r>
        <w:rPr>
          <w:spacing w:val="-45"/>
        </w:rPr>
        <w:t> </w:t>
      </w:r>
      <w:r>
        <w:rPr>
          <w:spacing w:val="-45"/>
        </w:rPr>
      </w:r>
      <w:r>
        <w:rPr>
          <w:spacing w:val="-4"/>
        </w:rPr>
        <w:t>期损益。但是，该转回后的账面价值不超过假定不计提减值准备情况下该金融资产在转回日</w:t>
      </w:r>
      <w:r>
        <w:rPr>
          <w:spacing w:val="-44"/>
        </w:rPr>
        <w:t> </w:t>
      </w:r>
      <w:r>
        <w:rPr>
          <w:spacing w:val="-44"/>
        </w:rPr>
      </w:r>
      <w:r>
        <w:rPr/>
        <w:t>的摊余成本。</w:t>
      </w:r>
    </w:p>
    <w:p>
      <w:pPr>
        <w:pStyle w:val="BodyText"/>
        <w:spacing w:line="408" w:lineRule="auto" w:before="46"/>
        <w:ind w:left="560" w:right="0"/>
        <w:jc w:val="left"/>
      </w:pPr>
      <w:r>
        <w:rPr/>
        <w:t>可供出售金融资产</w:t>
      </w:r>
      <w:r>
        <w:rPr>
          <w:w w:val="100"/>
        </w:rPr>
        <w:t> </w:t>
      </w:r>
      <w:r>
        <w:rPr>
          <w:spacing w:val="-4"/>
          <w:w w:val="100"/>
        </w:rPr>
        <w:t>如果有客观证据表明该金融资产发生减值，原直接计入资本公积的因公允价值下降形成</w:t>
      </w:r>
    </w:p>
    <w:p>
      <w:pPr>
        <w:spacing w:after="0" w:line="408" w:lineRule="auto"/>
        <w:jc w:val="left"/>
        <w:sectPr>
          <w:pgSz w:w="11910" w:h="16840"/>
          <w:pgMar w:header="877" w:footer="1227" w:top="1100" w:bottom="1420" w:left="1660" w:right="1660"/>
        </w:sectPr>
      </w:pPr>
    </w:p>
    <w:p>
      <w:pPr>
        <w:spacing w:line="240" w:lineRule="auto" w:before="9"/>
        <w:rPr>
          <w:rFonts w:ascii="宋体" w:hAnsi="宋体" w:cs="宋体" w:eastAsia="宋体" w:hint="default"/>
          <w:sz w:val="26"/>
          <w:szCs w:val="26"/>
        </w:rPr>
      </w:pPr>
    </w:p>
    <w:p>
      <w:pPr>
        <w:pStyle w:val="BodyText"/>
        <w:spacing w:line="408" w:lineRule="auto" w:before="36"/>
        <w:ind w:right="120"/>
        <w:jc w:val="both"/>
      </w:pPr>
      <w:r>
        <w:rPr>
          <w:spacing w:val="-4"/>
        </w:rPr>
        <w:t>的累计损失，予以转出，计入当期损益。该转出的累计损失，为可供出售金融资产的初始取</w:t>
      </w:r>
      <w:r>
        <w:rPr>
          <w:spacing w:val="-45"/>
        </w:rPr>
        <w:t> </w:t>
      </w:r>
      <w:r>
        <w:rPr>
          <w:spacing w:val="-45"/>
        </w:rPr>
      </w:r>
      <w:r>
        <w:rPr>
          <w:spacing w:val="-2"/>
        </w:rPr>
        <w:t>得成本扣除已收回本金和已摊销金额、当前公允价值和原已计入损益的减值损失后的余额。</w:t>
      </w:r>
    </w:p>
    <w:p>
      <w:pPr>
        <w:pStyle w:val="BodyText"/>
        <w:spacing w:line="408" w:lineRule="auto" w:before="46"/>
        <w:ind w:right="0" w:firstLine="419"/>
        <w:jc w:val="left"/>
      </w:pPr>
      <w:r>
        <w:rPr>
          <w:spacing w:val="-4"/>
          <w:w w:val="100"/>
        </w:rPr>
        <w:t>对于已确认减值损失的可供出售债务工具，在随后的会计期间公允价值已上升且客观上</w:t>
      </w:r>
      <w:r>
        <w:rPr>
          <w:w w:val="100"/>
        </w:rPr>
        <w:t> </w:t>
      </w:r>
      <w:r>
        <w:rPr>
          <w:spacing w:val="-2"/>
        </w:rPr>
        <w:t>与确认原减值损失确认后发生的事项有关的，原确认的减值损失予以转回，计入当期损益。</w:t>
      </w:r>
      <w:r>
        <w:rPr>
          <w:spacing w:val="-31"/>
        </w:rPr>
        <w:t> </w:t>
      </w:r>
      <w:r>
        <w:rPr>
          <w:spacing w:val="-31"/>
        </w:rPr>
      </w:r>
      <w:r>
        <w:rPr/>
        <w:t>可供出售权益工具投资发生的减值损失，不通过损益转回。</w:t>
      </w:r>
    </w:p>
    <w:p>
      <w:pPr>
        <w:pStyle w:val="BodyText"/>
        <w:spacing w:line="408" w:lineRule="auto" w:before="46"/>
        <w:ind w:left="560" w:right="0"/>
        <w:jc w:val="left"/>
      </w:pPr>
      <w:r>
        <w:rPr/>
        <w:t>以成本计量的金融资产</w:t>
      </w:r>
      <w:r>
        <w:rPr>
          <w:w w:val="100"/>
        </w:rPr>
        <w:t> </w:t>
      </w:r>
      <w:r>
        <w:rPr>
          <w:spacing w:val="-4"/>
          <w:w w:val="100"/>
        </w:rPr>
        <w:t>在活跃市场中没有报价且其公允价值不能可靠计量的权益工具投资，或与该权益工具挂</w:t>
      </w:r>
    </w:p>
    <w:p>
      <w:pPr>
        <w:pStyle w:val="BodyText"/>
        <w:spacing w:line="408" w:lineRule="auto" w:before="46"/>
        <w:ind w:right="211"/>
        <w:jc w:val="both"/>
      </w:pPr>
      <w:r>
        <w:rPr>
          <w:spacing w:val="-5"/>
        </w:rPr>
        <w:t>钩并须通过交付该权益工具结算的衍生金融资产发生减值时，将该金融资产的账面价值，与</w:t>
      </w:r>
      <w:r>
        <w:rPr>
          <w:spacing w:val="-51"/>
        </w:rPr>
        <w:t> </w:t>
      </w:r>
      <w:r>
        <w:rPr>
          <w:spacing w:val="-51"/>
        </w:rPr>
      </w:r>
      <w:r>
        <w:rPr>
          <w:spacing w:val="-4"/>
          <w:w w:val="100"/>
        </w:rPr>
        <w:t>按照类似金融资产当时市场收益率对未来现金流量折现确定的现值之间的差额，确认为减值</w:t>
      </w:r>
      <w:r>
        <w:rPr>
          <w:spacing w:val="-94"/>
          <w:w w:val="100"/>
        </w:rPr>
        <w:t> </w:t>
      </w:r>
      <w:r>
        <w:rPr>
          <w:spacing w:val="-94"/>
          <w:w w:val="100"/>
        </w:rPr>
      </w:r>
      <w:r>
        <w:rPr/>
        <w:t>损失，计入当期损益。发生的减值损失一经确认，不得转回。</w:t>
      </w:r>
    </w:p>
    <w:p>
      <w:pPr>
        <w:spacing w:line="240" w:lineRule="auto" w:before="8"/>
        <w:rPr>
          <w:rFonts w:ascii="宋体" w:hAnsi="宋体" w:cs="宋体" w:eastAsia="宋体" w:hint="default"/>
          <w:sz w:val="20"/>
          <w:szCs w:val="20"/>
        </w:rPr>
      </w:pPr>
    </w:p>
    <w:p>
      <w:pPr>
        <w:pStyle w:val="Heading3"/>
        <w:spacing w:line="259" w:lineRule="auto"/>
        <w:ind w:right="214"/>
        <w:jc w:val="both"/>
        <w:rPr>
          <w:b w:val="0"/>
          <w:bCs w:val="0"/>
        </w:rPr>
      </w:pPr>
      <w:r>
        <w:rPr>
          <w:spacing w:val="-1"/>
        </w:rPr>
        <w:t>（</w:t>
      </w:r>
      <w:r>
        <w:rPr>
          <w:rFonts w:ascii="Times New Roman" w:hAnsi="Times New Roman" w:cs="Times New Roman" w:eastAsia="Times New Roman" w:hint="default"/>
          <w:spacing w:val="-1"/>
        </w:rPr>
        <w:t>7</w:t>
      </w:r>
      <w:r>
        <w:rPr>
          <w:spacing w:val="-1"/>
        </w:rPr>
        <w:t>）将尚未到期的持有至到期投资重分类为可供出售金融资产的，说明持有意图或能力发</w:t>
      </w:r>
      <w:r>
        <w:rPr>
          <w:spacing w:val="-90"/>
        </w:rPr>
        <w:t> </w:t>
      </w:r>
      <w:r>
        <w:rPr>
          <w:spacing w:val="-90"/>
        </w:rPr>
      </w:r>
      <w:r>
        <w:rPr/>
        <w:t>生改变的依据</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35"/>
        <w:ind w:left="560" w:right="0"/>
        <w:jc w:val="left"/>
      </w:pPr>
      <w:r>
        <w:rPr/>
        <w:t>无。</w:t>
      </w:r>
    </w:p>
    <w:p>
      <w:pPr>
        <w:spacing w:line="240" w:lineRule="auto" w:before="0"/>
        <w:rPr>
          <w:rFonts w:ascii="宋体" w:hAnsi="宋体" w:cs="宋体" w:eastAsia="宋体" w:hint="default"/>
          <w:sz w:val="20"/>
          <w:szCs w:val="20"/>
        </w:rPr>
      </w:pPr>
    </w:p>
    <w:p>
      <w:pPr>
        <w:spacing w:line="571" w:lineRule="auto" w:before="154"/>
        <w:ind w:left="560" w:right="2592" w:hanging="42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10</w:t>
      </w:r>
      <w:r>
        <w:rPr>
          <w:rFonts w:ascii="宋体" w:hAnsi="宋体" w:cs="宋体" w:eastAsia="宋体" w:hint="default"/>
          <w:b/>
          <w:bCs/>
          <w:spacing w:val="-1"/>
          <w:sz w:val="21"/>
          <w:szCs w:val="21"/>
        </w:rPr>
        <w:t>、应收款项坏账准备的确认标准和计提方法</w:t>
      </w:r>
      <w:r>
        <w:rPr>
          <w:rFonts w:ascii="宋体" w:hAnsi="宋体" w:cs="宋体" w:eastAsia="宋体" w:hint="default"/>
          <w:b/>
          <w:bCs/>
          <w:spacing w:val="-83"/>
          <w:sz w:val="21"/>
          <w:szCs w:val="21"/>
        </w:rPr>
        <w:t> </w:t>
      </w:r>
      <w:r>
        <w:rPr>
          <w:rFonts w:ascii="宋体" w:hAnsi="宋体" w:cs="宋体" w:eastAsia="宋体" w:hint="default"/>
          <w:b/>
          <w:bCs/>
          <w:spacing w:val="-83"/>
          <w:sz w:val="21"/>
          <w:szCs w:val="21"/>
        </w:rPr>
      </w:r>
      <w:r>
        <w:rPr>
          <w:rFonts w:ascii="宋体" w:hAnsi="宋体" w:cs="宋体" w:eastAsia="宋体" w:hint="default"/>
          <w:sz w:val="21"/>
          <w:szCs w:val="21"/>
        </w:rPr>
        <w:t>应收款项包括应收账款、其他应收款。</w:t>
      </w:r>
    </w:p>
    <w:p>
      <w:pPr>
        <w:pStyle w:val="Heading3"/>
        <w:spacing w:line="240" w:lineRule="auto" w:before="126"/>
        <w:ind w:right="0"/>
        <w:jc w:val="both"/>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7"/>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1613"/>
        <w:gridCol w:w="6753"/>
      </w:tblGrid>
      <w:tr>
        <w:trPr>
          <w:trHeight w:val="715" w:hRule="exact"/>
        </w:trPr>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37"/>
              <w:jc w:val="left"/>
              <w:rPr>
                <w:rFonts w:ascii="宋体" w:hAnsi="宋体" w:cs="宋体" w:eastAsia="宋体" w:hint="default"/>
                <w:sz w:val="18"/>
                <w:szCs w:val="18"/>
              </w:rPr>
            </w:pPr>
            <w:r>
              <w:rPr>
                <w:rFonts w:ascii="宋体" w:hAnsi="宋体" w:cs="宋体" w:eastAsia="宋体" w:hint="default"/>
                <w:sz w:val="18"/>
                <w:szCs w:val="18"/>
              </w:rPr>
              <w:t>单项金额重大的判 断依据或金额标准</w:t>
            </w:r>
          </w:p>
        </w:tc>
        <w:tc>
          <w:tcPr>
            <w:tcW w:w="6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将单个欠款单位金额在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万元）以上的应收账款或单个欠款单位金额</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万元（含</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万元）以上的其他应收款，确定为单项金额重大的应收款项。</w:t>
            </w:r>
          </w:p>
        </w:tc>
      </w:tr>
      <w:tr>
        <w:trPr>
          <w:trHeight w:val="1025" w:hRule="exact"/>
        </w:trPr>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37"/>
              <w:jc w:val="both"/>
              <w:rPr>
                <w:rFonts w:ascii="宋体" w:hAnsi="宋体" w:cs="宋体" w:eastAsia="宋体" w:hint="default"/>
                <w:sz w:val="18"/>
                <w:szCs w:val="18"/>
              </w:rPr>
            </w:pPr>
            <w:r>
              <w:rPr>
                <w:rFonts w:ascii="宋体" w:hAnsi="宋体" w:cs="宋体" w:eastAsia="宋体" w:hint="default"/>
                <w:sz w:val="18"/>
                <w:szCs w:val="18"/>
              </w:rPr>
              <w:t>单项金额重大并单 项计提坏账准备的 计提方法</w:t>
            </w:r>
          </w:p>
        </w:tc>
        <w:tc>
          <w:tcPr>
            <w:tcW w:w="67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59"/>
              <w:jc w:val="both"/>
              <w:rPr>
                <w:rFonts w:ascii="宋体" w:hAnsi="宋体" w:cs="宋体" w:eastAsia="宋体" w:hint="default"/>
                <w:sz w:val="18"/>
                <w:szCs w:val="18"/>
              </w:rPr>
            </w:pPr>
            <w:r>
              <w:rPr>
                <w:rFonts w:ascii="宋体" w:hAnsi="宋体" w:cs="宋体" w:eastAsia="宋体" w:hint="default"/>
                <w:sz w:val="18"/>
                <w:szCs w:val="18"/>
              </w:rPr>
              <w:t>对于单项金额重大的应收款项单独进行减值测试，有客观证据表明发生了减值，根据 其未来现金流量现值低于其账面价值的差额计提坏账准备。单项金额重大经单独测试 未发生减值的应收款项，再按组合计提坏账准备。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2273"/>
        <w:gridCol w:w="1910"/>
        <w:gridCol w:w="4182"/>
      </w:tblGrid>
      <w:tr>
        <w:trPr>
          <w:trHeight w:val="71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0" w:right="48" w:hanging="540"/>
              <w:jc w:val="left"/>
              <w:rPr>
                <w:rFonts w:ascii="宋体" w:hAnsi="宋体" w:cs="宋体" w:eastAsia="宋体" w:hint="default"/>
                <w:sz w:val="18"/>
                <w:szCs w:val="18"/>
              </w:rPr>
            </w:pPr>
            <w:r>
              <w:rPr>
                <w:rFonts w:ascii="宋体" w:hAnsi="宋体" w:cs="宋体" w:eastAsia="宋体" w:hint="default"/>
                <w:sz w:val="18"/>
                <w:szCs w:val="18"/>
              </w:rPr>
              <w:t>按组合计提坏账准备的 计提方法</w:t>
            </w:r>
          </w:p>
        </w:tc>
        <w:tc>
          <w:tcPr>
            <w:tcW w:w="4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信用风险较小</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款项性质</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销售货款及其他</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账龄状态</w:t>
            </w:r>
          </w:p>
        </w:tc>
      </w:tr>
    </w:tbl>
    <w:p>
      <w:pPr>
        <w:spacing w:before="49"/>
        <w:ind w:left="140"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1227" w:top="1100" w:bottom="1420" w:left="1660" w:right="1580"/>
        </w:sectPr>
      </w:pPr>
    </w:p>
    <w:p>
      <w:pPr>
        <w:spacing w:line="240" w:lineRule="auto" w:before="8"/>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2261"/>
        <w:gridCol w:w="2612"/>
        <w:gridCol w:w="3493"/>
      </w:tblGrid>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w:t>
            </w:r>
          </w:p>
        </w:tc>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w:t>
            </w:r>
          </w:p>
        </w:tc>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w:t>
            </w:r>
          </w:p>
        </w:tc>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w:t>
            </w:r>
          </w:p>
        </w:tc>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w:t>
            </w:r>
          </w:p>
        </w:tc>
      </w:tr>
    </w:tbl>
    <w:p>
      <w:pPr>
        <w:spacing w:before="49"/>
        <w:ind w:left="140" w:right="12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5"/>
        <w:ind w:left="140" w:right="542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w:t>
      </w:r>
    </w:p>
    <w:p>
      <w:pPr>
        <w:spacing w:before="41"/>
        <w:ind w:left="140" w:right="1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3437"/>
        <w:gridCol w:w="492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方法说明</w:t>
            </w:r>
          </w:p>
        </w:tc>
      </w:tr>
      <w:tr>
        <w:trPr>
          <w:trHeight w:val="401"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员工暂借款</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不计提坏账准备</w:t>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应收退税款</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不计提坏账准备</w:t>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合并范围内应收款项</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不计提坏账准备</w:t>
            </w:r>
          </w:p>
        </w:tc>
      </w:tr>
    </w:tbl>
    <w:p>
      <w:pPr>
        <w:spacing w:line="240" w:lineRule="auto" w:before="3"/>
        <w:rPr>
          <w:rFonts w:ascii="宋体" w:hAnsi="宋体" w:cs="宋体" w:eastAsia="宋体" w:hint="default"/>
          <w:sz w:val="19"/>
          <w:szCs w:val="19"/>
        </w:rPr>
      </w:pPr>
    </w:p>
    <w:p>
      <w:pPr>
        <w:pStyle w:val="Heading3"/>
        <w:spacing w:line="240" w:lineRule="auto" w:before="36"/>
        <w:ind w:right="120"/>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7"/>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2158"/>
        <w:gridCol w:w="6207"/>
      </w:tblGrid>
      <w:tr>
        <w:trPr>
          <w:trHeight w:val="716" w:hRule="exact"/>
        </w:trPr>
        <w:tc>
          <w:tcPr>
            <w:tcW w:w="21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单个欠款单位金额在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万元以下，但有证据表明难以收回的应收账款或单个</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欠款单位金额在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万元以下，但有证据表明难以收回的其他应收款</w:t>
            </w:r>
          </w:p>
        </w:tc>
      </w:tr>
      <w:tr>
        <w:trPr>
          <w:trHeight w:val="401" w:hRule="exact"/>
        </w:trPr>
        <w:tc>
          <w:tcPr>
            <w:tcW w:w="21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120"/>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10"/>
        <w:rPr>
          <w:rFonts w:ascii="宋体" w:hAnsi="宋体" w:cs="宋体" w:eastAsia="宋体" w:hint="default"/>
          <w:b/>
          <w:bCs/>
          <w:sz w:val="24"/>
          <w:szCs w:val="24"/>
        </w:rPr>
      </w:pPr>
    </w:p>
    <w:p>
      <w:pPr>
        <w:pStyle w:val="BodyText"/>
        <w:spacing w:line="568" w:lineRule="auto"/>
        <w:ind w:left="560" w:right="120" w:hanging="420"/>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）存货的分类</w:t>
      </w:r>
      <w:r>
        <w:rPr>
          <w:rFonts w:ascii="宋体" w:hAnsi="宋体" w:cs="宋体" w:eastAsia="宋体" w:hint="default"/>
          <w:b/>
          <w:bCs/>
          <w:spacing w:val="-104"/>
        </w:rPr>
        <w:t> </w:t>
      </w:r>
      <w:r>
        <w:rPr>
          <w:spacing w:val="-2"/>
        </w:rPr>
        <w:t>本公司存货分为原材料、委托加工材料、周转材料、在产品、库存商品、发出商品等。</w:t>
      </w:r>
    </w:p>
    <w:p>
      <w:pPr>
        <w:pStyle w:val="Heading3"/>
        <w:spacing w:line="240" w:lineRule="auto" w:before="128"/>
        <w:ind w:right="120"/>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9"/>
        <w:rPr>
          <w:rFonts w:ascii="宋体" w:hAnsi="宋体" w:cs="宋体" w:eastAsia="宋体" w:hint="default"/>
          <w:b/>
          <w:bCs/>
          <w:sz w:val="30"/>
          <w:szCs w:val="30"/>
        </w:rPr>
      </w:pPr>
    </w:p>
    <w:p>
      <w:pPr>
        <w:pStyle w:val="BodyText"/>
        <w:spacing w:line="408" w:lineRule="auto"/>
        <w:ind w:left="560" w:right="120"/>
        <w:jc w:val="left"/>
      </w:pPr>
      <w:r>
        <w:rPr/>
        <w:t>计价方法：加权平均法</w:t>
      </w:r>
      <w:r>
        <w:rPr>
          <w:w w:val="100"/>
        </w:rPr>
        <w:t> </w:t>
      </w:r>
      <w:r>
        <w:rPr>
          <w:spacing w:val="-4"/>
        </w:rPr>
        <w:t>本公司存货取得时按实际成本计价。原材料、在产品、库存商品、发出商品等发出时采</w:t>
      </w:r>
    </w:p>
    <w:p>
      <w:pPr>
        <w:pStyle w:val="BodyText"/>
        <w:spacing w:line="240" w:lineRule="auto" w:before="46"/>
        <w:ind w:right="120"/>
        <w:jc w:val="left"/>
      </w:pPr>
      <w:r>
        <w:rPr/>
        <w:t>用加权平均法计价。</w:t>
      </w:r>
    </w:p>
    <w:p>
      <w:pPr>
        <w:spacing w:after="0" w:line="240" w:lineRule="auto"/>
        <w:jc w:val="left"/>
        <w:sectPr>
          <w:pgSz w:w="11910" w:h="16840"/>
          <w:pgMar w:header="877" w:footer="1227" w:top="1100" w:bottom="1420" w:left="1660" w:right="160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31" w:firstLine="736"/>
        <w:jc w:val="both"/>
      </w:pPr>
      <w:r>
        <w:rPr>
          <w:spacing w:val="-2"/>
        </w:rPr>
        <w:t>存货可变现净值是按存货的估计售价减去至完工时估计将要发生的成本、估计的销</w:t>
      </w:r>
      <w:r>
        <w:rPr>
          <w:w w:val="100"/>
        </w:rPr>
        <w:t> </w:t>
      </w:r>
      <w:r>
        <w:rPr>
          <w:spacing w:val="-4"/>
        </w:rPr>
        <w:t>售费用以及相关税费后的金额。在确定存货的可变现净值时，以取得的确凿证据为基础，同</w:t>
      </w:r>
      <w:r>
        <w:rPr>
          <w:spacing w:val="-46"/>
        </w:rPr>
        <w:t> </w:t>
      </w:r>
      <w:r>
        <w:rPr>
          <w:spacing w:val="-46"/>
        </w:rPr>
      </w:r>
      <w:r>
        <w:rPr/>
        <w:t>时考虑持有存货的目的以及资产负债表日后事项的影响。</w:t>
      </w:r>
    </w:p>
    <w:p>
      <w:pPr>
        <w:pStyle w:val="BodyText"/>
        <w:spacing w:line="408" w:lineRule="auto" w:before="46"/>
        <w:ind w:right="131" w:firstLine="736"/>
        <w:jc w:val="both"/>
      </w:pPr>
      <w:r>
        <w:rPr>
          <w:spacing w:val="-2"/>
        </w:rPr>
        <w:t>资产负债表日，存货成本高于其可变现净值的，计提存货跌价准备。本公司通常按</w:t>
      </w:r>
      <w:r>
        <w:rPr>
          <w:w w:val="100"/>
        </w:rPr>
        <w:t> </w:t>
      </w:r>
      <w:r>
        <w:rPr>
          <w:spacing w:val="-4"/>
        </w:rPr>
        <w:t>照单个存货项目计提存货跌价准备，资产负债表日，以前减记存货价值的影响因素已经消失</w:t>
      </w:r>
      <w:r>
        <w:rPr>
          <w:spacing w:val="-44"/>
        </w:rPr>
        <w:t> </w:t>
      </w:r>
      <w:r>
        <w:rPr>
          <w:spacing w:val="-44"/>
        </w:rPr>
      </w:r>
      <w:r>
        <w:rPr/>
        <w:t>的，存货跌价准备在原已计提的金额内转回。</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left="560" w:right="3048"/>
        <w:jc w:val="left"/>
      </w:pPr>
      <w:r>
        <w:rPr/>
        <w:t>盘存制度：永续盘存制</w:t>
      </w:r>
      <w:r>
        <w:rPr>
          <w:w w:val="100"/>
        </w:rPr>
        <w:t> </w:t>
      </w:r>
      <w:r>
        <w:rPr>
          <w:spacing w:val="-2"/>
        </w:rPr>
        <w:t>本公司存货盘存制度采用永续盘存制。</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left="560" w:right="5804"/>
        <w:jc w:val="left"/>
      </w:pPr>
      <w:r>
        <w:rPr/>
        <w:t>低值易耗品</w:t>
      </w:r>
      <w:r>
        <w:rPr>
          <w:spacing w:val="-102"/>
        </w:rPr>
        <w:t> </w:t>
      </w:r>
      <w:r>
        <w:rPr>
          <w:spacing w:val="-102"/>
        </w:rPr>
      </w:r>
      <w:r>
        <w:rPr>
          <w:spacing w:val="-2"/>
        </w:rPr>
        <w:t>摊销方法：一次摊销法</w:t>
      </w:r>
    </w:p>
    <w:p>
      <w:pPr>
        <w:pStyle w:val="BodyText"/>
        <w:spacing w:line="408" w:lineRule="auto" w:before="46"/>
        <w:ind w:left="560" w:right="3048"/>
        <w:jc w:val="left"/>
      </w:pPr>
      <w:r>
        <w:rPr>
          <w:spacing w:val="-2"/>
        </w:rPr>
        <w:t>本公司低值易耗品领用时采用一次转销法摊销。</w:t>
      </w:r>
      <w:r>
        <w:rPr>
          <w:spacing w:val="-65"/>
        </w:rPr>
        <w:t> </w:t>
      </w:r>
      <w:r>
        <w:rPr>
          <w:spacing w:val="-65"/>
        </w:rPr>
      </w:r>
      <w:r>
        <w:rPr/>
        <w:t>包装物</w:t>
      </w:r>
    </w:p>
    <w:p>
      <w:pPr>
        <w:pStyle w:val="BodyText"/>
        <w:spacing w:line="240" w:lineRule="auto" w:before="46"/>
        <w:ind w:left="560" w:right="0"/>
        <w:jc w:val="left"/>
      </w:pPr>
      <w:r>
        <w:rPr/>
        <w:t>摊销方法：一次摊销法</w:t>
      </w:r>
    </w:p>
    <w:p>
      <w:pPr>
        <w:spacing w:line="240" w:lineRule="auto" w:before="0"/>
        <w:rPr>
          <w:rFonts w:ascii="宋体" w:hAnsi="宋体" w:cs="宋体" w:eastAsia="宋体" w:hint="default"/>
          <w:sz w:val="20"/>
          <w:szCs w:val="20"/>
        </w:rPr>
      </w:pPr>
    </w:p>
    <w:p>
      <w:pPr>
        <w:pStyle w:val="Heading3"/>
        <w:spacing w:line="240" w:lineRule="auto" w:before="154"/>
        <w:ind w:right="0"/>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31" w:firstLine="631"/>
        <w:jc w:val="both"/>
      </w:pPr>
      <w:r>
        <w:rPr>
          <w:spacing w:val="-4"/>
          <w:w w:val="100"/>
        </w:rPr>
        <w:t>本公司长期股权投资在取得时按投资成本计量。投资成本一般为取得该项投资而付出</w:t>
      </w:r>
      <w:r>
        <w:rPr>
          <w:w w:val="100"/>
        </w:rPr>
        <w:t> </w:t>
      </w:r>
      <w:r>
        <w:rPr>
          <w:spacing w:val="-4"/>
        </w:rPr>
        <w:t>的资产、发生或承担的负债以及发行的权益性证券的公允价值，并包括直接相关费用。但同</w:t>
      </w:r>
      <w:r>
        <w:rPr>
          <w:spacing w:val="-45"/>
        </w:rPr>
        <w:t> </w:t>
      </w:r>
      <w:r>
        <w:rPr>
          <w:spacing w:val="-45"/>
        </w:rPr>
      </w:r>
      <w:r>
        <w:rPr>
          <w:spacing w:val="-4"/>
          <w:w w:val="100"/>
        </w:rPr>
        <w:t>一控制下的企业合并形成的长期股权投资，其投资成本为合并日取得的被合并方所有者权益</w:t>
      </w:r>
      <w:r>
        <w:rPr>
          <w:spacing w:val="-94"/>
          <w:w w:val="100"/>
        </w:rPr>
        <w:t> </w:t>
      </w:r>
      <w:r>
        <w:rPr>
          <w:spacing w:val="-94"/>
          <w:w w:val="100"/>
        </w:rPr>
      </w:r>
      <w:r>
        <w:rPr/>
        <w:t>的账面价值份额。</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0" w:firstLine="419"/>
        <w:jc w:val="left"/>
      </w:pPr>
      <w:r>
        <w:rPr>
          <w:spacing w:val="-4"/>
          <w:w w:val="100"/>
        </w:rPr>
        <w:t>本公司能够对被投资单位实施控制的长期股权投资，以及对被投资单位不具有共同控制</w:t>
      </w:r>
      <w:r>
        <w:rPr>
          <w:w w:val="100"/>
        </w:rPr>
        <w:t> </w:t>
      </w:r>
      <w:r>
        <w:rPr>
          <w:spacing w:val="-4"/>
        </w:rPr>
        <w:t>或重大影响，且在活跃市场中没有报价、公允价值不能可靠计量的长期股权投资采用成本法</w:t>
      </w:r>
    </w:p>
    <w:p>
      <w:pPr>
        <w:spacing w:after="0" w:line="408" w:lineRule="auto"/>
        <w:jc w:val="left"/>
        <w:sectPr>
          <w:pgSz w:w="11910" w:h="16840"/>
          <w:pgMar w:header="877" w:footer="1227" w:top="1100" w:bottom="1420" w:left="1660" w:right="1660"/>
        </w:sectPr>
      </w:pPr>
    </w:p>
    <w:p>
      <w:pPr>
        <w:spacing w:line="240" w:lineRule="auto" w:before="9"/>
        <w:rPr>
          <w:rFonts w:ascii="宋体" w:hAnsi="宋体" w:cs="宋体" w:eastAsia="宋体" w:hint="default"/>
          <w:sz w:val="26"/>
          <w:szCs w:val="26"/>
        </w:rPr>
      </w:pPr>
    </w:p>
    <w:p>
      <w:pPr>
        <w:pStyle w:val="BodyText"/>
        <w:spacing w:line="408" w:lineRule="auto" w:before="36"/>
        <w:ind w:left="560" w:right="0" w:hanging="420"/>
        <w:jc w:val="left"/>
      </w:pPr>
      <w:r>
        <w:rPr/>
        <w:t>核算；对被投资单位具有共同控制或重大影响的长期股权投资，采用权益法核算。</w:t>
      </w:r>
      <w:r>
        <w:rPr>
          <w:w w:val="100"/>
        </w:rPr>
        <w:t> </w:t>
      </w:r>
      <w:r>
        <w:rPr>
          <w:spacing w:val="-4"/>
          <w:w w:val="100"/>
        </w:rPr>
        <w:t>采用成本法核算的长期股权投资，除取得投资时实际支付的价款或对价中包含的已宣告</w:t>
      </w:r>
    </w:p>
    <w:p>
      <w:pPr>
        <w:pStyle w:val="BodyText"/>
        <w:spacing w:line="408" w:lineRule="auto" w:before="46"/>
        <w:ind w:right="0"/>
        <w:jc w:val="left"/>
      </w:pPr>
      <w:r>
        <w:rPr>
          <w:spacing w:val="-4"/>
        </w:rPr>
        <w:t>但尚未发放的现金股利或利润外，被投资单位宣告分派的现金股利或利润，确认为投资收益</w:t>
      </w:r>
      <w:r>
        <w:rPr>
          <w:spacing w:val="-44"/>
        </w:rPr>
        <w:t> </w:t>
      </w:r>
      <w:r>
        <w:rPr>
          <w:spacing w:val="-44"/>
        </w:rPr>
      </w:r>
      <w:r>
        <w:rPr/>
        <w:t>计入当期损益。</w:t>
      </w:r>
    </w:p>
    <w:p>
      <w:pPr>
        <w:pStyle w:val="BodyText"/>
        <w:spacing w:line="408" w:lineRule="auto" w:before="46"/>
        <w:ind w:right="131" w:firstLine="419"/>
        <w:jc w:val="both"/>
      </w:pPr>
      <w:r>
        <w:rPr>
          <w:spacing w:val="-4"/>
          <w:w w:val="100"/>
        </w:rPr>
        <w:t>本公司长期股权投资采用权益法核算时，对长期股权投资的投资成本大于投资时应享有</w:t>
      </w:r>
      <w:r>
        <w:rPr>
          <w:w w:val="100"/>
        </w:rPr>
        <w:t> </w:t>
      </w:r>
      <w:r>
        <w:rPr>
          <w:spacing w:val="-4"/>
        </w:rPr>
        <w:t>被投资单位可辨认净资产公允价值份额的，不调整长期股权投资的投资成本；对长期股权投</w:t>
      </w:r>
      <w:r>
        <w:rPr>
          <w:spacing w:val="-44"/>
        </w:rPr>
        <w:t> </w:t>
      </w:r>
      <w:r>
        <w:rPr>
          <w:spacing w:val="-44"/>
        </w:rPr>
      </w:r>
      <w:r>
        <w:rPr>
          <w:spacing w:val="-4"/>
          <w:w w:val="100"/>
        </w:rPr>
        <w:t>资的投资成本小于投资时应享有被投资单位可辨认净资产公允价值份额的，对长期股权投资</w:t>
      </w:r>
      <w:r>
        <w:rPr>
          <w:spacing w:val="-94"/>
          <w:w w:val="100"/>
        </w:rPr>
        <w:t> </w:t>
      </w:r>
      <w:r>
        <w:rPr>
          <w:spacing w:val="-94"/>
          <w:w w:val="100"/>
        </w:rPr>
      </w:r>
      <w:r>
        <w:rPr/>
        <w:t>的账面价值进行调整，差额计入投资当期的损益。</w:t>
      </w:r>
    </w:p>
    <w:p>
      <w:pPr>
        <w:pStyle w:val="BodyText"/>
        <w:spacing w:line="408" w:lineRule="auto" w:before="46"/>
        <w:ind w:right="131" w:firstLine="419"/>
        <w:jc w:val="both"/>
      </w:pPr>
      <w:r>
        <w:rPr>
          <w:spacing w:val="-4"/>
          <w:w w:val="100"/>
        </w:rPr>
        <w:t>本公司在按权益法对长期股权投资进行核算时，先对被投资单位的净利润进行取得投资</w:t>
      </w:r>
      <w:r>
        <w:rPr>
          <w:w w:val="100"/>
        </w:rPr>
        <w:t> </w:t>
      </w:r>
      <w:r>
        <w:rPr>
          <w:spacing w:val="-4"/>
        </w:rPr>
        <w:t>时被投资单位各项可辨认资产等的公允价值、会计政策和会计期间方面的调整，再按应享有</w:t>
      </w:r>
      <w:r>
        <w:rPr>
          <w:spacing w:val="-44"/>
        </w:rPr>
        <w:t> </w:t>
      </w:r>
      <w:r>
        <w:rPr>
          <w:spacing w:val="-44"/>
        </w:rPr>
      </w:r>
      <w:r>
        <w:rPr/>
        <w:t>或应分担的被投资单位的净损益份额确认当期投资损益。</w:t>
      </w:r>
    </w:p>
    <w:p>
      <w:pPr>
        <w:pStyle w:val="BodyText"/>
        <w:spacing w:line="408" w:lineRule="auto" w:before="46"/>
        <w:ind w:right="0" w:firstLine="419"/>
        <w:jc w:val="left"/>
      </w:pPr>
      <w:r>
        <w:rPr>
          <w:spacing w:val="-2"/>
        </w:rPr>
        <w:t>本公司与联营企业及合营企业之间发生的未实现内部交易损益按照持股比例计算归属</w:t>
      </w:r>
      <w:r>
        <w:rPr>
          <w:w w:val="100"/>
        </w:rPr>
        <w:t> </w:t>
      </w:r>
      <w:r>
        <w:rPr/>
        <w:t>于本公司的部分，在抵销基础上确认投资损益。</w:t>
      </w:r>
    </w:p>
    <w:p>
      <w:pPr>
        <w:pStyle w:val="BodyText"/>
        <w:spacing w:line="398" w:lineRule="auto" w:before="46"/>
        <w:ind w:right="131" w:firstLine="419"/>
        <w:jc w:val="both"/>
      </w:pPr>
      <w:r>
        <w:rPr>
          <w:spacing w:val="-4"/>
          <w:w w:val="100"/>
        </w:rPr>
        <w:t>对于</w:t>
      </w:r>
      <w:r>
        <w:rPr>
          <w:rFonts w:ascii="Times New Roman" w:hAnsi="Times New Roman" w:cs="Times New Roman" w:eastAsia="Times New Roman" w:hint="default"/>
          <w:spacing w:val="-4"/>
          <w:w w:val="100"/>
        </w:rPr>
        <w:t>2007</w:t>
      </w:r>
      <w:r>
        <w:rPr>
          <w:spacing w:val="-4"/>
          <w:w w:val="100"/>
        </w:rPr>
        <w:t>年</w:t>
      </w:r>
      <w:r>
        <w:rPr>
          <w:rFonts w:ascii="Times New Roman" w:hAnsi="Times New Roman" w:cs="Times New Roman" w:eastAsia="Times New Roman" w:hint="default"/>
          <w:spacing w:val="-4"/>
          <w:w w:val="100"/>
        </w:rPr>
        <w:t>1</w:t>
      </w:r>
      <w:r>
        <w:rPr>
          <w:spacing w:val="-4"/>
          <w:w w:val="100"/>
        </w:rPr>
        <w:t>月</w:t>
      </w:r>
      <w:r>
        <w:rPr>
          <w:rFonts w:ascii="Times New Roman" w:hAnsi="Times New Roman" w:cs="Times New Roman" w:eastAsia="Times New Roman" w:hint="default"/>
          <w:spacing w:val="-4"/>
          <w:w w:val="100"/>
        </w:rPr>
        <w:t>1</w:t>
      </w:r>
      <w:r>
        <w:rPr>
          <w:spacing w:val="-4"/>
          <w:w w:val="100"/>
        </w:rPr>
        <w:t>日之前已经持有的对联营企业及合营企业的长期股权投资，如存在与该</w:t>
      </w:r>
      <w:r>
        <w:rPr>
          <w:w w:val="100"/>
        </w:rPr>
        <w:t> </w:t>
      </w:r>
      <w:r>
        <w:rPr>
          <w:spacing w:val="-4"/>
        </w:rPr>
        <w:t>投资相关的股权投资借方差额，在扣除按原剩余期限直线法摊销的股权投资借方差额后，确</w:t>
      </w:r>
      <w:r>
        <w:rPr>
          <w:spacing w:val="-44"/>
        </w:rPr>
        <w:t> </w:t>
      </w:r>
      <w:r>
        <w:rPr>
          <w:spacing w:val="-44"/>
        </w:rPr>
      </w:r>
      <w:r>
        <w:rPr/>
        <w:t>认投资损益。</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131" w:firstLine="419"/>
        <w:jc w:val="both"/>
      </w:pPr>
      <w:r>
        <w:rPr>
          <w:spacing w:val="-4"/>
          <w:w w:val="100"/>
        </w:rPr>
        <w:t>共同控制是指按照合同约定对某项经济活动所共有的控制，仅在与该项经济活动相关的</w:t>
      </w:r>
      <w:r>
        <w:rPr>
          <w:w w:val="100"/>
        </w:rPr>
        <w:t> </w:t>
      </w:r>
      <w:r>
        <w:rPr>
          <w:spacing w:val="-4"/>
        </w:rPr>
        <w:t>重要财务和经营决策需要分享控制权的投资方一致同意时存在。其中，控制是指有权决定一</w:t>
      </w:r>
      <w:r>
        <w:rPr>
          <w:spacing w:val="-44"/>
        </w:rPr>
        <w:t> </w:t>
      </w:r>
      <w:r>
        <w:rPr>
          <w:spacing w:val="-44"/>
        </w:rPr>
      </w:r>
      <w:r>
        <w:rPr>
          <w:spacing w:val="-4"/>
        </w:rPr>
        <w:t>个企业的财务和经营政策，并能据以从该企业的经营活动中获取利益。重大影响是指对一个</w:t>
      </w:r>
      <w:r>
        <w:rPr>
          <w:spacing w:val="-44"/>
        </w:rPr>
        <w:t> </w:t>
      </w:r>
      <w:r>
        <w:rPr>
          <w:spacing w:val="-44"/>
        </w:rPr>
      </w:r>
      <w:r>
        <w:rPr>
          <w:spacing w:val="-4"/>
          <w:w w:val="100"/>
        </w:rPr>
        <w:t>企业的财务和经营政策有参与决策的权力，但并不能够控制或者与其他方一起共同控制这些</w:t>
      </w:r>
      <w:r>
        <w:rPr>
          <w:spacing w:val="-94"/>
          <w:w w:val="100"/>
        </w:rPr>
        <w:t> </w:t>
      </w:r>
      <w:r>
        <w:rPr>
          <w:spacing w:val="-94"/>
          <w:w w:val="100"/>
        </w:rPr>
      </w:r>
      <w:r>
        <w:rPr>
          <w:spacing w:val="-4"/>
        </w:rPr>
        <w:t>政策的制定。在确定能否对被投资单位实施控制或施加重大影响时，已考虑投资企业和其他</w:t>
      </w:r>
      <w:r>
        <w:rPr>
          <w:spacing w:val="-44"/>
        </w:rPr>
        <w:t> </w:t>
      </w:r>
      <w:r>
        <w:rPr>
          <w:spacing w:val="-44"/>
        </w:rPr>
      </w:r>
      <w:r>
        <w:rPr/>
        <w:t>方持有的被投资单位当期可转换公司债券、当期可执行认股权证等潜在表决权因素。</w:t>
      </w:r>
    </w:p>
    <w:p>
      <w:pPr>
        <w:pStyle w:val="BodyText"/>
        <w:spacing w:line="398" w:lineRule="auto" w:before="46"/>
        <w:ind w:right="131" w:firstLine="419"/>
        <w:jc w:val="both"/>
      </w:pPr>
      <w:r>
        <w:rPr>
          <w:spacing w:val="-2"/>
        </w:rPr>
        <w:t>当本公司直接或通过子公司间接拥有被投资单位</w:t>
      </w:r>
      <w:r>
        <w:rPr>
          <w:rFonts w:ascii="Times New Roman" w:hAnsi="Times New Roman" w:cs="Times New Roman" w:eastAsia="Times New Roman" w:hint="default"/>
          <w:spacing w:val="-2"/>
        </w:rPr>
        <w:t>20%</w:t>
      </w:r>
      <w:r>
        <w:rPr>
          <w:spacing w:val="-2"/>
        </w:rPr>
        <w:t>（含</w:t>
      </w:r>
      <w:r>
        <w:rPr>
          <w:rFonts w:ascii="Times New Roman" w:hAnsi="Times New Roman" w:cs="Times New Roman" w:eastAsia="Times New Roman" w:hint="default"/>
          <w:spacing w:val="-2"/>
        </w:rPr>
        <w:t>20%</w:t>
      </w:r>
      <w:r>
        <w:rPr>
          <w:spacing w:val="-2"/>
        </w:rPr>
        <w:t>）以上但低于</w:t>
      </w:r>
      <w:r>
        <w:rPr>
          <w:rFonts w:ascii="Times New Roman" w:hAnsi="Times New Roman" w:cs="Times New Roman" w:eastAsia="Times New Roman" w:hint="default"/>
          <w:spacing w:val="-2"/>
        </w:rPr>
        <w:t>50%</w:t>
      </w:r>
      <w:r>
        <w:rPr>
          <w:spacing w:val="-2"/>
        </w:rPr>
        <w:t>的表决</w:t>
      </w:r>
      <w:r>
        <w:rPr>
          <w:w w:val="100"/>
        </w:rPr>
        <w:t> </w:t>
      </w:r>
      <w:r>
        <w:rPr>
          <w:spacing w:val="-4"/>
        </w:rPr>
        <w:t>权股份时，除非有明确证据表明该种情况下不能参与被投资单位的生产经营决策，不形成重</w:t>
      </w:r>
      <w:r>
        <w:rPr>
          <w:spacing w:val="-44"/>
        </w:rPr>
        <w:t> </w:t>
      </w:r>
      <w:r>
        <w:rPr>
          <w:spacing w:val="-44"/>
        </w:rPr>
      </w:r>
      <w:r>
        <w:rPr>
          <w:spacing w:val="-3"/>
        </w:rPr>
        <w:t>大影响外，均确定对被投资单位具有重大影响；本公司拥有被投资单位</w:t>
      </w:r>
      <w:r>
        <w:rPr>
          <w:rFonts w:ascii="Times New Roman" w:hAnsi="Times New Roman" w:cs="Times New Roman" w:eastAsia="Times New Roman" w:hint="default"/>
          <w:spacing w:val="-3"/>
        </w:rPr>
        <w:t>20%</w:t>
      </w:r>
      <w:r>
        <w:rPr>
          <w:spacing w:val="-3"/>
        </w:rPr>
        <w:t>（不含）以下的</w:t>
      </w:r>
      <w:r>
        <w:rPr>
          <w:spacing w:val="-52"/>
        </w:rPr>
        <w:t> </w:t>
      </w:r>
      <w:r>
        <w:rPr>
          <w:spacing w:val="-52"/>
        </w:rPr>
      </w:r>
      <w:r>
        <w:rPr>
          <w:spacing w:val="-4"/>
        </w:rPr>
        <w:t>表决权股份，一般不认为对被投资单位具有重大影响，除非有明确证据表明该种情况下能够</w:t>
      </w:r>
      <w:r>
        <w:rPr>
          <w:spacing w:val="-44"/>
        </w:rPr>
        <w:t> </w:t>
      </w:r>
      <w:r>
        <w:rPr>
          <w:spacing w:val="-44"/>
        </w:rPr>
      </w:r>
      <w:r>
        <w:rPr/>
        <w:t>参与被投资单位的生产经营决策，形成重大影响。</w:t>
      </w:r>
    </w:p>
    <w:p>
      <w:pPr>
        <w:spacing w:after="0" w:line="398" w:lineRule="auto"/>
        <w:jc w:val="both"/>
        <w:sectPr>
          <w:footerReference w:type="default" r:id="rId67"/>
          <w:pgSz w:w="11910" w:h="16840"/>
          <w:pgMar w:footer="1227" w:header="877" w:top="1100" w:bottom="1420" w:left="1660" w:right="166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51" w:firstLine="419"/>
        <w:jc w:val="both"/>
      </w:pPr>
      <w:r>
        <w:rPr>
          <w:spacing w:val="-4"/>
          <w:w w:val="100"/>
        </w:rPr>
        <w:t>资产负债表日，若因市价持续下跌或被投资单位经营状况恶化等原因使长期股权投资存</w:t>
      </w:r>
      <w:r>
        <w:rPr>
          <w:w w:val="100"/>
        </w:rPr>
        <w:t> </w:t>
      </w:r>
      <w:r>
        <w:rPr>
          <w:spacing w:val="-4"/>
          <w:w w:val="100"/>
        </w:rPr>
        <w:t>在减值迹象时，根据单项长期股权投资的公允价值减去处置费用后的净额与长期股权投资预</w:t>
      </w:r>
      <w:r>
        <w:rPr>
          <w:spacing w:val="-94"/>
          <w:w w:val="100"/>
        </w:rPr>
        <w:t> </w:t>
      </w:r>
      <w:r>
        <w:rPr>
          <w:spacing w:val="-94"/>
          <w:w w:val="100"/>
        </w:rPr>
      </w:r>
      <w:r>
        <w:rPr>
          <w:spacing w:val="-4"/>
          <w:w w:val="100"/>
        </w:rPr>
        <w:t>计未来现金流量的现值两者之间较高者确定长期股权投资的可收回金额。长期股权投资的可</w:t>
      </w:r>
      <w:r>
        <w:rPr>
          <w:spacing w:val="-94"/>
          <w:w w:val="100"/>
        </w:rPr>
        <w:t> </w:t>
      </w:r>
      <w:r>
        <w:rPr>
          <w:spacing w:val="-94"/>
          <w:w w:val="100"/>
        </w:rPr>
      </w:r>
      <w:r>
        <w:rPr>
          <w:spacing w:val="-4"/>
        </w:rPr>
        <w:t>收回金额低于账面价值时，将资产的账面价值减记至可收回金额，减记的金额确认为资产减</w:t>
      </w:r>
      <w:r>
        <w:rPr>
          <w:spacing w:val="-44"/>
        </w:rPr>
        <w:t> </w:t>
      </w:r>
      <w:r>
        <w:rPr>
          <w:spacing w:val="-44"/>
        </w:rPr>
      </w:r>
      <w:r>
        <w:rPr/>
        <w:t>值损失，计入当期损益，同时计提相应的资产减值准备。</w:t>
      </w:r>
    </w:p>
    <w:p>
      <w:pPr>
        <w:pStyle w:val="BodyText"/>
        <w:spacing w:line="240" w:lineRule="auto" w:before="46"/>
        <w:ind w:left="560" w:right="0"/>
        <w:jc w:val="left"/>
      </w:pPr>
      <w:r>
        <w:rPr/>
        <w:t>长期股权投资减值损失一经确认，在以后会计期间不再转回。</w:t>
      </w:r>
    </w:p>
    <w:p>
      <w:pPr>
        <w:spacing w:line="240" w:lineRule="auto" w:before="0"/>
        <w:rPr>
          <w:rFonts w:ascii="宋体" w:hAnsi="宋体" w:cs="宋体" w:eastAsia="宋体" w:hint="default"/>
          <w:sz w:val="20"/>
          <w:szCs w:val="20"/>
        </w:rPr>
      </w:pPr>
    </w:p>
    <w:p>
      <w:pPr>
        <w:pStyle w:val="Heading3"/>
        <w:spacing w:line="506" w:lineRule="auto" w:before="155"/>
        <w:ind w:left="560" w:right="6760" w:hanging="420"/>
        <w:jc w:val="left"/>
        <w:rPr>
          <w:rFonts w:ascii="宋体" w:hAnsi="宋体" w:cs="宋体" w:eastAsia="宋体" w:hint="default"/>
          <w:b w:val="0"/>
          <w:bCs w:val="0"/>
        </w:rPr>
      </w:pPr>
      <w:r>
        <w:rPr>
          <w:rFonts w:ascii="Times New Roman" w:hAnsi="Times New Roman" w:cs="Times New Roman" w:eastAsia="Times New Roman" w:hint="default"/>
        </w:rPr>
        <w:t>13</w:t>
      </w:r>
      <w:r>
        <w:rPr/>
        <w:t>、投资性房地产</w:t>
      </w:r>
      <w:r>
        <w:rPr>
          <w:w w:val="100"/>
        </w:rPr>
        <w:t> </w:t>
      </w:r>
      <w:r>
        <w:rPr>
          <w:rFonts w:ascii="宋体" w:hAnsi="宋体" w:cs="宋体" w:eastAsia="宋体" w:hint="default"/>
          <w:b w:val="0"/>
          <w:bCs w:val="0"/>
        </w:rPr>
        <w:t>无。</w:t>
      </w:r>
    </w:p>
    <w:p>
      <w:pPr>
        <w:pStyle w:val="Heading3"/>
        <w:spacing w:line="240" w:lineRule="auto" w:before="104"/>
        <w:ind w:right="0"/>
        <w:jc w:val="left"/>
        <w:rPr>
          <w:b w:val="0"/>
          <w:bCs w:val="0"/>
        </w:rPr>
      </w:pPr>
      <w:r>
        <w:rPr>
          <w:rFonts w:ascii="Times New Roman" w:hAnsi="Times New Roman" w:cs="Times New Roman" w:eastAsia="Times New Roman" w:hint="default"/>
        </w:rPr>
        <w:t>14</w:t>
      </w:r>
      <w:r>
        <w:rPr/>
        <w:t>、固定资产</w:t>
      </w:r>
      <w:r>
        <w:rPr>
          <w:b w:val="0"/>
          <w:bCs w:val="0"/>
        </w:rPr>
      </w:r>
    </w:p>
    <w:p>
      <w:pPr>
        <w:spacing w:line="688" w:lineRule="exact" w:before="18"/>
        <w:ind w:left="560"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本公司固定资产是指为生产商品、提供劳务、出租或经营管理而持有的，使用寿命超过</w:t>
      </w:r>
    </w:p>
    <w:p>
      <w:pPr>
        <w:pStyle w:val="BodyText"/>
        <w:spacing w:line="408" w:lineRule="auto" w:before="85"/>
        <w:ind w:left="560" w:right="0" w:hanging="420"/>
        <w:jc w:val="left"/>
      </w:pPr>
      <w:r>
        <w:rPr/>
        <w:t>一个会计年度的有形资产。</w:t>
      </w:r>
      <w:r>
        <w:rPr>
          <w:w w:val="100"/>
        </w:rPr>
        <w:t> </w:t>
      </w:r>
      <w:r>
        <w:rPr>
          <w:spacing w:val="-4"/>
          <w:w w:val="100"/>
        </w:rPr>
        <w:t>与该固定资产有关的经济利益很可能流入企业，并且该固定资产的成本能够可靠地计量</w:t>
      </w:r>
    </w:p>
    <w:p>
      <w:pPr>
        <w:pStyle w:val="BodyText"/>
        <w:spacing w:line="408" w:lineRule="auto" w:before="46"/>
        <w:ind w:left="560" w:right="1738" w:hanging="420"/>
        <w:jc w:val="left"/>
      </w:pPr>
      <w:r>
        <w:rPr/>
        <w:t>时，固定资产才能予以确认。</w:t>
      </w:r>
      <w:r>
        <w:rPr>
          <w:w w:val="100"/>
        </w:rPr>
        <w:t> </w:t>
      </w:r>
      <w:r>
        <w:rPr>
          <w:spacing w:val="-2"/>
        </w:rPr>
        <w:t>本公司固定资产按照取得时的实际成本进行初始计量。</w:t>
      </w:r>
    </w:p>
    <w:p>
      <w:pPr>
        <w:spacing w:line="240" w:lineRule="auto" w:before="8"/>
        <w:rPr>
          <w:rFonts w:ascii="宋体" w:hAnsi="宋体" w:cs="宋体" w:eastAsia="宋体" w:hint="default"/>
          <w:sz w:val="20"/>
          <w:szCs w:val="20"/>
        </w:rPr>
      </w:pPr>
    </w:p>
    <w:p>
      <w:pPr>
        <w:pStyle w:val="Heading3"/>
        <w:spacing w:line="506" w:lineRule="auto"/>
        <w:ind w:left="560" w:right="3856" w:hanging="420"/>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2</w:t>
      </w:r>
      <w:r>
        <w:rPr>
          <w:spacing w:val="-1"/>
        </w:rPr>
        <w:t>）融资租入固定资产的认定依据、计价方法</w:t>
      </w:r>
      <w:r>
        <w:rPr>
          <w:spacing w:val="-84"/>
        </w:rPr>
        <w:t> </w:t>
      </w:r>
      <w:r>
        <w:rPr>
          <w:spacing w:val="-84"/>
        </w:rPr>
      </w:r>
      <w:r>
        <w:rPr>
          <w:rFonts w:ascii="宋体" w:hAnsi="宋体" w:cs="宋体" w:eastAsia="宋体" w:hint="default"/>
          <w:b w:val="0"/>
          <w:bCs w:val="0"/>
        </w:rPr>
        <w:t>无。</w:t>
      </w:r>
    </w:p>
    <w:p>
      <w:pPr>
        <w:pStyle w:val="Heading3"/>
        <w:spacing w:line="240" w:lineRule="auto" w:before="101"/>
        <w:ind w:right="0"/>
        <w:jc w:val="left"/>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51" w:firstLine="419"/>
        <w:jc w:val="both"/>
      </w:pPr>
      <w:r>
        <w:rPr>
          <w:spacing w:val="-4"/>
        </w:rPr>
        <w:t>本公司采用年限平均法计提折旧。固定资产自达到预定可使用状态时开始计提折旧，终</w:t>
      </w:r>
      <w:r>
        <w:rPr>
          <w:w w:val="100"/>
        </w:rPr>
        <w:t> </w:t>
      </w:r>
      <w:r>
        <w:rPr>
          <w:spacing w:val="-4"/>
        </w:rPr>
        <w:t>止确认时或划分为持有待售非流动资产时停止计提折旧。在不考虑减值准备的情况下，按固</w:t>
      </w:r>
      <w:r>
        <w:rPr>
          <w:spacing w:val="-44"/>
        </w:rPr>
        <w:t> </w:t>
      </w:r>
      <w:r>
        <w:rPr>
          <w:spacing w:val="-44"/>
        </w:rPr>
      </w:r>
      <w:r>
        <w:rPr/>
        <w:t>定资产类别、预计使用寿命和预计残值，本公司确定各类固定资产的年折旧率如下：</w:t>
      </w:r>
    </w:p>
    <w:tbl>
      <w:tblPr>
        <w:tblW w:w="0" w:type="auto"/>
        <w:jc w:val="left"/>
        <w:tblInd w:w="118" w:type="dxa"/>
        <w:tblLayout w:type="fixed"/>
        <w:tblCellMar>
          <w:top w:w="0" w:type="dxa"/>
          <w:left w:w="0" w:type="dxa"/>
          <w:bottom w:w="0" w:type="dxa"/>
          <w:right w:w="0" w:type="dxa"/>
        </w:tblCellMar>
        <w:tblLook w:val="01E0"/>
      </w:tblPr>
      <w:tblGrid>
        <w:gridCol w:w="2177"/>
        <w:gridCol w:w="1850"/>
        <w:gridCol w:w="1942"/>
        <w:gridCol w:w="2384"/>
      </w:tblGrid>
      <w:tr>
        <w:trPr>
          <w:trHeight w:val="403" w:hRule="exact"/>
        </w:trPr>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295"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1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39"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568"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1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85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z w:val="18"/>
              </w:rPr>
              <w:t>20</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z w:val="18"/>
              </w:rPr>
              <w:t>5%</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1"/>
              <w:jc w:val="right"/>
              <w:rPr>
                <w:rFonts w:ascii="Times New Roman" w:hAnsi="Times New Roman" w:cs="Times New Roman" w:eastAsia="Times New Roman" w:hint="default"/>
                <w:sz w:val="18"/>
                <w:szCs w:val="18"/>
              </w:rPr>
            </w:pPr>
            <w:r>
              <w:rPr>
                <w:rFonts w:ascii="Times New Roman"/>
                <w:sz w:val="18"/>
              </w:rPr>
              <w:t>4.75%</w:t>
            </w:r>
          </w:p>
        </w:tc>
      </w:tr>
      <w:tr>
        <w:trPr>
          <w:trHeight w:val="403" w:hRule="exact"/>
        </w:trPr>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1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5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3-5</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z w:val="18"/>
              </w:rPr>
              <w:t>5%</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1"/>
              <w:jc w:val="right"/>
              <w:rPr>
                <w:rFonts w:ascii="Times New Roman" w:hAnsi="Times New Roman" w:cs="Times New Roman" w:eastAsia="Times New Roman" w:hint="default"/>
                <w:sz w:val="18"/>
                <w:szCs w:val="18"/>
              </w:rPr>
            </w:pPr>
            <w:r>
              <w:rPr>
                <w:rFonts w:ascii="Times New Roman"/>
                <w:spacing w:val="-1"/>
                <w:sz w:val="18"/>
              </w:rPr>
              <w:t>19%-31.67%</w:t>
            </w:r>
          </w:p>
        </w:tc>
      </w:tr>
      <w:tr>
        <w:trPr>
          <w:trHeight w:val="401" w:hRule="exact"/>
        </w:trPr>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85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3-5</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z w:val="18"/>
              </w:rPr>
              <w:t>5%</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1"/>
              <w:jc w:val="right"/>
              <w:rPr>
                <w:rFonts w:ascii="Times New Roman" w:hAnsi="Times New Roman" w:cs="Times New Roman" w:eastAsia="Times New Roman" w:hint="default"/>
                <w:sz w:val="18"/>
                <w:szCs w:val="18"/>
              </w:rPr>
            </w:pPr>
            <w:r>
              <w:rPr>
                <w:rFonts w:ascii="Times New Roman"/>
                <w:spacing w:val="-1"/>
                <w:sz w:val="18"/>
              </w:rPr>
              <w:t>19%-31.67%</w:t>
            </w:r>
          </w:p>
        </w:tc>
      </w:tr>
    </w:tbl>
    <w:p>
      <w:pPr>
        <w:spacing w:after="0" w:line="240" w:lineRule="auto"/>
        <w:jc w:val="right"/>
        <w:rPr>
          <w:rFonts w:ascii="Times New Roman" w:hAnsi="Times New Roman" w:cs="Times New Roman" w:eastAsia="Times New Roman" w:hint="default"/>
          <w:sz w:val="18"/>
          <w:szCs w:val="18"/>
        </w:rPr>
        <w:sectPr>
          <w:footerReference w:type="default" r:id="rId68"/>
          <w:pgSz w:w="11910" w:h="16840"/>
          <w:pgMar w:footer="1227" w:header="877" w:top="1100" w:bottom="1420" w:left="1660" w:right="1640"/>
          <w:pgNumType w:start="101"/>
        </w:sectPr>
      </w:pPr>
    </w:p>
    <w:p>
      <w:pPr>
        <w:spacing w:line="240" w:lineRule="auto" w:before="8"/>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2189"/>
        <w:gridCol w:w="1850"/>
        <w:gridCol w:w="1942"/>
        <w:gridCol w:w="2384"/>
      </w:tblGrid>
      <w:tr>
        <w:trPr>
          <w:trHeight w:val="404" w:hRule="exact"/>
        </w:trPr>
        <w:tc>
          <w:tcPr>
            <w:tcW w:w="2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85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4" w:right="0"/>
              <w:jc w:val="left"/>
              <w:rPr>
                <w:rFonts w:ascii="Times New Roman" w:hAnsi="Times New Roman" w:cs="Times New Roman" w:eastAsia="Times New Roman" w:hint="default"/>
                <w:sz w:val="18"/>
                <w:szCs w:val="18"/>
              </w:rPr>
            </w:pPr>
            <w:r>
              <w:rPr>
                <w:rFonts w:ascii="Times New Roman"/>
                <w:sz w:val="18"/>
              </w:rPr>
              <w:t>19%-23.75%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151" w:firstLine="419"/>
        <w:jc w:val="both"/>
      </w:pPr>
      <w:r>
        <w:rPr>
          <w:spacing w:val="-4"/>
        </w:rPr>
        <w:t>资产负债表日，固定资产按照账面价值与可收回金额孰低计价。若单项固定资产的可收</w:t>
      </w:r>
      <w:r>
        <w:rPr>
          <w:w w:val="100"/>
        </w:rPr>
        <w:t> </w:t>
      </w:r>
      <w:r>
        <w:rPr>
          <w:spacing w:val="-4"/>
        </w:rPr>
        <w:t>回金额低于账面价值，将资产的账面价值减记至可收回金额，减记的金额确认为资产减值损</w:t>
      </w:r>
      <w:r>
        <w:rPr>
          <w:spacing w:val="-44"/>
        </w:rPr>
        <w:t> </w:t>
      </w:r>
      <w:r>
        <w:rPr>
          <w:spacing w:val="-44"/>
        </w:rPr>
      </w:r>
      <w:r>
        <w:rPr/>
        <w:t>失，计入当期损益，同时计提相应的资产减值准备。</w:t>
      </w:r>
    </w:p>
    <w:p>
      <w:pPr>
        <w:pStyle w:val="BodyText"/>
        <w:spacing w:line="240" w:lineRule="auto" w:before="46"/>
        <w:ind w:left="560" w:right="0"/>
        <w:jc w:val="left"/>
      </w:pPr>
      <w:r>
        <w:rPr/>
        <w:t>固定资产减值损失一经确认，在以后会计期间不再转回。</w:t>
      </w:r>
    </w:p>
    <w:p>
      <w:pPr>
        <w:spacing w:line="240" w:lineRule="auto" w:before="0"/>
        <w:rPr>
          <w:rFonts w:ascii="宋体" w:hAnsi="宋体" w:cs="宋体" w:eastAsia="宋体" w:hint="default"/>
          <w:sz w:val="20"/>
          <w:szCs w:val="20"/>
        </w:rPr>
      </w:pPr>
    </w:p>
    <w:p>
      <w:pPr>
        <w:pStyle w:val="Heading3"/>
        <w:spacing w:line="240" w:lineRule="auto" w:before="154"/>
        <w:ind w:right="0"/>
        <w:jc w:val="left"/>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9"/>
        <w:rPr>
          <w:rFonts w:ascii="宋体" w:hAnsi="宋体" w:cs="宋体" w:eastAsia="宋体" w:hint="default"/>
          <w:b/>
          <w:bCs/>
          <w:sz w:val="30"/>
          <w:szCs w:val="30"/>
        </w:rPr>
      </w:pPr>
    </w:p>
    <w:p>
      <w:pPr>
        <w:pStyle w:val="BodyText"/>
        <w:spacing w:line="386" w:lineRule="auto"/>
        <w:ind w:left="560" w:right="0"/>
        <w:jc w:val="left"/>
      </w:pPr>
      <w:r>
        <w:rPr>
          <w:rFonts w:ascii="Times New Roman" w:hAnsi="Times New Roman" w:cs="Times New Roman" w:eastAsia="Times New Roman" w:hint="default"/>
        </w:rPr>
        <w:t>1)</w:t>
      </w:r>
      <w:r>
        <w:rPr/>
        <w:t>每年年度终了，本公司对固定资产的使用寿命、预计净残值和折旧方法进行复核。</w:t>
      </w:r>
      <w:r>
        <w:rPr>
          <w:w w:val="100"/>
        </w:rPr>
        <w:t> </w:t>
      </w:r>
      <w:r>
        <w:rPr>
          <w:spacing w:val="-4"/>
        </w:rPr>
        <w:t>使用寿命预计数与原先估计数有差异的，调整固定资产使用寿命；预计净残值预计数与</w:t>
      </w:r>
    </w:p>
    <w:p>
      <w:pPr>
        <w:pStyle w:val="BodyText"/>
        <w:spacing w:line="240" w:lineRule="auto" w:before="65"/>
        <w:ind w:right="0"/>
        <w:jc w:val="left"/>
      </w:pPr>
      <w:r>
        <w:rPr/>
        <w:t>原先估计数有差异的，调整预计净残值。</w:t>
      </w:r>
    </w:p>
    <w:p>
      <w:pPr>
        <w:spacing w:line="240" w:lineRule="auto" w:before="10"/>
        <w:rPr>
          <w:rFonts w:ascii="宋体" w:hAnsi="宋体" w:cs="宋体" w:eastAsia="宋体" w:hint="default"/>
          <w:sz w:val="14"/>
          <w:szCs w:val="14"/>
        </w:rPr>
      </w:pPr>
    </w:p>
    <w:p>
      <w:pPr>
        <w:pStyle w:val="BodyText"/>
        <w:spacing w:line="386" w:lineRule="auto"/>
        <w:ind w:left="560" w:right="0"/>
        <w:jc w:val="left"/>
      </w:pPr>
      <w:r>
        <w:rPr>
          <w:rFonts w:ascii="Times New Roman" w:hAnsi="Times New Roman" w:cs="Times New Roman" w:eastAsia="Times New Roman" w:hint="default"/>
        </w:rPr>
        <w:t>2)</w:t>
      </w:r>
      <w:r>
        <w:rPr/>
        <w:t>大修理费用</w:t>
      </w:r>
      <w:r>
        <w:rPr>
          <w:w w:val="100"/>
        </w:rPr>
        <w:t> </w:t>
      </w:r>
      <w:r>
        <w:rPr>
          <w:spacing w:val="-4"/>
          <w:w w:val="100"/>
        </w:rPr>
        <w:t>本公司对固定资产进行定期检查发生的大修理费用，有确凿证据表明符合固定资产确认</w:t>
      </w:r>
    </w:p>
    <w:p>
      <w:pPr>
        <w:pStyle w:val="BodyText"/>
        <w:spacing w:line="408" w:lineRule="auto" w:before="65"/>
        <w:ind w:right="0"/>
        <w:jc w:val="left"/>
      </w:pPr>
      <w:r>
        <w:rPr>
          <w:spacing w:val="-4"/>
        </w:rPr>
        <w:t>条件的部分，计入固定资产成本，不符合固定资产确认条件的计入当期损益。固定资产在定</w:t>
      </w:r>
      <w:r>
        <w:rPr>
          <w:spacing w:val="-45"/>
        </w:rPr>
        <w:t> </w:t>
      </w:r>
      <w:r>
        <w:rPr>
          <w:spacing w:val="-45"/>
        </w:rPr>
      </w:r>
      <w:r>
        <w:rPr/>
        <w:t>期大修理间隔期间，照提折旧。</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15</w:t>
      </w:r>
      <w:r>
        <w:rPr/>
        <w:t>、在建工程</w:t>
      </w:r>
      <w:r>
        <w:rPr>
          <w:b w:val="0"/>
          <w:bCs w:val="0"/>
        </w:rPr>
      </w:r>
    </w:p>
    <w:p>
      <w:pPr>
        <w:spacing w:line="692" w:lineRule="exact" w:before="13"/>
        <w:ind w:left="560"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）在建工程的类别</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本公司在建工程成本按实际工程支出确定，包括在建期间发生的各项必要工程支出、工</w:t>
      </w:r>
    </w:p>
    <w:p>
      <w:pPr>
        <w:pStyle w:val="BodyText"/>
        <w:spacing w:line="240" w:lineRule="auto" w:before="84"/>
        <w:ind w:right="0"/>
        <w:jc w:val="left"/>
      </w:pPr>
      <w:r>
        <w:rPr/>
        <w:t>程达到预定可使用状态前的应予资本化的借款费用以及其他相关费用等。</w:t>
      </w:r>
    </w:p>
    <w:p>
      <w:pPr>
        <w:spacing w:line="240" w:lineRule="auto" w:before="0"/>
        <w:rPr>
          <w:rFonts w:ascii="宋体" w:hAnsi="宋体" w:cs="宋体" w:eastAsia="宋体" w:hint="default"/>
          <w:sz w:val="20"/>
          <w:szCs w:val="20"/>
        </w:rPr>
      </w:pPr>
    </w:p>
    <w:p>
      <w:pPr>
        <w:spacing w:line="568" w:lineRule="auto" w:before="154"/>
        <w:ind w:left="560"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）在建工程结转为固定资产的标准和时点</w:t>
      </w:r>
      <w:r>
        <w:rPr>
          <w:rFonts w:ascii="宋体" w:hAnsi="宋体" w:cs="宋体" w:eastAsia="宋体" w:hint="default"/>
          <w:b/>
          <w:bCs/>
          <w:w w:val="100"/>
          <w:sz w:val="21"/>
          <w:szCs w:val="21"/>
        </w:rPr>
        <w:t> </w:t>
      </w:r>
      <w:r>
        <w:rPr>
          <w:rFonts w:ascii="宋体" w:hAnsi="宋体" w:cs="宋体" w:eastAsia="宋体" w:hint="default"/>
          <w:spacing w:val="-2"/>
          <w:sz w:val="21"/>
          <w:szCs w:val="21"/>
        </w:rPr>
        <w:t>在建工程在达到预定可使用状态时转入固定资产。</w:t>
      </w:r>
    </w:p>
    <w:p>
      <w:pPr>
        <w:pStyle w:val="Heading3"/>
        <w:spacing w:line="240" w:lineRule="auto" w:before="128"/>
        <w:ind w:right="0"/>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51" w:firstLine="419"/>
        <w:jc w:val="both"/>
      </w:pPr>
      <w:r>
        <w:rPr>
          <w:spacing w:val="-4"/>
        </w:rPr>
        <w:t>资产负债表日，本公司对在建工程按照账面价值与可收回金额孰低计量，按单项工程可</w:t>
      </w:r>
      <w:r>
        <w:rPr>
          <w:w w:val="100"/>
        </w:rPr>
        <w:t> </w:t>
      </w:r>
      <w:r>
        <w:rPr>
          <w:spacing w:val="-4"/>
        </w:rPr>
        <w:t>收回金额低于账面价值的差额，确认为资产减值损失，计入当期损益，同时计提相应的资产</w:t>
      </w:r>
      <w:r>
        <w:rPr>
          <w:spacing w:val="-46"/>
        </w:rPr>
        <w:t> </w:t>
      </w:r>
      <w:r>
        <w:rPr>
          <w:spacing w:val="-46"/>
        </w:rPr>
      </w:r>
      <w:r>
        <w:rPr/>
        <w:t>减值准备。</w:t>
      </w:r>
    </w:p>
    <w:p>
      <w:pPr>
        <w:spacing w:after="0" w:line="408" w:lineRule="auto"/>
        <w:jc w:val="both"/>
        <w:sectPr>
          <w:pgSz w:w="11910" w:h="16840"/>
          <w:pgMar w:header="877" w:footer="1227" w:top="1100" w:bottom="1420" w:left="1660" w:right="1640"/>
        </w:sectPr>
      </w:pPr>
    </w:p>
    <w:p>
      <w:pPr>
        <w:spacing w:line="240" w:lineRule="auto" w:before="9"/>
        <w:rPr>
          <w:rFonts w:ascii="宋体" w:hAnsi="宋体" w:cs="宋体" w:eastAsia="宋体" w:hint="default"/>
          <w:sz w:val="26"/>
          <w:szCs w:val="26"/>
        </w:rPr>
      </w:pPr>
    </w:p>
    <w:p>
      <w:pPr>
        <w:pStyle w:val="BodyText"/>
        <w:spacing w:line="240" w:lineRule="auto" w:before="36"/>
        <w:ind w:left="560" w:right="0"/>
        <w:jc w:val="left"/>
      </w:pPr>
      <w:r>
        <w:rPr/>
        <w:t>在建工程减值损失一经确认，在以后会计期间不再转回。</w:t>
      </w:r>
    </w:p>
    <w:p>
      <w:pPr>
        <w:spacing w:line="240" w:lineRule="auto" w:before="0"/>
        <w:rPr>
          <w:rFonts w:ascii="宋体" w:hAnsi="宋体" w:cs="宋体" w:eastAsia="宋体" w:hint="default"/>
          <w:sz w:val="20"/>
          <w:szCs w:val="20"/>
        </w:rPr>
      </w:pPr>
    </w:p>
    <w:p>
      <w:pPr>
        <w:pStyle w:val="Heading3"/>
        <w:spacing w:line="240" w:lineRule="auto" w:before="155"/>
        <w:ind w:right="0"/>
        <w:jc w:val="left"/>
        <w:rPr>
          <w:b w:val="0"/>
          <w:bCs w:val="0"/>
        </w:rPr>
      </w:pPr>
      <w:r>
        <w:rPr>
          <w:rFonts w:ascii="Times New Roman" w:hAnsi="Times New Roman" w:cs="Times New Roman" w:eastAsia="Times New Roman" w:hint="default"/>
        </w:rPr>
        <w:t>16</w:t>
      </w:r>
      <w:r>
        <w:rPr/>
        <w:t>、借款费用</w:t>
      </w:r>
      <w:r>
        <w:rPr>
          <w:b w:val="0"/>
          <w:bCs w:val="0"/>
        </w:rPr>
      </w:r>
    </w:p>
    <w:p>
      <w:pPr>
        <w:spacing w:line="688" w:lineRule="exact" w:before="18"/>
        <w:ind w:left="560"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本公司发生的借款费用，可直接归属于符合资本化条件的资产的购建或者生产的，予以</w:t>
      </w:r>
    </w:p>
    <w:p>
      <w:pPr>
        <w:pStyle w:val="BodyText"/>
        <w:spacing w:line="408" w:lineRule="auto" w:before="85"/>
        <w:ind w:right="0"/>
        <w:jc w:val="left"/>
      </w:pPr>
      <w:r>
        <w:rPr>
          <w:spacing w:val="-4"/>
        </w:rPr>
        <w:t>资本化，计入相关资产成本；其他借款费用，在发生时根据其发生额确认为费用，计入当期</w:t>
      </w:r>
      <w:r>
        <w:rPr>
          <w:spacing w:val="-46"/>
        </w:rPr>
        <w:t> </w:t>
      </w:r>
      <w:r>
        <w:rPr>
          <w:spacing w:val="-46"/>
        </w:rPr>
      </w:r>
      <w:r>
        <w:rPr/>
        <w:t>损益。借款费用同时满足下列条件的，开始资本化：</w:t>
      </w:r>
    </w:p>
    <w:p>
      <w:pPr>
        <w:pStyle w:val="BodyText"/>
        <w:spacing w:line="410" w:lineRule="auto" w:before="46"/>
        <w:ind w:right="218" w:firstLine="419"/>
        <w:jc w:val="left"/>
      </w:pPr>
      <w:r>
        <w:rPr/>
        <w:t>①</w:t>
      </w:r>
      <w:r>
        <w:rPr>
          <w:spacing w:val="-6"/>
        </w:rPr>
        <w:t> </w:t>
      </w:r>
      <w:r>
        <w:rPr/>
        <w:t>资产支出已经发生，资产支出包括为购建或者生产符合资本化条件的资产而以支付</w:t>
      </w:r>
      <w:r>
        <w:rPr>
          <w:w w:val="100"/>
        </w:rPr>
        <w:t> </w:t>
      </w:r>
      <w:r>
        <w:rPr/>
        <w:t>现金、转移非现金资产或者承担带息债务形式发生的支出；</w:t>
      </w:r>
    </w:p>
    <w:p>
      <w:pPr>
        <w:pStyle w:val="BodyText"/>
        <w:spacing w:line="240" w:lineRule="auto" w:before="44"/>
        <w:ind w:left="560" w:right="0"/>
        <w:jc w:val="left"/>
      </w:pPr>
      <w:r>
        <w:rPr/>
        <w:t>② 借款费用已经发生；</w:t>
      </w:r>
    </w:p>
    <w:p>
      <w:pPr>
        <w:spacing w:line="240" w:lineRule="auto" w:before="10"/>
        <w:rPr>
          <w:rFonts w:ascii="宋体" w:hAnsi="宋体" w:cs="宋体" w:eastAsia="宋体" w:hint="default"/>
          <w:sz w:val="14"/>
          <w:szCs w:val="14"/>
        </w:rPr>
      </w:pPr>
    </w:p>
    <w:p>
      <w:pPr>
        <w:pStyle w:val="BodyText"/>
        <w:spacing w:line="240" w:lineRule="auto"/>
        <w:ind w:left="560" w:right="0"/>
        <w:jc w:val="left"/>
      </w:pPr>
      <w:r>
        <w:rPr/>
        <w:t>③</w:t>
      </w:r>
      <w:r>
        <w:rPr>
          <w:spacing w:val="-5"/>
        </w:rPr>
        <w:t> </w:t>
      </w:r>
      <w:r>
        <w:rPr/>
        <w:t>为使资产达到预定可使用或者可销售状态所必要的购建或者生产活动已经开始。</w:t>
      </w:r>
    </w:p>
    <w:p>
      <w:pPr>
        <w:spacing w:line="670" w:lineRule="atLeast" w:before="37"/>
        <w:ind w:left="560"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本公司购建或者生产符合资本化条件的资产达到预定可使用或者可销售状态时，借款费</w:t>
      </w:r>
    </w:p>
    <w:p>
      <w:pPr>
        <w:spacing w:line="240" w:lineRule="auto" w:before="10"/>
        <w:rPr>
          <w:rFonts w:ascii="宋体" w:hAnsi="宋体" w:cs="宋体" w:eastAsia="宋体" w:hint="default"/>
          <w:sz w:val="14"/>
          <w:szCs w:val="14"/>
        </w:rPr>
      </w:pPr>
    </w:p>
    <w:p>
      <w:pPr>
        <w:pStyle w:val="BodyText"/>
        <w:spacing w:line="408" w:lineRule="auto"/>
        <w:ind w:right="0"/>
        <w:jc w:val="left"/>
      </w:pPr>
      <w:r>
        <w:rPr>
          <w:spacing w:val="-4"/>
          <w:w w:val="100"/>
        </w:rPr>
        <w:t>用停止资本化。在符合资本化条件的资产达到预定可使用或者可销售状态之后所发生的借款</w:t>
      </w:r>
      <w:r>
        <w:rPr>
          <w:spacing w:val="-94"/>
          <w:w w:val="100"/>
        </w:rPr>
        <w:t> </w:t>
      </w:r>
      <w:r>
        <w:rPr>
          <w:spacing w:val="-94"/>
          <w:w w:val="100"/>
        </w:rPr>
      </w:r>
      <w:r>
        <w:rPr/>
        <w:t>费用，在发生时根据其发生额确认为费用，计入当期损益。</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6"/>
        <w:rPr>
          <w:rFonts w:ascii="宋体" w:hAnsi="宋体" w:cs="宋体" w:eastAsia="宋体" w:hint="default"/>
          <w:b/>
          <w:bCs/>
          <w:sz w:val="30"/>
          <w:szCs w:val="30"/>
        </w:rPr>
      </w:pPr>
    </w:p>
    <w:p>
      <w:pPr>
        <w:pStyle w:val="BodyText"/>
        <w:spacing w:line="400" w:lineRule="auto"/>
        <w:ind w:right="0" w:firstLine="419"/>
        <w:jc w:val="left"/>
      </w:pPr>
      <w:r>
        <w:rPr/>
        <w:t>符合资本化条件的资产在购建或者生产过程中发生非正常中断、且中断时间连续超过</w:t>
      </w:r>
      <w:r>
        <w:rPr>
          <w:rFonts w:ascii="Times New Roman" w:hAnsi="Times New Roman" w:cs="Times New Roman" w:eastAsia="Times New Roman" w:hint="default"/>
        </w:rPr>
        <w:t>3</w:t>
      </w:r>
      <w:r>
        <w:rPr>
          <w:rFonts w:ascii="Times New Roman" w:hAnsi="Times New Roman" w:cs="Times New Roman" w:eastAsia="Times New Roman" w:hint="default"/>
          <w:w w:val="100"/>
        </w:rPr>
        <w:t> </w:t>
      </w:r>
      <w:r>
        <w:rPr>
          <w:spacing w:val="-2"/>
        </w:rPr>
        <w:t>个月的，暂停借款费用的资本化。在中断期间发生的借款费用确认为费用，计入当期损益，</w:t>
      </w:r>
      <w:r>
        <w:rPr>
          <w:spacing w:val="-31"/>
        </w:rPr>
        <w:t> </w:t>
      </w:r>
      <w:r>
        <w:rPr>
          <w:spacing w:val="-31"/>
        </w:rPr>
      </w:r>
      <w:r>
        <w:rPr>
          <w:spacing w:val="-4"/>
          <w:w w:val="100"/>
        </w:rPr>
        <w:t>直至资产的购建或者生产活动重新开始。如果中断是所购建或者生产的符合资本化条件的资</w:t>
      </w:r>
      <w:r>
        <w:rPr>
          <w:spacing w:val="-95"/>
          <w:w w:val="100"/>
        </w:rPr>
        <w:t> </w:t>
      </w:r>
      <w:r>
        <w:rPr>
          <w:spacing w:val="-95"/>
          <w:w w:val="100"/>
        </w:rPr>
      </w:r>
      <w:r>
        <w:rPr/>
        <w:t>产达到预定可使用或者可销售状态必要的程序，借款费用继续资本化。</w:t>
      </w:r>
    </w:p>
    <w:p>
      <w:pPr>
        <w:pStyle w:val="BodyText"/>
        <w:spacing w:line="410" w:lineRule="auto" w:before="52"/>
        <w:ind w:right="0" w:firstLine="419"/>
        <w:jc w:val="left"/>
      </w:pPr>
      <w:r>
        <w:rPr>
          <w:spacing w:val="-4"/>
          <w:w w:val="100"/>
        </w:rPr>
        <w:t>购建或者生产符合资本化条件的资产达到预定可使用或者可销售状态时，停止借款费用</w:t>
      </w:r>
      <w:r>
        <w:rPr>
          <w:w w:val="100"/>
        </w:rPr>
        <w:t> </w:t>
      </w:r>
      <w:r>
        <w:rPr/>
        <w:t>资本化。</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211" w:firstLine="419"/>
        <w:jc w:val="both"/>
      </w:pPr>
      <w:r>
        <w:rPr>
          <w:spacing w:val="-4"/>
        </w:rPr>
        <w:t>在资本化期间内，每一会计期间的资本化金额，为购建或者生产符合资本化条件的资产</w:t>
      </w:r>
      <w:r>
        <w:rPr>
          <w:w w:val="100"/>
        </w:rPr>
        <w:t> </w:t>
      </w:r>
      <w:r>
        <w:rPr>
          <w:spacing w:val="-4"/>
        </w:rPr>
        <w:t>而借入专门借款的，以专门借款当期实际发生的利息费用，减去将尚未动用的借款资金存入</w:t>
      </w:r>
      <w:r>
        <w:rPr>
          <w:spacing w:val="-44"/>
        </w:rPr>
        <w:t> </w:t>
      </w:r>
      <w:r>
        <w:rPr>
          <w:spacing w:val="-44"/>
        </w:rPr>
      </w:r>
      <w:r>
        <w:rPr>
          <w:spacing w:val="-4"/>
          <w:w w:val="100"/>
        </w:rPr>
        <w:t>银行取得的利息收入或进行暂时性投资取得的投资收益后的金额确定。为购建或者生产符合</w:t>
      </w:r>
    </w:p>
    <w:p>
      <w:pPr>
        <w:spacing w:after="0" w:line="408" w:lineRule="auto"/>
        <w:jc w:val="both"/>
        <w:sectPr>
          <w:pgSz w:w="11910" w:h="16840"/>
          <w:pgMar w:header="877" w:footer="1227" w:top="1100" w:bottom="1420" w:left="1660" w:right="1580"/>
        </w:sectPr>
      </w:pPr>
    </w:p>
    <w:p>
      <w:pPr>
        <w:spacing w:line="240" w:lineRule="auto" w:before="9"/>
        <w:rPr>
          <w:rFonts w:ascii="宋体" w:hAnsi="宋体" w:cs="宋体" w:eastAsia="宋体" w:hint="default"/>
          <w:sz w:val="26"/>
          <w:szCs w:val="26"/>
        </w:rPr>
      </w:pPr>
    </w:p>
    <w:p>
      <w:pPr>
        <w:pStyle w:val="BodyText"/>
        <w:spacing w:line="408" w:lineRule="auto" w:before="36"/>
        <w:ind w:right="151"/>
        <w:jc w:val="both"/>
      </w:pPr>
      <w:r>
        <w:rPr>
          <w:spacing w:val="-4"/>
          <w:w w:val="100"/>
        </w:rPr>
        <w:t>资本化条件的资产而占用了一般借款的，根据累计资产支出超过专门借款部分的资产支出加</w:t>
      </w:r>
      <w:r>
        <w:rPr>
          <w:spacing w:val="-94"/>
          <w:w w:val="100"/>
        </w:rPr>
        <w:t> </w:t>
      </w:r>
      <w:r>
        <w:rPr>
          <w:spacing w:val="-94"/>
          <w:w w:val="100"/>
        </w:rPr>
      </w:r>
      <w:r>
        <w:rPr>
          <w:spacing w:val="-4"/>
        </w:rPr>
        <w:t>权平均数乘以所占用一般借款的资本化率，计算确定一般借款应予资本化的利息金额。资本</w:t>
      </w:r>
      <w:r>
        <w:rPr>
          <w:spacing w:val="-44"/>
        </w:rPr>
        <w:t> </w:t>
      </w:r>
      <w:r>
        <w:rPr>
          <w:spacing w:val="-44"/>
        </w:rPr>
      </w:r>
      <w:r>
        <w:rPr>
          <w:spacing w:val="-4"/>
        </w:rPr>
        <w:t>化率根据一般借款加权平均利率计算确定。利息资本化金额，不超过当期相关借款实际发生</w:t>
      </w:r>
      <w:r>
        <w:rPr>
          <w:spacing w:val="-44"/>
        </w:rPr>
        <w:t> </w:t>
      </w:r>
      <w:r>
        <w:rPr>
          <w:spacing w:val="-44"/>
        </w:rPr>
      </w:r>
      <w:r>
        <w:rPr/>
        <w:t>的利息金额。</w:t>
      </w:r>
    </w:p>
    <w:p>
      <w:pPr>
        <w:spacing w:line="240" w:lineRule="auto" w:before="8"/>
        <w:rPr>
          <w:rFonts w:ascii="宋体" w:hAnsi="宋体" w:cs="宋体" w:eastAsia="宋体" w:hint="default"/>
          <w:sz w:val="20"/>
          <w:szCs w:val="20"/>
        </w:rPr>
      </w:pPr>
    </w:p>
    <w:p>
      <w:pPr>
        <w:spacing w:line="520" w:lineRule="auto" w:before="0"/>
        <w:ind w:left="140" w:right="7199" w:firstLine="0"/>
        <w:jc w:val="center"/>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17</w:t>
      </w:r>
      <w:r>
        <w:rPr>
          <w:rFonts w:ascii="宋体" w:hAnsi="宋体" w:cs="宋体" w:eastAsia="宋体" w:hint="default"/>
          <w:b/>
          <w:bCs/>
          <w:spacing w:val="-1"/>
          <w:sz w:val="21"/>
          <w:szCs w:val="21"/>
        </w:rPr>
        <w:t>、生物资产</w:t>
      </w:r>
      <w:r>
        <w:rPr>
          <w:rFonts w:ascii="宋体" w:hAnsi="宋体" w:cs="宋体" w:eastAsia="宋体" w:hint="default"/>
          <w:b/>
          <w:bCs/>
          <w:spacing w:val="-103"/>
          <w:sz w:val="21"/>
          <w:szCs w:val="21"/>
        </w:rPr>
        <w:t> </w:t>
      </w:r>
      <w:r>
        <w:rPr>
          <w:rFonts w:ascii="宋体" w:hAnsi="宋体" w:cs="宋体" w:eastAsia="宋体" w:hint="default"/>
          <w:sz w:val="21"/>
          <w:szCs w:val="21"/>
        </w:rPr>
        <w:t>无。</w:t>
      </w:r>
      <w:r>
        <w:rPr>
          <w:rFonts w:ascii="宋体" w:hAnsi="宋体" w:cs="宋体" w:eastAsia="宋体" w:hint="default"/>
          <w:w w:val="100"/>
          <w:sz w:val="21"/>
          <w:szCs w:val="21"/>
        </w:rPr>
        <w:t> </w:t>
      </w:r>
      <w:r>
        <w:rPr>
          <w:rFonts w:ascii="Times New Roman" w:hAnsi="Times New Roman" w:cs="Times New Roman" w:eastAsia="Times New Roman" w:hint="default"/>
          <w:b/>
          <w:bCs/>
          <w:spacing w:val="-1"/>
          <w:sz w:val="21"/>
          <w:szCs w:val="21"/>
        </w:rPr>
        <w:t>18</w:t>
      </w:r>
      <w:r>
        <w:rPr>
          <w:rFonts w:ascii="宋体" w:hAnsi="宋体" w:cs="宋体" w:eastAsia="宋体" w:hint="default"/>
          <w:b/>
          <w:bCs/>
          <w:spacing w:val="-1"/>
          <w:sz w:val="21"/>
          <w:szCs w:val="21"/>
        </w:rPr>
        <w:t>、油气资产</w:t>
      </w:r>
      <w:r>
        <w:rPr>
          <w:rFonts w:ascii="宋体" w:hAnsi="宋体" w:cs="宋体" w:eastAsia="宋体" w:hint="default"/>
          <w:b/>
          <w:bCs/>
          <w:spacing w:val="-103"/>
          <w:sz w:val="21"/>
          <w:szCs w:val="21"/>
        </w:rPr>
        <w:t> </w:t>
      </w:r>
      <w:r>
        <w:rPr>
          <w:rFonts w:ascii="宋体" w:hAnsi="宋体" w:cs="宋体" w:eastAsia="宋体" w:hint="default"/>
          <w:sz w:val="21"/>
          <w:szCs w:val="21"/>
        </w:rPr>
        <w:t>无。</w:t>
      </w:r>
      <w:r>
        <w:rPr>
          <w:rFonts w:ascii="宋体" w:hAnsi="宋体" w:cs="宋体" w:eastAsia="宋体" w:hint="default"/>
          <w:w w:val="100"/>
          <w:sz w:val="21"/>
          <w:szCs w:val="21"/>
        </w:rPr>
        <w:t> </w:t>
      </w:r>
      <w:r>
        <w:rPr>
          <w:rFonts w:ascii="Times New Roman" w:hAnsi="Times New Roman" w:cs="Times New Roman" w:eastAsia="Times New Roman" w:hint="default"/>
          <w:b/>
          <w:bCs/>
          <w:spacing w:val="-1"/>
          <w:sz w:val="21"/>
          <w:szCs w:val="21"/>
        </w:rPr>
        <w:t>19</w:t>
      </w:r>
      <w:r>
        <w:rPr>
          <w:rFonts w:ascii="宋体" w:hAnsi="宋体" w:cs="宋体" w:eastAsia="宋体" w:hint="default"/>
          <w:b/>
          <w:bCs/>
          <w:spacing w:val="-1"/>
          <w:sz w:val="21"/>
          <w:szCs w:val="21"/>
        </w:rPr>
        <w:t>、无形资产</w:t>
      </w:r>
      <w:r>
        <w:rPr>
          <w:rFonts w:ascii="宋体" w:hAnsi="宋体" w:cs="宋体" w:eastAsia="宋体" w:hint="default"/>
          <w:spacing w:val="-1"/>
          <w:sz w:val="21"/>
          <w:szCs w:val="21"/>
        </w:rPr>
      </w:r>
    </w:p>
    <w:p>
      <w:pPr>
        <w:pStyle w:val="Heading3"/>
        <w:spacing w:line="240" w:lineRule="auto" w:before="51"/>
        <w:ind w:right="0"/>
        <w:jc w:val="both"/>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left="560" w:right="0"/>
        <w:jc w:val="left"/>
      </w:pPr>
      <w:r>
        <w:rPr/>
        <w:t>本公司无形资产包括计算机软件和商标权等。</w:t>
      </w:r>
      <w:r>
        <w:rPr>
          <w:w w:val="100"/>
        </w:rPr>
        <w:t> </w:t>
      </w:r>
      <w:r>
        <w:rPr>
          <w:spacing w:val="-4"/>
        </w:rPr>
        <w:t>无形资产按照成本进行初始计量。购入的无形资产，按实际支付的价款和相关支出作为</w:t>
      </w:r>
    </w:p>
    <w:p>
      <w:pPr>
        <w:pStyle w:val="BodyText"/>
        <w:spacing w:line="408" w:lineRule="auto" w:before="46"/>
        <w:ind w:right="151"/>
        <w:jc w:val="both"/>
      </w:pPr>
      <w:r>
        <w:rPr>
          <w:spacing w:val="-4"/>
        </w:rPr>
        <w:t>实际成本。投资者投入的无形资产，按投资合同或协议约定的价值确定实际成本，但合同或</w:t>
      </w:r>
      <w:r>
        <w:rPr>
          <w:spacing w:val="-47"/>
        </w:rPr>
        <w:t> </w:t>
      </w:r>
      <w:r>
        <w:rPr>
          <w:spacing w:val="-47"/>
        </w:rPr>
      </w:r>
      <w:r>
        <w:rPr/>
        <w:t>协议约定价值不公允的，按公允价值确定实际成本。</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51" w:firstLine="419"/>
        <w:jc w:val="both"/>
      </w:pPr>
      <w:r>
        <w:rPr>
          <w:spacing w:val="-4"/>
        </w:rPr>
        <w:t>无形资产按照成本进行初始计量，并于取得无形资产时分析判断其使用寿命。使用寿命</w:t>
      </w:r>
      <w:r>
        <w:rPr>
          <w:w w:val="100"/>
        </w:rPr>
        <w:t> </w:t>
      </w:r>
      <w:r>
        <w:rPr>
          <w:spacing w:val="-4"/>
        </w:rPr>
        <w:t>为有限的，自无形资产可供使用时起，采用能反映与该资产有关的经济利益的预期实现方式</w:t>
      </w:r>
      <w:r>
        <w:rPr>
          <w:spacing w:val="-44"/>
        </w:rPr>
        <w:t> </w:t>
      </w:r>
      <w:r>
        <w:rPr>
          <w:spacing w:val="-44"/>
        </w:rPr>
      </w:r>
      <w:r>
        <w:rPr>
          <w:spacing w:val="-4"/>
        </w:rPr>
        <w:t>的摊销方法，在预计使用年限内摊销；无法可靠确定预期实现方式的，采用直线法摊销，使</w:t>
      </w:r>
      <w:r>
        <w:rPr>
          <w:spacing w:val="-47"/>
        </w:rPr>
        <w:t> </w:t>
      </w:r>
      <w:r>
        <w:rPr>
          <w:spacing w:val="-47"/>
        </w:rPr>
      </w:r>
      <w:r>
        <w:rPr/>
        <w:t>用寿命不确定的无形资产，不作摊销。</w:t>
      </w:r>
    </w:p>
    <w:tbl>
      <w:tblPr>
        <w:tblW w:w="0" w:type="auto"/>
        <w:jc w:val="left"/>
        <w:tblInd w:w="106" w:type="dxa"/>
        <w:tblLayout w:type="fixed"/>
        <w:tblCellMar>
          <w:top w:w="0" w:type="dxa"/>
          <w:left w:w="0" w:type="dxa"/>
          <w:bottom w:w="0" w:type="dxa"/>
          <w:right w:w="0" w:type="dxa"/>
        </w:tblCellMar>
        <w:tblLook w:val="01E0"/>
      </w:tblPr>
      <w:tblGrid>
        <w:gridCol w:w="1992"/>
        <w:gridCol w:w="1937"/>
        <w:gridCol w:w="4436"/>
      </w:tblGrid>
      <w:tr>
        <w:trPr>
          <w:trHeight w:val="401" w:hRule="exact"/>
        </w:trPr>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25"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4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43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443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43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7"/>
          <w:szCs w:val="17"/>
        </w:rPr>
      </w:pPr>
    </w:p>
    <w:p>
      <w:pPr>
        <w:spacing w:line="568" w:lineRule="auto" w:before="36"/>
        <w:ind w:left="560" w:right="1738" w:hanging="42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）使用寿命不确定的无形资产的判断依据</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z w:val="21"/>
          <w:szCs w:val="21"/>
        </w:rPr>
        <w:t>本公司无使用寿命不确定的无形资产。</w:t>
      </w:r>
    </w:p>
    <w:p>
      <w:pPr>
        <w:spacing w:after="0" w:line="568" w:lineRule="auto"/>
        <w:jc w:val="left"/>
        <w:rPr>
          <w:rFonts w:ascii="宋体" w:hAnsi="宋体" w:cs="宋体" w:eastAsia="宋体" w:hint="default"/>
          <w:sz w:val="21"/>
          <w:szCs w:val="21"/>
        </w:rPr>
        <w:sectPr>
          <w:pgSz w:w="11910" w:h="16840"/>
          <w:pgMar w:header="877" w:footer="1227" w:top="1100" w:bottom="1420" w:left="1660" w:right="164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0" w:firstLine="419"/>
        <w:jc w:val="left"/>
      </w:pPr>
      <w:r>
        <w:rPr>
          <w:spacing w:val="-4"/>
        </w:rPr>
        <w:t>资产负债表日，本公司对无形资产按照其账面价值与可收回金额孰低计量，按单项资产</w:t>
      </w:r>
      <w:r>
        <w:rPr>
          <w:w w:val="100"/>
        </w:rPr>
        <w:t> </w:t>
      </w:r>
      <w:r>
        <w:rPr/>
        <w:t>可收回金额低于账面价值的差额计提无形资产减值准备，相应的资产减值损失计入当期损</w:t>
      </w:r>
      <w:r>
        <w:rPr>
          <w:w w:val="100"/>
        </w:rPr>
        <w:t> </w:t>
      </w:r>
      <w:r>
        <w:rPr/>
        <w:t>益。</w:t>
      </w:r>
    </w:p>
    <w:p>
      <w:pPr>
        <w:pStyle w:val="BodyText"/>
        <w:spacing w:line="240" w:lineRule="auto" w:before="46"/>
        <w:ind w:left="560" w:right="0"/>
        <w:jc w:val="left"/>
      </w:pPr>
      <w:r>
        <w:rPr/>
        <w:t>无形资产减值损失一经确认，在以后会计期间不再转回。</w:t>
      </w:r>
    </w:p>
    <w:p>
      <w:pPr>
        <w:spacing w:line="670" w:lineRule="atLeast" w:before="37"/>
        <w:ind w:left="560"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）划分公司内部研究开发项目的研究阶段和开发阶段具体标准</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本公司内部研究开发项目的支出，区分研究阶段支出与开发阶段支出进行相应处理。将</w:t>
      </w:r>
    </w:p>
    <w:p>
      <w:pPr>
        <w:spacing w:line="240" w:lineRule="auto" w:before="11"/>
        <w:rPr>
          <w:rFonts w:ascii="宋体" w:hAnsi="宋体" w:cs="宋体" w:eastAsia="宋体" w:hint="default"/>
          <w:sz w:val="14"/>
          <w:szCs w:val="14"/>
        </w:rPr>
      </w:pPr>
    </w:p>
    <w:p>
      <w:pPr>
        <w:pStyle w:val="BodyText"/>
        <w:spacing w:line="408" w:lineRule="auto"/>
        <w:ind w:right="0"/>
        <w:jc w:val="left"/>
      </w:pPr>
      <w:r>
        <w:rPr/>
        <w:t>为获取并理解新的技术知识及项目可行性论证而进行的独创性的有计划调查期间确认为研</w:t>
      </w:r>
      <w:r>
        <w:rPr>
          <w:w w:val="100"/>
        </w:rPr>
        <w:t> </w:t>
      </w:r>
      <w:r>
        <w:rPr>
          <w:spacing w:val="-4"/>
        </w:rPr>
        <w:t>究阶段；将进行产品商业性生产（或使用）前，将研究成果或其他知识应用于产品设计及研</w:t>
      </w:r>
      <w:r>
        <w:rPr>
          <w:spacing w:val="-46"/>
        </w:rPr>
        <w:t> </w:t>
      </w:r>
      <w:r>
        <w:rPr>
          <w:spacing w:val="-46"/>
        </w:rPr>
      </w:r>
      <w:r>
        <w:rPr/>
        <w:t>发，以生产出新的或具有实质性改进的产品期间确认为开发阶段。</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left="560" w:right="0"/>
        <w:jc w:val="left"/>
      </w:pPr>
      <w:r>
        <w:rPr/>
        <w:t>本公司将内部研究开发项目的支出，区分为研究阶段支出和开发阶段支出。</w:t>
      </w:r>
      <w:r>
        <w:rPr>
          <w:w w:val="100"/>
        </w:rPr>
        <w:t> </w:t>
      </w:r>
      <w:r>
        <w:rPr/>
        <w:t>研究阶段的支出，于发生时计入当期损益。</w:t>
      </w:r>
      <w:r>
        <w:rPr>
          <w:w w:val="100"/>
        </w:rPr>
        <w:t> </w:t>
      </w:r>
      <w:r>
        <w:rPr>
          <w:spacing w:val="-4"/>
        </w:rPr>
        <w:t>开发阶段的支出，同时满足下列条件的，才能予以资本化，即：完成该无形资产以使其</w:t>
      </w:r>
    </w:p>
    <w:p>
      <w:pPr>
        <w:pStyle w:val="BodyText"/>
        <w:spacing w:line="408" w:lineRule="auto" w:before="46"/>
        <w:ind w:right="131"/>
        <w:jc w:val="both"/>
      </w:pPr>
      <w:r>
        <w:rPr>
          <w:spacing w:val="-4"/>
        </w:rPr>
        <w:t>能够使用或出售在技术上具有可行性；具有完成该无形资产并使用或出售的意图；无形资产</w:t>
      </w:r>
      <w:r>
        <w:rPr>
          <w:spacing w:val="-44"/>
        </w:rPr>
        <w:t> </w:t>
      </w:r>
      <w:r>
        <w:rPr>
          <w:spacing w:val="-44"/>
        </w:rPr>
      </w:r>
      <w:r>
        <w:rPr>
          <w:spacing w:val="-4"/>
          <w:w w:val="100"/>
        </w:rPr>
        <w:t>产生经济利益的方式，包括能够证明运用该无形资产生产的产品存在市场或无形资产自身存</w:t>
      </w:r>
      <w:r>
        <w:rPr>
          <w:spacing w:val="-94"/>
          <w:w w:val="100"/>
        </w:rPr>
        <w:t> </w:t>
      </w:r>
      <w:r>
        <w:rPr>
          <w:spacing w:val="-94"/>
          <w:w w:val="100"/>
        </w:rPr>
      </w:r>
      <w:r>
        <w:rPr>
          <w:spacing w:val="-4"/>
        </w:rPr>
        <w:t>在市场，无形资产将在内部使用的，能够证明其有用性；有足够的技术、财务资源和其他资</w:t>
      </w:r>
      <w:r>
        <w:rPr>
          <w:spacing w:val="-46"/>
        </w:rPr>
        <w:t> </w:t>
      </w:r>
      <w:r>
        <w:rPr>
          <w:spacing w:val="-46"/>
        </w:rPr>
      </w:r>
      <w:r>
        <w:rPr>
          <w:spacing w:val="-4"/>
        </w:rPr>
        <w:t>源支持，以完成该无形资产的开发，并有能力使用或出售该无形资产；归属于该无形资产开</w:t>
      </w:r>
      <w:r>
        <w:rPr>
          <w:spacing w:val="-45"/>
        </w:rPr>
        <w:t> </w:t>
      </w:r>
      <w:r>
        <w:rPr>
          <w:spacing w:val="-45"/>
        </w:rPr>
      </w:r>
      <w:r>
        <w:rPr/>
        <w:t>发阶段的支出能够可靠地计量。不满足上述条件的开发支出计入当期损益。</w:t>
      </w:r>
    </w:p>
    <w:p>
      <w:pPr>
        <w:pStyle w:val="BodyText"/>
        <w:spacing w:line="408" w:lineRule="auto" w:before="46"/>
        <w:ind w:right="0" w:firstLine="419"/>
        <w:jc w:val="left"/>
      </w:pPr>
      <w:r>
        <w:rPr>
          <w:spacing w:val="-4"/>
        </w:rPr>
        <w:t>本公司研究开发项目在满足上述条件，通过技术可行性及经济可行性研究，形成项目立</w:t>
      </w:r>
      <w:r>
        <w:rPr>
          <w:w w:val="100"/>
        </w:rPr>
        <w:t> </w:t>
      </w:r>
      <w:r>
        <w:rPr/>
        <w:t>项后，进入开发阶段。</w:t>
      </w:r>
    </w:p>
    <w:p>
      <w:pPr>
        <w:pStyle w:val="BodyText"/>
        <w:spacing w:line="408" w:lineRule="auto" w:before="46"/>
        <w:ind w:right="0" w:firstLine="419"/>
        <w:jc w:val="left"/>
      </w:pPr>
      <w:r>
        <w:rPr>
          <w:spacing w:val="-4"/>
          <w:w w:val="100"/>
        </w:rPr>
        <w:t>已资本化的开发阶段的支出在资产负债表上列示为开发支出，自该项目达到预定可使用</w:t>
      </w:r>
      <w:r>
        <w:rPr>
          <w:w w:val="100"/>
        </w:rPr>
        <w:t> </w:t>
      </w:r>
      <w:r>
        <w:rPr/>
        <w:t>状态之日转为无形资产。</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0" w:firstLine="419"/>
        <w:jc w:val="left"/>
      </w:pPr>
      <w:r>
        <w:rPr>
          <w:spacing w:val="-4"/>
        </w:rPr>
        <w:t>本公司发生的长期待摊费用按实际成本计价，并按预计受益期限平均摊销。对不能使以</w:t>
      </w:r>
      <w:r>
        <w:rPr>
          <w:w w:val="100"/>
        </w:rPr>
        <w:t> </w:t>
      </w:r>
      <w:r>
        <w:rPr/>
        <w:t>后会计期间受益的长期待摊费用项目，其摊余价值全部计入当期损益。</w:t>
      </w:r>
    </w:p>
    <w:p>
      <w:pPr>
        <w:spacing w:after="0" w:line="408" w:lineRule="auto"/>
        <w:jc w:val="left"/>
        <w:sectPr>
          <w:pgSz w:w="11910" w:h="16840"/>
          <w:pgMar w:header="877" w:footer="1227" w:top="1100" w:bottom="1420" w:left="1660" w:right="1660"/>
        </w:sectPr>
      </w:pPr>
    </w:p>
    <w:p>
      <w:pPr>
        <w:spacing w:line="240" w:lineRule="auto" w:before="11"/>
        <w:rPr>
          <w:rFonts w:ascii="宋体" w:hAnsi="宋体" w:cs="宋体" w:eastAsia="宋体" w:hint="default"/>
          <w:sz w:val="20"/>
          <w:szCs w:val="20"/>
        </w:rPr>
      </w:pPr>
    </w:p>
    <w:p>
      <w:pPr>
        <w:pStyle w:val="Heading3"/>
        <w:spacing w:line="506" w:lineRule="auto" w:before="36"/>
        <w:ind w:left="560" w:right="5990" w:hanging="420"/>
        <w:jc w:val="left"/>
        <w:rPr>
          <w:rFonts w:ascii="宋体" w:hAnsi="宋体" w:cs="宋体" w:eastAsia="宋体" w:hint="default"/>
          <w:b w:val="0"/>
          <w:bCs w:val="0"/>
        </w:rPr>
      </w:pPr>
      <w:r>
        <w:rPr>
          <w:rFonts w:ascii="Times New Roman" w:hAnsi="Times New Roman" w:cs="Times New Roman" w:eastAsia="Times New Roman" w:hint="default"/>
          <w:spacing w:val="-1"/>
        </w:rPr>
        <w:t>21</w:t>
      </w:r>
      <w:r>
        <w:rPr>
          <w:spacing w:val="-1"/>
        </w:rPr>
        <w:t>、附回购条件的资产转让</w:t>
      </w:r>
      <w:r>
        <w:rPr>
          <w:spacing w:val="-94"/>
        </w:rPr>
        <w:t> </w:t>
      </w:r>
      <w:r>
        <w:rPr>
          <w:spacing w:val="-94"/>
        </w:rPr>
      </w:r>
      <w:r>
        <w:rPr>
          <w:rFonts w:ascii="宋体" w:hAnsi="宋体" w:cs="宋体" w:eastAsia="宋体" w:hint="default"/>
          <w:b w:val="0"/>
          <w:bCs w:val="0"/>
        </w:rPr>
        <w:t>无。</w:t>
      </w:r>
    </w:p>
    <w:p>
      <w:pPr>
        <w:pStyle w:val="Heading3"/>
        <w:spacing w:line="506" w:lineRule="auto" w:before="101"/>
        <w:ind w:left="560" w:right="7242" w:hanging="420"/>
        <w:jc w:val="left"/>
        <w:rPr>
          <w:rFonts w:ascii="宋体" w:hAnsi="宋体" w:cs="宋体" w:eastAsia="宋体" w:hint="default"/>
          <w:b w:val="0"/>
          <w:bCs w:val="0"/>
        </w:rPr>
      </w:pPr>
      <w:r>
        <w:rPr>
          <w:rFonts w:ascii="Times New Roman" w:hAnsi="Times New Roman" w:cs="Times New Roman" w:eastAsia="Times New Roman" w:hint="default"/>
        </w:rPr>
        <w:t>22</w:t>
      </w:r>
      <w:r>
        <w:rPr/>
        <w:t>、预计负债</w:t>
      </w:r>
      <w:r>
        <w:rPr>
          <w:w w:val="100"/>
        </w:rPr>
        <w:t> </w:t>
      </w:r>
      <w:r>
        <w:rPr>
          <w:rFonts w:ascii="宋体" w:hAnsi="宋体" w:cs="宋体" w:eastAsia="宋体" w:hint="default"/>
          <w:b w:val="0"/>
          <w:bCs w:val="0"/>
        </w:rPr>
        <w:t>无。</w:t>
      </w:r>
    </w:p>
    <w:p>
      <w:pPr>
        <w:pStyle w:val="Heading3"/>
        <w:spacing w:line="506" w:lineRule="auto" w:before="104"/>
        <w:ind w:left="560" w:right="6082" w:hanging="420"/>
        <w:jc w:val="left"/>
        <w:rPr>
          <w:rFonts w:ascii="宋体" w:hAnsi="宋体" w:cs="宋体" w:eastAsia="宋体" w:hint="default"/>
          <w:b w:val="0"/>
          <w:bCs w:val="0"/>
        </w:rPr>
      </w:pPr>
      <w:r>
        <w:rPr/>
        <w:t>（</w:t>
      </w:r>
      <w:r>
        <w:rPr>
          <w:rFonts w:ascii="Times New Roman" w:hAnsi="Times New Roman" w:cs="Times New Roman" w:eastAsia="Times New Roman" w:hint="default"/>
        </w:rPr>
        <w:t>1</w:t>
      </w:r>
      <w:r>
        <w:rPr/>
        <w:t>）预计负债的确认标准</w:t>
      </w:r>
      <w:r>
        <w:rPr>
          <w:w w:val="100"/>
        </w:rPr>
        <w:t> </w:t>
      </w:r>
      <w:r>
        <w:rPr>
          <w:rFonts w:ascii="宋体" w:hAnsi="宋体" w:cs="宋体" w:eastAsia="宋体" w:hint="default"/>
          <w:b w:val="0"/>
          <w:bCs w:val="0"/>
        </w:rPr>
        <w:t>无。</w:t>
      </w:r>
    </w:p>
    <w:p>
      <w:pPr>
        <w:pStyle w:val="Heading3"/>
        <w:spacing w:line="506" w:lineRule="auto" w:before="102"/>
        <w:ind w:left="560" w:right="6082" w:hanging="420"/>
        <w:jc w:val="left"/>
        <w:rPr>
          <w:rFonts w:ascii="宋体" w:hAnsi="宋体" w:cs="宋体" w:eastAsia="宋体" w:hint="default"/>
          <w:b w:val="0"/>
          <w:bCs w:val="0"/>
        </w:rPr>
      </w:pPr>
      <w:r>
        <w:rPr/>
        <w:t>（</w:t>
      </w:r>
      <w:r>
        <w:rPr>
          <w:rFonts w:ascii="Times New Roman" w:hAnsi="Times New Roman" w:cs="Times New Roman" w:eastAsia="Times New Roman" w:hint="default"/>
        </w:rPr>
        <w:t>2</w:t>
      </w:r>
      <w:r>
        <w:rPr/>
        <w:t>）预计负债的计量方法</w:t>
      </w:r>
      <w:r>
        <w:rPr>
          <w:w w:val="100"/>
        </w:rPr>
        <w:t> </w:t>
      </w:r>
      <w:r>
        <w:rPr>
          <w:rFonts w:ascii="宋体" w:hAnsi="宋体" w:cs="宋体" w:eastAsia="宋体" w:hint="default"/>
          <w:b w:val="0"/>
          <w:bCs w:val="0"/>
        </w:rPr>
        <w:t>无。</w:t>
      </w:r>
    </w:p>
    <w:p>
      <w:pPr>
        <w:pStyle w:val="Heading3"/>
        <w:spacing w:line="240" w:lineRule="auto" w:before="104"/>
        <w:ind w:right="0"/>
        <w:jc w:val="left"/>
        <w:rPr>
          <w:b w:val="0"/>
          <w:bCs w:val="0"/>
        </w:rPr>
      </w:pPr>
      <w:r>
        <w:rPr>
          <w:rFonts w:ascii="Times New Roman" w:hAnsi="Times New Roman" w:cs="Times New Roman" w:eastAsia="Times New Roman" w:hint="default"/>
        </w:rPr>
        <w:t>23</w:t>
      </w:r>
      <w:r>
        <w:rPr/>
        <w:t>、股份支付及权益工具</w:t>
      </w:r>
      <w:r>
        <w:rPr>
          <w:b w:val="0"/>
          <w:bCs w:val="0"/>
        </w:rPr>
      </w:r>
    </w:p>
    <w:p>
      <w:pPr>
        <w:spacing w:line="240" w:lineRule="auto" w:before="10"/>
        <w:rPr>
          <w:rFonts w:ascii="宋体" w:hAnsi="宋体" w:cs="宋体" w:eastAsia="宋体" w:hint="default"/>
          <w:b/>
          <w:bCs/>
          <w:sz w:val="24"/>
          <w:szCs w:val="24"/>
        </w:rPr>
      </w:pPr>
    </w:p>
    <w:p>
      <w:pPr>
        <w:spacing w:line="568" w:lineRule="auto" w:before="0"/>
        <w:ind w:left="560" w:right="259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）股份支付的种类</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本公司股份支付为以权益结算的股份支付。</w:t>
      </w:r>
    </w:p>
    <w:p>
      <w:pPr>
        <w:pStyle w:val="Heading3"/>
        <w:spacing w:line="240" w:lineRule="auto" w:before="128"/>
        <w:ind w:right="0"/>
        <w:jc w:val="left"/>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8"/>
        <w:rPr>
          <w:rFonts w:ascii="宋体" w:hAnsi="宋体" w:cs="宋体" w:eastAsia="宋体" w:hint="default"/>
          <w:b/>
          <w:bCs/>
          <w:sz w:val="30"/>
          <w:szCs w:val="30"/>
        </w:rPr>
      </w:pPr>
    </w:p>
    <w:p>
      <w:pPr>
        <w:pStyle w:val="BodyText"/>
        <w:spacing w:line="400" w:lineRule="auto"/>
        <w:ind w:right="0" w:firstLine="419"/>
        <w:jc w:val="left"/>
      </w:pPr>
      <w:r>
        <w:rPr>
          <w:spacing w:val="-4"/>
          <w:w w:val="100"/>
        </w:rPr>
        <w:t>本公司对于授予的存在活跃市场的期权等权益工具，按照活跃市场中的报价确定其公允</w:t>
      </w:r>
      <w:r>
        <w:rPr>
          <w:w w:val="100"/>
        </w:rPr>
        <w:t> </w:t>
      </w:r>
      <w:r>
        <w:rPr>
          <w:spacing w:val="-7"/>
          <w:w w:val="100"/>
        </w:rPr>
        <w:t>价值。对于授予的不存在活跃市场的期权等权益工具，采用期权定价模型等确定其公允价值。</w:t>
      </w:r>
      <w:r>
        <w:rPr>
          <w:spacing w:val="-73"/>
          <w:w w:val="100"/>
        </w:rPr>
        <w:t> </w:t>
      </w:r>
      <w:r>
        <w:rPr>
          <w:spacing w:val="-73"/>
          <w:w w:val="100"/>
        </w:rPr>
      </w:r>
      <w:r>
        <w:rPr/>
        <w:t>选用的期权定价模型考虑以下因素：</w:t>
      </w:r>
      <w:r>
        <w:rPr>
          <w:rFonts w:ascii="Times New Roman" w:hAnsi="Times New Roman" w:cs="Times New Roman" w:eastAsia="Times New Roman" w:hint="default"/>
        </w:rPr>
        <w:t>A</w:t>
      </w:r>
      <w:r>
        <w:rPr/>
        <w:t>、期权的行权价格；</w:t>
      </w:r>
      <w:r>
        <w:rPr>
          <w:rFonts w:ascii="Times New Roman" w:hAnsi="Times New Roman" w:cs="Times New Roman" w:eastAsia="Times New Roman" w:hint="default"/>
        </w:rPr>
        <w:t>B</w:t>
      </w:r>
      <w:r>
        <w:rPr/>
        <w:t>、期权的有效期；</w:t>
      </w:r>
      <w:r>
        <w:rPr>
          <w:rFonts w:ascii="Times New Roman" w:hAnsi="Times New Roman" w:cs="Times New Roman" w:eastAsia="Times New Roman" w:hint="default"/>
        </w:rPr>
        <w:t>C</w:t>
      </w:r>
      <w:r>
        <w:rPr/>
        <w:t>、标的股</w:t>
      </w:r>
      <w:r>
        <w:rPr>
          <w:w w:val="100"/>
        </w:rPr>
        <w:t> </w:t>
      </w:r>
      <w:r>
        <w:rPr>
          <w:spacing w:val="-6"/>
        </w:rPr>
        <w:t>份的现行价格；</w:t>
      </w:r>
      <w:r>
        <w:rPr>
          <w:rFonts w:ascii="Times New Roman" w:hAnsi="Times New Roman" w:cs="Times New Roman" w:eastAsia="Times New Roman" w:hint="default"/>
          <w:spacing w:val="-6"/>
        </w:rPr>
        <w:t>D</w:t>
      </w:r>
      <w:r>
        <w:rPr>
          <w:spacing w:val="-6"/>
        </w:rPr>
        <w:t>、股价预计波动率；</w:t>
      </w:r>
      <w:r>
        <w:rPr>
          <w:rFonts w:ascii="Times New Roman" w:hAnsi="Times New Roman" w:cs="Times New Roman" w:eastAsia="Times New Roman" w:hint="default"/>
          <w:spacing w:val="-6"/>
        </w:rPr>
        <w:t>E</w:t>
      </w:r>
      <w:r>
        <w:rPr>
          <w:spacing w:val="-6"/>
        </w:rPr>
        <w:t>、股份的预计股利；</w:t>
      </w:r>
      <w:r>
        <w:rPr>
          <w:rFonts w:ascii="Times New Roman" w:hAnsi="Times New Roman" w:cs="Times New Roman" w:eastAsia="Times New Roman" w:hint="default"/>
          <w:spacing w:val="-6"/>
        </w:rPr>
        <w:t>F</w:t>
      </w:r>
      <w:r>
        <w:rPr>
          <w:spacing w:val="-6"/>
        </w:rPr>
        <w:t>、期权有效期内的无风险利率。</w:t>
      </w:r>
    </w:p>
    <w:p>
      <w:pPr>
        <w:spacing w:line="240" w:lineRule="auto" w:before="9"/>
        <w:rPr>
          <w:rFonts w:ascii="宋体" w:hAnsi="宋体" w:cs="宋体" w:eastAsia="宋体" w:hint="default"/>
          <w:sz w:val="18"/>
          <w:szCs w:val="18"/>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）确认可行权权益工具最佳估计的依据</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211" w:firstLine="419"/>
        <w:jc w:val="both"/>
      </w:pPr>
      <w:r>
        <w:rPr>
          <w:spacing w:val="-4"/>
          <w:w w:val="100"/>
        </w:rPr>
        <w:t>等待期内每个资产负债表日，本公司根据最新取得的可行权职工人数变动等后续信息作</w:t>
      </w:r>
      <w:r>
        <w:rPr>
          <w:w w:val="100"/>
        </w:rPr>
        <w:t> </w:t>
      </w:r>
      <w:r>
        <w:rPr>
          <w:spacing w:val="-4"/>
        </w:rPr>
        <w:t>出最佳估计，修正预计可行权的权益工具数量。在可行权日，最终预计可行权权益工具的数</w:t>
      </w:r>
      <w:r>
        <w:rPr>
          <w:spacing w:val="-46"/>
        </w:rPr>
        <w:t> </w:t>
      </w:r>
      <w:r>
        <w:rPr>
          <w:spacing w:val="-46"/>
        </w:rPr>
      </w:r>
      <w:r>
        <w:rPr/>
        <w:t>量应当与实际可行权数量一致。</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）实施、修改、终止股份支付计划的相关会计处理</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0" w:firstLine="419"/>
        <w:jc w:val="left"/>
      </w:pPr>
      <w:r>
        <w:rPr>
          <w:spacing w:val="-2"/>
        </w:rPr>
        <w:t>以权益结算的股份支付，按授予职工权益工具的公允价值计量。授予后立即可行权的，</w:t>
      </w:r>
      <w:r>
        <w:rPr>
          <w:w w:val="100"/>
        </w:rPr>
        <w:t> </w:t>
      </w:r>
      <w:r>
        <w:rPr>
          <w:spacing w:val="-4"/>
        </w:rPr>
        <w:t>在授予日按照权益工具的公允价值计入相关成本或费用，相应增加资本公积。在完成等待期</w:t>
      </w:r>
    </w:p>
    <w:p>
      <w:pPr>
        <w:spacing w:after="0" w:line="408" w:lineRule="auto"/>
        <w:jc w:val="left"/>
        <w:sectPr>
          <w:pgSz w:w="11910" w:h="16840"/>
          <w:pgMar w:header="877" w:footer="1227" w:top="1100" w:bottom="1420" w:left="1660" w:right="1580"/>
        </w:sectPr>
      </w:pPr>
    </w:p>
    <w:p>
      <w:pPr>
        <w:spacing w:line="240" w:lineRule="auto" w:before="9"/>
        <w:rPr>
          <w:rFonts w:ascii="宋体" w:hAnsi="宋体" w:cs="宋体" w:eastAsia="宋体" w:hint="default"/>
          <w:sz w:val="26"/>
          <w:szCs w:val="26"/>
        </w:rPr>
      </w:pPr>
    </w:p>
    <w:p>
      <w:pPr>
        <w:pStyle w:val="BodyText"/>
        <w:spacing w:line="408" w:lineRule="auto" w:before="36"/>
        <w:ind w:right="211"/>
        <w:jc w:val="both"/>
      </w:pPr>
      <w:r>
        <w:rPr>
          <w:spacing w:val="-4"/>
        </w:rPr>
        <w:t>内的服务或达到规定业绩条件才可行权的，在等待期内的每个资产负债表日，以对可行权权</w:t>
      </w:r>
      <w:r>
        <w:rPr>
          <w:spacing w:val="-44"/>
        </w:rPr>
        <w:t> </w:t>
      </w:r>
      <w:r>
        <w:rPr>
          <w:spacing w:val="-44"/>
        </w:rPr>
      </w:r>
      <w:r>
        <w:rPr>
          <w:spacing w:val="-4"/>
        </w:rPr>
        <w:t>益工具数量的最佳估计为基础，按照权益工具授予日的公允价值，将当期取得的服务计入相</w:t>
      </w:r>
      <w:r>
        <w:rPr>
          <w:spacing w:val="-44"/>
        </w:rPr>
        <w:t> </w:t>
      </w:r>
      <w:r>
        <w:rPr>
          <w:spacing w:val="-44"/>
        </w:rPr>
      </w:r>
      <w:r>
        <w:rPr>
          <w:spacing w:val="-4"/>
          <w:w w:val="100"/>
        </w:rPr>
        <w:t>关成本或费用和资本公积。在可行权日之后不再对已确认的相关成本或费用和所有者权益总</w:t>
      </w:r>
      <w:r>
        <w:rPr>
          <w:spacing w:val="-94"/>
          <w:w w:val="100"/>
        </w:rPr>
        <w:t> </w:t>
      </w:r>
      <w:r>
        <w:rPr>
          <w:spacing w:val="-94"/>
          <w:w w:val="100"/>
        </w:rPr>
      </w:r>
      <w:r>
        <w:rPr/>
        <w:t>额进行调整。</w:t>
      </w:r>
    </w:p>
    <w:p>
      <w:pPr>
        <w:pStyle w:val="BodyText"/>
        <w:spacing w:line="408" w:lineRule="auto" w:before="46"/>
        <w:ind w:right="0" w:firstLine="419"/>
        <w:jc w:val="left"/>
      </w:pPr>
      <w:r>
        <w:rPr>
          <w:spacing w:val="-4"/>
        </w:rPr>
        <w:t>本公司对股份支付计划进行修改时，若修改增加了所授予权益工具的公允价值，按照权</w:t>
      </w:r>
      <w:r>
        <w:rPr>
          <w:w w:val="100"/>
        </w:rPr>
        <w:t> </w:t>
      </w:r>
      <w:r>
        <w:rPr>
          <w:spacing w:val="-2"/>
        </w:rPr>
        <w:t>益工具公允价值的增加相应地确认取得服务的增加；若修改增加了所授予权益工具的数量，</w:t>
      </w:r>
      <w:r>
        <w:rPr>
          <w:spacing w:val="-31"/>
        </w:rPr>
        <w:t> </w:t>
      </w:r>
      <w:r>
        <w:rPr>
          <w:spacing w:val="-31"/>
        </w:rPr>
      </w:r>
      <w:r>
        <w:rPr>
          <w:spacing w:val="-4"/>
          <w:w w:val="100"/>
        </w:rPr>
        <w:t>则将增加的权益工具的公允价值相应地确认为取得服务的增加。权益工具公允价值的增加是</w:t>
      </w:r>
      <w:r>
        <w:rPr>
          <w:spacing w:val="-94"/>
          <w:w w:val="100"/>
        </w:rPr>
        <w:t> </w:t>
      </w:r>
      <w:r>
        <w:rPr>
          <w:spacing w:val="-94"/>
          <w:w w:val="100"/>
        </w:rPr>
      </w:r>
      <w:r>
        <w:rPr>
          <w:spacing w:val="-4"/>
          <w:w w:val="100"/>
        </w:rPr>
        <w:t>指修改前后的权益工具在修改日的公允价值之间的差额。若修改减少了股份支付公允价值总</w:t>
      </w:r>
      <w:r>
        <w:rPr>
          <w:spacing w:val="-94"/>
          <w:w w:val="100"/>
        </w:rPr>
        <w:t> </w:t>
      </w:r>
      <w:r>
        <w:rPr>
          <w:spacing w:val="-94"/>
          <w:w w:val="100"/>
        </w:rPr>
      </w:r>
      <w:r>
        <w:rPr>
          <w:spacing w:val="-4"/>
          <w:w w:val="100"/>
        </w:rPr>
        <w:t>额或采用了其他不利于职工的方式修改股份支付计划的条款和条件，则仍继续对取得的服务</w:t>
      </w:r>
      <w:r>
        <w:rPr>
          <w:spacing w:val="-94"/>
          <w:w w:val="100"/>
        </w:rPr>
        <w:t> </w:t>
      </w:r>
      <w:r>
        <w:rPr>
          <w:spacing w:val="-94"/>
          <w:w w:val="100"/>
        </w:rPr>
      </w:r>
      <w:r>
        <w:rPr/>
        <w:t>进行会计处理，视同该变更从未发生，除非本公司取消了部分或全部已授予的权益工具。</w:t>
      </w:r>
    </w:p>
    <w:p>
      <w:pPr>
        <w:pStyle w:val="BodyText"/>
        <w:spacing w:line="408" w:lineRule="auto" w:before="46"/>
        <w:ind w:right="211" w:firstLine="419"/>
        <w:jc w:val="both"/>
      </w:pPr>
      <w:r>
        <w:rPr>
          <w:spacing w:val="-4"/>
        </w:rPr>
        <w:t>在等待期内，如果取消了授予的权益工具，本公司对取消所授予的权益性工具作为加速</w:t>
      </w:r>
      <w:r>
        <w:rPr>
          <w:w w:val="100"/>
        </w:rPr>
        <w:t> </w:t>
      </w:r>
      <w:r>
        <w:rPr>
          <w:spacing w:val="-4"/>
        </w:rPr>
        <w:t>行权处理，将剩余等待期内应确认的金额立即计入当期损益，同时确认资本公积。职工或其</w:t>
      </w:r>
      <w:r>
        <w:rPr>
          <w:spacing w:val="-47"/>
        </w:rPr>
        <w:t> </w:t>
      </w:r>
      <w:r>
        <w:rPr>
          <w:spacing w:val="-47"/>
        </w:rPr>
      </w:r>
      <w:r>
        <w:rPr>
          <w:spacing w:val="-4"/>
          <w:w w:val="100"/>
        </w:rPr>
        <w:t>他方能够选择满足非可行权条件但在等待期内未满足的，本公司将其作为授予权益工具的取</w:t>
      </w:r>
      <w:r>
        <w:rPr>
          <w:spacing w:val="-94"/>
          <w:w w:val="100"/>
        </w:rPr>
        <w:t> </w:t>
      </w:r>
      <w:r>
        <w:rPr>
          <w:spacing w:val="-94"/>
          <w:w w:val="100"/>
        </w:rPr>
      </w:r>
      <w:r>
        <w:rPr/>
        <w:t>消处理。</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24</w:t>
      </w:r>
      <w:r>
        <w:rPr/>
        <w:t>、回购本公司股份</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211" w:firstLine="419"/>
        <w:jc w:val="both"/>
      </w:pPr>
      <w:r>
        <w:rPr>
          <w:spacing w:val="-4"/>
        </w:rPr>
        <w:t>本公司回购的股份在注销或者转让之前，作为库存股管理，回购股份的全部支出转作库</w:t>
      </w:r>
      <w:r>
        <w:rPr>
          <w:w w:val="100"/>
        </w:rPr>
        <w:t> </w:t>
      </w:r>
      <w:r>
        <w:rPr>
          <w:spacing w:val="-4"/>
        </w:rPr>
        <w:t>存股成本。股份回购中支付的对价和交易费用减少所有者权益，回购、转上或注销本公司股</w:t>
      </w:r>
      <w:r>
        <w:rPr>
          <w:spacing w:val="-46"/>
        </w:rPr>
        <w:t> </w:t>
      </w:r>
      <w:r>
        <w:rPr>
          <w:spacing w:val="-46"/>
        </w:rPr>
      </w:r>
      <w:r>
        <w:rPr/>
        <w:t>份时，不确认利得或损失。</w:t>
      </w:r>
    </w:p>
    <w:p>
      <w:pPr>
        <w:pStyle w:val="BodyText"/>
        <w:spacing w:line="408" w:lineRule="auto" w:before="46"/>
        <w:ind w:right="211" w:firstLine="419"/>
        <w:jc w:val="both"/>
      </w:pPr>
      <w:r>
        <w:rPr>
          <w:spacing w:val="-4"/>
        </w:rPr>
        <w:t>转让库存股，按实际收到的金额与库存股账面金额的差额，计入资本公积，资本公积不</w:t>
      </w:r>
      <w:r>
        <w:rPr>
          <w:w w:val="100"/>
        </w:rPr>
        <w:t> </w:t>
      </w:r>
      <w:r>
        <w:rPr>
          <w:spacing w:val="-4"/>
        </w:rPr>
        <w:t>足冲减的，冲减盈余公积和未分配利润。注销库存股，按股票面值和注销股数减少股本，按</w:t>
      </w:r>
      <w:r>
        <w:rPr>
          <w:spacing w:val="-46"/>
        </w:rPr>
        <w:t> </w:t>
      </w:r>
      <w:r>
        <w:rPr>
          <w:spacing w:val="-46"/>
        </w:rPr>
      </w:r>
      <w:r>
        <w:rPr>
          <w:spacing w:val="-4"/>
        </w:rPr>
        <w:t>注销库存股的账面余额与面值的差额，冲减资本公积，资本公积不足冲减的，冲减盈余公积</w:t>
      </w:r>
      <w:r>
        <w:rPr>
          <w:spacing w:val="-45"/>
        </w:rPr>
        <w:t> </w:t>
      </w:r>
      <w:r>
        <w:rPr>
          <w:spacing w:val="-45"/>
        </w:rPr>
      </w:r>
      <w:r>
        <w:rPr/>
        <w:t>和未分配利润。</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25</w:t>
      </w:r>
      <w:r>
        <w:rPr/>
        <w:t>、收入</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8"/>
        <w:rPr>
          <w:rFonts w:ascii="宋体" w:hAnsi="宋体" w:cs="宋体" w:eastAsia="宋体" w:hint="default"/>
          <w:b/>
          <w:bCs/>
          <w:sz w:val="30"/>
          <w:szCs w:val="30"/>
        </w:rPr>
      </w:pPr>
    </w:p>
    <w:p>
      <w:pPr>
        <w:pStyle w:val="BodyText"/>
        <w:spacing w:line="398" w:lineRule="auto"/>
        <w:ind w:right="211" w:firstLine="419"/>
        <w:jc w:val="both"/>
      </w:pPr>
      <w:r>
        <w:rPr>
          <w:rFonts w:ascii="Times New Roman" w:hAnsi="Times New Roman" w:cs="Times New Roman" w:eastAsia="Times New Roman" w:hint="default"/>
          <w:spacing w:val="-3"/>
        </w:rPr>
        <w:t>1)</w:t>
      </w:r>
      <w:r>
        <w:rPr>
          <w:spacing w:val="-3"/>
        </w:rPr>
        <w:t>本公司销售产品在满足以下条件时确认收入实现：①已将产品所有权上的主要风险和</w:t>
      </w:r>
      <w:r>
        <w:rPr>
          <w:w w:val="100"/>
        </w:rPr>
        <w:t> </w:t>
      </w:r>
      <w:r>
        <w:rPr>
          <w:spacing w:val="-4"/>
        </w:rPr>
        <w:t>报酬转移给购货方；②既没有保留通常与所有权相联系的继续管理权，也没有对已售出的产</w:t>
      </w:r>
      <w:r>
        <w:rPr>
          <w:spacing w:val="-44"/>
        </w:rPr>
        <w:t> </w:t>
      </w:r>
      <w:r>
        <w:rPr>
          <w:spacing w:val="-44"/>
        </w:rPr>
      </w:r>
      <w:r>
        <w:rPr>
          <w:spacing w:val="-4"/>
        </w:rPr>
        <w:t>品实施有效控制；③收入的金额能够可靠地计量；④相关的经济利益很可能流入企业；⑤相</w:t>
      </w:r>
    </w:p>
    <w:p>
      <w:pPr>
        <w:spacing w:after="0" w:line="398" w:lineRule="auto"/>
        <w:jc w:val="both"/>
        <w:sectPr>
          <w:pgSz w:w="11910" w:h="16840"/>
          <w:pgMar w:header="877" w:footer="1227" w:top="1100" w:bottom="1420" w:left="1660" w:right="1580"/>
        </w:sectPr>
      </w:pPr>
    </w:p>
    <w:p>
      <w:pPr>
        <w:spacing w:line="240" w:lineRule="auto" w:before="9"/>
        <w:rPr>
          <w:rFonts w:ascii="宋体" w:hAnsi="宋体" w:cs="宋体" w:eastAsia="宋体" w:hint="default"/>
          <w:sz w:val="26"/>
          <w:szCs w:val="26"/>
        </w:rPr>
      </w:pPr>
    </w:p>
    <w:p>
      <w:pPr>
        <w:pStyle w:val="BodyText"/>
        <w:spacing w:line="240" w:lineRule="auto" w:before="36"/>
        <w:ind w:right="0"/>
        <w:jc w:val="both"/>
      </w:pPr>
      <w:r>
        <w:rPr/>
        <w:t>关的已发生或将发生的成本能够可靠地计量。</w:t>
      </w:r>
    </w:p>
    <w:p>
      <w:pPr>
        <w:spacing w:line="240" w:lineRule="auto" w:before="10"/>
        <w:rPr>
          <w:rFonts w:ascii="宋体" w:hAnsi="宋体" w:cs="宋体" w:eastAsia="宋体" w:hint="default"/>
          <w:sz w:val="14"/>
          <w:szCs w:val="14"/>
        </w:rPr>
      </w:pPr>
    </w:p>
    <w:p>
      <w:pPr>
        <w:pStyle w:val="BodyText"/>
        <w:spacing w:line="400" w:lineRule="auto"/>
        <w:ind w:right="0" w:firstLine="419"/>
        <w:jc w:val="left"/>
      </w:pPr>
      <w:r>
        <w:rPr>
          <w:rFonts w:ascii="Times New Roman" w:hAnsi="Times New Roman" w:cs="Times New Roman" w:eastAsia="Times New Roman" w:hint="default"/>
          <w:spacing w:val="-3"/>
        </w:rPr>
        <w:t>2)</w:t>
      </w:r>
      <w:r>
        <w:rPr>
          <w:spacing w:val="-3"/>
        </w:rPr>
        <w:t>本公司商品销售收入确认的具体方法如下：①软硬件开发与销售本公司软硬件开发与</w:t>
      </w:r>
      <w:r>
        <w:rPr>
          <w:w w:val="100"/>
        </w:rPr>
        <w:t> </w:t>
      </w:r>
      <w:r>
        <w:rPr>
          <w:spacing w:val="-4"/>
        </w:rPr>
        <w:t>销售（以下统称</w:t>
      </w:r>
      <w:r>
        <w:rPr>
          <w:rFonts w:ascii="Times New Roman" w:hAnsi="Times New Roman" w:cs="Times New Roman" w:eastAsia="Times New Roman" w:hint="default"/>
          <w:spacing w:val="-4"/>
        </w:rPr>
        <w:t>“</w:t>
      </w:r>
      <w:r>
        <w:rPr>
          <w:spacing w:val="-4"/>
        </w:rPr>
        <w:t>产品销售</w:t>
      </w:r>
      <w:r>
        <w:rPr>
          <w:rFonts w:ascii="Times New Roman" w:hAnsi="Times New Roman" w:cs="Times New Roman" w:eastAsia="Times New Roman" w:hint="default"/>
          <w:spacing w:val="-4"/>
        </w:rPr>
        <w:t>”</w:t>
      </w:r>
      <w:r>
        <w:rPr>
          <w:spacing w:val="-4"/>
        </w:rPr>
        <w:t>）包括销售电子数据取证产品系列和网络信息安全产品系列的硬</w:t>
      </w:r>
      <w:r>
        <w:rPr>
          <w:spacing w:val="-17"/>
        </w:rPr>
        <w:t> </w:t>
      </w:r>
      <w:r>
        <w:rPr>
          <w:spacing w:val="-17"/>
        </w:rPr>
      </w:r>
      <w:r>
        <w:rPr>
          <w:spacing w:val="-4"/>
        </w:rPr>
        <w:t>件产品及软件产品，其中硬件产品包括自主开发硬件产品及外购配件商品，软件产品包括自</w:t>
      </w:r>
      <w:r>
        <w:rPr>
          <w:spacing w:val="-44"/>
        </w:rPr>
        <w:t> </w:t>
      </w:r>
      <w:r>
        <w:rPr>
          <w:spacing w:val="-44"/>
        </w:rPr>
      </w:r>
      <w:r>
        <w:rPr>
          <w:spacing w:val="-4"/>
          <w:w w:val="100"/>
        </w:rPr>
        <w:t>主开发标准软件产品和自主开发客户定制软件产品。自主开发标准软件产品指公司自行开发</w:t>
      </w:r>
      <w:r>
        <w:rPr>
          <w:spacing w:val="-94"/>
          <w:w w:val="100"/>
        </w:rPr>
        <w:t> </w:t>
      </w:r>
      <w:r>
        <w:rPr>
          <w:spacing w:val="-94"/>
          <w:w w:val="100"/>
        </w:rPr>
      </w:r>
      <w:r>
        <w:rPr>
          <w:spacing w:val="-7"/>
          <w:w w:val="100"/>
        </w:rPr>
        <w:t>研制的销售时不转让著作权的软件产品，由此开发出来的软件具有自主知识产权、无差异化、</w:t>
      </w:r>
      <w:r>
        <w:rPr>
          <w:spacing w:val="-73"/>
          <w:w w:val="100"/>
        </w:rPr>
        <w:t> </w:t>
      </w:r>
      <w:r>
        <w:rPr>
          <w:spacing w:val="-73"/>
          <w:w w:val="100"/>
        </w:rPr>
      </w:r>
      <w:r>
        <w:rPr>
          <w:spacing w:val="-4"/>
        </w:rPr>
        <w:t>可批量复制的特性；自主开发客户定制软件产品指公司根据客户的实际需求进行定制、开发</w:t>
      </w:r>
      <w:r>
        <w:rPr>
          <w:spacing w:val="-44"/>
        </w:rPr>
        <w:t> </w:t>
      </w:r>
      <w:r>
        <w:rPr>
          <w:spacing w:val="-44"/>
        </w:rPr>
      </w:r>
      <w:r>
        <w:rPr/>
        <w:t>的软件产品，由此开发出来的软件不具有通用性。</w:t>
      </w:r>
    </w:p>
    <w:p>
      <w:pPr>
        <w:pStyle w:val="BodyText"/>
        <w:spacing w:line="408" w:lineRule="auto" w:before="53"/>
        <w:ind w:right="211" w:firstLine="419"/>
        <w:jc w:val="both"/>
      </w:pPr>
      <w:r>
        <w:rPr>
          <w:spacing w:val="-4"/>
        </w:rPr>
        <w:t>本公司向客户销售软件产品的同时，为其提供软件应用所需的设备配件及安装服务，如</w:t>
      </w:r>
      <w:r>
        <w:rPr>
          <w:w w:val="100"/>
        </w:rPr>
        <w:t> </w:t>
      </w:r>
      <w:r>
        <w:rPr>
          <w:spacing w:val="-4"/>
        </w:rPr>
        <w:t>果软件收入与设备配件及安装服务收入能明确区分，则分别作为软件产品销售、硬件产品销</w:t>
      </w:r>
      <w:r>
        <w:rPr>
          <w:spacing w:val="-44"/>
        </w:rPr>
        <w:t> </w:t>
      </w:r>
      <w:r>
        <w:rPr>
          <w:spacing w:val="-44"/>
        </w:rPr>
      </w:r>
      <w:r>
        <w:rPr>
          <w:spacing w:val="-4"/>
        </w:rPr>
        <w:t>售及技术服务进行核算；如果软件收入与设备配件及安装服务收入不能明确区分，则将其一</w:t>
      </w:r>
      <w:r>
        <w:rPr>
          <w:spacing w:val="-44"/>
        </w:rPr>
        <w:t> </w:t>
      </w:r>
      <w:r>
        <w:rPr>
          <w:spacing w:val="-44"/>
        </w:rPr>
      </w:r>
      <w:r>
        <w:rPr/>
        <w:t>并作为硬件产品销售进行核算。</w:t>
      </w:r>
    </w:p>
    <w:p>
      <w:pPr>
        <w:pStyle w:val="BodyText"/>
        <w:spacing w:line="408" w:lineRule="auto" w:before="46"/>
        <w:ind w:right="211" w:firstLine="419"/>
        <w:jc w:val="both"/>
      </w:pPr>
      <w:r>
        <w:rPr>
          <w:spacing w:val="-4"/>
          <w:w w:val="100"/>
        </w:rPr>
        <w:t>本公司产品销售收入确认的具体标准：无需安装调试的产品在交付并经客户验收合格后</w:t>
      </w:r>
      <w:r>
        <w:rPr>
          <w:w w:val="100"/>
        </w:rPr>
        <w:t> </w:t>
      </w:r>
      <w:r>
        <w:rPr>
          <w:spacing w:val="-4"/>
          <w:w w:val="100"/>
        </w:rPr>
        <w:t>确认收入；需安装调试的产品在项目实施完成并经客户验收合格取得对方签字的验收报告后</w:t>
      </w:r>
      <w:r>
        <w:rPr>
          <w:spacing w:val="-94"/>
          <w:w w:val="100"/>
        </w:rPr>
        <w:t> </w:t>
      </w:r>
      <w:r>
        <w:rPr>
          <w:spacing w:val="-94"/>
          <w:w w:val="100"/>
        </w:rPr>
      </w:r>
      <w:r>
        <w:rPr/>
        <w:t>确认收入；对需要分次交付验收的，在分次取得验收报告后确认收入。</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211" w:firstLine="419"/>
        <w:jc w:val="both"/>
      </w:pPr>
      <w:r>
        <w:rPr>
          <w:spacing w:val="-4"/>
          <w:w w:val="100"/>
        </w:rPr>
        <w:t>与资产使用权让渡相关的经济利益能够流入及收入的金额能够可靠地计量时，本公司确</w:t>
      </w:r>
      <w:r>
        <w:rPr>
          <w:w w:val="100"/>
        </w:rPr>
        <w:t> </w:t>
      </w:r>
      <w:r>
        <w:rPr/>
        <w:t>认收入。</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left="560" w:right="0"/>
        <w:jc w:val="left"/>
      </w:pPr>
      <w:r>
        <w:rPr/>
        <w:t>技术服务收入包括向客户提供的技术支持、技术咨询以及技术培训服务收入等。</w:t>
      </w:r>
      <w:r>
        <w:rPr>
          <w:w w:val="100"/>
        </w:rPr>
        <w:t> </w:t>
      </w:r>
      <w:r>
        <w:rPr>
          <w:spacing w:val="-4"/>
        </w:rPr>
        <w:t>本公司在已根据合同约定提供了相应服务，取得明确的收款证据，相关成本能够可靠地</w:t>
      </w:r>
    </w:p>
    <w:p>
      <w:pPr>
        <w:pStyle w:val="BodyText"/>
        <w:spacing w:line="386" w:lineRule="auto" w:before="46"/>
        <w:ind w:left="560" w:right="0" w:hanging="420"/>
        <w:jc w:val="left"/>
      </w:pPr>
      <w:r>
        <w:rPr/>
        <w:t>计量时，确认收入。具体方法如下</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4"/>
        </w:rPr>
        <w:t>合同明确约定服务期限的，在合同约定的服务期限内，按进度确认收入；合同明确约定</w:t>
      </w:r>
    </w:p>
    <w:p>
      <w:pPr>
        <w:pStyle w:val="BodyText"/>
        <w:spacing w:line="408" w:lineRule="auto" w:before="65"/>
        <w:ind w:right="211"/>
        <w:jc w:val="both"/>
      </w:pPr>
      <w:r>
        <w:rPr>
          <w:spacing w:val="-4"/>
        </w:rPr>
        <w:t>服务成果需经客户验收确认的，在本公司提交了相应的服务成果并通过验收，取得客户的验</w:t>
      </w:r>
      <w:r>
        <w:rPr>
          <w:spacing w:val="-44"/>
        </w:rPr>
        <w:t> </w:t>
      </w:r>
      <w:r>
        <w:rPr>
          <w:spacing w:val="-44"/>
        </w:rPr>
      </w:r>
      <w:r>
        <w:rPr>
          <w:spacing w:val="-4"/>
        </w:rPr>
        <w:t>收报告，获得明确的收款证据，相关成本能够可靠地计量时，确认收入；其他服务在本公司</w:t>
      </w:r>
      <w:r>
        <w:rPr>
          <w:spacing w:val="-46"/>
        </w:rPr>
        <w:t> </w:t>
      </w:r>
      <w:r>
        <w:rPr>
          <w:spacing w:val="-46"/>
        </w:rPr>
      </w:r>
      <w:r>
        <w:rPr>
          <w:spacing w:val="-4"/>
        </w:rPr>
        <w:t>提供了相应服务，取得明确的收款证据，相关成本能够可靠地计量时，确认收入。同一合同</w:t>
      </w:r>
      <w:r>
        <w:rPr>
          <w:spacing w:val="-45"/>
        </w:rPr>
        <w:t> </w:t>
      </w:r>
      <w:r>
        <w:rPr>
          <w:spacing w:val="-45"/>
        </w:rPr>
      </w:r>
      <w:r>
        <w:rPr>
          <w:spacing w:val="-4"/>
        </w:rPr>
        <w:t>中，既约定了产品销售金额又约定了服务费金额的，分别按照产品销售收入和服务收入确认</w:t>
      </w:r>
    </w:p>
    <w:p>
      <w:pPr>
        <w:pStyle w:val="BodyText"/>
        <w:spacing w:line="240" w:lineRule="auto" w:before="46"/>
        <w:ind w:right="0"/>
        <w:jc w:val="both"/>
      </w:pPr>
      <w:r>
        <w:rPr>
          <w:spacing w:val="-4"/>
        </w:rPr>
        <w:t>原则确认相应的收入；如果产品销售收入和服务收入不能区分，则将其一并作为产品销售进</w:t>
      </w:r>
    </w:p>
    <w:p>
      <w:pPr>
        <w:spacing w:after="0" w:line="240" w:lineRule="auto"/>
        <w:jc w:val="both"/>
        <w:sectPr>
          <w:pgSz w:w="11910" w:h="16840"/>
          <w:pgMar w:header="877" w:footer="1227" w:top="1100" w:bottom="1420" w:left="1660" w:right="1580"/>
        </w:sectPr>
      </w:pPr>
    </w:p>
    <w:p>
      <w:pPr>
        <w:spacing w:line="240" w:lineRule="auto" w:before="9"/>
        <w:rPr>
          <w:rFonts w:ascii="宋体" w:hAnsi="宋体" w:cs="宋体" w:eastAsia="宋体" w:hint="default"/>
          <w:sz w:val="26"/>
          <w:szCs w:val="26"/>
        </w:rPr>
      </w:pPr>
    </w:p>
    <w:p>
      <w:pPr>
        <w:pStyle w:val="BodyText"/>
        <w:spacing w:line="240" w:lineRule="auto" w:before="36"/>
        <w:ind w:right="0"/>
        <w:jc w:val="left"/>
      </w:pPr>
      <w:r>
        <w:rPr/>
        <w:t>行核算。</w:t>
      </w:r>
    </w:p>
    <w:p>
      <w:pPr>
        <w:spacing w:line="240" w:lineRule="auto" w:before="0"/>
        <w:rPr>
          <w:rFonts w:ascii="宋体" w:hAnsi="宋体" w:cs="宋体" w:eastAsia="宋体" w:hint="default"/>
          <w:sz w:val="20"/>
          <w:szCs w:val="20"/>
        </w:rPr>
      </w:pPr>
    </w:p>
    <w:p>
      <w:pPr>
        <w:pStyle w:val="Heading3"/>
        <w:spacing w:line="259" w:lineRule="auto" w:before="155"/>
        <w:ind w:right="0"/>
        <w:jc w:val="left"/>
        <w:rPr>
          <w:b w:val="0"/>
          <w:bCs w:val="0"/>
        </w:rPr>
      </w:pPr>
      <w:r>
        <w:rPr>
          <w:spacing w:val="-1"/>
        </w:rPr>
        <w:t>（</w:t>
      </w:r>
      <w:r>
        <w:rPr>
          <w:rFonts w:ascii="Times New Roman" w:hAnsi="Times New Roman" w:cs="Times New Roman" w:eastAsia="Times New Roman" w:hint="default"/>
          <w:spacing w:val="-1"/>
        </w:rPr>
        <w:t>4</w:t>
      </w:r>
      <w:r>
        <w:rPr>
          <w:spacing w:val="-1"/>
        </w:rPr>
        <w:t>）按完工百分比法确认提供劳务的收入和建造合同收入时，确定合同完工进度的依据和</w:t>
      </w:r>
      <w:r>
        <w:rPr>
          <w:spacing w:val="-90"/>
        </w:rPr>
        <w:t> </w:t>
      </w:r>
      <w:r>
        <w:rPr>
          <w:spacing w:val="-90"/>
        </w:rPr>
      </w:r>
      <w:r>
        <w:rPr/>
        <w:t>方法</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35"/>
        <w:ind w:left="560" w:right="0"/>
        <w:jc w:val="left"/>
      </w:pPr>
      <w:r>
        <w:rPr/>
        <w:t>无。</w:t>
      </w:r>
    </w:p>
    <w:p>
      <w:pPr>
        <w:spacing w:line="240" w:lineRule="auto" w:before="0"/>
        <w:rPr>
          <w:rFonts w:ascii="宋体" w:hAnsi="宋体" w:cs="宋体" w:eastAsia="宋体" w:hint="default"/>
          <w:sz w:val="20"/>
          <w:szCs w:val="20"/>
        </w:rPr>
      </w:pPr>
    </w:p>
    <w:p>
      <w:pPr>
        <w:pStyle w:val="Heading3"/>
        <w:spacing w:line="240" w:lineRule="auto" w:before="154"/>
        <w:ind w:right="0"/>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0" w:firstLine="419"/>
        <w:jc w:val="left"/>
      </w:pPr>
      <w:r>
        <w:rPr>
          <w:spacing w:val="-4"/>
        </w:rPr>
        <w:t>政府补助，是指本公司从政府无偿取得货币性资产或非货币性资产，但不包括政府作为</w:t>
      </w:r>
      <w:r>
        <w:rPr>
          <w:w w:val="100"/>
        </w:rPr>
        <w:t> </w:t>
      </w:r>
      <w:r>
        <w:rPr/>
        <w:t>企业所有者投入的资本。</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left="560" w:right="0"/>
        <w:jc w:val="left"/>
      </w:pPr>
      <w:r>
        <w:rPr/>
        <w:t>政府补助在满足政府补助所附条件并能够收到时确认。</w:t>
      </w:r>
      <w:r>
        <w:rPr>
          <w:w w:val="100"/>
        </w:rPr>
        <w:t> </w:t>
      </w:r>
      <w:r>
        <w:rPr>
          <w:spacing w:val="-4"/>
        </w:rPr>
        <w:t>对于货币性资产的政府补助，按照收到或应收的金额计量。其中，存在确凿证据表明该</w:t>
      </w:r>
    </w:p>
    <w:p>
      <w:pPr>
        <w:pStyle w:val="BodyText"/>
        <w:spacing w:line="408" w:lineRule="auto" w:before="46"/>
        <w:ind w:right="0"/>
        <w:jc w:val="left"/>
      </w:pPr>
      <w:r>
        <w:rPr>
          <w:spacing w:val="-4"/>
        </w:rPr>
        <w:t>项补助是按照固定的定额标准拨付的，可以按照应收的金额计量，否则应当按照实际收到的</w:t>
      </w:r>
      <w:r>
        <w:rPr>
          <w:spacing w:val="-44"/>
        </w:rPr>
        <w:t> </w:t>
      </w:r>
      <w:r>
        <w:rPr>
          <w:spacing w:val="-44"/>
        </w:rPr>
      </w:r>
      <w:r>
        <w:rPr>
          <w:spacing w:val="-7"/>
        </w:rPr>
        <w:t>金额计量。对于非货币性资产的政府补助，按照公允价值计量；公允价值不能够可靠取得的，</w:t>
      </w:r>
      <w:r>
        <w:rPr>
          <w:spacing w:val="-28"/>
        </w:rPr>
        <w:t> </w:t>
      </w:r>
      <w:r>
        <w:rPr>
          <w:spacing w:val="-28"/>
        </w:rPr>
      </w:r>
      <w:r>
        <w:rPr/>
        <w:t>按照名义金额</w:t>
      </w:r>
      <w:r>
        <w:rPr>
          <w:rFonts w:ascii="Times New Roman" w:hAnsi="Times New Roman" w:cs="Times New Roman" w:eastAsia="Times New Roman" w:hint="default"/>
        </w:rPr>
        <w:t>1</w:t>
      </w:r>
      <w:r>
        <w:rPr/>
        <w:t>元计量。</w:t>
      </w:r>
    </w:p>
    <w:p>
      <w:pPr>
        <w:pStyle w:val="BodyText"/>
        <w:spacing w:line="408" w:lineRule="auto" w:before="14"/>
        <w:ind w:right="0" w:firstLine="419"/>
        <w:jc w:val="left"/>
      </w:pPr>
      <w:r>
        <w:rPr>
          <w:spacing w:val="-4"/>
        </w:rPr>
        <w:t>与资产相关的政府补助，确认为递延收益，并在相关资产使用期限内平均分配，计入当</w:t>
      </w:r>
      <w:r>
        <w:rPr>
          <w:w w:val="100"/>
        </w:rPr>
        <w:t> </w:t>
      </w:r>
      <w:r>
        <w:rPr>
          <w:spacing w:val="-7"/>
        </w:rPr>
        <w:t>期损益。与收益相关的政府补助，如果用于补偿已发生的相关费用或损失，则计入当期损益；</w:t>
      </w:r>
      <w:r>
        <w:rPr>
          <w:spacing w:val="-28"/>
        </w:rPr>
        <w:t> </w:t>
      </w:r>
      <w:r>
        <w:rPr>
          <w:spacing w:val="-28"/>
        </w:rPr>
      </w:r>
      <w:r>
        <w:rPr>
          <w:spacing w:val="-7"/>
          <w:w w:val="100"/>
        </w:rPr>
        <w:t>如果用于补偿以后期间的相关费用或损失，则计入递延收益，于费用确认期间计入当期损益。</w:t>
      </w:r>
      <w:r>
        <w:rPr>
          <w:spacing w:val="-72"/>
          <w:w w:val="100"/>
        </w:rPr>
        <w:t> </w:t>
      </w:r>
      <w:r>
        <w:rPr>
          <w:spacing w:val="-72"/>
          <w:w w:val="100"/>
        </w:rPr>
      </w:r>
      <w:r>
        <w:rPr/>
        <w:t>按照名义金额计量的政府补助，直接计入当期损益。</w:t>
      </w:r>
    </w:p>
    <w:p>
      <w:pPr>
        <w:pStyle w:val="BodyText"/>
        <w:spacing w:line="408" w:lineRule="auto" w:before="46"/>
        <w:ind w:right="0" w:firstLine="419"/>
        <w:jc w:val="left"/>
      </w:pPr>
      <w:r>
        <w:rPr>
          <w:spacing w:val="-7"/>
          <w:w w:val="100"/>
        </w:rPr>
        <w:t>已确认的政府补助需要返还时，存在相关递延收益余额的，冲减相关递延收益账面余额，</w:t>
      </w:r>
      <w:r>
        <w:rPr>
          <w:w w:val="100"/>
        </w:rPr>
        <w:t> </w:t>
      </w:r>
      <w:r>
        <w:rPr/>
        <w:t>超出部分计入当期损益；不存在相关递延收益的，直接计入当期损益。</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27</w:t>
      </w:r>
      <w:r>
        <w:rPr/>
        <w:t>、递延所得税资产和递延所得税负债</w:t>
      </w:r>
      <w:r>
        <w:rPr>
          <w:b w:val="0"/>
          <w:bCs w:val="0"/>
        </w:rPr>
      </w:r>
    </w:p>
    <w:p>
      <w:pPr>
        <w:spacing w:line="692" w:lineRule="exact" w:before="13"/>
        <w:ind w:left="560"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b/>
          <w:bCs/>
          <w:w w:val="100"/>
          <w:sz w:val="21"/>
          <w:szCs w:val="21"/>
        </w:rPr>
        <w:t> </w:t>
      </w:r>
      <w:r>
        <w:rPr>
          <w:rFonts w:ascii="宋体" w:hAnsi="宋体" w:cs="宋体" w:eastAsia="宋体" w:hint="default"/>
          <w:spacing w:val="-4"/>
          <w:sz w:val="21"/>
          <w:szCs w:val="21"/>
        </w:rPr>
        <w:t>对于可抵扣暂时性差异、能够结转以后年度的可抵扣亏损和税款抵减，本公司以很可能</w:t>
      </w:r>
    </w:p>
    <w:p>
      <w:pPr>
        <w:pStyle w:val="BodyText"/>
        <w:spacing w:line="408" w:lineRule="auto" w:before="84"/>
        <w:ind w:right="0"/>
        <w:jc w:val="left"/>
      </w:pPr>
      <w:r>
        <w:rPr>
          <w:spacing w:val="-4"/>
        </w:rPr>
        <w:t>取得用来抵扣可抵扣暂时性差异、可抵扣亏损和税款抵减的未来应纳税所得额为限，确认由</w:t>
      </w:r>
      <w:r>
        <w:rPr>
          <w:spacing w:val="-44"/>
        </w:rPr>
        <w:t> </w:t>
      </w:r>
      <w:r>
        <w:rPr>
          <w:spacing w:val="-44"/>
        </w:rPr>
      </w:r>
      <w:r>
        <w:rPr>
          <w:spacing w:val="-2"/>
        </w:rPr>
        <w:t>此产生的递延所得税资产，除非该可抵扣暂时性差异是在以下交易中产生的：（</w:t>
      </w:r>
      <w:r>
        <w:rPr>
          <w:rFonts w:ascii="Times New Roman" w:hAnsi="Times New Roman" w:cs="Times New Roman" w:eastAsia="Times New Roman" w:hint="default"/>
          <w:spacing w:val="-2"/>
        </w:rPr>
        <w:t>1</w:t>
      </w:r>
      <w:r>
        <w:rPr>
          <w:spacing w:val="-2"/>
        </w:rPr>
        <w:t>）该交易</w:t>
      </w:r>
    </w:p>
    <w:p>
      <w:pPr>
        <w:spacing w:after="0" w:line="408" w:lineRule="auto"/>
        <w:jc w:val="left"/>
        <w:sectPr>
          <w:pgSz w:w="11910" w:h="16840"/>
          <w:pgMar w:header="877" w:footer="1227" w:top="1100" w:bottom="1420" w:left="1660" w:right="1580"/>
        </w:sectPr>
      </w:pPr>
    </w:p>
    <w:p>
      <w:pPr>
        <w:spacing w:line="240" w:lineRule="auto" w:before="9"/>
        <w:rPr>
          <w:rFonts w:ascii="宋体" w:hAnsi="宋体" w:cs="宋体" w:eastAsia="宋体" w:hint="default"/>
          <w:sz w:val="26"/>
          <w:szCs w:val="26"/>
        </w:rPr>
      </w:pPr>
    </w:p>
    <w:p>
      <w:pPr>
        <w:pStyle w:val="BodyText"/>
        <w:spacing w:line="400" w:lineRule="auto" w:before="36"/>
        <w:ind w:right="211"/>
        <w:jc w:val="both"/>
      </w:pPr>
      <w:r>
        <w:rPr>
          <w:spacing w:val="-2"/>
        </w:rPr>
        <w:t>不是企业合并，并且交易发生时既不影响会计利润也不影响应纳税所得额；（</w:t>
      </w:r>
      <w:r>
        <w:rPr>
          <w:rFonts w:ascii="Times New Roman" w:hAnsi="Times New Roman" w:cs="Times New Roman" w:eastAsia="Times New Roman" w:hint="default"/>
          <w:spacing w:val="-2"/>
        </w:rPr>
        <w:t>2</w:t>
      </w:r>
      <w:r>
        <w:rPr>
          <w:spacing w:val="-2"/>
        </w:rPr>
        <w:t>）对于与子</w:t>
      </w:r>
      <w:r>
        <w:rPr>
          <w:spacing w:val="-29"/>
        </w:rPr>
        <w:t> </w:t>
      </w:r>
      <w:r>
        <w:rPr>
          <w:spacing w:val="-29"/>
        </w:rPr>
      </w:r>
      <w:r>
        <w:rPr>
          <w:spacing w:val="-4"/>
        </w:rPr>
        <w:t>公司、合营企业及联营企业投资相关的可抵扣暂时性差异，同时满足下列条件的，确认相应</w:t>
      </w:r>
      <w:r>
        <w:rPr>
          <w:spacing w:val="-46"/>
        </w:rPr>
        <w:t> </w:t>
      </w:r>
      <w:r>
        <w:rPr>
          <w:spacing w:val="-46"/>
        </w:rPr>
      </w:r>
      <w:r>
        <w:rPr>
          <w:spacing w:val="-4"/>
        </w:rPr>
        <w:t>的递延所得税资产：暂时性差异在可预见的未来很可能转回，且未来很可能获得用来抵扣可</w:t>
      </w:r>
      <w:r>
        <w:rPr>
          <w:spacing w:val="-44"/>
        </w:rPr>
        <w:t> </w:t>
      </w:r>
      <w:r>
        <w:rPr>
          <w:spacing w:val="-44"/>
        </w:rPr>
      </w:r>
      <w:r>
        <w:rPr/>
        <w:t>抵扣暂时性差异的应纳税所得额。</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8"/>
        <w:rPr>
          <w:rFonts w:ascii="宋体" w:hAnsi="宋体" w:cs="宋体" w:eastAsia="宋体" w:hint="default"/>
          <w:b/>
          <w:bCs/>
          <w:sz w:val="30"/>
          <w:szCs w:val="30"/>
        </w:rPr>
      </w:pPr>
    </w:p>
    <w:p>
      <w:pPr>
        <w:pStyle w:val="BodyText"/>
        <w:spacing w:line="400" w:lineRule="auto"/>
        <w:ind w:right="0" w:firstLine="419"/>
        <w:jc w:val="left"/>
      </w:pPr>
      <w:r>
        <w:rPr>
          <w:spacing w:val="-4"/>
        </w:rPr>
        <w:t>本公司根据资产、负债于资产负债表日的账面价值与计税基础之间的暂时性差异，采用</w:t>
      </w:r>
      <w:r>
        <w:rPr>
          <w:w w:val="100"/>
        </w:rPr>
        <w:t> </w:t>
      </w:r>
      <w:r>
        <w:rPr>
          <w:spacing w:val="-2"/>
        </w:rPr>
        <w:t>资产负债表债务法确认递延所得税。各项应纳税暂时性差异均确认相关的递延所得税负债，</w:t>
      </w:r>
      <w:r>
        <w:rPr>
          <w:spacing w:val="-31"/>
        </w:rPr>
        <w:t> </w:t>
      </w:r>
      <w:r>
        <w:rPr>
          <w:spacing w:val="-31"/>
        </w:rPr>
      </w:r>
      <w:r>
        <w:rPr/>
        <w:t>除非该应纳税暂时性差异是在以下交易中产生的：（</w:t>
      </w:r>
      <w:r>
        <w:rPr>
          <w:rFonts w:ascii="Times New Roman" w:hAnsi="Times New Roman" w:cs="Times New Roman" w:eastAsia="Times New Roman" w:hint="default"/>
        </w:rPr>
        <w:t>1</w:t>
      </w:r>
      <w:r>
        <w:rPr/>
        <w:t>）商誉的初始确认，或者具有以下特</w:t>
      </w:r>
      <w:r>
        <w:rPr>
          <w:w w:val="100"/>
        </w:rPr>
        <w:t> </w:t>
      </w:r>
      <w:r>
        <w:rPr>
          <w:spacing w:val="-4"/>
        </w:rPr>
        <w:t>征的交易中产生的资产或负债的初始确认：该交易不是企业合并，并且交易发生时既不影响</w:t>
      </w:r>
      <w:r>
        <w:rPr>
          <w:spacing w:val="-44"/>
        </w:rPr>
        <w:t> </w:t>
      </w:r>
      <w:r>
        <w:rPr>
          <w:spacing w:val="-44"/>
        </w:rPr>
      </w:r>
      <w:r>
        <w:rPr/>
        <w:t>会计利润也不影响应纳税所得额；（</w:t>
      </w:r>
      <w:r>
        <w:rPr>
          <w:rFonts w:ascii="Times New Roman" w:hAnsi="Times New Roman" w:cs="Times New Roman" w:eastAsia="Times New Roman" w:hint="default"/>
        </w:rPr>
        <w:t>2</w:t>
      </w:r>
      <w:r>
        <w:rPr/>
        <w:t>）对于与子公司、合营企业及联营企业投资相关的应</w:t>
      </w:r>
      <w:r>
        <w:rPr>
          <w:w w:val="100"/>
        </w:rPr>
        <w:t> </w:t>
      </w:r>
      <w:r>
        <w:rPr>
          <w:spacing w:val="-4"/>
          <w:w w:val="100"/>
        </w:rPr>
        <w:t>纳税暂时性差异，该暂时性差异转回的时间能够控制并且该暂时性差异在可预见的未来很可</w:t>
      </w:r>
      <w:r>
        <w:rPr>
          <w:spacing w:val="-94"/>
          <w:w w:val="100"/>
        </w:rPr>
        <w:t> </w:t>
      </w:r>
      <w:r>
        <w:rPr>
          <w:spacing w:val="-94"/>
          <w:w w:val="100"/>
        </w:rPr>
      </w:r>
      <w:r>
        <w:rPr/>
        <w:t>能不会转回。</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28</w:t>
      </w:r>
      <w:r>
        <w:rPr/>
        <w:t>、经营租赁、融资租赁</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）经营租赁会计处理</w:t>
      </w:r>
      <w:r>
        <w:rPr>
          <w:b w:val="0"/>
          <w:bCs w:val="0"/>
        </w:rPr>
      </w:r>
    </w:p>
    <w:p>
      <w:pPr>
        <w:spacing w:line="240" w:lineRule="auto" w:before="8"/>
        <w:rPr>
          <w:rFonts w:ascii="宋体" w:hAnsi="宋体" w:cs="宋体" w:eastAsia="宋体" w:hint="default"/>
          <w:b/>
          <w:bCs/>
          <w:sz w:val="30"/>
          <w:szCs w:val="30"/>
        </w:rPr>
      </w:pPr>
    </w:p>
    <w:p>
      <w:pPr>
        <w:pStyle w:val="BodyText"/>
        <w:spacing w:line="386" w:lineRule="auto"/>
        <w:ind w:left="560" w:right="0"/>
        <w:jc w:val="left"/>
      </w:pPr>
      <w:r>
        <w:rPr>
          <w:rFonts w:ascii="Times New Roman" w:hAnsi="Times New Roman" w:cs="Times New Roman" w:eastAsia="Times New Roman" w:hint="default"/>
        </w:rPr>
        <w:t>1</w:t>
      </w:r>
      <w:r>
        <w:rPr/>
        <w:t>）本公司作为出租人</w:t>
      </w:r>
      <w:r>
        <w:rPr>
          <w:w w:val="100"/>
        </w:rPr>
        <w:t> </w:t>
      </w:r>
      <w:r>
        <w:rPr>
          <w:spacing w:val="-4"/>
        </w:rPr>
        <w:t>经营租赁中的租金，本公司在租赁期内各个期间按照直线法确认当期损益。发生的初始</w:t>
      </w:r>
    </w:p>
    <w:p>
      <w:pPr>
        <w:pStyle w:val="BodyText"/>
        <w:spacing w:line="240" w:lineRule="auto" w:before="65"/>
        <w:ind w:right="0"/>
        <w:jc w:val="left"/>
      </w:pPr>
      <w:r>
        <w:rPr/>
        <w:t>直接费用，计入当期损益。</w:t>
      </w:r>
    </w:p>
    <w:p>
      <w:pPr>
        <w:spacing w:line="240" w:lineRule="auto" w:before="10"/>
        <w:rPr>
          <w:rFonts w:ascii="宋体" w:hAnsi="宋体" w:cs="宋体" w:eastAsia="宋体" w:hint="default"/>
          <w:sz w:val="14"/>
          <w:szCs w:val="14"/>
        </w:rPr>
      </w:pPr>
    </w:p>
    <w:p>
      <w:pPr>
        <w:pStyle w:val="BodyText"/>
        <w:spacing w:line="386" w:lineRule="auto"/>
        <w:ind w:left="560" w:right="0"/>
        <w:jc w:val="left"/>
      </w:pPr>
      <w:r>
        <w:rPr>
          <w:rFonts w:ascii="Times New Roman" w:hAnsi="Times New Roman" w:cs="Times New Roman" w:eastAsia="Times New Roman" w:hint="default"/>
        </w:rPr>
        <w:t>2</w:t>
      </w:r>
      <w:r>
        <w:rPr/>
        <w:t>）本公司作为承租人</w:t>
      </w:r>
      <w:r>
        <w:rPr>
          <w:w w:val="100"/>
        </w:rPr>
        <w:t> </w:t>
      </w:r>
      <w:r>
        <w:rPr>
          <w:spacing w:val="-4"/>
          <w:w w:val="100"/>
        </w:rPr>
        <w:t>经营租赁中的租金，本公司在租赁期内各个期间按照直线法计入相关资产成本或当期损</w:t>
      </w:r>
    </w:p>
    <w:p>
      <w:pPr>
        <w:pStyle w:val="BodyText"/>
        <w:spacing w:line="240" w:lineRule="auto" w:before="65"/>
        <w:ind w:right="0"/>
        <w:jc w:val="left"/>
      </w:pPr>
      <w:r>
        <w:rPr/>
        <w:t>益；发生的初始直接费用，计入当期损益。</w:t>
      </w:r>
    </w:p>
    <w:p>
      <w:pPr>
        <w:spacing w:line="240" w:lineRule="auto" w:before="0"/>
        <w:rPr>
          <w:rFonts w:ascii="宋体" w:hAnsi="宋体" w:cs="宋体" w:eastAsia="宋体" w:hint="default"/>
          <w:sz w:val="20"/>
          <w:szCs w:val="20"/>
        </w:rPr>
      </w:pPr>
    </w:p>
    <w:p>
      <w:pPr>
        <w:pStyle w:val="Heading3"/>
        <w:spacing w:line="506" w:lineRule="auto" w:before="154"/>
        <w:ind w:left="560" w:right="6293" w:hanging="420"/>
        <w:jc w:val="left"/>
        <w:rPr>
          <w:rFonts w:ascii="宋体" w:hAnsi="宋体" w:cs="宋体" w:eastAsia="宋体" w:hint="default"/>
          <w:b w:val="0"/>
          <w:bCs w:val="0"/>
        </w:rPr>
      </w:pPr>
      <w:r>
        <w:rPr/>
        <w:t>（</w:t>
      </w:r>
      <w:r>
        <w:rPr>
          <w:rFonts w:ascii="Times New Roman" w:hAnsi="Times New Roman" w:cs="Times New Roman" w:eastAsia="Times New Roman" w:hint="default"/>
        </w:rPr>
        <w:t>2</w:t>
      </w:r>
      <w:r>
        <w:rPr/>
        <w:t>）融资租赁会计处理</w:t>
      </w:r>
      <w:r>
        <w:rPr>
          <w:w w:val="100"/>
        </w:rPr>
        <w:t> </w:t>
      </w:r>
      <w:r>
        <w:rPr>
          <w:rFonts w:ascii="宋体" w:hAnsi="宋体" w:cs="宋体" w:eastAsia="宋体" w:hint="default"/>
          <w:b w:val="0"/>
          <w:bCs w:val="0"/>
        </w:rPr>
        <w:t>无。</w:t>
      </w:r>
    </w:p>
    <w:p>
      <w:pPr>
        <w:pStyle w:val="Heading3"/>
        <w:spacing w:line="506" w:lineRule="auto" w:before="104"/>
        <w:ind w:left="560" w:right="6082" w:hanging="420"/>
        <w:jc w:val="left"/>
        <w:rPr>
          <w:rFonts w:ascii="宋体" w:hAnsi="宋体" w:cs="宋体" w:eastAsia="宋体" w:hint="default"/>
          <w:b w:val="0"/>
          <w:bCs w:val="0"/>
        </w:rPr>
      </w:pPr>
      <w:r>
        <w:rPr/>
        <w:t>（</w:t>
      </w:r>
      <w:r>
        <w:rPr>
          <w:rFonts w:ascii="Times New Roman" w:hAnsi="Times New Roman" w:cs="Times New Roman" w:eastAsia="Times New Roman" w:hint="default"/>
        </w:rPr>
        <w:t>3</w:t>
      </w:r>
      <w:r>
        <w:rPr/>
        <w:t>）售后租回的会计处理</w:t>
      </w:r>
      <w:r>
        <w:rPr>
          <w:w w:val="100"/>
        </w:rPr>
        <w:t> </w:t>
      </w:r>
      <w:r>
        <w:rPr>
          <w:rFonts w:ascii="宋体" w:hAnsi="宋体" w:cs="宋体" w:eastAsia="宋体" w:hint="default"/>
          <w:b w:val="0"/>
          <w:bCs w:val="0"/>
        </w:rPr>
        <w:t>无。</w:t>
      </w:r>
    </w:p>
    <w:p>
      <w:pPr>
        <w:spacing w:after="0" w:line="506" w:lineRule="auto"/>
        <w:jc w:val="left"/>
        <w:rPr>
          <w:rFonts w:ascii="宋体" w:hAnsi="宋体" w:cs="宋体" w:eastAsia="宋体" w:hint="default"/>
        </w:rPr>
        <w:sectPr>
          <w:footerReference w:type="default" r:id="rId69"/>
          <w:pgSz w:w="11910" w:h="16840"/>
          <w:pgMar w:footer="1227" w:header="877" w:top="1100" w:bottom="1420" w:left="1660" w:right="1580"/>
          <w:pgNumType w:start="11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29</w:t>
      </w:r>
      <w:r>
        <w:rPr/>
        <w:t>、持有待售资产</w:t>
      </w:r>
      <w:r>
        <w:rPr>
          <w:b w:val="0"/>
          <w:bCs w:val="0"/>
        </w:rPr>
      </w:r>
    </w:p>
    <w:p>
      <w:pPr>
        <w:spacing w:line="240" w:lineRule="auto" w:before="10"/>
        <w:rPr>
          <w:rFonts w:ascii="宋体" w:hAnsi="宋体" w:cs="宋体" w:eastAsia="宋体" w:hint="default"/>
          <w:b/>
          <w:bCs/>
          <w:sz w:val="24"/>
          <w:szCs w:val="24"/>
        </w:rPr>
      </w:pPr>
    </w:p>
    <w:p>
      <w:pPr>
        <w:pStyle w:val="Heading3"/>
        <w:spacing w:line="506" w:lineRule="auto"/>
        <w:ind w:left="560" w:right="5804" w:hanging="420"/>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1</w:t>
      </w:r>
      <w:r>
        <w:rPr>
          <w:spacing w:val="-1"/>
        </w:rPr>
        <w:t>）持有待售资产确认标准</w:t>
      </w:r>
      <w:r>
        <w:rPr>
          <w:spacing w:val="-95"/>
        </w:rPr>
        <w:t> </w:t>
      </w:r>
      <w:r>
        <w:rPr>
          <w:spacing w:val="-95"/>
        </w:rPr>
      </w:r>
      <w:r>
        <w:rPr>
          <w:rFonts w:ascii="宋体" w:hAnsi="宋体" w:cs="宋体" w:eastAsia="宋体" w:hint="default"/>
          <w:b w:val="0"/>
          <w:bCs w:val="0"/>
        </w:rPr>
        <w:t>无。</w:t>
      </w:r>
    </w:p>
    <w:p>
      <w:pPr>
        <w:pStyle w:val="Heading3"/>
        <w:spacing w:line="506" w:lineRule="auto" w:before="104"/>
        <w:ind w:left="560" w:right="4795" w:hanging="420"/>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2</w:t>
      </w:r>
      <w:r>
        <w:rPr>
          <w:spacing w:val="-1"/>
        </w:rPr>
        <w:t>）持有待售资产的会计处理方法</w:t>
      </w:r>
      <w:r>
        <w:rPr>
          <w:spacing w:val="-91"/>
        </w:rPr>
        <w:t> </w:t>
      </w:r>
      <w:r>
        <w:rPr>
          <w:spacing w:val="-91"/>
        </w:rPr>
      </w:r>
      <w:r>
        <w:rPr>
          <w:rFonts w:ascii="宋体" w:hAnsi="宋体" w:cs="宋体" w:eastAsia="宋体" w:hint="default"/>
          <w:b w:val="0"/>
          <w:bCs w:val="0"/>
        </w:rPr>
        <w:t>无。</w:t>
      </w:r>
    </w:p>
    <w:p>
      <w:pPr>
        <w:pStyle w:val="Heading3"/>
        <w:spacing w:line="571" w:lineRule="auto" w:before="101"/>
        <w:ind w:left="560" w:right="6529" w:hanging="420"/>
        <w:jc w:val="left"/>
        <w:rPr>
          <w:rFonts w:ascii="宋体" w:hAnsi="宋体" w:cs="宋体" w:eastAsia="宋体" w:hint="default"/>
          <w:b w:val="0"/>
          <w:bCs w:val="0"/>
        </w:rPr>
      </w:pPr>
      <w:r>
        <w:rPr>
          <w:rFonts w:ascii="Times New Roman" w:hAnsi="Times New Roman" w:cs="Times New Roman" w:eastAsia="Times New Roman" w:hint="default"/>
        </w:rPr>
        <w:t>30</w:t>
      </w:r>
      <w:r>
        <w:rPr/>
        <w:t>、资产证券化业务</w:t>
      </w:r>
      <w:r>
        <w:rPr>
          <w:w w:val="100"/>
        </w:rPr>
        <w:t> </w:t>
      </w:r>
      <w:r>
        <w:rPr>
          <w:rFonts w:ascii="宋体" w:hAnsi="宋体" w:cs="宋体" w:eastAsia="宋体" w:hint="default"/>
          <w:b w:val="0"/>
          <w:bCs w:val="0"/>
        </w:rPr>
        <w:t>无。</w:t>
      </w:r>
    </w:p>
    <w:p>
      <w:pPr>
        <w:pStyle w:val="Heading3"/>
        <w:spacing w:line="506" w:lineRule="auto" w:before="126"/>
        <w:ind w:left="560" w:right="7162" w:hanging="420"/>
        <w:jc w:val="left"/>
        <w:rPr>
          <w:rFonts w:ascii="宋体" w:hAnsi="宋体" w:cs="宋体" w:eastAsia="宋体" w:hint="default"/>
          <w:b w:val="0"/>
          <w:bCs w:val="0"/>
        </w:rPr>
      </w:pPr>
      <w:r>
        <w:rPr>
          <w:rFonts w:ascii="Times New Roman" w:hAnsi="Times New Roman" w:cs="Times New Roman" w:eastAsia="Times New Roman" w:hint="default"/>
        </w:rPr>
        <w:t>31</w:t>
      </w:r>
      <w:r>
        <w:rPr/>
        <w:t>、套期会计</w:t>
      </w:r>
      <w:r>
        <w:rPr>
          <w:w w:val="100"/>
        </w:rPr>
        <w:t> </w:t>
      </w:r>
      <w:r>
        <w:rPr>
          <w:rFonts w:ascii="宋体" w:hAnsi="宋体" w:cs="宋体" w:eastAsia="宋体" w:hint="default"/>
          <w:b w:val="0"/>
          <w:bCs w:val="0"/>
        </w:rPr>
        <w:t>无。</w:t>
      </w:r>
    </w:p>
    <w:p>
      <w:pPr>
        <w:pStyle w:val="Heading3"/>
        <w:spacing w:line="240" w:lineRule="auto" w:before="101"/>
        <w:ind w:right="0"/>
        <w:jc w:val="left"/>
        <w:rPr>
          <w:b w:val="0"/>
          <w:bCs w:val="0"/>
        </w:rPr>
      </w:pPr>
      <w:r>
        <w:rPr>
          <w:rFonts w:ascii="Times New Roman" w:hAnsi="Times New Roman" w:cs="Times New Roman" w:eastAsia="Times New Roman" w:hint="default"/>
        </w:rPr>
        <w:t>32</w:t>
      </w:r>
      <w:r>
        <w:rPr/>
        <w:t>、主要会计政策、会计估计的变更</w:t>
      </w:r>
      <w:r>
        <w:rPr>
          <w:b w:val="0"/>
          <w:bCs w:val="0"/>
        </w:rPr>
      </w:r>
    </w:p>
    <w:p>
      <w:pPr>
        <w:spacing w:line="240" w:lineRule="auto" w:before="3"/>
        <w:rPr>
          <w:rFonts w:ascii="宋体" w:hAnsi="宋体" w:cs="宋体" w:eastAsia="宋体" w:hint="default"/>
          <w:b/>
          <w:bCs/>
          <w:sz w:val="23"/>
          <w:szCs w:val="23"/>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本报告期主要会计政策、会计估计是否变更</w:t>
      </w:r>
    </w:p>
    <w:p>
      <w:pPr>
        <w:spacing w:line="240" w:lineRule="auto" w:before="3"/>
        <w:rPr>
          <w:rFonts w:ascii="宋体" w:hAnsi="宋体" w:cs="宋体" w:eastAsia="宋体" w:hint="default"/>
          <w:sz w:val="21"/>
          <w:szCs w:val="21"/>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3"/>
        <w:rPr>
          <w:rFonts w:ascii="宋体" w:hAnsi="宋体" w:cs="宋体" w:eastAsia="宋体" w:hint="default"/>
          <w:b/>
          <w:bCs/>
          <w:sz w:val="23"/>
          <w:szCs w:val="23"/>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本报告期主要会计政策是否变更</w:t>
      </w:r>
    </w:p>
    <w:p>
      <w:pPr>
        <w:spacing w:line="240" w:lineRule="auto" w:before="3"/>
        <w:rPr>
          <w:rFonts w:ascii="宋体" w:hAnsi="宋体" w:cs="宋体" w:eastAsia="宋体" w:hint="default"/>
          <w:sz w:val="21"/>
          <w:szCs w:val="21"/>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3"/>
        <w:rPr>
          <w:rFonts w:ascii="宋体" w:hAnsi="宋体" w:cs="宋体" w:eastAsia="宋体" w:hint="default"/>
          <w:b/>
          <w:bCs/>
          <w:sz w:val="23"/>
          <w:szCs w:val="23"/>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本报告期主要会计估计是否变更</w:t>
      </w:r>
    </w:p>
    <w:p>
      <w:pPr>
        <w:spacing w:line="240" w:lineRule="auto" w:before="3"/>
        <w:rPr>
          <w:rFonts w:ascii="宋体" w:hAnsi="宋体" w:cs="宋体" w:eastAsia="宋体" w:hint="default"/>
          <w:sz w:val="21"/>
          <w:szCs w:val="21"/>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33</w:t>
      </w:r>
      <w:r>
        <w:rPr/>
        <w:t>、前期会计差错更正</w:t>
      </w:r>
      <w:r>
        <w:rPr>
          <w:b w:val="0"/>
          <w:bCs w:val="0"/>
        </w:rPr>
      </w:r>
    </w:p>
    <w:p>
      <w:pPr>
        <w:spacing w:line="240" w:lineRule="auto" w:before="1"/>
        <w:rPr>
          <w:rFonts w:ascii="宋体" w:hAnsi="宋体" w:cs="宋体" w:eastAsia="宋体" w:hint="default"/>
          <w:b/>
          <w:bCs/>
          <w:sz w:val="23"/>
          <w:szCs w:val="23"/>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本报告期是否发现前期会计差错</w:t>
      </w:r>
    </w:p>
    <w:p>
      <w:pPr>
        <w:spacing w:line="240" w:lineRule="auto" w:before="3"/>
        <w:rPr>
          <w:rFonts w:ascii="宋体" w:hAnsi="宋体" w:cs="宋体" w:eastAsia="宋体" w:hint="default"/>
          <w:sz w:val="21"/>
          <w:szCs w:val="21"/>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3"/>
        <w:rPr>
          <w:rFonts w:ascii="宋体" w:hAnsi="宋体" w:cs="宋体" w:eastAsia="宋体" w:hint="default"/>
          <w:b/>
          <w:bCs/>
          <w:sz w:val="23"/>
          <w:szCs w:val="23"/>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本报告期是否发现采用追溯重述法的前期会计差错</w:t>
      </w:r>
    </w:p>
    <w:p>
      <w:pPr>
        <w:spacing w:line="240" w:lineRule="auto" w:before="3"/>
        <w:rPr>
          <w:rFonts w:ascii="宋体" w:hAnsi="宋体" w:cs="宋体" w:eastAsia="宋体" w:hint="default"/>
          <w:sz w:val="21"/>
          <w:szCs w:val="21"/>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77" w:footer="1227" w:top="1100" w:bottom="1420" w:left="1660" w:right="1660"/>
        </w:sectPr>
      </w:pPr>
    </w:p>
    <w:p>
      <w:pPr>
        <w:spacing w:line="240" w:lineRule="auto" w:before="11"/>
        <w:rPr>
          <w:rFonts w:ascii="宋体" w:hAnsi="宋体" w:cs="宋体" w:eastAsia="宋体" w:hint="default"/>
          <w:sz w:val="20"/>
          <w:szCs w:val="20"/>
        </w:rPr>
      </w:pPr>
    </w:p>
    <w:p>
      <w:pPr>
        <w:pStyle w:val="Heading3"/>
        <w:spacing w:line="240" w:lineRule="auto" w:before="36"/>
        <w:ind w:left="220" w:right="3052"/>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3"/>
        <w:rPr>
          <w:rFonts w:ascii="宋体" w:hAnsi="宋体" w:cs="宋体" w:eastAsia="宋体" w:hint="default"/>
          <w:b/>
          <w:bCs/>
          <w:sz w:val="23"/>
          <w:szCs w:val="23"/>
        </w:rPr>
      </w:pPr>
    </w:p>
    <w:p>
      <w:pPr>
        <w:spacing w:before="0"/>
        <w:ind w:left="220" w:right="3052" w:firstLine="0"/>
        <w:jc w:val="left"/>
        <w:rPr>
          <w:rFonts w:ascii="宋体" w:hAnsi="宋体" w:cs="宋体" w:eastAsia="宋体" w:hint="default"/>
          <w:sz w:val="18"/>
          <w:szCs w:val="18"/>
        </w:rPr>
      </w:pPr>
      <w:r>
        <w:rPr>
          <w:rFonts w:ascii="宋体" w:hAnsi="宋体" w:cs="宋体" w:eastAsia="宋体" w:hint="default"/>
          <w:sz w:val="18"/>
          <w:szCs w:val="18"/>
        </w:rPr>
        <w:t>本报告期是否发现采用未来适用法的前期会计差错</w:t>
      </w:r>
    </w:p>
    <w:p>
      <w:pPr>
        <w:spacing w:line="240" w:lineRule="auto" w:before="1"/>
        <w:rPr>
          <w:rFonts w:ascii="宋体" w:hAnsi="宋体" w:cs="宋体" w:eastAsia="宋体" w:hint="default"/>
          <w:sz w:val="21"/>
          <w:szCs w:val="21"/>
        </w:rPr>
      </w:pPr>
    </w:p>
    <w:p>
      <w:pPr>
        <w:spacing w:before="0"/>
        <w:ind w:left="220" w:right="3052"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3"/>
        <w:spacing w:line="506" w:lineRule="auto"/>
        <w:ind w:left="640" w:right="3052" w:hanging="420"/>
        <w:jc w:val="left"/>
        <w:rPr>
          <w:rFonts w:ascii="宋体" w:hAnsi="宋体" w:cs="宋体" w:eastAsia="宋体" w:hint="default"/>
          <w:b w:val="0"/>
          <w:bCs w:val="0"/>
        </w:rPr>
      </w:pPr>
      <w:r>
        <w:rPr>
          <w:rFonts w:ascii="Times New Roman" w:hAnsi="Times New Roman" w:cs="Times New Roman" w:eastAsia="Times New Roman" w:hint="default"/>
          <w:spacing w:val="-1"/>
        </w:rPr>
        <w:t>34</w:t>
      </w:r>
      <w:r>
        <w:rPr>
          <w:spacing w:val="-1"/>
        </w:rPr>
        <w:t>、其他主要会计政策、会计估计和财务报表编制方法</w:t>
      </w:r>
      <w:r>
        <w:rPr>
          <w:spacing w:val="-83"/>
        </w:rPr>
        <w:t> </w:t>
      </w:r>
      <w:r>
        <w:rPr>
          <w:spacing w:val="-83"/>
        </w:rPr>
      </w:r>
      <w:r>
        <w:rPr>
          <w:rFonts w:ascii="宋体" w:hAnsi="宋体" w:cs="宋体" w:eastAsia="宋体" w:hint="default"/>
          <w:b w:val="0"/>
          <w:bCs w:val="0"/>
        </w:rPr>
        <w:t>无。</w:t>
      </w:r>
    </w:p>
    <w:p>
      <w:pPr>
        <w:pStyle w:val="Heading2"/>
        <w:spacing w:line="240" w:lineRule="auto" w:before="78"/>
        <w:ind w:left="220" w:right="3052"/>
        <w:jc w:val="left"/>
        <w:rPr>
          <w:b w:val="0"/>
          <w:bCs w:val="0"/>
        </w:rPr>
      </w:pPr>
      <w:r>
        <w:rPr/>
        <w:t>五、税项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220" w:right="3052"/>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7"/>
        <w:rPr>
          <w:rFonts w:ascii="宋体" w:hAnsi="宋体" w:cs="宋体" w:eastAsia="宋体" w:hint="default"/>
          <w:b/>
          <w:bCs/>
          <w:sz w:val="25"/>
          <w:szCs w:val="25"/>
        </w:rPr>
      </w:pPr>
    </w:p>
    <w:tbl>
      <w:tblPr>
        <w:tblW w:w="0" w:type="auto"/>
        <w:jc w:val="left"/>
        <w:tblInd w:w="198" w:type="dxa"/>
        <w:tblLayout w:type="fixed"/>
        <w:tblCellMar>
          <w:top w:w="0" w:type="dxa"/>
          <w:left w:w="0" w:type="dxa"/>
          <w:bottom w:w="0" w:type="dxa"/>
          <w:right w:w="0" w:type="dxa"/>
        </w:tblCellMar>
        <w:tblLook w:val="01E0"/>
      </w:tblPr>
      <w:tblGrid>
        <w:gridCol w:w="3051"/>
        <w:gridCol w:w="2657"/>
        <w:gridCol w:w="2645"/>
      </w:tblGrid>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6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6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6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6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2%</w:t>
            </w:r>
          </w:p>
        </w:tc>
      </w:tr>
    </w:tbl>
    <w:p>
      <w:pPr>
        <w:spacing w:line="240" w:lineRule="auto" w:before="0"/>
        <w:rPr>
          <w:rFonts w:ascii="宋体" w:hAnsi="宋体" w:cs="宋体" w:eastAsia="宋体" w:hint="default"/>
          <w:b/>
          <w:bCs/>
          <w:sz w:val="6"/>
          <w:szCs w:val="6"/>
        </w:rPr>
      </w:pPr>
    </w:p>
    <w:p>
      <w:pPr>
        <w:spacing w:before="44"/>
        <w:ind w:left="220" w:right="3052" w:firstLine="0"/>
        <w:jc w:val="left"/>
        <w:rPr>
          <w:rFonts w:ascii="宋体" w:hAnsi="宋体" w:cs="宋体" w:eastAsia="宋体" w:hint="default"/>
          <w:sz w:val="18"/>
          <w:szCs w:val="18"/>
        </w:rPr>
      </w:pPr>
      <w:r>
        <w:rPr>
          <w:rFonts w:ascii="宋体" w:hAnsi="宋体" w:cs="宋体" w:eastAsia="宋体" w:hint="default"/>
          <w:sz w:val="18"/>
          <w:szCs w:val="18"/>
        </w:rPr>
        <w:t>各分公司、分厂执行的所得税税率：</w:t>
      </w:r>
    </w:p>
    <w:p>
      <w:pPr>
        <w:spacing w:line="240" w:lineRule="auto" w:before="10"/>
        <w:rPr>
          <w:rFonts w:ascii="宋体" w:hAnsi="宋体" w:cs="宋体" w:eastAsia="宋体" w:hint="default"/>
          <w:sz w:val="23"/>
          <w:szCs w:val="23"/>
        </w:rPr>
      </w:pPr>
    </w:p>
    <w:tbl>
      <w:tblPr>
        <w:tblW w:w="0" w:type="auto"/>
        <w:jc w:val="left"/>
        <w:tblInd w:w="107" w:type="dxa"/>
        <w:tblLayout w:type="fixed"/>
        <w:tblCellMar>
          <w:top w:w="0" w:type="dxa"/>
          <w:left w:w="0" w:type="dxa"/>
          <w:bottom w:w="0" w:type="dxa"/>
          <w:right w:w="0" w:type="dxa"/>
        </w:tblCellMar>
        <w:tblLook w:val="01E0"/>
      </w:tblPr>
      <w:tblGrid>
        <w:gridCol w:w="4909"/>
        <w:gridCol w:w="1236"/>
        <w:gridCol w:w="2329"/>
      </w:tblGrid>
      <w:tr>
        <w:trPr>
          <w:trHeight w:val="415" w:hRule="exact"/>
        </w:trPr>
        <w:tc>
          <w:tcPr>
            <w:tcW w:w="4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b/>
                <w:bCs/>
                <w:sz w:val="18"/>
                <w:szCs w:val="18"/>
              </w:rPr>
              <w:t>税</w:t>
            </w:r>
            <w:r>
              <w:rPr>
                <w:rFonts w:ascii="宋体" w:hAnsi="宋体" w:cs="宋体" w:eastAsia="宋体" w:hint="default"/>
                <w:b/>
                <w:bCs/>
                <w:spacing w:val="89"/>
                <w:sz w:val="18"/>
                <w:szCs w:val="18"/>
              </w:rPr>
              <w:t> </w:t>
            </w:r>
            <w:r>
              <w:rPr>
                <w:rFonts w:ascii="宋体" w:hAnsi="宋体" w:cs="宋体" w:eastAsia="宋体" w:hint="default"/>
                <w:b/>
                <w:bCs/>
                <w:sz w:val="18"/>
                <w:szCs w:val="18"/>
              </w:rPr>
              <w:t>种</w:t>
            </w:r>
            <w:r>
              <w:rPr>
                <w:rFonts w:ascii="宋体" w:hAnsi="宋体" w:cs="宋体" w:eastAsia="宋体" w:hint="default"/>
                <w:sz w:val="18"/>
                <w:szCs w:val="18"/>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宋体" w:hAnsi="宋体" w:cs="宋体" w:eastAsia="宋体" w:hint="default"/>
                <w:b/>
                <w:bCs/>
                <w:sz w:val="18"/>
                <w:szCs w:val="18"/>
              </w:rPr>
              <w:t>税率</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6"/>
              <w:jc w:val="right"/>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15" w:hRule="exact"/>
        </w:trPr>
        <w:tc>
          <w:tcPr>
            <w:tcW w:w="4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厦门美亚柏科信息安全研究所有限公司</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z w:val="18"/>
              </w:rPr>
              <w:t>0</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00" w:right="0"/>
              <w:jc w:val="left"/>
              <w:rPr>
                <w:rFonts w:ascii="宋体" w:hAnsi="宋体" w:cs="宋体" w:eastAsia="宋体" w:hint="default"/>
                <w:sz w:val="18"/>
                <w:szCs w:val="18"/>
              </w:rPr>
            </w:pPr>
            <w:r>
              <w:rPr>
                <w:rFonts w:ascii="宋体" w:hAnsi="宋体" w:cs="宋体" w:eastAsia="宋体" w:hint="default"/>
                <w:sz w:val="18"/>
                <w:szCs w:val="18"/>
              </w:rPr>
              <w:t>见税收优惠及批文</w:t>
            </w:r>
          </w:p>
        </w:tc>
      </w:tr>
      <w:tr>
        <w:trPr>
          <w:trHeight w:val="415" w:hRule="exact"/>
        </w:trPr>
        <w:tc>
          <w:tcPr>
            <w:tcW w:w="4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厦门市美亚柏科信息股份有限公司北京分公司</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z w:val="18"/>
              </w:rPr>
              <w:t>25</w:t>
            </w:r>
          </w:p>
        </w:tc>
        <w:tc>
          <w:tcPr>
            <w:tcW w:w="2329"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4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杭州创聚科技有限公司</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25</w:t>
            </w:r>
          </w:p>
        </w:tc>
        <w:tc>
          <w:tcPr>
            <w:tcW w:w="2329"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4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厦门美亚中敏电子科技有限公司</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25</w:t>
            </w:r>
          </w:p>
        </w:tc>
        <w:tc>
          <w:tcPr>
            <w:tcW w:w="232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6"/>
          <w:szCs w:val="6"/>
        </w:rPr>
      </w:pPr>
    </w:p>
    <w:p>
      <w:pPr>
        <w:spacing w:line="232" w:lineRule="exact" w:before="69"/>
        <w:ind w:left="220" w:right="176" w:firstLine="0"/>
        <w:jc w:val="both"/>
        <w:rPr>
          <w:rFonts w:ascii="宋体" w:hAnsi="宋体" w:cs="宋体" w:eastAsia="宋体" w:hint="default"/>
          <w:sz w:val="18"/>
          <w:szCs w:val="18"/>
        </w:rPr>
      </w:pPr>
      <w:r>
        <w:rPr>
          <w:rFonts w:ascii="宋体" w:hAnsi="宋体" w:cs="宋体" w:eastAsia="宋体" w:hint="default"/>
          <w:spacing w:val="-8"/>
          <w:sz w:val="18"/>
          <w:szCs w:val="18"/>
        </w:rPr>
        <w:t>注：根据</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月财政部和国家税务总局印发《财政部国家税务总局关于在北京等</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省市开展交通运输 </w:t>
      </w:r>
      <w:r>
        <w:rPr>
          <w:rFonts w:ascii="宋体" w:hAnsi="宋体" w:cs="宋体" w:eastAsia="宋体" w:hint="default"/>
          <w:spacing w:val="-4"/>
          <w:sz w:val="18"/>
          <w:szCs w:val="18"/>
        </w:rPr>
        <w:t>业和部分现代服务业营业税改征增值税试点的通知》（财税〔</w:t>
      </w:r>
      <w:r>
        <w:rPr>
          <w:rFonts w:ascii="Times New Roman" w:hAnsi="Times New Roman" w:cs="Times New Roman" w:eastAsia="Times New Roman" w:hint="default"/>
          <w:spacing w:val="-4"/>
          <w:sz w:val="18"/>
          <w:szCs w:val="18"/>
        </w:rPr>
        <w:t>2012</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71</w:t>
      </w:r>
      <w:r>
        <w:rPr>
          <w:rFonts w:ascii="Times New Roman" w:hAnsi="Times New Roman" w:cs="Times New Roman" w:eastAsia="Times New Roman" w:hint="default"/>
          <w:spacing w:val="35"/>
          <w:sz w:val="18"/>
          <w:szCs w:val="18"/>
        </w:rPr>
        <w:t> </w:t>
      </w:r>
      <w:r>
        <w:rPr>
          <w:rFonts w:ascii="宋体" w:hAnsi="宋体" w:cs="宋体" w:eastAsia="宋体" w:hint="default"/>
          <w:spacing w:val="-7"/>
          <w:sz w:val="18"/>
          <w:szCs w:val="18"/>
        </w:rPr>
        <w:t>号），对试点地区企业明确将交通运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输业和部分现代服务业营业税改征增值税试点范围，子公司厦门美亚柏科信息安全研究所有限公司（以下</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简称美亚研究所）自</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日起，现代服务业收入由缴纳营业税改为缴纳增值税；现代服务业适 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税率。</w:t>
      </w:r>
    </w:p>
    <w:p>
      <w:pPr>
        <w:spacing w:line="240" w:lineRule="auto" w:before="9"/>
        <w:rPr>
          <w:rFonts w:ascii="宋体" w:hAnsi="宋体" w:cs="宋体" w:eastAsia="宋体" w:hint="default"/>
          <w:sz w:val="22"/>
          <w:szCs w:val="22"/>
        </w:rPr>
      </w:pPr>
    </w:p>
    <w:p>
      <w:pPr>
        <w:pStyle w:val="Heading3"/>
        <w:spacing w:line="240" w:lineRule="auto"/>
        <w:ind w:left="220" w:right="0"/>
        <w:jc w:val="both"/>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640"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日，本公司通过厦门市科学技术委员会软件企业认证，取得</w:t>
      </w:r>
      <w:r>
        <w:rPr>
          <w:rFonts w:ascii="Times New Roman" w:hAnsi="Times New Roman" w:cs="Times New Roman" w:eastAsia="Times New Roman" w:hint="default"/>
        </w:rPr>
        <w:t>“</w:t>
      </w:r>
      <w:r>
        <w:rPr/>
        <w:t>厦</w:t>
      </w:r>
    </w:p>
    <w:p>
      <w:pPr>
        <w:pStyle w:val="BodyText"/>
        <w:spacing w:line="386" w:lineRule="auto" w:before="177"/>
        <w:ind w:left="220" w:right="171"/>
        <w:jc w:val="both"/>
      </w:pPr>
      <w:r>
        <w:rPr>
          <w:rFonts w:ascii="Times New Roman" w:hAnsi="Times New Roman" w:cs="Times New Roman" w:eastAsia="Times New Roman" w:hint="default"/>
          <w:spacing w:val="-3"/>
        </w:rPr>
        <w:t>R-2001-0044</w:t>
      </w:r>
      <w:r>
        <w:rPr>
          <w:spacing w:val="-3"/>
        </w:rPr>
        <w:t>号</w:t>
      </w:r>
      <w:r>
        <w:rPr>
          <w:rFonts w:ascii="Times New Roman" w:hAnsi="Times New Roman" w:cs="Times New Roman" w:eastAsia="Times New Roman" w:hint="default"/>
          <w:spacing w:val="-3"/>
        </w:rPr>
        <w:t>”</w:t>
      </w:r>
      <w:r>
        <w:rPr>
          <w:spacing w:val="-3"/>
        </w:rPr>
        <w:t>《软件企业认定证书》。</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20</w:t>
      </w:r>
      <w:r>
        <w:rPr>
          <w:spacing w:val="-3"/>
        </w:rPr>
        <w:t>日，股份制改制变更后被厦门市软件</w:t>
      </w:r>
      <w:r>
        <w:rPr>
          <w:spacing w:val="-11"/>
        </w:rPr>
        <w:t> </w:t>
      </w:r>
      <w:r>
        <w:rPr>
          <w:spacing w:val="-11"/>
        </w:rPr>
      </w:r>
      <w:r>
        <w:rPr/>
        <w:t>行业协会重新授予《软件企业认定证书》。</w:t>
      </w:r>
    </w:p>
    <w:p>
      <w:pPr>
        <w:pStyle w:val="BodyText"/>
        <w:spacing w:line="240" w:lineRule="auto" w:before="65"/>
        <w:ind w:left="640" w:right="0"/>
        <w:jc w:val="left"/>
      </w:pPr>
      <w:r>
        <w:rPr>
          <w:spacing w:val="-4"/>
        </w:rPr>
        <w:t>根据《国务院关于印发进一步鼓励软件产业和集成电路产业发展若干政策的通知》（国</w:t>
      </w:r>
    </w:p>
    <w:p>
      <w:pPr>
        <w:spacing w:after="0" w:line="240" w:lineRule="auto"/>
        <w:jc w:val="left"/>
        <w:sectPr>
          <w:pgSz w:w="11910" w:h="16840"/>
          <w:pgMar w:header="877" w:footer="1227" w:top="1100" w:bottom="1420" w:left="1580" w:right="1620"/>
        </w:sectPr>
      </w:pPr>
    </w:p>
    <w:p>
      <w:pPr>
        <w:spacing w:line="240" w:lineRule="auto" w:before="9"/>
        <w:rPr>
          <w:rFonts w:ascii="宋体" w:hAnsi="宋体" w:cs="宋体" w:eastAsia="宋体" w:hint="default"/>
          <w:sz w:val="26"/>
          <w:szCs w:val="26"/>
        </w:rPr>
      </w:pPr>
    </w:p>
    <w:p>
      <w:pPr>
        <w:pStyle w:val="BodyText"/>
        <w:spacing w:line="386" w:lineRule="auto" w:before="36"/>
        <w:ind w:right="211"/>
        <w:jc w:val="both"/>
      </w:pPr>
      <w:r>
        <w:rPr>
          <w:spacing w:val="-2"/>
        </w:rPr>
        <w:t>发〔</w:t>
      </w:r>
      <w:r>
        <w:rPr>
          <w:rFonts w:ascii="Times New Roman" w:hAnsi="Times New Roman" w:cs="Times New Roman" w:eastAsia="Times New Roman" w:hint="default"/>
          <w:spacing w:val="-2"/>
        </w:rPr>
        <w:t>2011</w:t>
      </w:r>
      <w:r>
        <w:rPr>
          <w:spacing w:val="-2"/>
        </w:rPr>
        <w:t>〕</w:t>
      </w:r>
      <w:r>
        <w:rPr>
          <w:rFonts w:ascii="Times New Roman" w:hAnsi="Times New Roman" w:cs="Times New Roman" w:eastAsia="Times New Roman" w:hint="default"/>
          <w:spacing w:val="-2"/>
        </w:rPr>
        <w:t>4</w:t>
      </w:r>
      <w:r>
        <w:rPr>
          <w:spacing w:val="-2"/>
        </w:rPr>
        <w:t>号）、《关于软件产品增值税政策的通知》（财税</w:t>
      </w:r>
      <w:r>
        <w:rPr>
          <w:rFonts w:ascii="Times New Roman" w:hAnsi="Times New Roman" w:cs="Times New Roman" w:eastAsia="Times New Roman" w:hint="default"/>
          <w:spacing w:val="-2"/>
        </w:rPr>
        <w:t>[2011]100</w:t>
      </w:r>
      <w:r>
        <w:rPr>
          <w:spacing w:val="-2"/>
        </w:rPr>
        <w:t>号）规定，对增值</w:t>
      </w:r>
      <w:r>
        <w:rPr>
          <w:spacing w:val="-44"/>
        </w:rPr>
        <w:t> </w:t>
      </w:r>
      <w:r>
        <w:rPr>
          <w:spacing w:val="-44"/>
        </w:rPr>
      </w:r>
      <w:r>
        <w:rPr>
          <w:spacing w:val="-4"/>
        </w:rPr>
        <w:t>税一般纳税人销售其自行开发生产的软件产品，按</w:t>
      </w:r>
      <w:r>
        <w:rPr>
          <w:rFonts w:ascii="Times New Roman" w:hAnsi="Times New Roman" w:cs="Times New Roman" w:eastAsia="Times New Roman" w:hint="default"/>
          <w:spacing w:val="-4"/>
        </w:rPr>
        <w:t>17</w:t>
      </w:r>
      <w:r>
        <w:rPr>
          <w:spacing w:val="-4"/>
        </w:rPr>
        <w:t>％的法定税率征收增值税后，对其增值</w:t>
      </w:r>
      <w:r>
        <w:rPr>
          <w:spacing w:val="-43"/>
        </w:rPr>
        <w:t> </w:t>
      </w:r>
      <w:r>
        <w:rPr>
          <w:spacing w:val="-43"/>
        </w:rPr>
      </w:r>
      <w:r>
        <w:rPr/>
        <w:t>税实际税负超过</w:t>
      </w:r>
      <w:r>
        <w:rPr>
          <w:rFonts w:ascii="Times New Roman" w:hAnsi="Times New Roman" w:cs="Times New Roman" w:eastAsia="Times New Roman" w:hint="default"/>
        </w:rPr>
        <w:t>3</w:t>
      </w:r>
      <w:r>
        <w:rPr/>
        <w:t>％的部分实行即征即退政策。</w:t>
      </w:r>
    </w:p>
    <w:p>
      <w:pPr>
        <w:pStyle w:val="BodyText"/>
        <w:spacing w:line="393" w:lineRule="auto" w:before="35"/>
        <w:ind w:right="0" w:firstLine="419"/>
        <w:jc w:val="left"/>
      </w:pPr>
      <w:r>
        <w:rPr>
          <w:spacing w:val="-7"/>
          <w:w w:val="100"/>
        </w:rPr>
        <w:t>根据《关于鼓励软件产业和集成电路产业发展有关税收政策问题的通知》（财税【</w:t>
      </w:r>
      <w:r>
        <w:rPr>
          <w:rFonts w:ascii="Times New Roman" w:hAnsi="Times New Roman" w:cs="Times New Roman" w:eastAsia="Times New Roman" w:hint="default"/>
          <w:spacing w:val="-7"/>
          <w:w w:val="100"/>
        </w:rPr>
        <w:t>2000</w:t>
      </w:r>
      <w:r>
        <w:rPr>
          <w:spacing w:val="-7"/>
          <w:w w:val="100"/>
        </w:rPr>
        <w:t>】</w:t>
      </w:r>
      <w:r>
        <w:rPr>
          <w:w w:val="100"/>
        </w:rPr>
        <w:t> </w:t>
      </w:r>
      <w:r>
        <w:rPr>
          <w:rFonts w:ascii="Times New Roman" w:hAnsi="Times New Roman" w:cs="Times New Roman" w:eastAsia="Times New Roman" w:hint="default"/>
        </w:rPr>
        <w:t>25</w:t>
      </w:r>
      <w:r>
        <w:rPr/>
        <w:t>号）规定，销售自行开发生产的软件产品，其增值税实际税负超过</w:t>
      </w:r>
      <w:r>
        <w:rPr>
          <w:rFonts w:ascii="Times New Roman" w:hAnsi="Times New Roman" w:cs="Times New Roman" w:eastAsia="Times New Roman" w:hint="default"/>
        </w:rPr>
        <w:t>3</w:t>
      </w:r>
      <w:r>
        <w:rPr/>
        <w:t>％享受即征即退政策</w:t>
      </w:r>
      <w:r>
        <w:rPr>
          <w:w w:val="100"/>
        </w:rPr>
        <w:t> </w:t>
      </w:r>
      <w:r>
        <w:rPr>
          <w:spacing w:val="-2"/>
        </w:rPr>
        <w:t>部分的所退税款，用于企业研究开发软件产品和扩大再生产，不作为企业所得税应税收入，</w:t>
      </w:r>
      <w:r>
        <w:rPr>
          <w:spacing w:val="-31"/>
        </w:rPr>
        <w:t> </w:t>
      </w:r>
      <w:r>
        <w:rPr>
          <w:spacing w:val="-31"/>
        </w:rPr>
      </w:r>
      <w:r>
        <w:rPr/>
        <w:t>不征收企业所得税。</w:t>
      </w:r>
    </w:p>
    <w:p>
      <w:pPr>
        <w:pStyle w:val="BodyText"/>
        <w:spacing w:line="396" w:lineRule="auto" w:before="58"/>
        <w:ind w:right="0" w:firstLine="419"/>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48"/>
        </w:rPr>
        <w:t> </w:t>
      </w:r>
      <w:r>
        <w:rPr/>
        <w:t>年</w:t>
      </w:r>
      <w:r>
        <w:rPr>
          <w:rFonts w:ascii="Times New Roman" w:hAnsi="Times New Roman" w:cs="Times New Roman" w:eastAsia="Times New Roman" w:hint="default"/>
        </w:rPr>
        <w:t>9</w:t>
      </w:r>
      <w:r>
        <w:rPr/>
        <w:t>月，本公司经厦门市科学技术局、厦门市财政局、厦门市国税局、厦门</w:t>
      </w:r>
      <w:r>
        <w:rPr>
          <w:w w:val="100"/>
        </w:rPr>
        <w:t> </w:t>
      </w:r>
      <w:r>
        <w:rPr/>
        <w:t>市地税局以厦科联【</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65</w:t>
      </w:r>
      <w:r>
        <w:rPr>
          <w:rFonts w:ascii="Times New Roman" w:hAnsi="Times New Roman" w:cs="Times New Roman" w:eastAsia="Times New Roman" w:hint="default"/>
          <w:spacing w:val="49"/>
        </w:rPr>
        <w:t> </w:t>
      </w:r>
      <w:r>
        <w:rPr/>
        <w:t>号文获得高新技术企业认定，高新技术企业证书认定有效期</w:t>
      </w:r>
      <w:r>
        <w:rPr>
          <w:w w:val="100"/>
        </w:rPr>
        <w:t> </w:t>
      </w:r>
      <w:r>
        <w:rPr>
          <w:spacing w:val="-4"/>
        </w:rPr>
        <w:t>三年；</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9</w:t>
      </w:r>
      <w:r>
        <w:rPr>
          <w:spacing w:val="-4"/>
        </w:rPr>
        <w:t>月，本公司再次获得高新技术企业认定，于</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26</w:t>
      </w:r>
      <w:r>
        <w:rPr>
          <w:spacing w:val="-4"/>
        </w:rPr>
        <w:t>日取得高新技术企业</w:t>
      </w:r>
      <w:r>
        <w:rPr>
          <w:spacing w:val="-24"/>
        </w:rPr>
        <w:t> </w:t>
      </w:r>
      <w:r>
        <w:rPr>
          <w:spacing w:val="-24"/>
        </w:rPr>
      </w:r>
      <w:r>
        <w:rPr>
          <w:spacing w:val="-4"/>
        </w:rPr>
        <w:t>证书，认定有效期三年。根据《中华人民共和国企业所得税法》、《中华人民共和国企业所</w:t>
      </w:r>
      <w:r>
        <w:rPr>
          <w:spacing w:val="-44"/>
        </w:rPr>
        <w:t> </w:t>
      </w:r>
      <w:r>
        <w:rPr>
          <w:spacing w:val="-44"/>
        </w:rPr>
      </w:r>
      <w:r>
        <w:rPr>
          <w:spacing w:val="-2"/>
        </w:rPr>
        <w:t>得税法实施条例》、《高科技企业认定管理办法》以及《高新技术企业认定管理工作指引》</w:t>
      </w:r>
      <w:r>
        <w:rPr>
          <w:spacing w:val="-31"/>
        </w:rPr>
        <w:t> </w:t>
      </w:r>
      <w:r>
        <w:rPr>
          <w:spacing w:val="-31"/>
        </w:rPr>
      </w:r>
      <w:r>
        <w:rPr/>
        <w:t>规定，本公司</w:t>
      </w:r>
      <w:r>
        <w:rPr>
          <w:rFonts w:ascii="Times New Roman" w:hAnsi="Times New Roman" w:cs="Times New Roman" w:eastAsia="Times New Roman" w:hint="default"/>
        </w:rPr>
        <w:t>2012</w:t>
      </w:r>
      <w:r>
        <w:rPr/>
        <w:t>年度享受减按</w:t>
      </w:r>
      <w:r>
        <w:rPr>
          <w:rFonts w:ascii="Times New Roman" w:hAnsi="Times New Roman" w:cs="Times New Roman" w:eastAsia="Times New Roman" w:hint="default"/>
        </w:rPr>
        <w:t>15%</w:t>
      </w:r>
      <w:r>
        <w:rPr/>
        <w:t>的税率征收企业所得税。</w:t>
      </w:r>
    </w:p>
    <w:p>
      <w:pPr>
        <w:pStyle w:val="BodyText"/>
        <w:spacing w:line="391" w:lineRule="auto" w:before="26"/>
        <w:ind w:right="223" w:firstLine="419"/>
        <w:jc w:val="left"/>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月，国家发改委等五部委印发《国家规划布局内重点软件企业和集成电路设计</w:t>
      </w:r>
      <w:r>
        <w:rPr>
          <w:w w:val="100"/>
        </w:rPr>
        <w:t> </w:t>
      </w:r>
      <w:r>
        <w:rPr>
          <w:spacing w:val="-2"/>
        </w:rPr>
        <w:t>企业认定管理试行办法》（发改高技〔</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2413</w:t>
      </w:r>
      <w:r>
        <w:rPr>
          <w:spacing w:val="-2"/>
        </w:rPr>
        <w:t>号），同时开展</w:t>
      </w:r>
      <w:r>
        <w:rPr>
          <w:rFonts w:ascii="Times New Roman" w:hAnsi="Times New Roman" w:cs="Times New Roman" w:eastAsia="Times New Roman" w:hint="default"/>
          <w:spacing w:val="-2"/>
        </w:rPr>
        <w:t>2011-2012</w:t>
      </w:r>
      <w:r>
        <w:rPr>
          <w:spacing w:val="-2"/>
        </w:rPr>
        <w:t>年度国家规划</w:t>
      </w:r>
      <w:r>
        <w:rPr>
          <w:spacing w:val="-13"/>
        </w:rPr>
        <w:t> </w:t>
      </w:r>
      <w:r>
        <w:rPr>
          <w:spacing w:val="-13"/>
        </w:rPr>
      </w:r>
      <w:r>
        <w:rPr/>
        <w:t>布局内重点软件企业和集成电路设计企业认定的工作，经国家五部委核准，本公司入选</w:t>
      </w:r>
      <w:r>
        <w:rPr>
          <w:w w:val="100"/>
        </w:rPr>
        <w:t> </w:t>
      </w:r>
      <w:r>
        <w:rPr>
          <w:rFonts w:ascii="Times New Roman" w:hAnsi="Times New Roman" w:cs="Times New Roman" w:eastAsia="Times New Roman" w:hint="default"/>
        </w:rPr>
        <w:t>2011-2012</w:t>
      </w:r>
      <w:r>
        <w:rPr/>
        <w:t>年度国家规划布局内重点软件企业，享受企业所得税减按</w:t>
      </w:r>
      <w:r>
        <w:rPr>
          <w:rFonts w:ascii="Times New Roman" w:hAnsi="Times New Roman" w:cs="Times New Roman" w:eastAsia="Times New Roman" w:hint="default"/>
        </w:rPr>
        <w:t>10%</w:t>
      </w:r>
      <w:r>
        <w:rPr/>
        <w:t>的税率征收，政策</w:t>
      </w:r>
      <w:r>
        <w:rPr>
          <w:w w:val="100"/>
        </w:rPr>
        <w:t> </w:t>
      </w:r>
      <w:r>
        <w:rPr/>
        <w:t>优惠年度为</w:t>
      </w:r>
      <w:r>
        <w:rPr>
          <w:rFonts w:ascii="Times New Roman" w:hAnsi="Times New Roman" w:cs="Times New Roman" w:eastAsia="Times New Roman" w:hint="default"/>
        </w:rPr>
        <w:t>2011</w:t>
      </w:r>
      <w:r>
        <w:rPr/>
        <w:t>年和</w:t>
      </w:r>
      <w:r>
        <w:rPr>
          <w:rFonts w:ascii="Times New Roman" w:hAnsi="Times New Roman" w:cs="Times New Roman" w:eastAsia="Times New Roman" w:hint="default"/>
        </w:rPr>
        <w:t>2012</w:t>
      </w:r>
      <w:r>
        <w:rPr/>
        <w:t>年。本公司</w:t>
      </w:r>
      <w:r>
        <w:rPr>
          <w:rFonts w:ascii="Times New Roman" w:hAnsi="Times New Roman" w:cs="Times New Roman" w:eastAsia="Times New Roman" w:hint="default"/>
        </w:rPr>
        <w:t>2012</w:t>
      </w:r>
      <w:r>
        <w:rPr/>
        <w:t>年度减按</w:t>
      </w:r>
      <w:r>
        <w:rPr>
          <w:rFonts w:ascii="Times New Roman" w:hAnsi="Times New Roman" w:cs="Times New Roman" w:eastAsia="Times New Roman" w:hint="default"/>
        </w:rPr>
        <w:t>10%</w:t>
      </w:r>
      <w:r>
        <w:rPr/>
        <w:t>的税率征收企业所得税。</w:t>
      </w:r>
    </w:p>
    <w:p>
      <w:pPr>
        <w:pStyle w:val="BodyText"/>
        <w:spacing w:line="386" w:lineRule="auto" w:before="30"/>
        <w:ind w:right="211" w:firstLine="419"/>
        <w:jc w:val="both"/>
      </w:pPr>
      <w:r>
        <w:rPr>
          <w:spacing w:val="-2"/>
        </w:rPr>
        <w:t>（</w:t>
      </w:r>
      <w:r>
        <w:rPr>
          <w:rFonts w:ascii="Times New Roman" w:hAnsi="Times New Roman" w:cs="Times New Roman" w:eastAsia="Times New Roman" w:hint="default"/>
          <w:spacing w:val="-2"/>
        </w:rPr>
        <w:t>3</w:t>
      </w:r>
      <w:r>
        <w:rPr>
          <w:spacing w:val="-2"/>
        </w:rPr>
        <w:t>）子公司厦门美亚柏科信息安全研究所有限公司（以下简称美亚研究所）</w:t>
      </w:r>
      <w:r>
        <w:rPr>
          <w:rFonts w:ascii="Times New Roman" w:hAnsi="Times New Roman" w:cs="Times New Roman" w:eastAsia="Times New Roman" w:hint="default"/>
          <w:spacing w:val="-2"/>
        </w:rPr>
        <w:t>2012</w:t>
      </w:r>
      <w:r>
        <w:rPr>
          <w:spacing w:val="-2"/>
        </w:rPr>
        <w:t>年享</w:t>
      </w:r>
      <w:r>
        <w:rPr>
          <w:spacing w:val="-3"/>
          <w:w w:val="100"/>
        </w:rPr>
        <w:t> </w:t>
      </w:r>
      <w:r>
        <w:rPr>
          <w:spacing w:val="-4"/>
        </w:rPr>
        <w:t>受软件企业免征企业所得税优惠政策。</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26</w:t>
      </w:r>
      <w:r>
        <w:rPr>
          <w:spacing w:val="-4"/>
        </w:rPr>
        <w:t>日，美亚研究所取得厦门市软件行业协</w:t>
      </w:r>
      <w:r>
        <w:rPr>
          <w:spacing w:val="-29"/>
        </w:rPr>
        <w:t> </w:t>
      </w:r>
      <w:r>
        <w:rPr>
          <w:spacing w:val="-29"/>
        </w:rPr>
      </w:r>
      <w:r>
        <w:rPr/>
        <w:t>会</w:t>
      </w:r>
      <w:r>
        <w:rPr>
          <w:rFonts w:ascii="Times New Roman" w:hAnsi="Times New Roman" w:cs="Times New Roman" w:eastAsia="Times New Roman" w:hint="default"/>
        </w:rPr>
        <w:t>“</w:t>
      </w:r>
      <w:r>
        <w:rPr/>
        <w:t>厦</w:t>
      </w:r>
      <w:r>
        <w:rPr>
          <w:rFonts w:ascii="Times New Roman" w:hAnsi="Times New Roman" w:cs="Times New Roman" w:eastAsia="Times New Roman" w:hint="default"/>
        </w:rPr>
        <w:t>R-2011-0065</w:t>
      </w:r>
      <w:r>
        <w:rPr/>
        <w:t>号</w:t>
      </w:r>
      <w:r>
        <w:rPr>
          <w:rFonts w:ascii="Times New Roman" w:hAnsi="Times New Roman" w:cs="Times New Roman" w:eastAsia="Times New Roman" w:hint="default"/>
        </w:rPr>
        <w:t>”</w:t>
      </w:r>
      <w:r>
        <w:rPr/>
        <w:t>《软件企业认定证书》，被认定为软件企业。根据《关于鼓励软件产</w:t>
      </w:r>
      <w:r>
        <w:rPr>
          <w:w w:val="100"/>
        </w:rPr>
        <w:t> </w:t>
      </w:r>
      <w:r>
        <w:rPr>
          <w:spacing w:val="-4"/>
        </w:rPr>
        <w:t>业和集成电路产业发展有关税收政策问题的通知》（财税【</w:t>
      </w:r>
      <w:r>
        <w:rPr>
          <w:rFonts w:ascii="Times New Roman" w:hAnsi="Times New Roman" w:cs="Times New Roman" w:eastAsia="Times New Roman" w:hint="default"/>
          <w:spacing w:val="-4"/>
        </w:rPr>
        <w:t>2000</w:t>
      </w:r>
      <w:r>
        <w:rPr>
          <w:spacing w:val="-4"/>
        </w:rPr>
        <w:t>】</w:t>
      </w:r>
      <w:r>
        <w:rPr>
          <w:rFonts w:ascii="Times New Roman" w:hAnsi="Times New Roman" w:cs="Times New Roman" w:eastAsia="Times New Roman" w:hint="default"/>
          <w:spacing w:val="-4"/>
        </w:rPr>
        <w:t>25</w:t>
      </w:r>
      <w:r>
        <w:rPr>
          <w:spacing w:val="-4"/>
        </w:rPr>
        <w:t>号）规定，对新办集成</w:t>
      </w:r>
      <w:r>
        <w:rPr>
          <w:spacing w:val="-34"/>
        </w:rPr>
        <w:t> </w:t>
      </w:r>
      <w:r>
        <w:rPr>
          <w:spacing w:val="-34"/>
        </w:rPr>
      </w:r>
      <w:r>
        <w:rPr>
          <w:spacing w:val="-2"/>
        </w:rPr>
        <w:t>电路设计企业和符合条件的软件企业，经认定后，自获利年度起，享受企业所得税</w:t>
      </w:r>
      <w:r>
        <w:rPr>
          <w:rFonts w:ascii="Times New Roman" w:hAnsi="Times New Roman" w:cs="Times New Roman" w:eastAsia="Times New Roman" w:hint="default"/>
          <w:spacing w:val="-2"/>
        </w:rPr>
        <w:t>“</w:t>
      </w:r>
      <w:r>
        <w:rPr>
          <w:spacing w:val="-2"/>
        </w:rPr>
        <w:t>两免三</w:t>
      </w:r>
      <w:r>
        <w:rPr>
          <w:spacing w:val="-30"/>
        </w:rPr>
        <w:t> </w:t>
      </w:r>
      <w:r>
        <w:rPr>
          <w:spacing w:val="-30"/>
        </w:rPr>
      </w:r>
      <w:r>
        <w:rPr/>
        <w:t>减半</w:t>
      </w:r>
      <w:r>
        <w:rPr>
          <w:rFonts w:ascii="Times New Roman" w:hAnsi="Times New Roman" w:cs="Times New Roman" w:eastAsia="Times New Roman" w:hint="default"/>
        </w:rPr>
        <w:t>”</w:t>
      </w:r>
      <w:r>
        <w:rPr/>
        <w:t>优惠政策。美亚研究所</w:t>
      </w:r>
      <w:r>
        <w:rPr>
          <w:rFonts w:ascii="Times New Roman" w:hAnsi="Times New Roman" w:cs="Times New Roman" w:eastAsia="Times New Roman" w:hint="default"/>
        </w:rPr>
        <w:t>2011</w:t>
      </w:r>
      <w:r>
        <w:rPr/>
        <w:t>年为首个获利年度，</w:t>
      </w:r>
      <w:r>
        <w:rPr>
          <w:rFonts w:ascii="Times New Roman" w:hAnsi="Times New Roman" w:cs="Times New Roman" w:eastAsia="Times New Roman" w:hint="default"/>
        </w:rPr>
        <w:t>2012</w:t>
      </w:r>
      <w:r>
        <w:rPr/>
        <w:t>年度免征企业所得税。</w:t>
      </w:r>
    </w:p>
    <w:p>
      <w:pPr>
        <w:spacing w:line="240" w:lineRule="auto" w:before="10"/>
        <w:rPr>
          <w:rFonts w:ascii="宋体" w:hAnsi="宋体" w:cs="宋体" w:eastAsia="宋体" w:hint="default"/>
          <w:sz w:val="19"/>
          <w:szCs w:val="19"/>
        </w:rPr>
      </w:pPr>
    </w:p>
    <w:p>
      <w:pPr>
        <w:spacing w:line="506" w:lineRule="auto" w:before="0"/>
        <w:ind w:left="560" w:right="7347"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b/>
          <w:bCs/>
          <w:spacing w:val="-104"/>
          <w:sz w:val="21"/>
          <w:szCs w:val="21"/>
        </w:rPr>
        <w:t> </w:t>
      </w:r>
      <w:r>
        <w:rPr>
          <w:rFonts w:ascii="宋体" w:hAnsi="宋体" w:cs="宋体" w:eastAsia="宋体" w:hint="default"/>
          <w:sz w:val="21"/>
          <w:szCs w:val="21"/>
        </w:rPr>
        <w:t>无。</w:t>
      </w:r>
    </w:p>
    <w:p>
      <w:pPr>
        <w:spacing w:after="0" w:line="506" w:lineRule="auto"/>
        <w:jc w:val="left"/>
        <w:rPr>
          <w:rFonts w:ascii="宋体" w:hAnsi="宋体" w:cs="宋体" w:eastAsia="宋体" w:hint="default"/>
          <w:sz w:val="21"/>
          <w:szCs w:val="21"/>
        </w:rPr>
        <w:sectPr>
          <w:pgSz w:w="11910" w:h="16840"/>
          <w:pgMar w:header="877" w:footer="1227" w:top="1100" w:bottom="1420" w:left="1660" w:right="1580"/>
        </w:sectPr>
      </w:pPr>
    </w:p>
    <w:p>
      <w:pPr>
        <w:spacing w:line="240" w:lineRule="auto" w:before="9"/>
        <w:rPr>
          <w:rFonts w:ascii="宋体" w:hAnsi="宋体" w:cs="宋体" w:eastAsia="宋体" w:hint="default"/>
          <w:sz w:val="19"/>
          <w:szCs w:val="19"/>
        </w:rPr>
      </w:pPr>
      <w:r>
        <w:rPr/>
        <w:pict>
          <v:shape style="position:absolute;margin-left:233.210007pt;margin-top:498.669983pt;width:146.1pt;height:17.650pt;mso-position-horizontal-relative:page;mso-position-vertical-relative:page;z-index:-80341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软件开发、网络技术服务；</w:t>
                  </w:r>
                </w:p>
              </w:txbxContent>
            </v:textbox>
            <w10:wrap type="none"/>
          </v:shape>
        </w:pict>
      </w:r>
      <w:r>
        <w:rPr/>
        <w:pict>
          <v:group style="position:absolute;margin-left:339.549988pt;margin-top:498.669983pt;width:39.75pt;height:17.650pt;mso-position-horizontal-relative:page;mso-position-vertical-relative:page;z-index:-803344" coordorigin="6791,9973" coordsize="795,353">
            <v:shape style="position:absolute;left:6791;top:9973;width:795;height:353" coordorigin="6791,9973" coordsize="795,353" path="m6791,10326l7585,10326,7585,9973,6791,9973,6791,10326xe" filled="true" fillcolor="#ffffff" stroked="false">
              <v:path arrowok="t"/>
              <v:fill type="solid"/>
            </v:shape>
            <w10:wrap type="none"/>
          </v:group>
        </w:pict>
      </w:r>
    </w:p>
    <w:p>
      <w:pPr>
        <w:pStyle w:val="Heading2"/>
        <w:spacing w:line="240" w:lineRule="auto" w:before="26"/>
        <w:ind w:left="140" w:right="1061"/>
        <w:jc w:val="left"/>
        <w:rPr>
          <w:b w:val="0"/>
          <w:bCs w:val="0"/>
        </w:rPr>
      </w:pPr>
      <w:r>
        <w:rPr/>
        <w:t>六、企业合并及合并财务报表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61"/>
        <w:jc w:val="left"/>
        <w:rPr>
          <w:b w:val="0"/>
          <w:bCs w:val="0"/>
        </w:rPr>
      </w:pPr>
      <w:r>
        <w:rPr>
          <w:rFonts w:ascii="Times New Roman" w:hAnsi="Times New Roman" w:cs="Times New Roman" w:eastAsia="Times New Roman" w:hint="default"/>
        </w:rPr>
        <w:t>1</w:t>
      </w:r>
      <w:r>
        <w:rPr/>
        <w:t>、子公司情况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061"/>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12"/>
        <w:rPr>
          <w:rFonts w:ascii="宋体" w:hAnsi="宋体" w:cs="宋体" w:eastAsia="宋体" w:hint="default"/>
          <w:b/>
          <w:bCs/>
          <w:sz w:val="22"/>
          <w:szCs w:val="22"/>
        </w:rPr>
      </w:pPr>
    </w:p>
    <w:p>
      <w:pPr>
        <w:spacing w:before="44"/>
        <w:ind w:left="0" w:right="137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684"/>
        <w:gridCol w:w="310"/>
        <w:gridCol w:w="425"/>
        <w:gridCol w:w="567"/>
        <w:gridCol w:w="850"/>
        <w:gridCol w:w="2129"/>
        <w:gridCol w:w="81"/>
        <w:gridCol w:w="768"/>
        <w:gridCol w:w="566"/>
        <w:gridCol w:w="425"/>
        <w:gridCol w:w="567"/>
        <w:gridCol w:w="427"/>
        <w:gridCol w:w="401"/>
        <w:gridCol w:w="590"/>
        <w:gridCol w:w="776"/>
      </w:tblGrid>
      <w:tr>
        <w:trPr>
          <w:trHeight w:val="5708"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8"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3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16" w:lineRule="auto"/>
              <w:ind w:left="59" w:right="59"/>
              <w:jc w:val="both"/>
              <w:rPr>
                <w:rFonts w:ascii="宋体" w:hAnsi="宋体" w:cs="宋体" w:eastAsia="宋体" w:hint="default"/>
                <w:sz w:val="18"/>
                <w:szCs w:val="18"/>
              </w:rPr>
            </w:pPr>
            <w:r>
              <w:rPr>
                <w:rFonts w:ascii="宋体" w:hAnsi="宋体" w:cs="宋体" w:eastAsia="宋体" w:hint="default"/>
                <w:sz w:val="18"/>
                <w:szCs w:val="18"/>
              </w:rPr>
              <w:t>子 公 司 类 型</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15" w:right="26" w:hanging="89"/>
              <w:jc w:val="left"/>
              <w:rPr>
                <w:rFonts w:ascii="宋体" w:hAnsi="宋体" w:cs="宋体" w:eastAsia="宋体" w:hint="default"/>
                <w:sz w:val="18"/>
                <w:szCs w:val="18"/>
              </w:rPr>
            </w:pPr>
            <w:r>
              <w:rPr>
                <w:rFonts w:ascii="宋体" w:hAnsi="宋体" w:cs="宋体" w:eastAsia="宋体" w:hint="default"/>
                <w:sz w:val="18"/>
                <w:szCs w:val="18"/>
              </w:rPr>
              <w:t>注册 地</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95" w:right="99"/>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8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48" w:right="60" w:hanging="92"/>
              <w:jc w:val="left"/>
              <w:rPr>
                <w:rFonts w:ascii="宋体" w:hAnsi="宋体" w:cs="宋体" w:eastAsia="宋体" w:hint="default"/>
                <w:sz w:val="18"/>
                <w:szCs w:val="18"/>
              </w:rPr>
            </w:pPr>
            <w:r>
              <w:rPr>
                <w:rFonts w:ascii="宋体" w:hAnsi="宋体" w:cs="宋体" w:eastAsia="宋体" w:hint="default"/>
                <w:sz w:val="18"/>
                <w:szCs w:val="18"/>
              </w:rPr>
              <w:t>期末实际 投资额</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95" w:right="98"/>
              <w:jc w:val="both"/>
              <w:rPr>
                <w:rFonts w:ascii="宋体" w:hAnsi="宋体" w:cs="宋体" w:eastAsia="宋体" w:hint="default"/>
                <w:sz w:val="18"/>
                <w:szCs w:val="18"/>
              </w:rPr>
            </w:pPr>
            <w:r>
              <w:rPr>
                <w:rFonts w:ascii="宋体" w:hAnsi="宋体" w:cs="宋体" w:eastAsia="宋体" w:hint="default"/>
                <w:sz w:val="18"/>
                <w:szCs w:val="18"/>
              </w:rPr>
              <w:t>实质 上构 成对 子公 司净 投资 的其 他项 目余 额</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38" w:lineRule="auto"/>
              <w:ind w:left="28" w:right="24"/>
              <w:jc w:val="both"/>
              <w:rPr>
                <w:rFonts w:ascii="Times New Roman" w:hAnsi="Times New Roman" w:cs="Times New Roman" w:eastAsia="Times New Roman" w:hint="default"/>
                <w:sz w:val="18"/>
                <w:szCs w:val="18"/>
              </w:rPr>
            </w:pPr>
            <w:r>
              <w:rPr>
                <w:rFonts w:ascii="宋体" w:hAnsi="宋体" w:cs="宋体" w:eastAsia="宋体" w:hint="default"/>
                <w:sz w:val="18"/>
                <w:szCs w:val="18"/>
              </w:rPr>
              <w:t>持股 比例 </w:t>
            </w:r>
            <w:r>
              <w:rPr>
                <w:rFonts w:ascii="Times New Roman" w:hAnsi="Times New Roman" w:cs="Times New Roman" w:eastAsia="Times New Roman" w:hint="default"/>
                <w:sz w:val="18"/>
                <w:szCs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55" w:right="50" w:firstLine="43"/>
              <w:jc w:val="both"/>
              <w:rPr>
                <w:rFonts w:ascii="Times New Roman" w:hAnsi="Times New Roman" w:cs="Times New Roman" w:eastAsia="Times New Roman" w:hint="default"/>
                <w:sz w:val="18"/>
                <w:szCs w:val="18"/>
              </w:rPr>
            </w:pPr>
            <w:r>
              <w:rPr>
                <w:rFonts w:ascii="宋体" w:hAnsi="宋体" w:cs="宋体" w:eastAsia="宋体" w:hint="default"/>
                <w:sz w:val="18"/>
                <w:szCs w:val="18"/>
              </w:rPr>
              <w:t>表决 权比 例</w:t>
            </w:r>
            <w:r>
              <w:rPr>
                <w:rFonts w:ascii="Times New Roman" w:hAnsi="Times New Roman" w:cs="Times New Roman" w:eastAsia="Times New Roman" w:hint="default"/>
                <w:sz w:val="18"/>
                <w:szCs w:val="18"/>
              </w:rPr>
              <w:t>(%)</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28" w:right="26"/>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316" w:lineRule="auto"/>
              <w:ind w:left="103" w:right="107"/>
              <w:jc w:val="both"/>
              <w:rPr>
                <w:rFonts w:ascii="宋体" w:hAnsi="宋体" w:cs="宋体" w:eastAsia="宋体" w:hint="default"/>
                <w:sz w:val="18"/>
                <w:szCs w:val="18"/>
              </w:rPr>
            </w:pPr>
            <w:r>
              <w:rPr>
                <w:rFonts w:ascii="宋体" w:hAnsi="宋体" w:cs="宋体" w:eastAsia="宋体" w:hint="default"/>
                <w:sz w:val="18"/>
                <w:szCs w:val="18"/>
              </w:rPr>
              <w:t>少 数 股 东 权 益</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108" w:right="110"/>
              <w:jc w:val="both"/>
              <w:rPr>
                <w:rFonts w:ascii="宋体" w:hAnsi="宋体" w:cs="宋体" w:eastAsia="宋体" w:hint="default"/>
                <w:sz w:val="18"/>
                <w:szCs w:val="18"/>
              </w:rPr>
            </w:pPr>
            <w:r>
              <w:rPr>
                <w:rFonts w:ascii="宋体" w:hAnsi="宋体" w:cs="宋体" w:eastAsia="宋体" w:hint="default"/>
                <w:sz w:val="18"/>
                <w:szCs w:val="18"/>
              </w:rPr>
              <w:t>少数 股东 权益 中用 于冲 减少 数股 东损 益的 金额</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111"/>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196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厦门市 美亚柏 科信息 安全研 究所有 限公司</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全 资</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1"/>
              <w:jc w:val="center"/>
              <w:rPr>
                <w:rFonts w:ascii="宋体" w:hAnsi="宋体" w:cs="宋体" w:eastAsia="宋体" w:hint="default"/>
                <w:sz w:val="18"/>
                <w:szCs w:val="18"/>
              </w:rPr>
            </w:pPr>
            <w:r>
              <w:rPr>
                <w:rFonts w:ascii="宋体" w:hAnsi="宋体" w:cs="宋体" w:eastAsia="宋体" w:hint="default"/>
                <w:sz w:val="18"/>
                <w:szCs w:val="18"/>
              </w:rPr>
              <w:t>厦门</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1"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69"/>
              <w:jc w:val="center"/>
              <w:rPr>
                <w:rFonts w:ascii="Times New Roman" w:hAnsi="Times New Roman" w:cs="Times New Roman" w:eastAsia="Times New Roman" w:hint="default"/>
                <w:sz w:val="18"/>
                <w:szCs w:val="18"/>
              </w:rPr>
            </w:pPr>
            <w:r>
              <w:rPr>
                <w:rFonts w:ascii="Times New Roman"/>
                <w:sz w:val="18"/>
              </w:rPr>
              <w:t>10000000</w:t>
            </w:r>
          </w:p>
        </w:tc>
        <w:tc>
          <w:tcPr>
            <w:tcW w:w="2129" w:type="dxa"/>
            <w:tcBorders>
              <w:top w:val="single" w:sz="4" w:space="0" w:color="000000"/>
              <w:left w:val="single" w:sz="4" w:space="0" w:color="000000"/>
              <w:bottom w:val="single" w:sz="4" w:space="0" w:color="000000"/>
              <w:right w:val="single" w:sz="12" w:space="0" w:color="FFFFFF"/>
            </w:tcBorders>
          </w:tcPr>
          <w:p>
            <w:pPr>
              <w:pStyle w:val="TableParagraph"/>
              <w:spacing w:line="316"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信息网络安全产品的研究 </w:t>
            </w:r>
            <w:r>
              <w:rPr>
                <w:rFonts w:ascii="宋体" w:hAnsi="宋体" w:cs="宋体" w:eastAsia="宋体" w:hint="default"/>
                <w:spacing w:val="-8"/>
                <w:sz w:val="18"/>
                <w:szCs w:val="18"/>
              </w:rPr>
              <w:t>和开发；计算机与信息安全</w:t>
            </w:r>
          </w:p>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24" w:right="102"/>
              <w:jc w:val="left"/>
              <w:rPr>
                <w:rFonts w:ascii="宋体" w:hAnsi="宋体" w:cs="宋体" w:eastAsia="宋体" w:hint="default"/>
                <w:sz w:val="18"/>
                <w:szCs w:val="18"/>
              </w:rPr>
            </w:pPr>
            <w:r>
              <w:rPr>
                <w:rFonts w:ascii="宋体" w:hAnsi="宋体" w:cs="宋体" w:eastAsia="宋体" w:hint="default"/>
                <w:sz w:val="18"/>
                <w:szCs w:val="18"/>
              </w:rPr>
              <w:t>批发零售计算机与网络安 </w:t>
            </w:r>
            <w:r>
              <w:rPr>
                <w:rFonts w:ascii="宋体" w:hAnsi="宋体" w:cs="宋体" w:eastAsia="宋体" w:hint="default"/>
                <w:spacing w:val="-12"/>
                <w:sz w:val="18"/>
                <w:szCs w:val="18"/>
              </w:rPr>
              <w:t>全设备。图书、期刊、</w:t>
            </w:r>
            <w:r>
              <w:rPr>
                <w:rFonts w:ascii="宋体" w:hAnsi="宋体" w:cs="宋体" w:eastAsia="宋体" w:hint="default"/>
                <w:sz w:val="18"/>
                <w:szCs w:val="18"/>
              </w:rPr>
              <w:t> 音像制品、</w:t>
            </w:r>
          </w:p>
        </w:tc>
        <w:tc>
          <w:tcPr>
            <w:tcW w:w="850" w:type="dxa"/>
            <w:gridSpan w:val="2"/>
            <w:tcBorders>
              <w:top w:val="single" w:sz="4" w:space="0" w:color="000000"/>
              <w:left w:val="single" w:sz="12"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90" w:right="0"/>
              <w:jc w:val="lef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7" w:right="0"/>
              <w:jc w:val="center"/>
              <w:rPr>
                <w:rFonts w:ascii="Times New Roman" w:hAnsi="Times New Roman" w:cs="Times New Roman" w:eastAsia="Times New Roman" w:hint="default"/>
                <w:sz w:val="18"/>
                <w:szCs w:val="18"/>
              </w:rPr>
            </w:pPr>
            <w:r>
              <w:rPr>
                <w:rFonts w:ascii="Times New Roman"/>
                <w:sz w:val="18"/>
              </w:rPr>
              <w:t>100%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01"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108"/>
              <w:jc w:val="both"/>
              <w:rPr>
                <w:rFonts w:ascii="宋体" w:hAnsi="宋体" w:cs="宋体" w:eastAsia="宋体" w:hint="default"/>
                <w:sz w:val="18"/>
                <w:szCs w:val="18"/>
              </w:rPr>
            </w:pPr>
            <w:r>
              <w:rPr>
                <w:rFonts w:ascii="宋体" w:hAnsi="宋体" w:cs="宋体" w:eastAsia="宋体" w:hint="default"/>
                <w:sz w:val="18"/>
                <w:szCs w:val="18"/>
              </w:rPr>
              <w:t>杭州创 聚科技 有限公 司</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全 资</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杭州</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69"/>
              <w:jc w:val="center"/>
              <w:rPr>
                <w:rFonts w:ascii="Times New Roman" w:hAnsi="Times New Roman" w:cs="Times New Roman" w:eastAsia="Times New Roman" w:hint="default"/>
                <w:sz w:val="18"/>
                <w:szCs w:val="18"/>
              </w:rPr>
            </w:pPr>
            <w:r>
              <w:rPr>
                <w:rFonts w:ascii="Times New Roman"/>
                <w:sz w:val="18"/>
              </w:rPr>
              <w:t>10000000</w:t>
            </w:r>
          </w:p>
        </w:tc>
        <w:tc>
          <w:tcPr>
            <w:tcW w:w="2129" w:type="dxa"/>
            <w:tcBorders>
              <w:top w:val="single" w:sz="4" w:space="0" w:color="000000"/>
              <w:left w:val="single" w:sz="4" w:space="0" w:color="000000"/>
              <w:bottom w:val="single" w:sz="4" w:space="0" w:color="000000"/>
              <w:right w:val="single" w:sz="12" w:space="0" w:color="FFFFFF"/>
            </w:tcBorders>
          </w:tcPr>
          <w:p>
            <w:pPr>
              <w:pStyle w:val="TableParagraph"/>
              <w:spacing w:line="319" w:lineRule="auto" w:before="49"/>
              <w:ind w:left="24" w:right="13"/>
              <w:jc w:val="left"/>
              <w:rPr>
                <w:rFonts w:ascii="宋体" w:hAnsi="宋体" w:cs="宋体" w:eastAsia="宋体" w:hint="default"/>
                <w:sz w:val="18"/>
                <w:szCs w:val="18"/>
              </w:rPr>
            </w:pPr>
            <w:r>
              <w:rPr>
                <w:rFonts w:ascii="宋体" w:hAnsi="宋体" w:cs="宋体" w:eastAsia="宋体" w:hint="default"/>
                <w:sz w:val="18"/>
                <w:szCs w:val="18"/>
              </w:rPr>
              <w:t>服务；计算机硬件技术开 </w:t>
            </w:r>
            <w:r>
              <w:rPr>
                <w:rFonts w:ascii="宋体" w:hAnsi="宋体" w:cs="宋体" w:eastAsia="宋体" w:hint="default"/>
                <w:spacing w:val="-8"/>
                <w:sz w:val="18"/>
                <w:szCs w:val="18"/>
              </w:rPr>
              <w:t>发、成果转让，计算机系统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集成，科技信息咨询；</w:t>
            </w:r>
            <w:r>
              <w:rPr>
                <w:rFonts w:ascii="宋体" w:hAnsi="宋体" w:cs="宋体" w:eastAsia="宋体" w:hint="default"/>
                <w:sz w:val="18"/>
                <w:szCs w:val="18"/>
              </w:rPr>
              <w:t> </w:t>
            </w:r>
            <w:r>
              <w:rPr>
                <w:rFonts w:ascii="宋体" w:hAnsi="宋体" w:cs="宋体" w:eastAsia="宋体" w:hint="default"/>
                <w:spacing w:val="-8"/>
                <w:sz w:val="18"/>
                <w:szCs w:val="18"/>
              </w:rPr>
              <w:t>零售：电子计算机，网络设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备、通信设备（除专控）</w:t>
            </w:r>
          </w:p>
        </w:tc>
        <w:tc>
          <w:tcPr>
            <w:tcW w:w="81" w:type="dxa"/>
            <w:tcBorders>
              <w:top w:val="single" w:sz="4" w:space="0" w:color="000000"/>
              <w:left w:val="single" w:sz="12" w:space="0" w:color="FFFFFF"/>
              <w:bottom w:val="single" w:sz="4" w:space="0" w:color="000000"/>
              <w:right w:val="nil" w:sz="6" w:space="0" w:color="auto"/>
            </w:tcBorders>
          </w:tcPr>
          <w:p>
            <w:pPr/>
          </w:p>
        </w:tc>
        <w:tc>
          <w:tcPr>
            <w:tcW w:w="76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7" w:right="0"/>
              <w:jc w:val="center"/>
              <w:rPr>
                <w:rFonts w:ascii="Times New Roman" w:hAnsi="Times New Roman" w:cs="Times New Roman" w:eastAsia="Times New Roman" w:hint="default"/>
                <w:sz w:val="18"/>
                <w:szCs w:val="18"/>
              </w:rPr>
            </w:pPr>
            <w:r>
              <w:rPr>
                <w:rFonts w:ascii="Times New Roman"/>
                <w:sz w:val="18"/>
              </w:rPr>
              <w:t>100%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01"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r>
    </w:tbl>
    <w:p>
      <w:pPr>
        <w:spacing w:before="49"/>
        <w:ind w:left="140" w:right="1061" w:firstLine="0"/>
        <w:jc w:val="left"/>
        <w:rPr>
          <w:rFonts w:ascii="宋体" w:hAnsi="宋体" w:cs="宋体" w:eastAsia="宋体" w:hint="default"/>
          <w:sz w:val="18"/>
          <w:szCs w:val="18"/>
        </w:rPr>
      </w:pPr>
      <w:r>
        <w:rPr/>
        <w:pict>
          <v:shape style="position:absolute;margin-left:314.218994pt;margin-top:-114.26828pt;width:66.25pt;height:31.2pt;mso-position-horizontal-relative:page;mso-position-vertical-relative:paragraph;z-index:-803440"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报纸、</w:t>
                  </w:r>
                </w:p>
              </w:txbxContent>
            </v:textbox>
            <w10:wrap type="none"/>
          </v:shape>
        </w:pict>
      </w:r>
      <w:r>
        <w:rPr/>
        <w:pict>
          <v:shape style="position:absolute;margin-left:314.335999pt;margin-top:-59.188282pt;width:64.95pt;height:22.05pt;mso-position-horizontal-relative:page;mso-position-vertical-relative:paragraph;z-index:-803392" type="#_x0000_t202" filled="false" stroked="false">
            <v:textbox inset="0,0,0,0">
              <w:txbxContent>
                <w:p>
                  <w:pPr>
                    <w:spacing w:line="240" w:lineRule="auto" w:before="9"/>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批发、</w:t>
                  </w:r>
                </w:p>
              </w:txbxContent>
            </v:textbox>
            <w10:wrap type="none"/>
          </v:shape>
        </w:pict>
      </w:r>
      <w:r>
        <w:rPr/>
        <w:pict>
          <v:group style="position:absolute;margin-left:338.470001pt;margin-top:-114.26828pt;width:42pt;height:31.2pt;mso-position-horizontal-relative:page;mso-position-vertical-relative:paragraph;z-index:-803368" coordorigin="6769,-2285" coordsize="840,624">
            <v:shape style="position:absolute;left:6769;top:-2285;width:840;height:624" coordorigin="6769,-2285" coordsize="840,624" path="m6769,-1661l7609,-1661,7609,-2285,6769,-2285,6769,-1661xe" filled="true" fillcolor="#ffffff" stroked="false">
              <v:path arrowok="t"/>
              <v:fill type="solid"/>
            </v:shape>
            <w10:wrap type="none"/>
          </v:group>
        </w:pict>
      </w:r>
      <w:r>
        <w:rPr/>
        <w:pict>
          <v:group style="position:absolute;margin-left:339.549988pt;margin-top:-59.188282pt;width:39.75pt;height:17.650pt;mso-position-horizontal-relative:page;mso-position-vertical-relative:paragraph;z-index:-803320" coordorigin="6791,-1184" coordsize="795,353">
            <v:shape style="position:absolute;left:6791;top:-1184;width:795;height:353" coordorigin="6791,-1184" coordsize="795,353" path="m6791,-831l7585,-831,7585,-1184,6791,-1184,6791,-831xe" filled="true" fillcolor="#ffffff" stroked="false">
              <v:path arrowok="t"/>
              <v:fill type="solid"/>
            </v:shape>
            <w10:wrap type="none"/>
          </v:group>
        </w:pict>
      </w:r>
      <w:r>
        <w:rPr>
          <w:rFonts w:ascii="宋体" w:hAnsi="宋体" w:cs="宋体" w:eastAsia="宋体" w:hint="default"/>
          <w:sz w:val="18"/>
          <w:szCs w:val="18"/>
        </w:rPr>
        <w:t>通过设立或投资等方式取得的子公司的其他说明：无</w:t>
      </w:r>
    </w:p>
    <w:p>
      <w:pPr>
        <w:spacing w:line="240" w:lineRule="auto" w:before="0"/>
        <w:rPr>
          <w:rFonts w:ascii="宋体" w:hAnsi="宋体" w:cs="宋体" w:eastAsia="宋体" w:hint="default"/>
          <w:sz w:val="18"/>
          <w:szCs w:val="18"/>
        </w:rPr>
      </w:pPr>
    </w:p>
    <w:p>
      <w:pPr>
        <w:pStyle w:val="Heading3"/>
        <w:spacing w:line="506" w:lineRule="auto" w:before="118"/>
        <w:ind w:left="560" w:right="5615" w:hanging="420"/>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2</w:t>
      </w:r>
      <w:r>
        <w:rPr>
          <w:spacing w:val="-1"/>
        </w:rPr>
        <w:t>）同一控制下企业合并取得的子公司</w:t>
      </w:r>
      <w:r>
        <w:rPr>
          <w:spacing w:val="-88"/>
        </w:rPr>
        <w:t> </w:t>
      </w:r>
      <w:r>
        <w:rPr>
          <w:spacing w:val="-88"/>
        </w:rPr>
      </w:r>
      <w:r>
        <w:rPr>
          <w:rFonts w:ascii="宋体" w:hAnsi="宋体" w:cs="宋体" w:eastAsia="宋体" w:hint="default"/>
          <w:b w:val="0"/>
          <w:bCs w:val="0"/>
        </w:rPr>
        <w:t>无。</w:t>
      </w:r>
    </w:p>
    <w:p>
      <w:pPr>
        <w:spacing w:after="0" w:line="506" w:lineRule="auto"/>
        <w:jc w:val="left"/>
        <w:rPr>
          <w:rFonts w:ascii="宋体" w:hAnsi="宋体" w:cs="宋体" w:eastAsia="宋体" w:hint="default"/>
        </w:rPr>
        <w:sectPr>
          <w:pgSz w:w="11910" w:h="16840"/>
          <w:pgMar w:header="877" w:footer="1227" w:top="1100" w:bottom="1420" w:left="1660" w:right="420"/>
        </w:sectPr>
      </w:pPr>
    </w:p>
    <w:p>
      <w:pPr>
        <w:spacing w:line="240" w:lineRule="auto" w:before="11"/>
        <w:rPr>
          <w:rFonts w:ascii="宋体" w:hAnsi="宋体" w:cs="宋体" w:eastAsia="宋体" w:hint="default"/>
          <w:sz w:val="20"/>
          <w:szCs w:val="20"/>
        </w:rPr>
      </w:pPr>
    </w:p>
    <w:p>
      <w:pPr>
        <w:pStyle w:val="Heading3"/>
        <w:spacing w:line="240" w:lineRule="auto" w:before="36"/>
        <w:ind w:right="1061"/>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12"/>
        <w:rPr>
          <w:rFonts w:ascii="宋体" w:hAnsi="宋体" w:cs="宋体" w:eastAsia="宋体" w:hint="default"/>
          <w:b/>
          <w:bCs/>
          <w:sz w:val="22"/>
          <w:szCs w:val="22"/>
        </w:rPr>
      </w:pPr>
    </w:p>
    <w:p>
      <w:pPr>
        <w:spacing w:before="44"/>
        <w:ind w:left="0" w:right="137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684"/>
        <w:gridCol w:w="310"/>
        <w:gridCol w:w="425"/>
        <w:gridCol w:w="425"/>
        <w:gridCol w:w="1133"/>
        <w:gridCol w:w="1123"/>
        <w:gridCol w:w="1004"/>
        <w:gridCol w:w="710"/>
        <w:gridCol w:w="566"/>
        <w:gridCol w:w="566"/>
        <w:gridCol w:w="425"/>
        <w:gridCol w:w="852"/>
        <w:gridCol w:w="425"/>
        <w:gridCol w:w="917"/>
      </w:tblGrid>
      <w:tr>
        <w:trPr>
          <w:trHeight w:val="4460"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158"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3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59" w:right="59"/>
              <w:jc w:val="both"/>
              <w:rPr>
                <w:rFonts w:ascii="宋体" w:hAnsi="宋体" w:cs="宋体" w:eastAsia="宋体" w:hint="default"/>
                <w:sz w:val="18"/>
                <w:szCs w:val="18"/>
              </w:rPr>
            </w:pPr>
            <w:r>
              <w:rPr>
                <w:rFonts w:ascii="宋体" w:hAnsi="宋体" w:cs="宋体" w:eastAsia="宋体" w:hint="default"/>
                <w:sz w:val="18"/>
                <w:szCs w:val="18"/>
              </w:rPr>
              <w:t>子 公 司 类 型</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115" w:right="26" w:hanging="89"/>
              <w:jc w:val="left"/>
              <w:rPr>
                <w:rFonts w:ascii="宋体" w:hAnsi="宋体" w:cs="宋体" w:eastAsia="宋体" w:hint="default"/>
                <w:sz w:val="18"/>
                <w:szCs w:val="18"/>
              </w:rPr>
            </w:pPr>
            <w:r>
              <w:rPr>
                <w:rFonts w:ascii="宋体" w:hAnsi="宋体" w:cs="宋体" w:eastAsia="宋体" w:hint="default"/>
                <w:sz w:val="18"/>
                <w:szCs w:val="18"/>
              </w:rPr>
              <w:t>注册 地</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26" w:right="26"/>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316" w:right="45" w:hanging="269"/>
              <w:jc w:val="left"/>
              <w:rPr>
                <w:rFonts w:ascii="宋体" w:hAnsi="宋体" w:cs="宋体" w:eastAsia="宋体" w:hint="default"/>
                <w:sz w:val="18"/>
                <w:szCs w:val="18"/>
              </w:rPr>
            </w:pPr>
            <w:r>
              <w:rPr>
                <w:rFonts w:ascii="宋体" w:hAnsi="宋体" w:cs="宋体" w:eastAsia="宋体" w:hint="default"/>
                <w:sz w:val="18"/>
                <w:szCs w:val="18"/>
              </w:rPr>
              <w:t>期末实际投 资额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79" w:right="79"/>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38" w:lineRule="auto"/>
              <w:ind w:left="95" w:right="98"/>
              <w:jc w:val="both"/>
              <w:rPr>
                <w:rFonts w:ascii="Times New Roman" w:hAnsi="Times New Roman" w:cs="Times New Roman" w:eastAsia="Times New Roman" w:hint="default"/>
                <w:sz w:val="18"/>
                <w:szCs w:val="18"/>
              </w:rPr>
            </w:pPr>
            <w:r>
              <w:rPr>
                <w:rFonts w:ascii="宋体" w:hAnsi="宋体" w:cs="宋体" w:eastAsia="宋体" w:hint="default"/>
                <w:sz w:val="18"/>
                <w:szCs w:val="18"/>
              </w:rPr>
              <w:t>持股 比例 </w:t>
            </w:r>
            <w:r>
              <w:rPr>
                <w:rFonts w:ascii="Times New Roman" w:hAnsi="Times New Roman" w:cs="Times New Roman" w:eastAsia="Times New Roman"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55" w:right="50" w:firstLine="43"/>
              <w:jc w:val="both"/>
              <w:rPr>
                <w:rFonts w:ascii="Times New Roman" w:hAnsi="Times New Roman" w:cs="Times New Roman" w:eastAsia="Times New Roman" w:hint="default"/>
                <w:sz w:val="18"/>
                <w:szCs w:val="18"/>
              </w:rPr>
            </w:pPr>
            <w:r>
              <w:rPr>
                <w:rFonts w:ascii="宋体" w:hAnsi="宋体" w:cs="宋体" w:eastAsia="宋体" w:hint="default"/>
                <w:sz w:val="18"/>
                <w:szCs w:val="18"/>
              </w:rPr>
              <w:t>表决 权比 例</w:t>
            </w:r>
            <w:r>
              <w:rPr>
                <w:rFonts w:ascii="Times New Roman" w:hAnsi="Times New Roman" w:cs="Times New Roman" w:eastAsia="Times New Roman" w:hint="default"/>
                <w:sz w:val="18"/>
                <w:szCs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28" w:right="26"/>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240" w:right="60"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8" w:right="24"/>
              <w:jc w:val="both"/>
              <w:rPr>
                <w:rFonts w:ascii="宋体" w:hAnsi="宋体" w:cs="宋体" w:eastAsia="宋体" w:hint="default"/>
                <w:sz w:val="18"/>
                <w:szCs w:val="18"/>
              </w:rPr>
            </w:pPr>
            <w:r>
              <w:rPr>
                <w:rFonts w:ascii="宋体" w:hAnsi="宋体" w:cs="宋体" w:eastAsia="宋体" w:hint="default"/>
                <w:sz w:val="18"/>
                <w:szCs w:val="18"/>
              </w:rPr>
              <w:t>少数 股东 权益 中用 于冲 减少 数股 东损 益的 金额</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3"/>
              <w:jc w:val="center"/>
              <w:rPr>
                <w:rFonts w:ascii="宋体" w:hAnsi="宋体" w:cs="宋体" w:eastAsia="宋体" w:hint="default"/>
                <w:sz w:val="18"/>
                <w:szCs w:val="18"/>
              </w:rPr>
            </w:pPr>
            <w:r>
              <w:rPr>
                <w:rFonts w:ascii="宋体" w:hAnsi="宋体" w:cs="宋体" w:eastAsia="宋体" w:hint="default"/>
                <w:sz w:val="18"/>
                <w:szCs w:val="18"/>
              </w:rPr>
              <w:t>从母公司 所有者权 益冲减子 公司少数 股东分担 的本期亏 损超过少 数股东在 该子公司 年初所有 者权益中 所享有份 额后的余 额</w:t>
            </w:r>
          </w:p>
        </w:tc>
      </w:tr>
      <w:tr>
        <w:trPr>
          <w:trHeight w:val="320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3" w:right="108"/>
              <w:jc w:val="both"/>
              <w:rPr>
                <w:rFonts w:ascii="宋体" w:hAnsi="宋体" w:cs="宋体" w:eastAsia="宋体" w:hint="default"/>
                <w:sz w:val="18"/>
                <w:szCs w:val="18"/>
              </w:rPr>
            </w:pPr>
            <w:r>
              <w:rPr>
                <w:rFonts w:ascii="宋体" w:hAnsi="宋体" w:cs="宋体" w:eastAsia="宋体" w:hint="default"/>
                <w:sz w:val="18"/>
                <w:szCs w:val="18"/>
              </w:rPr>
              <w:t>厦门美 亚中敏 电子科 技有限 公司</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3" w:right="95"/>
              <w:jc w:val="left"/>
              <w:rPr>
                <w:rFonts w:ascii="宋体" w:hAnsi="宋体" w:cs="宋体" w:eastAsia="宋体" w:hint="default"/>
                <w:sz w:val="18"/>
                <w:szCs w:val="18"/>
              </w:rPr>
            </w:pPr>
            <w:r>
              <w:rPr>
                <w:rFonts w:ascii="宋体" w:hAnsi="宋体" w:cs="宋体" w:eastAsia="宋体" w:hint="default"/>
                <w:sz w:val="18"/>
                <w:szCs w:val="18"/>
              </w:rPr>
              <w:t>控 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52"/>
              <w:jc w:val="right"/>
              <w:rPr>
                <w:rFonts w:ascii="Times New Roman" w:hAnsi="Times New Roman" w:cs="Times New Roman" w:eastAsia="Times New Roman" w:hint="default"/>
                <w:sz w:val="18"/>
                <w:szCs w:val="18"/>
              </w:rPr>
            </w:pPr>
            <w:r>
              <w:rPr>
                <w:rFonts w:ascii="Times New Roman"/>
                <w:spacing w:val="-1"/>
                <w:sz w:val="18"/>
              </w:rPr>
              <w:t>6,600,000.00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3"/>
                <w:sz w:val="18"/>
                <w:szCs w:val="18"/>
              </w:rPr>
              <w:t>电子产品、电</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子元器件的 </w:t>
            </w:r>
            <w:r>
              <w:rPr>
                <w:rFonts w:ascii="宋体" w:hAnsi="宋体" w:cs="宋体" w:eastAsia="宋体" w:hint="default"/>
                <w:spacing w:val="-3"/>
                <w:sz w:val="18"/>
                <w:szCs w:val="18"/>
              </w:rPr>
              <w:t>研发、生产及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技术开发、咨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询；计算机系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统集成、计算</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机软件开发 </w:t>
            </w:r>
            <w:r>
              <w:rPr>
                <w:rFonts w:ascii="宋体" w:hAnsi="宋体" w:cs="宋体" w:eastAsia="宋体" w:hint="default"/>
                <w:spacing w:val="-3"/>
                <w:sz w:val="18"/>
                <w:szCs w:val="18"/>
              </w:rPr>
              <w:t>和销售；信息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咨询服务；批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发、零售</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4,470,000.00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z w:val="18"/>
              </w:rPr>
              <w:t>67.73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8"/>
              <w:jc w:val="right"/>
              <w:rPr>
                <w:rFonts w:ascii="Times New Roman" w:hAnsi="Times New Roman" w:cs="Times New Roman" w:eastAsia="Times New Roman" w:hint="default"/>
                <w:sz w:val="18"/>
                <w:szCs w:val="18"/>
              </w:rPr>
            </w:pPr>
            <w:r>
              <w:rPr>
                <w:rFonts w:ascii="Times New Roman"/>
                <w:sz w:val="18"/>
              </w:rPr>
              <w:t>67.73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pacing w:val="-1"/>
                <w:sz w:val="18"/>
              </w:rPr>
              <w:t>2,336,163.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w:t>
            </w:r>
          </w:p>
        </w:tc>
        <w:tc>
          <w:tcPr>
            <w:tcW w:w="425"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r>
    </w:tbl>
    <w:p>
      <w:pPr>
        <w:spacing w:before="49"/>
        <w:ind w:left="140" w:right="0" w:firstLine="0"/>
        <w:jc w:val="both"/>
        <w:rPr>
          <w:rFonts w:ascii="宋体" w:hAnsi="宋体" w:cs="宋体" w:eastAsia="宋体" w:hint="default"/>
          <w:sz w:val="18"/>
          <w:szCs w:val="18"/>
        </w:rPr>
      </w:pPr>
      <w:r>
        <w:rPr>
          <w:rFonts w:ascii="宋体" w:hAnsi="宋体" w:cs="宋体" w:eastAsia="宋体" w:hint="default"/>
          <w:sz w:val="18"/>
          <w:szCs w:val="18"/>
        </w:rPr>
        <w:t>通过非同一控制下企业合并取得的子公司的其他说明：无</w:t>
      </w:r>
    </w:p>
    <w:p>
      <w:pPr>
        <w:spacing w:line="240" w:lineRule="auto" w:before="0"/>
        <w:rPr>
          <w:rFonts w:ascii="宋体" w:hAnsi="宋体" w:cs="宋体" w:eastAsia="宋体" w:hint="default"/>
          <w:sz w:val="18"/>
          <w:szCs w:val="18"/>
        </w:rPr>
      </w:pPr>
    </w:p>
    <w:p>
      <w:pPr>
        <w:spacing w:line="571" w:lineRule="auto" w:before="120"/>
        <w:ind w:left="560" w:right="1061"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、特殊目的主体或通过受托经营或承租等方式形成控制权的经营实体</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本公司无特殊目的的主体或通过受托经营或承租等方式形成控制权的经营实体。</w:t>
      </w:r>
    </w:p>
    <w:p>
      <w:pPr>
        <w:pStyle w:val="Heading3"/>
        <w:spacing w:line="240" w:lineRule="auto" w:before="126"/>
        <w:ind w:right="0"/>
        <w:jc w:val="both"/>
        <w:rPr>
          <w:b w:val="0"/>
          <w:bCs w:val="0"/>
        </w:rPr>
      </w:pPr>
      <w:r>
        <w:rPr>
          <w:rFonts w:ascii="Times New Roman" w:hAnsi="Times New Roman" w:cs="Times New Roman" w:eastAsia="Times New Roman" w:hint="default"/>
        </w:rPr>
        <w:t>3</w:t>
      </w:r>
      <w:r>
        <w:rPr/>
        <w:t>、合并范围发生变更的说明</w:t>
      </w:r>
      <w:r>
        <w:rPr>
          <w:b w:val="0"/>
          <w:bCs w:val="0"/>
        </w:rPr>
      </w:r>
    </w:p>
    <w:p>
      <w:pPr>
        <w:spacing w:line="240" w:lineRule="auto" w:before="2"/>
        <w:rPr>
          <w:rFonts w:ascii="宋体" w:hAnsi="宋体" w:cs="宋体" w:eastAsia="宋体" w:hint="default"/>
          <w:b/>
          <w:bCs/>
          <w:sz w:val="26"/>
          <w:szCs w:val="26"/>
        </w:rPr>
      </w:pPr>
    </w:p>
    <w:p>
      <w:pPr>
        <w:spacing w:before="0"/>
        <w:ind w:left="140" w:right="0" w:firstLine="0"/>
        <w:jc w:val="both"/>
        <w:rPr>
          <w:rFonts w:ascii="宋体" w:hAnsi="宋体" w:cs="宋体" w:eastAsia="宋体" w:hint="default"/>
          <w:sz w:val="18"/>
          <w:szCs w:val="18"/>
        </w:rPr>
      </w:pPr>
      <w:r>
        <w:rPr>
          <w:rFonts w:ascii="宋体" w:hAnsi="宋体" w:cs="宋体" w:eastAsia="宋体" w:hint="default"/>
          <w:sz w:val="18"/>
          <w:szCs w:val="18"/>
        </w:rPr>
        <w:t>合并报表范围发生变更说明</w:t>
      </w:r>
    </w:p>
    <w:p>
      <w:pPr>
        <w:spacing w:before="117"/>
        <w:ind w:left="140" w:right="0" w:firstLine="0"/>
        <w:jc w:val="both"/>
        <w:rPr>
          <w:rFonts w:ascii="宋体" w:hAnsi="宋体" w:cs="宋体" w:eastAsia="宋体" w:hint="default"/>
          <w:sz w:val="18"/>
          <w:szCs w:val="18"/>
        </w:rPr>
      </w:pP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before="101"/>
        <w:ind w:left="140" w:right="0" w:firstLine="0"/>
        <w:jc w:val="both"/>
        <w:rPr>
          <w:rFonts w:ascii="宋体" w:hAnsi="宋体" w:cs="宋体" w:eastAsia="宋体" w:hint="default"/>
          <w:sz w:val="18"/>
          <w:szCs w:val="18"/>
        </w:rPr>
      </w:pPr>
      <w:r>
        <w:rPr>
          <w:rFonts w:ascii="宋体" w:hAnsi="宋体" w:cs="宋体" w:eastAsia="宋体" w:hint="default"/>
          <w:sz w:val="18"/>
          <w:szCs w:val="18"/>
        </w:rPr>
        <w:t>与上年相比本年（期）新增合并单位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家，原因为：</w:t>
      </w:r>
    </w:p>
    <w:p>
      <w:pPr>
        <w:spacing w:line="309" w:lineRule="auto" w:before="103"/>
        <w:ind w:left="140" w:right="1373" w:firstLine="0"/>
        <w:jc w:val="both"/>
        <w:rPr>
          <w:rFonts w:ascii="宋体" w:hAnsi="宋体" w:cs="宋体" w:eastAsia="宋体" w:hint="default"/>
          <w:sz w:val="18"/>
          <w:szCs w:val="18"/>
        </w:rPr>
      </w:pPr>
      <w:r>
        <w:rPr>
          <w:rFonts w:ascii="宋体" w:hAnsi="宋体" w:cs="宋体" w:eastAsia="宋体" w:hint="default"/>
          <w:sz w:val="18"/>
          <w:szCs w:val="18"/>
        </w:rPr>
        <w:t>本年本公司取得了厦门美亚中敏电子科技有限公司</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67.73%</w:t>
      </w:r>
      <w:r>
        <w:rPr>
          <w:rFonts w:ascii="宋体" w:hAnsi="宋体" w:cs="宋体" w:eastAsia="宋体" w:hint="default"/>
          <w:spacing w:val="-3"/>
          <w:sz w:val="18"/>
          <w:szCs w:val="18"/>
        </w:rPr>
        <w:t>股权，美亚中敏公司于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日完成工 商变更登记手续。由于本公司及现控股股东与美亚中敏公司原控股股东不存在任何控制关系，因此上述合 并属于非同一控制下的企业合并，合并日确定为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after="0" w:line="309" w:lineRule="auto"/>
        <w:jc w:val="both"/>
        <w:rPr>
          <w:rFonts w:ascii="宋体" w:hAnsi="宋体" w:cs="宋体" w:eastAsia="宋体" w:hint="default"/>
          <w:sz w:val="18"/>
          <w:szCs w:val="18"/>
        </w:rPr>
        <w:sectPr>
          <w:pgSz w:w="11910" w:h="16840"/>
          <w:pgMar w:header="877" w:footer="1227" w:top="1100" w:bottom="1420" w:left="1660" w:right="420"/>
        </w:sectPr>
      </w:pPr>
    </w:p>
    <w:p>
      <w:pPr>
        <w:spacing w:line="240" w:lineRule="auto" w:before="11"/>
        <w:rPr>
          <w:rFonts w:ascii="宋体" w:hAnsi="宋体" w:cs="宋体" w:eastAsia="宋体" w:hint="default"/>
          <w:sz w:val="20"/>
          <w:szCs w:val="20"/>
        </w:rPr>
      </w:pPr>
    </w:p>
    <w:p>
      <w:pPr>
        <w:pStyle w:val="Heading3"/>
        <w:spacing w:line="506" w:lineRule="auto" w:before="36"/>
        <w:ind w:left="560" w:right="1738" w:hanging="420"/>
        <w:jc w:val="left"/>
        <w:rPr>
          <w:rFonts w:ascii="宋体" w:hAnsi="宋体" w:cs="宋体" w:eastAsia="宋体" w:hint="default"/>
          <w:b w:val="0"/>
          <w:bCs w:val="0"/>
        </w:rPr>
      </w:pPr>
      <w:r>
        <w:rPr>
          <w:rFonts w:ascii="Times New Roman" w:hAnsi="Times New Roman" w:cs="Times New Roman" w:eastAsia="Times New Roman" w:hint="default"/>
          <w:spacing w:val="-1"/>
        </w:rPr>
        <w:t>4</w:t>
      </w:r>
      <w:r>
        <w:rPr>
          <w:spacing w:val="-1"/>
        </w:rPr>
        <w:t>、报告期内新纳入合并范围的主体和报告期内不再纳入合并范围的主体</w:t>
      </w:r>
      <w:r>
        <w:rPr>
          <w:spacing w:val="-74"/>
        </w:rPr>
        <w:t> </w:t>
      </w:r>
      <w:r>
        <w:rPr>
          <w:spacing w:val="-74"/>
        </w:rPr>
      </w:r>
      <w:r>
        <w:rPr>
          <w:rFonts w:ascii="宋体" w:hAnsi="宋体" w:cs="宋体" w:eastAsia="宋体" w:hint="default"/>
          <w:b w:val="0"/>
          <w:bCs w:val="0"/>
        </w:rPr>
        <w:t>无。</w:t>
      </w:r>
    </w:p>
    <w:p>
      <w:pPr>
        <w:pStyle w:val="Heading3"/>
        <w:spacing w:line="506" w:lineRule="auto" w:before="101"/>
        <w:ind w:left="560" w:right="4666" w:hanging="420"/>
        <w:jc w:val="left"/>
        <w:rPr>
          <w:rFonts w:ascii="宋体" w:hAnsi="宋体" w:cs="宋体" w:eastAsia="宋体" w:hint="default"/>
          <w:b w:val="0"/>
          <w:bCs w:val="0"/>
        </w:rPr>
      </w:pPr>
      <w:r>
        <w:rPr>
          <w:rFonts w:ascii="Times New Roman" w:hAnsi="Times New Roman" w:cs="Times New Roman" w:eastAsia="Times New Roman" w:hint="default"/>
          <w:spacing w:val="-1"/>
        </w:rPr>
        <w:t>5</w:t>
      </w:r>
      <w:r>
        <w:rPr>
          <w:spacing w:val="-1"/>
        </w:rPr>
        <w:t>、报告期内发生的同一控制下企业合并</w:t>
      </w:r>
      <w:r>
        <w:rPr>
          <w:spacing w:val="-87"/>
        </w:rPr>
        <w:t> </w:t>
      </w:r>
      <w:r>
        <w:rPr>
          <w:spacing w:val="-87"/>
        </w:rPr>
      </w:r>
      <w:r>
        <w:rPr>
          <w:rFonts w:ascii="宋体" w:hAnsi="宋体" w:cs="宋体" w:eastAsia="宋体" w:hint="default"/>
          <w:b w:val="0"/>
          <w:bCs w:val="0"/>
        </w:rPr>
        <w:t>无。</w:t>
      </w:r>
    </w:p>
    <w:p>
      <w:pPr>
        <w:pStyle w:val="Heading3"/>
        <w:spacing w:line="240" w:lineRule="auto" w:before="104"/>
        <w:ind w:right="0"/>
        <w:jc w:val="left"/>
        <w:rPr>
          <w:b w:val="0"/>
          <w:bCs w:val="0"/>
        </w:rPr>
      </w:pPr>
      <w:r>
        <w:rPr>
          <w:rFonts w:ascii="Times New Roman" w:hAnsi="Times New Roman" w:cs="Times New Roman" w:eastAsia="Times New Roman" w:hint="default"/>
        </w:rPr>
        <w:t>6</w:t>
      </w:r>
      <w:r>
        <w:rPr/>
        <w:t>、报告期内发生的非同一控制下企业合并</w:t>
      </w:r>
      <w:r>
        <w:rPr>
          <w:b w:val="0"/>
          <w:bCs w:val="0"/>
        </w:rPr>
      </w:r>
    </w:p>
    <w:p>
      <w:pPr>
        <w:spacing w:line="240" w:lineRule="auto" w:before="12"/>
        <w:rPr>
          <w:rFonts w:ascii="宋体" w:hAnsi="宋体" w:cs="宋体" w:eastAsia="宋体" w:hint="default"/>
          <w:b/>
          <w:bCs/>
          <w:sz w:val="22"/>
          <w:szCs w:val="22"/>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341"/>
        <w:gridCol w:w="2650"/>
        <w:gridCol w:w="3375"/>
      </w:tblGrid>
      <w:tr>
        <w:trPr>
          <w:trHeight w:val="403" w:hRule="exact"/>
        </w:trPr>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商誉计算方法</w:t>
            </w:r>
          </w:p>
        </w:tc>
      </w:tr>
      <w:tr>
        <w:trPr>
          <w:trHeight w:val="713"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986" w:right="82" w:hanging="900"/>
              <w:jc w:val="left"/>
              <w:rPr>
                <w:rFonts w:ascii="宋体" w:hAnsi="宋体" w:cs="宋体" w:eastAsia="宋体" w:hint="default"/>
                <w:sz w:val="18"/>
                <w:szCs w:val="18"/>
              </w:rPr>
            </w:pPr>
            <w:r>
              <w:rPr>
                <w:rFonts w:ascii="宋体" w:hAnsi="宋体" w:cs="宋体" w:eastAsia="宋体" w:hint="default"/>
                <w:sz w:val="18"/>
                <w:szCs w:val="18"/>
              </w:rPr>
              <w:t>厦门美亚中敏电子科技有限 公司</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3"/>
              <w:ind w:right="3"/>
              <w:jc w:val="center"/>
              <w:rPr>
                <w:rFonts w:ascii="Times New Roman" w:hAnsi="Times New Roman" w:cs="Times New Roman" w:eastAsia="Times New Roman" w:hint="default"/>
                <w:sz w:val="24"/>
                <w:szCs w:val="24"/>
              </w:rPr>
            </w:pPr>
            <w:r>
              <w:rPr>
                <w:rFonts w:ascii="Times New Roman"/>
                <w:sz w:val="24"/>
              </w:rPr>
              <w:t>--</w:t>
            </w:r>
          </w:p>
        </w:tc>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231" w:right="62" w:hanging="1169"/>
              <w:jc w:val="left"/>
              <w:rPr>
                <w:rFonts w:ascii="宋体" w:hAnsi="宋体" w:cs="宋体" w:eastAsia="宋体" w:hint="default"/>
                <w:sz w:val="18"/>
                <w:szCs w:val="18"/>
              </w:rPr>
            </w:pPr>
            <w:r>
              <w:rPr>
                <w:rFonts w:ascii="宋体" w:hAnsi="宋体" w:cs="宋体" w:eastAsia="宋体" w:hint="default"/>
                <w:sz w:val="18"/>
                <w:szCs w:val="18"/>
              </w:rPr>
              <w:t>合并成本大于所取得的可辨认净资产公允 价值的份额</w:t>
            </w:r>
          </w:p>
        </w:tc>
      </w:tr>
    </w:tbl>
    <w:p>
      <w:pPr>
        <w:spacing w:before="49"/>
        <w:ind w:left="140" w:right="0" w:firstLine="0"/>
        <w:jc w:val="left"/>
        <w:rPr>
          <w:rFonts w:ascii="宋体" w:hAnsi="宋体" w:cs="宋体" w:eastAsia="宋体" w:hint="default"/>
          <w:sz w:val="18"/>
          <w:szCs w:val="18"/>
        </w:rPr>
      </w:pPr>
      <w:r>
        <w:rPr>
          <w:rFonts w:ascii="宋体" w:hAnsi="宋体" w:cs="宋体" w:eastAsia="宋体" w:hint="default"/>
          <w:sz w:val="18"/>
          <w:szCs w:val="18"/>
        </w:rPr>
        <w:t>非同一控制下企业合并的其他说明：无。</w:t>
      </w:r>
    </w:p>
    <w:p>
      <w:pPr>
        <w:spacing w:line="240" w:lineRule="auto" w:before="0"/>
        <w:rPr>
          <w:rFonts w:ascii="宋体" w:hAnsi="宋体" w:cs="宋体" w:eastAsia="宋体" w:hint="default"/>
          <w:sz w:val="18"/>
          <w:szCs w:val="18"/>
        </w:rPr>
      </w:pPr>
    </w:p>
    <w:p>
      <w:pPr>
        <w:pStyle w:val="Heading3"/>
        <w:spacing w:line="506" w:lineRule="auto" w:before="120"/>
        <w:ind w:left="560" w:right="3856" w:hanging="420"/>
        <w:jc w:val="left"/>
        <w:rPr>
          <w:rFonts w:ascii="宋体" w:hAnsi="宋体" w:cs="宋体" w:eastAsia="宋体" w:hint="default"/>
          <w:b w:val="0"/>
          <w:bCs w:val="0"/>
        </w:rPr>
      </w:pPr>
      <w:r>
        <w:rPr>
          <w:rFonts w:ascii="Times New Roman" w:hAnsi="Times New Roman" w:cs="Times New Roman" w:eastAsia="Times New Roman" w:hint="default"/>
          <w:spacing w:val="-1"/>
        </w:rPr>
        <w:t>7</w:t>
      </w:r>
      <w:r>
        <w:rPr>
          <w:spacing w:val="-1"/>
        </w:rPr>
        <w:t>、报告期内出售丧失控制权的股权而减少子公司</w:t>
      </w:r>
      <w:r>
        <w:rPr>
          <w:spacing w:val="-85"/>
        </w:rPr>
        <w:t> </w:t>
      </w:r>
      <w:r>
        <w:rPr>
          <w:spacing w:val="-85"/>
        </w:rPr>
      </w:r>
      <w:r>
        <w:rPr>
          <w:rFonts w:ascii="宋体" w:hAnsi="宋体" w:cs="宋体" w:eastAsia="宋体" w:hint="default"/>
          <w:b w:val="0"/>
          <w:bCs w:val="0"/>
        </w:rPr>
        <w:t>无。</w:t>
      </w:r>
    </w:p>
    <w:p>
      <w:pPr>
        <w:pStyle w:val="Heading3"/>
        <w:spacing w:line="506" w:lineRule="auto" w:before="101"/>
        <w:ind w:left="560" w:right="5824" w:hanging="420"/>
        <w:jc w:val="left"/>
        <w:rPr>
          <w:rFonts w:ascii="宋体" w:hAnsi="宋体" w:cs="宋体" w:eastAsia="宋体" w:hint="default"/>
          <w:b w:val="0"/>
          <w:bCs w:val="0"/>
        </w:rPr>
      </w:pPr>
      <w:r>
        <w:rPr>
          <w:rFonts w:ascii="Times New Roman" w:hAnsi="Times New Roman" w:cs="Times New Roman" w:eastAsia="Times New Roman" w:hint="default"/>
          <w:spacing w:val="-1"/>
        </w:rPr>
        <w:t>8</w:t>
      </w:r>
      <w:r>
        <w:rPr>
          <w:spacing w:val="-1"/>
        </w:rPr>
        <w:t>、报告期内发生的反向购买</w:t>
      </w:r>
      <w:r>
        <w:rPr>
          <w:spacing w:val="-94"/>
        </w:rPr>
        <w:t> </w:t>
      </w:r>
      <w:r>
        <w:rPr>
          <w:spacing w:val="-94"/>
        </w:rPr>
      </w:r>
      <w:r>
        <w:rPr>
          <w:rFonts w:ascii="宋体" w:hAnsi="宋体" w:cs="宋体" w:eastAsia="宋体" w:hint="default"/>
          <w:b w:val="0"/>
          <w:bCs w:val="0"/>
        </w:rPr>
        <w:t>无。</w:t>
      </w:r>
    </w:p>
    <w:p>
      <w:pPr>
        <w:pStyle w:val="Heading3"/>
        <w:spacing w:line="506" w:lineRule="auto" w:before="104"/>
        <w:ind w:left="560" w:right="5824" w:hanging="420"/>
        <w:jc w:val="left"/>
        <w:rPr>
          <w:rFonts w:ascii="宋体" w:hAnsi="宋体" w:cs="宋体" w:eastAsia="宋体" w:hint="default"/>
          <w:b w:val="0"/>
          <w:bCs w:val="0"/>
        </w:rPr>
      </w:pPr>
      <w:r>
        <w:rPr>
          <w:rFonts w:ascii="Times New Roman" w:hAnsi="Times New Roman" w:cs="Times New Roman" w:eastAsia="Times New Roman" w:hint="default"/>
          <w:spacing w:val="-1"/>
        </w:rPr>
        <w:t>9</w:t>
      </w:r>
      <w:r>
        <w:rPr>
          <w:spacing w:val="-1"/>
        </w:rPr>
        <w:t>、本报告期发生的吸收合并</w:t>
      </w:r>
      <w:r>
        <w:rPr>
          <w:spacing w:val="-94"/>
        </w:rPr>
        <w:t> </w:t>
      </w:r>
      <w:r>
        <w:rPr>
          <w:spacing w:val="-94"/>
        </w:rPr>
      </w:r>
      <w:r>
        <w:rPr>
          <w:rFonts w:ascii="宋体" w:hAnsi="宋体" w:cs="宋体" w:eastAsia="宋体" w:hint="default"/>
          <w:b w:val="0"/>
          <w:bCs w:val="0"/>
        </w:rPr>
        <w:t>无。</w:t>
      </w:r>
    </w:p>
    <w:p>
      <w:pPr>
        <w:pStyle w:val="Heading3"/>
        <w:spacing w:line="506" w:lineRule="auto" w:before="101"/>
        <w:ind w:left="560" w:right="3856" w:hanging="420"/>
        <w:jc w:val="left"/>
        <w:rPr>
          <w:rFonts w:ascii="宋体" w:hAnsi="宋体" w:cs="宋体" w:eastAsia="宋体" w:hint="default"/>
          <w:b w:val="0"/>
          <w:bCs w:val="0"/>
        </w:rPr>
      </w:pPr>
      <w:r>
        <w:rPr>
          <w:rFonts w:ascii="Times New Roman" w:hAnsi="Times New Roman" w:cs="Times New Roman" w:eastAsia="Times New Roman" w:hint="default"/>
          <w:spacing w:val="-1"/>
        </w:rPr>
        <w:t>10</w:t>
      </w:r>
      <w:r>
        <w:rPr>
          <w:spacing w:val="-1"/>
        </w:rPr>
        <w:t>、境外经营实体主要报表项目的折算汇率</w:t>
      </w:r>
      <w:r>
        <w:rPr>
          <w:spacing w:val="-84"/>
        </w:rPr>
        <w:t> </w:t>
      </w:r>
      <w:r>
        <w:rPr>
          <w:spacing w:val="-84"/>
        </w:rPr>
      </w:r>
      <w:r>
        <w:rPr>
          <w:rFonts w:ascii="宋体" w:hAnsi="宋体" w:cs="宋体" w:eastAsia="宋体" w:hint="default"/>
          <w:b w:val="0"/>
          <w:bCs w:val="0"/>
        </w:rPr>
        <w:t>不适用。</w:t>
      </w:r>
    </w:p>
    <w:p>
      <w:pPr>
        <w:pStyle w:val="Heading2"/>
        <w:spacing w:line="240" w:lineRule="auto" w:before="78"/>
        <w:ind w:left="140" w:right="0"/>
        <w:jc w:val="left"/>
        <w:rPr>
          <w:b w:val="0"/>
          <w:bCs w:val="0"/>
        </w:rPr>
      </w:pPr>
      <w:r>
        <w:rPr/>
        <w:t>七、合并财务报表主要项目注释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0"/>
        <w:rPr>
          <w:rFonts w:ascii="宋体" w:hAnsi="宋体" w:cs="宋体" w:eastAsia="宋体" w:hint="default"/>
          <w:b/>
          <w:bCs/>
          <w:sz w:val="22"/>
          <w:szCs w:val="22"/>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759"/>
        <w:gridCol w:w="1148"/>
        <w:gridCol w:w="802"/>
        <w:gridCol w:w="1301"/>
        <w:gridCol w:w="1150"/>
        <w:gridCol w:w="799"/>
        <w:gridCol w:w="1407"/>
      </w:tblGrid>
      <w:tr>
        <w:trPr>
          <w:trHeight w:val="206" w:hRule="exact"/>
        </w:trPr>
        <w:tc>
          <w:tcPr>
            <w:tcW w:w="1759" w:type="dxa"/>
            <w:tcBorders>
              <w:top w:val="single" w:sz="4" w:space="0" w:color="000000"/>
              <w:left w:val="single" w:sz="4" w:space="0" w:color="000000"/>
              <w:bottom w:val="nil" w:sz="6" w:space="0" w:color="auto"/>
              <w:right w:val="single" w:sz="4" w:space="0" w:color="000000"/>
            </w:tcBorders>
            <w:shd w:val="clear" w:color="auto" w:fill="D2D2D2"/>
          </w:tcPr>
          <w:p>
            <w:pPr/>
          </w:p>
        </w:tc>
        <w:tc>
          <w:tcPr>
            <w:tcW w:w="325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9"/>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35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17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251" w:type="dxa"/>
            <w:gridSpan w:val="3"/>
            <w:vMerge/>
            <w:tcBorders>
              <w:left w:val="single" w:sz="4" w:space="0" w:color="000000"/>
              <w:bottom w:val="single" w:sz="4" w:space="0" w:color="000000"/>
              <w:right w:val="single" w:sz="4" w:space="0" w:color="000000"/>
            </w:tcBorders>
            <w:shd w:val="clear" w:color="auto" w:fill="D2D2D2"/>
          </w:tcPr>
          <w:p>
            <w:pPr/>
          </w:p>
        </w:tc>
        <w:tc>
          <w:tcPr>
            <w:tcW w:w="3356"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759" w:type="dxa"/>
            <w:vMerge/>
            <w:tcBorders>
              <w:left w:val="single" w:sz="4" w:space="0" w:color="000000"/>
              <w:bottom w:val="nil" w:sz="6" w:space="0" w:color="auto"/>
              <w:right w:val="single" w:sz="4" w:space="0" w:color="000000"/>
            </w:tcBorders>
            <w:shd w:val="clear" w:color="auto" w:fill="D2D2D2"/>
          </w:tcPr>
          <w:p>
            <w:pPr/>
          </w:p>
        </w:tc>
        <w:tc>
          <w:tcPr>
            <w:tcW w:w="11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03"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1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03"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55"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6" w:hRule="exact"/>
        </w:trPr>
        <w:tc>
          <w:tcPr>
            <w:tcW w:w="175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8"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1301" w:type="dxa"/>
            <w:vMerge/>
            <w:tcBorders>
              <w:left w:val="single" w:sz="4" w:space="0" w:color="000000"/>
              <w:bottom w:val="single" w:sz="4" w:space="0" w:color="000000"/>
              <w:right w:val="single" w:sz="4" w:space="0" w:color="000000"/>
            </w:tcBorders>
            <w:shd w:val="clear" w:color="auto" w:fill="D2D2D2"/>
          </w:tcPr>
          <w:p>
            <w:pPr/>
          </w:p>
        </w:tc>
        <w:tc>
          <w:tcPr>
            <w:tcW w:w="1150"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140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11"/>
              <w:jc w:val="right"/>
              <w:rPr>
                <w:rFonts w:ascii="Times New Roman" w:hAnsi="Times New Roman" w:cs="Times New Roman" w:eastAsia="Times New Roman" w:hint="default"/>
                <w:sz w:val="18"/>
                <w:szCs w:val="18"/>
              </w:rPr>
            </w:pPr>
            <w:r>
              <w:rPr>
                <w:rFonts w:ascii="Times New Roman"/>
                <w:sz w:val="18"/>
              </w:rPr>
              <w:t>--</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1301"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w w:val="95"/>
                <w:sz w:val="18"/>
              </w:rPr>
              <w:t>11,221.22</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14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22,387.55</w:t>
            </w:r>
          </w:p>
        </w:tc>
      </w:tr>
      <w:tr>
        <w:trPr>
          <w:trHeight w:val="401" w:hRule="exact"/>
        </w:trPr>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11"/>
              <w:jc w:val="right"/>
              <w:rPr>
                <w:rFonts w:ascii="Times New Roman" w:hAnsi="Times New Roman" w:cs="Times New Roman" w:eastAsia="Times New Roman" w:hint="default"/>
                <w:sz w:val="18"/>
                <w:szCs w:val="18"/>
              </w:rPr>
            </w:pPr>
            <w:r>
              <w:rPr>
                <w:rFonts w:ascii="Times New Roman"/>
                <w:sz w:val="18"/>
              </w:rPr>
              <w:t>--</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1301"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w w:val="95"/>
                <w:sz w:val="18"/>
              </w:rPr>
              <w:t>11,221.22</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14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22,387.55</w:t>
            </w:r>
          </w:p>
        </w:tc>
      </w:tr>
      <w:tr>
        <w:trPr>
          <w:trHeight w:val="403" w:hRule="exact"/>
        </w:trPr>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11"/>
              <w:jc w:val="right"/>
              <w:rPr>
                <w:rFonts w:ascii="Times New Roman" w:hAnsi="Times New Roman" w:cs="Times New Roman" w:eastAsia="Times New Roman" w:hint="default"/>
                <w:sz w:val="18"/>
                <w:szCs w:val="18"/>
              </w:rPr>
            </w:pPr>
            <w:r>
              <w:rPr>
                <w:rFonts w:ascii="Times New Roman"/>
                <w:sz w:val="18"/>
              </w:rPr>
              <w:t>--</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1301"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396,999,975.14</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14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550,908,826.88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1660" w:right="1640"/>
        </w:sectPr>
      </w:pPr>
    </w:p>
    <w:p>
      <w:pPr>
        <w:spacing w:line="240" w:lineRule="auto" w:before="8"/>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1747"/>
        <w:gridCol w:w="1160"/>
        <w:gridCol w:w="814"/>
        <w:gridCol w:w="1277"/>
        <w:gridCol w:w="1162"/>
        <w:gridCol w:w="811"/>
        <w:gridCol w:w="1395"/>
      </w:tblGrid>
      <w:tr>
        <w:trPr>
          <w:trHeight w:val="401" w:hRule="exact"/>
        </w:trPr>
        <w:tc>
          <w:tcPr>
            <w:tcW w:w="1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40" w:right="0"/>
              <w:jc w:val="lef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395,188,189.19</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40" w:right="0"/>
              <w:jc w:val="left"/>
              <w:rPr>
                <w:rFonts w:ascii="Times New Roman" w:hAnsi="Times New Roman" w:cs="Times New Roman" w:eastAsia="Times New Roman" w:hint="default"/>
                <w:sz w:val="18"/>
                <w:szCs w:val="18"/>
              </w:rPr>
            </w:pPr>
            <w:r>
              <w:rPr>
                <w:rFonts w:ascii="Times New Roman"/>
                <w:sz w:val="18"/>
              </w:rPr>
              <w:t>--</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550,823,560.39</w:t>
            </w:r>
          </w:p>
        </w:tc>
      </w:tr>
      <w:tr>
        <w:trPr>
          <w:trHeight w:val="403"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7" w:right="0"/>
              <w:jc w:val="left"/>
              <w:rPr>
                <w:rFonts w:ascii="Times New Roman" w:hAnsi="Times New Roman" w:cs="Times New Roman" w:eastAsia="Times New Roman" w:hint="default"/>
                <w:sz w:val="18"/>
                <w:szCs w:val="18"/>
              </w:rPr>
            </w:pPr>
            <w:r>
              <w:rPr>
                <w:rFonts w:ascii="Times New Roman"/>
                <w:sz w:val="18"/>
              </w:rPr>
              <w:t>288,248.50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5" w:right="0"/>
              <w:jc w:val="left"/>
              <w:rPr>
                <w:rFonts w:ascii="Times New Roman" w:hAnsi="Times New Roman" w:cs="Times New Roman" w:eastAsia="Times New Roman" w:hint="default"/>
                <w:sz w:val="18"/>
                <w:szCs w:val="18"/>
              </w:rPr>
            </w:pPr>
            <w:r>
              <w:rPr>
                <w:rFonts w:ascii="Times New Roman"/>
                <w:sz w:val="18"/>
              </w:rPr>
              <w:t>6.2855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1,811,785.95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7" w:right="0"/>
              <w:jc w:val="left"/>
              <w:rPr>
                <w:rFonts w:ascii="Times New Roman" w:hAnsi="Times New Roman" w:cs="Times New Roman" w:eastAsia="Times New Roman" w:hint="default"/>
                <w:sz w:val="18"/>
                <w:szCs w:val="18"/>
              </w:rPr>
            </w:pPr>
            <w:r>
              <w:rPr>
                <w:rFonts w:ascii="Times New Roman"/>
                <w:sz w:val="18"/>
              </w:rPr>
              <w:t>13,532.43</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5" w:right="0"/>
              <w:jc w:val="left"/>
              <w:rPr>
                <w:rFonts w:ascii="Times New Roman" w:hAnsi="Times New Roman" w:cs="Times New Roman" w:eastAsia="Times New Roman" w:hint="default"/>
                <w:sz w:val="18"/>
                <w:szCs w:val="18"/>
              </w:rPr>
            </w:pPr>
            <w:r>
              <w:rPr>
                <w:rFonts w:ascii="Times New Roman"/>
                <w:sz w:val="18"/>
              </w:rPr>
              <w:t>6.3009</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85,266.49</w:t>
            </w:r>
          </w:p>
        </w:tc>
      </w:tr>
      <w:tr>
        <w:trPr>
          <w:trHeight w:val="402" w:hRule="exact"/>
        </w:trPr>
        <w:tc>
          <w:tcPr>
            <w:tcW w:w="1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40" w:right="0"/>
              <w:jc w:val="lef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357,500.00</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40" w:right="0"/>
              <w:jc w:val="left"/>
              <w:rPr>
                <w:rFonts w:ascii="Times New Roman" w:hAnsi="Times New Roman" w:cs="Times New Roman" w:eastAsia="Times New Roman" w:hint="default"/>
                <w:sz w:val="18"/>
                <w:szCs w:val="18"/>
              </w:rPr>
            </w:pPr>
            <w:r>
              <w:rPr>
                <w:rFonts w:ascii="Times New Roman"/>
                <w:sz w:val="18"/>
              </w:rPr>
              <w:t>--</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349,400.00</w:t>
            </w:r>
          </w:p>
        </w:tc>
      </w:tr>
      <w:tr>
        <w:trPr>
          <w:trHeight w:val="402" w:hRule="exact"/>
        </w:trPr>
        <w:tc>
          <w:tcPr>
            <w:tcW w:w="1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40" w:right="0"/>
              <w:jc w:val="lef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357,500.00</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40" w:right="0"/>
              <w:jc w:val="left"/>
              <w:rPr>
                <w:rFonts w:ascii="Times New Roman" w:hAnsi="Times New Roman" w:cs="Times New Roman" w:eastAsia="Times New Roman" w:hint="default"/>
                <w:sz w:val="18"/>
                <w:szCs w:val="18"/>
              </w:rPr>
            </w:pPr>
            <w:r>
              <w:rPr>
                <w:rFonts w:ascii="Times New Roman"/>
                <w:sz w:val="18"/>
              </w:rPr>
              <w:t>--</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349,400.00</w:t>
            </w:r>
          </w:p>
        </w:tc>
      </w:tr>
      <w:tr>
        <w:trPr>
          <w:trHeight w:val="403" w:hRule="exact"/>
        </w:trPr>
        <w:tc>
          <w:tcPr>
            <w:tcW w:w="1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40" w:right="0"/>
              <w:jc w:val="lef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397,368,696.36</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40" w:right="0"/>
              <w:jc w:val="left"/>
              <w:rPr>
                <w:rFonts w:ascii="Times New Roman" w:hAnsi="Times New Roman" w:cs="Times New Roman" w:eastAsia="Times New Roman" w:hint="default"/>
                <w:sz w:val="18"/>
                <w:szCs w:val="18"/>
              </w:rPr>
            </w:pPr>
            <w:r>
              <w:rPr>
                <w:rFonts w:ascii="Times New Roman"/>
                <w:sz w:val="18"/>
              </w:rPr>
              <w:t>--</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551,280,614.43</w:t>
            </w:r>
          </w:p>
        </w:tc>
      </w:tr>
    </w:tbl>
    <w:p>
      <w:pPr>
        <w:spacing w:before="49"/>
        <w:ind w:left="140" w:right="0" w:firstLine="0"/>
        <w:jc w:val="left"/>
        <w:rPr>
          <w:rFonts w:ascii="宋体" w:hAnsi="宋体" w:cs="宋体" w:eastAsia="宋体" w:hint="default"/>
          <w:sz w:val="18"/>
          <w:szCs w:val="18"/>
        </w:rPr>
      </w:pPr>
      <w:r>
        <w:rPr>
          <w:rFonts w:ascii="宋体" w:hAnsi="宋体" w:cs="宋体" w:eastAsia="宋体" w:hint="default"/>
          <w:sz w:val="18"/>
          <w:szCs w:val="18"/>
        </w:rPr>
        <w:t>如有因抵押、质押或冻结等对使用有限制、存放在境外、有潜在回收风险的款项应单独说明</w:t>
      </w:r>
    </w:p>
    <w:p>
      <w:pPr>
        <w:spacing w:line="240" w:lineRule="auto" w:before="7"/>
        <w:rPr>
          <w:rFonts w:ascii="宋体" w:hAnsi="宋体" w:cs="宋体" w:eastAsia="宋体" w:hint="default"/>
          <w:sz w:val="20"/>
          <w:szCs w:val="20"/>
        </w:rPr>
      </w:pPr>
    </w:p>
    <w:p>
      <w:pPr>
        <w:spacing w:line="304" w:lineRule="auto"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：银行存款年末余额</w:t>
      </w:r>
      <w:r>
        <w:rPr>
          <w:rFonts w:ascii="Times New Roman" w:hAnsi="Times New Roman" w:cs="Times New Roman" w:eastAsia="Times New Roman" w:hint="default"/>
          <w:sz w:val="18"/>
          <w:szCs w:val="18"/>
        </w:rPr>
        <w:t>396,999,975.14</w:t>
      </w:r>
      <w:r>
        <w:rPr>
          <w:rFonts w:ascii="宋体" w:hAnsi="宋体" w:cs="宋体" w:eastAsia="宋体" w:hint="default"/>
          <w:sz w:val="18"/>
          <w:szCs w:val="18"/>
        </w:rPr>
        <w:t>元，其中募集资金用于定期存款</w:t>
      </w:r>
      <w:r>
        <w:rPr>
          <w:rFonts w:ascii="Times New Roman" w:hAnsi="Times New Roman" w:cs="Times New Roman" w:eastAsia="Times New Roman" w:hint="default"/>
          <w:sz w:val="18"/>
          <w:szCs w:val="18"/>
        </w:rPr>
        <w:t>201,000,000.00</w:t>
      </w:r>
      <w:r>
        <w:rPr>
          <w:rFonts w:ascii="宋体" w:hAnsi="宋体" w:cs="宋体" w:eastAsia="宋体" w:hint="default"/>
          <w:sz w:val="18"/>
          <w:szCs w:val="18"/>
        </w:rPr>
        <w:t>元，在编制现金流量 表时不作为现金及现金等价物。 注</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：其他货币资金年末余额</w:t>
      </w:r>
      <w:r>
        <w:rPr>
          <w:rFonts w:ascii="Times New Roman" w:hAnsi="Times New Roman" w:cs="Times New Roman" w:eastAsia="Times New Roman" w:hint="default"/>
          <w:sz w:val="18"/>
          <w:szCs w:val="18"/>
        </w:rPr>
        <w:t>357,500.00</w:t>
      </w:r>
      <w:r>
        <w:rPr>
          <w:rFonts w:ascii="宋体" w:hAnsi="宋体" w:cs="宋体" w:eastAsia="宋体" w:hint="default"/>
          <w:sz w:val="18"/>
          <w:szCs w:val="18"/>
        </w:rPr>
        <w:t>元系保函保证金，在编制现金流量表时不作为现金及现金等价物。</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除此以外，截至</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日止，本公司不存在其他抵押、冻结，或有潜在收回风险的款项。</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10"/>
        <w:rPr>
          <w:rFonts w:ascii="宋体" w:hAnsi="宋体" w:cs="宋体" w:eastAsia="宋体" w:hint="default"/>
          <w:b/>
          <w:bCs/>
          <w:sz w:val="24"/>
          <w:szCs w:val="24"/>
        </w:rPr>
      </w:pPr>
    </w:p>
    <w:p>
      <w:pPr>
        <w:pStyle w:val="Heading3"/>
        <w:spacing w:line="506" w:lineRule="auto"/>
        <w:ind w:left="560" w:right="6444" w:hanging="420"/>
        <w:jc w:val="left"/>
        <w:rPr>
          <w:rFonts w:ascii="宋体" w:hAnsi="宋体" w:cs="宋体" w:eastAsia="宋体" w:hint="default"/>
          <w:b w:val="0"/>
          <w:bCs w:val="0"/>
        </w:rPr>
      </w:pPr>
      <w:r>
        <w:rPr/>
        <w:t>（</w:t>
      </w:r>
      <w:r>
        <w:rPr>
          <w:rFonts w:ascii="Times New Roman" w:hAnsi="Times New Roman" w:cs="Times New Roman" w:eastAsia="Times New Roman" w:hint="default"/>
        </w:rPr>
        <w:t>1</w:t>
      </w:r>
      <w:r>
        <w:rPr/>
        <w:t>）交易性金融资产</w:t>
      </w:r>
      <w:r>
        <w:rPr>
          <w:w w:val="100"/>
        </w:rPr>
        <w:t> </w:t>
      </w:r>
      <w:r>
        <w:rPr>
          <w:rFonts w:ascii="宋体" w:hAnsi="宋体" w:cs="宋体" w:eastAsia="宋体" w:hint="default"/>
          <w:b w:val="0"/>
          <w:bCs w:val="0"/>
        </w:rPr>
        <w:t>无。</w:t>
      </w:r>
    </w:p>
    <w:p>
      <w:pPr>
        <w:pStyle w:val="Heading3"/>
        <w:spacing w:line="506" w:lineRule="auto" w:before="104"/>
        <w:ind w:left="560" w:right="4846" w:hanging="420"/>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2</w:t>
      </w:r>
      <w:r>
        <w:rPr>
          <w:spacing w:val="-1"/>
        </w:rPr>
        <w:t>）变现有限制的交易性金融资产</w:t>
      </w:r>
      <w:r>
        <w:rPr>
          <w:spacing w:val="-91"/>
        </w:rPr>
        <w:t> </w:t>
      </w:r>
      <w:r>
        <w:rPr>
          <w:spacing w:val="-91"/>
        </w:rPr>
      </w:r>
      <w:r>
        <w:rPr>
          <w:rFonts w:ascii="宋体" w:hAnsi="宋体" w:cs="宋体" w:eastAsia="宋体" w:hint="default"/>
          <w:b w:val="0"/>
          <w:bCs w:val="0"/>
        </w:rPr>
        <w:t>无。</w:t>
      </w:r>
    </w:p>
    <w:p>
      <w:pPr>
        <w:pStyle w:val="Heading3"/>
        <w:spacing w:line="506" w:lineRule="auto" w:before="104"/>
        <w:ind w:left="560" w:right="4666" w:hanging="420"/>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3</w:t>
      </w:r>
      <w:r>
        <w:rPr>
          <w:spacing w:val="-1"/>
        </w:rPr>
        <w:t>）套期工具及对相关套期交易的说明</w:t>
      </w:r>
      <w:r>
        <w:rPr>
          <w:spacing w:val="-88"/>
        </w:rPr>
        <w:t> </w:t>
      </w:r>
      <w:r>
        <w:rPr>
          <w:spacing w:val="-88"/>
        </w:rPr>
      </w:r>
      <w:r>
        <w:rPr>
          <w:rFonts w:ascii="宋体" w:hAnsi="宋体" w:cs="宋体" w:eastAsia="宋体" w:hint="default"/>
          <w:b w:val="0"/>
          <w:bCs w:val="0"/>
        </w:rPr>
        <w:t>无。</w:t>
      </w:r>
    </w:p>
    <w:p>
      <w:pPr>
        <w:spacing w:line="520" w:lineRule="auto" w:before="104"/>
        <w:ind w:left="37" w:right="7199"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、应收票据</w:t>
      </w:r>
      <w:r>
        <w:rPr>
          <w:rFonts w:ascii="宋体" w:hAnsi="宋体" w:cs="宋体" w:eastAsia="宋体" w:hint="default"/>
          <w:b/>
          <w:bCs/>
          <w:w w:val="100"/>
          <w:sz w:val="21"/>
          <w:szCs w:val="21"/>
        </w:rPr>
        <w:t> </w:t>
      </w:r>
      <w:r>
        <w:rPr>
          <w:rFonts w:ascii="宋体" w:hAnsi="宋体" w:cs="宋体" w:eastAsia="宋体" w:hint="default"/>
          <w:sz w:val="21"/>
          <w:szCs w:val="21"/>
        </w:rPr>
        <w:t>无。</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、应收股利</w:t>
      </w:r>
      <w:r>
        <w:rPr>
          <w:rFonts w:ascii="宋体" w:hAnsi="宋体" w:cs="宋体" w:eastAsia="宋体" w:hint="default"/>
          <w:b/>
          <w:bCs/>
          <w:w w:val="100"/>
          <w:sz w:val="21"/>
          <w:szCs w:val="21"/>
        </w:rPr>
        <w:t> </w:t>
      </w:r>
      <w:r>
        <w:rPr>
          <w:rFonts w:ascii="宋体" w:hAnsi="宋体" w:cs="宋体" w:eastAsia="宋体" w:hint="default"/>
          <w:sz w:val="21"/>
          <w:szCs w:val="21"/>
        </w:rPr>
        <w:t>无。</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、应收利息</w:t>
      </w:r>
      <w:r>
        <w:rPr>
          <w:rFonts w:ascii="宋体" w:hAnsi="宋体" w:cs="宋体" w:eastAsia="宋体" w:hint="default"/>
          <w:sz w:val="21"/>
          <w:szCs w:val="21"/>
        </w:rPr>
      </w:r>
    </w:p>
    <w:p>
      <w:pPr>
        <w:pStyle w:val="Heading3"/>
        <w:spacing w:line="240" w:lineRule="auto" w:before="51"/>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4"/>
        <w:rPr>
          <w:rFonts w:ascii="宋体" w:hAnsi="宋体" w:cs="宋体" w:eastAsia="宋体" w:hint="default"/>
          <w:b/>
          <w:bCs/>
          <w:sz w:val="26"/>
          <w:szCs w:val="26"/>
        </w:rPr>
      </w:pPr>
    </w:p>
    <w:p>
      <w:pPr>
        <w:spacing w:before="0"/>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627"/>
        <w:gridCol w:w="1625"/>
        <w:gridCol w:w="1628"/>
        <w:gridCol w:w="1625"/>
        <w:gridCol w:w="1861"/>
      </w:tblGrid>
      <w:tr>
        <w:trPr>
          <w:trHeight w:val="403" w:hRule="exact"/>
        </w:trPr>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定期存款利息</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6,665,465.63</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3,622,506.51</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8,162,544.36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2,125,427.78</w:t>
            </w:r>
          </w:p>
        </w:tc>
      </w:tr>
      <w:tr>
        <w:trPr>
          <w:trHeight w:val="403" w:hRule="exact"/>
        </w:trPr>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6,665,465.63</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3,622,506.51</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8,162,544.36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2,125,427.78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1660" w:right="1640"/>
        </w:sectPr>
      </w:pPr>
    </w:p>
    <w:p>
      <w:pPr>
        <w:spacing w:line="240" w:lineRule="auto" w:before="11"/>
        <w:rPr>
          <w:rFonts w:ascii="宋体" w:hAnsi="宋体" w:cs="宋体" w:eastAsia="宋体" w:hint="default"/>
          <w:sz w:val="20"/>
          <w:szCs w:val="20"/>
        </w:rPr>
      </w:pPr>
    </w:p>
    <w:p>
      <w:pPr>
        <w:pStyle w:val="Heading3"/>
        <w:spacing w:line="506" w:lineRule="auto" w:before="36"/>
        <w:ind w:left="560" w:right="7076" w:hanging="420"/>
        <w:jc w:val="left"/>
        <w:rPr>
          <w:rFonts w:ascii="宋体" w:hAnsi="宋体" w:cs="宋体" w:eastAsia="宋体" w:hint="default"/>
          <w:b w:val="0"/>
          <w:bCs w:val="0"/>
        </w:rPr>
      </w:pPr>
      <w:r>
        <w:rPr/>
        <w:t>（</w:t>
      </w:r>
      <w:r>
        <w:rPr>
          <w:rFonts w:ascii="Times New Roman" w:hAnsi="Times New Roman" w:cs="Times New Roman" w:eastAsia="Times New Roman" w:hint="default"/>
        </w:rPr>
        <w:t>2</w:t>
      </w:r>
      <w:r>
        <w:rPr/>
        <w:t>）逾期利息</w:t>
      </w:r>
      <w:r>
        <w:rPr>
          <w:w w:val="100"/>
        </w:rPr>
        <w:t> </w:t>
      </w:r>
      <w:r>
        <w:rPr>
          <w:rFonts w:ascii="宋体" w:hAnsi="宋体" w:cs="宋体" w:eastAsia="宋体" w:hint="default"/>
          <w:b w:val="0"/>
          <w:bCs w:val="0"/>
        </w:rPr>
        <w:t>无。</w:t>
      </w:r>
    </w:p>
    <w:p>
      <w:pPr>
        <w:pStyle w:val="Heading3"/>
        <w:spacing w:line="506" w:lineRule="auto" w:before="101"/>
        <w:ind w:left="560" w:right="6444" w:hanging="420"/>
        <w:jc w:val="left"/>
        <w:rPr>
          <w:rFonts w:ascii="宋体" w:hAnsi="宋体" w:cs="宋体" w:eastAsia="宋体" w:hint="default"/>
          <w:b w:val="0"/>
          <w:bCs w:val="0"/>
        </w:rPr>
      </w:pPr>
      <w:r>
        <w:rPr/>
        <w:t>（</w:t>
      </w:r>
      <w:r>
        <w:rPr>
          <w:rFonts w:ascii="Times New Roman" w:hAnsi="Times New Roman" w:cs="Times New Roman" w:eastAsia="Times New Roman" w:hint="default"/>
        </w:rPr>
        <w:t>3</w:t>
      </w:r>
      <w:r>
        <w:rPr/>
        <w:t>）应收利息的说明</w:t>
      </w:r>
      <w:r>
        <w:rPr>
          <w:w w:val="100"/>
        </w:rPr>
        <w:t> </w:t>
      </w:r>
      <w:r>
        <w:rPr>
          <w:rFonts w:ascii="宋体" w:hAnsi="宋体" w:cs="宋体" w:eastAsia="宋体" w:hint="default"/>
          <w:b w:val="0"/>
          <w:bCs w:val="0"/>
        </w:rPr>
        <w:t>无。</w:t>
      </w:r>
    </w:p>
    <w:p>
      <w:pPr>
        <w:pStyle w:val="Heading3"/>
        <w:spacing w:line="240" w:lineRule="auto" w:before="104"/>
        <w:ind w:right="0"/>
        <w:jc w:val="left"/>
        <w:rPr>
          <w:b w:val="0"/>
          <w:bCs w:val="0"/>
        </w:rPr>
      </w:pPr>
      <w:r>
        <w:rPr>
          <w:rFonts w:ascii="Times New Roman" w:hAnsi="Times New Roman" w:cs="Times New Roman" w:eastAsia="Times New Roman" w:hint="default"/>
        </w:rPr>
        <w:t>6</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10"/>
        <w:rPr>
          <w:rFonts w:ascii="宋体" w:hAnsi="宋体" w:cs="宋体" w:eastAsia="宋体" w:hint="default"/>
          <w:b/>
          <w:bCs/>
          <w:sz w:val="22"/>
          <w:szCs w:val="22"/>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526"/>
        <w:gridCol w:w="1181"/>
        <w:gridCol w:w="590"/>
        <w:gridCol w:w="1085"/>
        <w:gridCol w:w="591"/>
        <w:gridCol w:w="1090"/>
        <w:gridCol w:w="590"/>
        <w:gridCol w:w="1004"/>
        <w:gridCol w:w="708"/>
      </w:tblGrid>
      <w:tr>
        <w:trPr>
          <w:trHeight w:val="401" w:hRule="exact"/>
        </w:trPr>
        <w:tc>
          <w:tcPr>
            <w:tcW w:w="1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4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39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526" w:type="dxa"/>
            <w:vMerge/>
            <w:tcBorders>
              <w:left w:val="single" w:sz="4" w:space="0" w:color="000000"/>
              <w:right w:val="single" w:sz="4" w:space="0" w:color="000000"/>
            </w:tcBorders>
            <w:shd w:val="clear" w:color="auto" w:fill="D2D2D2"/>
          </w:tcPr>
          <w:p>
            <w:pPr/>
          </w:p>
        </w:tc>
        <w:tc>
          <w:tcPr>
            <w:tcW w:w="17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526"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53" w:right="0"/>
              <w:jc w:val="left"/>
              <w:rPr>
                <w:rFonts w:ascii="Times New Roman" w:hAnsi="Times New Roman" w:cs="Times New Roman" w:eastAsia="Times New Roman" w:hint="default"/>
                <w:sz w:val="18"/>
                <w:szCs w:val="18"/>
              </w:rPr>
            </w:pPr>
            <w:r>
              <w:rPr>
                <w:rFonts w:ascii="Times New Roman"/>
                <w:sz w:val="18"/>
              </w:rPr>
              <w:t>(%)</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53" w:right="0"/>
              <w:jc w:val="left"/>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56" w:right="0"/>
              <w:jc w:val="left"/>
              <w:rPr>
                <w:rFonts w:ascii="Times New Roman" w:hAnsi="Times New Roman" w:cs="Times New Roman" w:eastAsia="Times New Roman" w:hint="default"/>
                <w:sz w:val="18"/>
                <w:szCs w:val="18"/>
              </w:rPr>
            </w:pPr>
            <w:r>
              <w:rPr>
                <w:rFonts w:ascii="Times New Roman"/>
                <w:sz w:val="18"/>
              </w:rPr>
              <w:t>(%)</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403" w:hRule="exact"/>
        </w:trPr>
        <w:tc>
          <w:tcPr>
            <w:tcW w:w="836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1"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信用风险较小</w:t>
            </w:r>
          </w:p>
        </w:tc>
        <w:tc>
          <w:tcPr>
            <w:tcW w:w="1181"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销售货款及其他</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146,140,885.32</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center"/>
              <w:rPr>
                <w:rFonts w:ascii="Times New Roman" w:hAnsi="Times New Roman" w:cs="Times New Roman" w:eastAsia="Times New Roman" w:hint="default"/>
                <w:sz w:val="18"/>
                <w:szCs w:val="18"/>
              </w:rPr>
            </w:pPr>
            <w:r>
              <w:rPr>
                <w:rFonts w:ascii="Times New Roman"/>
                <w:sz w:val="18"/>
              </w:rPr>
              <w:t>100%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11,262,355.35</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7.71%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92,564,720.67</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center"/>
              <w:rPr>
                <w:rFonts w:ascii="Times New Roman" w:hAnsi="Times New Roman" w:cs="Times New Roman" w:eastAsia="Times New Roman" w:hint="default"/>
                <w:sz w:val="18"/>
                <w:szCs w:val="18"/>
              </w:rPr>
            </w:pPr>
            <w:r>
              <w:rPr>
                <w:rFonts w:ascii="Times New Roman"/>
                <w:sz w:val="18"/>
              </w:rPr>
              <w:t>100%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6,926,953.31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7.48%</w:t>
            </w:r>
          </w:p>
        </w:tc>
      </w:tr>
      <w:tr>
        <w:trPr>
          <w:trHeight w:val="401"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146,140,885.32</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center"/>
              <w:rPr>
                <w:rFonts w:ascii="Times New Roman" w:hAnsi="Times New Roman" w:cs="Times New Roman" w:eastAsia="Times New Roman" w:hint="default"/>
                <w:sz w:val="18"/>
                <w:szCs w:val="18"/>
              </w:rPr>
            </w:pPr>
            <w:r>
              <w:rPr>
                <w:rFonts w:ascii="Times New Roman"/>
                <w:sz w:val="18"/>
              </w:rPr>
              <w:t>100%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11,262,355.35</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7.71%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92,564,720.67</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center"/>
              <w:rPr>
                <w:rFonts w:ascii="Times New Roman" w:hAnsi="Times New Roman" w:cs="Times New Roman" w:eastAsia="Times New Roman" w:hint="default"/>
                <w:sz w:val="18"/>
                <w:szCs w:val="18"/>
              </w:rPr>
            </w:pPr>
            <w:r>
              <w:rPr>
                <w:rFonts w:ascii="Times New Roman"/>
                <w:sz w:val="18"/>
              </w:rPr>
              <w:t>100%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6,926,953.31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7.48%</w:t>
            </w:r>
          </w:p>
        </w:tc>
      </w:tr>
      <w:tr>
        <w:trPr>
          <w:trHeight w:val="404"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146,140,885.32</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085" w:type="dxa"/>
            <w:tcBorders>
              <w:top w:val="single" w:sz="4" w:space="0" w:color="000000"/>
              <w:left w:val="single" w:sz="13" w:space="0" w:color="D2D2D2"/>
              <w:bottom w:val="single" w:sz="4" w:space="0" w:color="000000"/>
              <w:right w:val="single" w:sz="12" w:space="0" w:color="D2D2D2"/>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11,262,355.35</w:t>
            </w:r>
          </w:p>
        </w:tc>
        <w:tc>
          <w:tcPr>
            <w:tcW w:w="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92,564,720.67</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6,926,953.31</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227" w:top="1100" w:bottom="1420" w:left="1660" w:right="1640"/>
        </w:sectPr>
      </w:pPr>
    </w:p>
    <w:p>
      <w:pPr>
        <w:spacing w:line="357" w:lineRule="auto" w:before="49"/>
        <w:ind w:left="140" w:right="-20" w:firstLine="0"/>
        <w:jc w:val="left"/>
        <w:rPr>
          <w:rFonts w:ascii="宋体" w:hAnsi="宋体" w:cs="宋体" w:eastAsia="宋体" w:hint="default"/>
          <w:sz w:val="18"/>
          <w:szCs w:val="18"/>
        </w:rPr>
      </w:pPr>
      <w:r>
        <w:rPr>
          <w:rFonts w:ascii="宋体" w:hAnsi="宋体" w:cs="宋体" w:eastAsia="宋体" w:hint="default"/>
          <w:sz w:val="18"/>
          <w:szCs w:val="18"/>
        </w:rPr>
        <w:t>应收账款种类的说明 期末单项金额重大并单项计提坏账准备的应收账款</w:t>
      </w:r>
    </w:p>
    <w:p>
      <w:pPr>
        <w:spacing w:line="360" w:lineRule="auto" w:before="29"/>
        <w:ind w:left="140" w:right="16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组合中，按账龄分析法计提坏账准备的应收账款</w:t>
      </w:r>
    </w:p>
    <w:p>
      <w:pPr>
        <w:spacing w:before="25"/>
        <w:ind w:left="140" w:right="-2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9"/>
        <w:ind w:left="1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880" w:bottom="280" w:left="1660" w:right="1640"/>
          <w:cols w:num="2" w:equalWidth="0">
            <w:col w:w="4101" w:space="3396"/>
            <w:col w:w="1113"/>
          </w:cols>
        </w:sectPr>
      </w:pP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282"/>
        <w:gridCol w:w="1395"/>
        <w:gridCol w:w="811"/>
        <w:gridCol w:w="1510"/>
        <w:gridCol w:w="1279"/>
        <w:gridCol w:w="814"/>
        <w:gridCol w:w="1274"/>
      </w:tblGrid>
      <w:tr>
        <w:trPr>
          <w:trHeight w:val="401" w:hRule="exact"/>
        </w:trPr>
        <w:tc>
          <w:tcPr>
            <w:tcW w:w="12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71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3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282" w:type="dxa"/>
            <w:vMerge/>
            <w:tcBorders>
              <w:left w:val="single" w:sz="4" w:space="0" w:color="000000"/>
              <w:right w:val="single" w:sz="4" w:space="0" w:color="000000"/>
            </w:tcBorders>
            <w:shd w:val="clear" w:color="auto" w:fill="D2D2D2"/>
          </w:tcPr>
          <w:p>
            <w:pPr/>
          </w:p>
        </w:tc>
        <w:tc>
          <w:tcPr>
            <w:tcW w:w="22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282" w:type="dxa"/>
            <w:vMerge/>
            <w:tcBorders>
              <w:left w:val="single" w:sz="4" w:space="0" w:color="000000"/>
              <w:bottom w:val="single" w:sz="4" w:space="0" w:color="000000"/>
              <w:right w:val="single" w:sz="4" w:space="0" w:color="000000"/>
            </w:tcBorders>
            <w:shd w:val="clear" w:color="auto" w:fill="D2D2D2"/>
          </w:tcPr>
          <w:p>
            <w:pPr/>
          </w:p>
        </w:tc>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510" w:type="dxa"/>
            <w:vMerge/>
            <w:tcBorders>
              <w:left w:val="single" w:sz="4" w:space="0" w:color="000000"/>
              <w:bottom w:val="single" w:sz="4" w:space="0" w:color="000000"/>
              <w:right w:val="single" w:sz="4" w:space="0" w:color="000000"/>
            </w:tcBorders>
            <w:shd w:val="clear" w:color="auto" w:fill="D2D2D2"/>
          </w:tcPr>
          <w:p>
            <w:pPr/>
          </w:p>
        </w:tc>
        <w:tc>
          <w:tcPr>
            <w:tcW w:w="1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274"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836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1"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115,619,613.80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79.12%</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5,780,980.69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78,256,102.48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84.54%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3,912,805.12</w:t>
            </w:r>
          </w:p>
        </w:tc>
      </w:tr>
      <w:tr>
        <w:trPr>
          <w:trHeight w:val="401"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115,619,613.80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79.12%</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5,780,980.69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78,256,102.48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84.54%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3,912,805.12</w:t>
            </w:r>
          </w:p>
        </w:tc>
      </w:tr>
      <w:tr>
        <w:trPr>
          <w:trHeight w:val="403"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26,098,790.24</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17.86%</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2,609,879.02</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12,157,464.78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1,215,746.48</w:t>
            </w:r>
          </w:p>
        </w:tc>
      </w:tr>
      <w:tr>
        <w:trPr>
          <w:trHeight w:val="401"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3,101,971.28</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1,550,985.64</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705,503.41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0.76%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352,751.71</w:t>
            </w:r>
          </w:p>
        </w:tc>
      </w:tr>
      <w:tr>
        <w:trPr>
          <w:trHeight w:val="403"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1,320,510.00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1,320,510.00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1,445,650.00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1,445,650.00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880" w:bottom="280" w:left="1660" w:right="1640"/>
        </w:sectPr>
      </w:pPr>
    </w:p>
    <w:p>
      <w:pPr>
        <w:spacing w:line="240" w:lineRule="auto" w:before="8"/>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1282"/>
        <w:gridCol w:w="1395"/>
        <w:gridCol w:w="811"/>
        <w:gridCol w:w="1510"/>
        <w:gridCol w:w="1279"/>
        <w:gridCol w:w="802"/>
        <w:gridCol w:w="1286"/>
      </w:tblGrid>
      <w:tr>
        <w:trPr>
          <w:trHeight w:val="404"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5" w:right="0"/>
              <w:jc w:val="left"/>
              <w:rPr>
                <w:rFonts w:ascii="Times New Roman" w:hAnsi="Times New Roman" w:cs="Times New Roman" w:eastAsia="Times New Roman" w:hint="default"/>
                <w:sz w:val="18"/>
                <w:szCs w:val="18"/>
              </w:rPr>
            </w:pPr>
            <w:r>
              <w:rPr>
                <w:rFonts w:ascii="Times New Roman"/>
                <w:sz w:val="18"/>
              </w:rPr>
              <w:t>146,140,885.32</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8" w:right="0"/>
              <w:jc w:val="left"/>
              <w:rPr>
                <w:rFonts w:ascii="Times New Roman" w:hAnsi="Times New Roman" w:cs="Times New Roman" w:eastAsia="Times New Roman" w:hint="default"/>
                <w:sz w:val="18"/>
                <w:szCs w:val="18"/>
              </w:rPr>
            </w:pPr>
            <w:r>
              <w:rPr>
                <w:rFonts w:ascii="Times New Roman"/>
                <w:sz w:val="18"/>
              </w:rPr>
              <w:t>11,262,355.35</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92,564,720.67</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6,926,953.31</w:t>
            </w:r>
          </w:p>
        </w:tc>
      </w:tr>
    </w:tbl>
    <w:p>
      <w:pPr>
        <w:spacing w:before="49"/>
        <w:ind w:left="140"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60" w:lineRule="auto" w:before="115"/>
        <w:ind w:left="140" w:right="466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组合中，采用其他方法计提坏账准备的应收账款</w:t>
      </w:r>
    </w:p>
    <w:p>
      <w:pPr>
        <w:spacing w:line="360" w:lineRule="auto" w:before="25"/>
        <w:ind w:left="140" w:right="412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期末单项金额虽不重大但单项计提坏账准备的应收账款</w:t>
      </w:r>
    </w:p>
    <w:p>
      <w:pPr>
        <w:spacing w:before="27"/>
        <w:ind w:left="140"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506" w:lineRule="auto" w:before="118"/>
        <w:ind w:left="560" w:right="4306" w:hanging="420"/>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2</w:t>
      </w:r>
      <w:r>
        <w:rPr>
          <w:spacing w:val="-1"/>
        </w:rPr>
        <w:t>）本报告期转回或收回的应收账款情况</w:t>
      </w:r>
      <w:r>
        <w:rPr>
          <w:spacing w:val="-87"/>
        </w:rPr>
        <w:t> </w:t>
      </w:r>
      <w:r>
        <w:rPr>
          <w:spacing w:val="-87"/>
        </w:rPr>
      </w:r>
      <w:r>
        <w:rPr>
          <w:rFonts w:ascii="宋体" w:hAnsi="宋体" w:cs="宋体" w:eastAsia="宋体" w:hint="default"/>
          <w:b w:val="0"/>
          <w:bCs w:val="0"/>
        </w:rPr>
        <w:t>无。</w:t>
      </w:r>
    </w:p>
    <w:p>
      <w:pPr>
        <w:pStyle w:val="Heading3"/>
        <w:spacing w:line="240" w:lineRule="auto" w:before="104"/>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725"/>
        <w:gridCol w:w="850"/>
        <w:gridCol w:w="1558"/>
        <w:gridCol w:w="946"/>
        <w:gridCol w:w="1131"/>
        <w:gridCol w:w="1157"/>
      </w:tblGrid>
      <w:tr>
        <w:trPr>
          <w:trHeight w:val="714" w:hRule="exact"/>
        </w:trPr>
        <w:tc>
          <w:tcPr>
            <w:tcW w:w="2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7" w:right="60" w:hanging="180"/>
              <w:jc w:val="left"/>
              <w:rPr>
                <w:rFonts w:ascii="宋体" w:hAnsi="宋体" w:cs="宋体" w:eastAsia="宋体" w:hint="default"/>
                <w:sz w:val="18"/>
                <w:szCs w:val="18"/>
              </w:rPr>
            </w:pPr>
            <w:r>
              <w:rPr>
                <w:rFonts w:ascii="宋体" w:hAnsi="宋体" w:cs="宋体" w:eastAsia="宋体" w:hint="default"/>
                <w:sz w:val="18"/>
                <w:szCs w:val="18"/>
              </w:rPr>
              <w:t>应收账款 性质</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02" w:right="31" w:hanging="269"/>
              <w:jc w:val="left"/>
              <w:rPr>
                <w:rFonts w:ascii="宋体" w:hAnsi="宋体" w:cs="宋体" w:eastAsia="宋体" w:hint="default"/>
                <w:sz w:val="18"/>
                <w:szCs w:val="18"/>
              </w:rPr>
            </w:pPr>
            <w:r>
              <w:rPr>
                <w:rFonts w:ascii="宋体" w:hAnsi="宋体" w:cs="宋体" w:eastAsia="宋体" w:hint="default"/>
                <w:sz w:val="18"/>
                <w:szCs w:val="18"/>
              </w:rPr>
              <w:t>是否因关联交 易产生</w:t>
            </w:r>
          </w:p>
        </w:tc>
      </w:tr>
      <w:tr>
        <w:trPr>
          <w:trHeight w:val="401"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保山市隆阳区看守所</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3,000.00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楚雄州公安局</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2,000.00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贵阳市公安局</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3,800.00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萝北县公安局</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2,000.00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杭州市国税局</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4,000.00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厦门见福企业管理咨询有限公司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15,000.00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习水县公安局</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1,000.00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银川市公安局</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800.00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杭州联通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1,200.00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
              <w:jc w:val="center"/>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46" w:type="dxa"/>
            <w:tcBorders>
              <w:top w:val="single" w:sz="4" w:space="0" w:color="000000"/>
              <w:left w:val="single" w:sz="4" w:space="0" w:color="000000"/>
              <w:bottom w:val="single" w:sz="4" w:space="0" w:color="000000"/>
              <w:right w:val="single" w:sz="12" w:space="0" w:color="D2D2D2"/>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32,800.00</w:t>
            </w:r>
          </w:p>
        </w:tc>
        <w:tc>
          <w:tcPr>
            <w:tcW w:w="1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
              <w:jc w:val="center"/>
              <w:rPr>
                <w:rFonts w:ascii="Times New Roman" w:hAnsi="Times New Roman" w:cs="Times New Roman" w:eastAsia="Times New Roman" w:hint="default"/>
                <w:sz w:val="18"/>
                <w:szCs w:val="18"/>
              </w:rPr>
            </w:pPr>
            <w:r>
              <w:rPr>
                <w:rFonts w:ascii="Times New Roman"/>
                <w:sz w:val="18"/>
              </w:rPr>
              <w:t>--</w:t>
            </w:r>
          </w:p>
        </w:tc>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40"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应收账款核销说明：无。</w:t>
      </w:r>
    </w:p>
    <w:p>
      <w:pPr>
        <w:spacing w:line="240" w:lineRule="auto" w:before="0"/>
        <w:rPr>
          <w:rFonts w:ascii="宋体" w:hAnsi="宋体" w:cs="宋体" w:eastAsia="宋体" w:hint="default"/>
          <w:sz w:val="18"/>
          <w:szCs w:val="18"/>
        </w:rPr>
      </w:pPr>
    </w:p>
    <w:p>
      <w:pPr>
        <w:pStyle w:val="Heading3"/>
        <w:spacing w:line="508" w:lineRule="auto" w:before="118"/>
        <w:ind w:left="560" w:right="862" w:hanging="420"/>
        <w:jc w:val="left"/>
        <w:rPr>
          <w:rFonts w:ascii="宋体" w:hAnsi="宋体" w:cs="宋体" w:eastAsia="宋体" w:hint="default"/>
          <w:b w:val="0"/>
          <w:bCs w:val="0"/>
        </w:rPr>
      </w:pPr>
      <w:r>
        <w:rPr/>
        <w:t>（</w:t>
      </w:r>
      <w:r>
        <w:rPr>
          <w:rFonts w:ascii="Times New Roman" w:hAnsi="Times New Roman" w:cs="Times New Roman" w:eastAsia="Times New Roman" w:hint="default"/>
        </w:rPr>
        <w:t>4</w:t>
      </w:r>
      <w:r>
        <w:rPr/>
        <w:t>）本报告期应收账款中持有公司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w w:val="100"/>
        </w:rPr>
        <w:t> </w:t>
      </w:r>
      <w:r>
        <w:rPr>
          <w:rFonts w:ascii="宋体" w:hAnsi="宋体" w:cs="宋体" w:eastAsia="宋体" w:hint="default"/>
          <w:b w:val="0"/>
          <w:bCs w:val="0"/>
        </w:rPr>
        <w:t>无。</w:t>
      </w:r>
    </w:p>
    <w:p>
      <w:pPr>
        <w:pStyle w:val="Heading3"/>
        <w:spacing w:line="240" w:lineRule="auto" w:before="102"/>
        <w:ind w:right="0"/>
        <w:jc w:val="left"/>
        <w:rPr>
          <w:b w:val="0"/>
          <w:bCs w:val="0"/>
        </w:rPr>
      </w:pP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4"/>
        <w:rPr>
          <w:rFonts w:ascii="宋体" w:hAnsi="宋体" w:cs="宋体" w:eastAsia="宋体" w:hint="default"/>
          <w:b/>
          <w:bCs/>
          <w:sz w:val="26"/>
          <w:szCs w:val="26"/>
        </w:rPr>
      </w:pPr>
    </w:p>
    <w:p>
      <w:pPr>
        <w:spacing w:before="0"/>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3005"/>
        <w:gridCol w:w="857"/>
        <w:gridCol w:w="1275"/>
        <w:gridCol w:w="1985"/>
        <w:gridCol w:w="1231"/>
      </w:tblGrid>
      <w:tr>
        <w:trPr>
          <w:trHeight w:val="714" w:hRule="exact"/>
        </w:trPr>
        <w:tc>
          <w:tcPr>
            <w:tcW w:w="30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2" w:right="62"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年限</w:t>
            </w:r>
          </w:p>
        </w:tc>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0" w:right="65"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 额的比例</w:t>
            </w:r>
            <w:r>
              <w:rPr>
                <w:rFonts w:ascii="Times New Roman" w:hAnsi="Times New Roman" w:cs="Times New Roman" w:eastAsia="Times New Roman" w:hint="default"/>
                <w:sz w:val="18"/>
                <w:szCs w:val="18"/>
              </w:rPr>
              <w:t>(%)</w:t>
            </w:r>
          </w:p>
        </w:tc>
      </w:tr>
      <w:tr>
        <w:trPr>
          <w:trHeight w:val="40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江西优码创达软件技术有限公司</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12,603,846.15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3" w:right="0"/>
              <w:jc w:val="left"/>
              <w:rPr>
                <w:rFonts w:ascii="Times New Roman" w:hAnsi="Times New Roman" w:cs="Times New Roman" w:eastAsia="Times New Roman" w:hint="default"/>
                <w:sz w:val="18"/>
                <w:szCs w:val="18"/>
              </w:rPr>
            </w:pPr>
            <w:r>
              <w:rPr>
                <w:rFonts w:ascii="Times New Roman"/>
                <w:sz w:val="18"/>
              </w:rPr>
              <w:t>8.62%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27" w:top="1100" w:bottom="1420" w:left="1660" w:right="1640"/>
        </w:sectPr>
      </w:pPr>
    </w:p>
    <w:p>
      <w:pPr>
        <w:spacing w:line="240" w:lineRule="auto" w:before="8"/>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3005"/>
        <w:gridCol w:w="857"/>
        <w:gridCol w:w="1275"/>
        <w:gridCol w:w="1985"/>
        <w:gridCol w:w="1243"/>
      </w:tblGrid>
      <w:tr>
        <w:trPr>
          <w:trHeight w:val="401"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山西省公安厅</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7"/>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5,294,587.85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3.62%</w:t>
            </w:r>
          </w:p>
        </w:tc>
      </w:tr>
      <w:tr>
        <w:trPr>
          <w:trHeight w:val="715"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天津市滨海新区公安局</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7"/>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5,262,197.43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年以内</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3,917,197.43</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1,345,000.00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w:t>
            </w:r>
          </w:p>
        </w:tc>
      </w:tr>
      <w:tr>
        <w:trPr>
          <w:trHeight w:val="401"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珠海市新德汇信息技术有限公司</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7"/>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5,000,000.00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3.42%</w:t>
            </w:r>
          </w:p>
        </w:tc>
      </w:tr>
      <w:tr>
        <w:trPr>
          <w:trHeight w:val="40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厦门佳思科技有限公司</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4,762,194.62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3.26%</w:t>
            </w:r>
          </w:p>
        </w:tc>
      </w:tr>
      <w:tr>
        <w:trPr>
          <w:trHeight w:val="403" w:hRule="exact"/>
        </w:trPr>
        <w:tc>
          <w:tcPr>
            <w:tcW w:w="30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32,922,826.05</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22.52%</w:t>
            </w:r>
          </w:p>
        </w:tc>
      </w:tr>
    </w:tbl>
    <w:p>
      <w:pPr>
        <w:spacing w:line="240" w:lineRule="auto" w:before="3"/>
        <w:rPr>
          <w:rFonts w:ascii="宋体" w:hAnsi="宋体" w:cs="宋体" w:eastAsia="宋体" w:hint="default"/>
          <w:sz w:val="19"/>
          <w:szCs w:val="19"/>
        </w:rPr>
      </w:pPr>
    </w:p>
    <w:p>
      <w:pPr>
        <w:pStyle w:val="Heading3"/>
        <w:spacing w:line="506" w:lineRule="auto" w:before="36"/>
        <w:ind w:left="560" w:right="6022" w:hanging="420"/>
        <w:jc w:val="left"/>
        <w:rPr>
          <w:rFonts w:ascii="宋体" w:hAnsi="宋体" w:cs="宋体" w:eastAsia="宋体" w:hint="default"/>
          <w:b w:val="0"/>
          <w:bCs w:val="0"/>
        </w:rPr>
      </w:pPr>
      <w:r>
        <w:rPr/>
        <w:pict>
          <v:shape style="position:absolute;margin-left:429.790009pt;margin-top:-103.350708pt;width:75.650pt;height:22.15pt;mso-position-horizontal-relative:page;mso-position-vertical-relative:paragraph;z-index:-803296"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元；</w:t>
                  </w:r>
                </w:p>
              </w:txbxContent>
            </v:textbox>
            <w10:wrap type="none"/>
          </v:shape>
        </w:pict>
      </w:r>
      <w:r>
        <w:rPr/>
        <w:pict>
          <v:group style="position:absolute;margin-left:444.940002pt;margin-top:-108.576332pt;width:61.6pt;height:27.9pt;mso-position-horizontal-relative:page;mso-position-vertical-relative:paragraph;z-index:-803272" coordorigin="8899,-2172" coordsize="1232,558">
            <v:group style="position:absolute;left:8899;top:-2172;width:1232;height:156" coordorigin="8899,-2172" coordsize="1232,156">
              <v:shape style="position:absolute;left:8899;top:-2172;width:1232;height:156" coordorigin="8899,-2172" coordsize="1232,156" path="m8899,-2016l10130,-2016,10130,-2172,8899,-2172,8899,-2016xe" filled="true" fillcolor="#ffffff" stroked="false">
                <v:path arrowok="t"/>
                <v:fill type="solid"/>
              </v:shape>
            </v:group>
            <v:group style="position:absolute;left:8910;top:-2016;width:2;height:392" coordorigin="8910,-2016" coordsize="2,392">
              <v:shape style="position:absolute;left:8910;top:-2016;width:2;height:392" coordorigin="8910,-2016" coordsize="0,392" path="m8910,-2016l8910,-1624e" filled="false" stroked="true" strokeweight="1.08pt" strokecolor="#ffffff">
                <v:path arrowok="t"/>
              </v:shape>
            </v:group>
            <v:group style="position:absolute;left:8920;top:-2016;width:1188;height:392" coordorigin="8920,-2016" coordsize="1188,392">
              <v:shape style="position:absolute;left:8920;top:-2016;width:1188;height:392" coordorigin="8920,-2016" coordsize="1188,392" path="m8920,-1624l10108,-1624,10108,-2016,8920,-2016,8920,-1624xe" filled="true" fillcolor="#ffffff" stroked="false">
                <v:path arrowok="t"/>
                <v:fill type="solid"/>
              </v:shape>
            </v:group>
            <w10:wrap type="none"/>
          </v:group>
        </w:pict>
      </w:r>
      <w:r>
        <w:rPr/>
        <w:t>（</w:t>
      </w:r>
      <w:r>
        <w:rPr>
          <w:rFonts w:ascii="Times New Roman" w:hAnsi="Times New Roman" w:cs="Times New Roman" w:eastAsia="Times New Roman" w:hint="default"/>
        </w:rPr>
        <w:t>6</w:t>
      </w:r>
      <w:r>
        <w:rPr/>
        <w:t>）应收关联方账款情况</w:t>
      </w:r>
      <w:r>
        <w:rPr>
          <w:w w:val="100"/>
        </w:rPr>
        <w:t> </w:t>
      </w:r>
      <w:r>
        <w:rPr>
          <w:rFonts w:ascii="宋体" w:hAnsi="宋体" w:cs="宋体" w:eastAsia="宋体" w:hint="default"/>
          <w:b w:val="0"/>
          <w:bCs w:val="0"/>
        </w:rPr>
        <w:t>无。</w:t>
      </w:r>
    </w:p>
    <w:p>
      <w:pPr>
        <w:pStyle w:val="Heading3"/>
        <w:spacing w:line="506" w:lineRule="auto" w:before="104"/>
        <w:ind w:left="560" w:right="5614" w:hanging="420"/>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7</w:t>
      </w:r>
      <w:r>
        <w:rPr>
          <w:spacing w:val="-1"/>
        </w:rPr>
        <w:t>）终止确认的应收款项情况</w:t>
      </w:r>
      <w:r>
        <w:rPr>
          <w:spacing w:val="-94"/>
        </w:rPr>
        <w:t> </w:t>
      </w:r>
      <w:r>
        <w:rPr>
          <w:spacing w:val="-94"/>
        </w:rPr>
      </w:r>
      <w:r>
        <w:rPr>
          <w:rFonts w:ascii="宋体" w:hAnsi="宋体" w:cs="宋体" w:eastAsia="宋体" w:hint="default"/>
          <w:b w:val="0"/>
          <w:bCs w:val="0"/>
        </w:rPr>
        <w:t>无。</w:t>
      </w:r>
    </w:p>
    <w:p>
      <w:pPr>
        <w:pStyle w:val="Heading3"/>
        <w:spacing w:line="506" w:lineRule="auto" w:before="101"/>
        <w:ind w:left="560" w:right="862" w:hanging="420"/>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8</w:t>
      </w:r>
      <w:r>
        <w:rPr>
          <w:spacing w:val="-1"/>
        </w:rPr>
        <w:t>）以应收款项为标的进行证券化的，列示继续涉入形成的资产、负债的金额</w:t>
      </w:r>
      <w:r>
        <w:rPr>
          <w:spacing w:val="-77"/>
        </w:rPr>
        <w:t> </w:t>
      </w:r>
      <w:r>
        <w:rPr>
          <w:spacing w:val="-77"/>
        </w:rPr>
      </w:r>
      <w:r>
        <w:rPr>
          <w:rFonts w:ascii="宋体" w:hAnsi="宋体" w:cs="宋体" w:eastAsia="宋体" w:hint="default"/>
          <w:b w:val="0"/>
          <w:bCs w:val="0"/>
        </w:rPr>
        <w:t>无。</w:t>
      </w:r>
    </w:p>
    <w:p>
      <w:pPr>
        <w:pStyle w:val="Heading3"/>
        <w:spacing w:line="240" w:lineRule="auto" w:before="104"/>
        <w:ind w:right="0"/>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10"/>
        <w:rPr>
          <w:rFonts w:ascii="宋体" w:hAnsi="宋体" w:cs="宋体" w:eastAsia="宋体" w:hint="default"/>
          <w:b/>
          <w:bCs/>
          <w:sz w:val="22"/>
          <w:szCs w:val="22"/>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596"/>
        <w:gridCol w:w="1090"/>
        <w:gridCol w:w="624"/>
        <w:gridCol w:w="1001"/>
        <w:gridCol w:w="627"/>
        <w:gridCol w:w="1092"/>
        <w:gridCol w:w="739"/>
        <w:gridCol w:w="1001"/>
        <w:gridCol w:w="595"/>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34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2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596" w:type="dxa"/>
            <w:vMerge/>
            <w:tcBorders>
              <w:left w:val="single" w:sz="4" w:space="0" w:color="000000"/>
              <w:right w:val="single" w:sz="4" w:space="0" w:color="000000"/>
            </w:tcBorders>
            <w:shd w:val="clear" w:color="auto" w:fill="D2D2D2"/>
          </w:tcPr>
          <w:p>
            <w:pPr/>
          </w:p>
        </w:tc>
        <w:tc>
          <w:tcPr>
            <w:tcW w:w="17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72" w:right="0"/>
              <w:jc w:val="left"/>
              <w:rPr>
                <w:rFonts w:ascii="Times New Roman" w:hAnsi="Times New Roman" w:cs="Times New Roman" w:eastAsia="Times New Roman" w:hint="default"/>
                <w:sz w:val="18"/>
                <w:szCs w:val="18"/>
              </w:rPr>
            </w:pPr>
            <w:r>
              <w:rPr>
                <w:rFonts w:ascii="Times New Roman"/>
                <w:sz w:val="18"/>
              </w:rPr>
              <w:t>(%)</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75" w:right="0"/>
              <w:jc w:val="lef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58"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836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2"/>
                <w:sz w:val="18"/>
                <w:szCs w:val="18"/>
              </w:rPr>
              <w:t>：</w:t>
            </w:r>
            <w:r>
              <w:rPr>
                <w:rFonts w:ascii="宋体" w:hAnsi="宋体" w:cs="宋体" w:eastAsia="宋体" w:hint="default"/>
                <w:sz w:val="18"/>
                <w:szCs w:val="18"/>
              </w:rPr>
              <w:t>信用风险较小</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7,159,873.17</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34.18%</w:t>
            </w:r>
          </w:p>
        </w:tc>
        <w:tc>
          <w:tcPr>
            <w:tcW w:w="1001"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3,981,510.12</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15.96%</w:t>
            </w:r>
          </w:p>
        </w:tc>
        <w:tc>
          <w:tcPr>
            <w:tcW w:w="1001"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销售货款及其他</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13,786,215.00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65.82%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2,033,883.49</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14.75%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20,959,397.92</w:t>
            </w:r>
            <w:r>
              <w:rPr>
                <w:rFonts w:ascii="Times New Roman"/>
                <w:sz w:val="18"/>
              </w:rPr>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84.04%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1,909,444.31</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9.11%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20,946,088.17</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2,033,883.49</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24,940,908.04</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1,909,444.31</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7.66%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20,946,088.17</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2,033,883.49</w:t>
            </w:r>
          </w:p>
        </w:tc>
        <w:tc>
          <w:tcPr>
            <w:tcW w:w="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24,940,908.04</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001"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1,909,444.31</w:t>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60" w:lineRule="auto" w:before="49"/>
        <w:ind w:left="140" w:right="4306"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 期末单项金额重大并单项计提坏账准备的其他应收款</w:t>
      </w:r>
    </w:p>
    <w:p>
      <w:pPr>
        <w:spacing w:line="360" w:lineRule="auto" w:before="25"/>
        <w:ind w:left="140" w:right="430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组合中，采用账龄分析法计提坏账准备的其他应收款</w:t>
      </w:r>
    </w:p>
    <w:p>
      <w:pPr>
        <w:spacing w:line="357" w:lineRule="auto" w:before="27"/>
        <w:ind w:left="140" w:right="412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组合中，采用余额百分比法计提坏账准备的其他应收款</w:t>
      </w:r>
    </w:p>
    <w:p>
      <w:pPr>
        <w:spacing w:before="29"/>
        <w:ind w:left="140"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footerReference w:type="default" r:id="rId70"/>
          <w:pgSz w:w="11910" w:h="16840"/>
          <w:pgMar w:footer="1227" w:header="877" w:top="1100" w:bottom="1420" w:left="1660" w:right="1640"/>
          <w:pgNumType w:start="120"/>
        </w:sectPr>
      </w:pPr>
    </w:p>
    <w:p>
      <w:pPr>
        <w:spacing w:line="240" w:lineRule="auto" w:before="1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1227" w:top="1100" w:bottom="1420" w:left="1660" w:right="1640"/>
        </w:sectPr>
      </w:pPr>
    </w:p>
    <w:p>
      <w:pPr>
        <w:spacing w:before="44"/>
        <w:ind w:left="140" w:right="-20" w:firstLine="0"/>
        <w:jc w:val="left"/>
        <w:rPr>
          <w:rFonts w:ascii="宋体" w:hAnsi="宋体" w:cs="宋体" w:eastAsia="宋体" w:hint="default"/>
          <w:sz w:val="18"/>
          <w:szCs w:val="18"/>
        </w:rPr>
      </w:pPr>
      <w:r>
        <w:rPr>
          <w:rFonts w:ascii="宋体" w:hAnsi="宋体" w:cs="宋体" w:eastAsia="宋体" w:hint="default"/>
          <w:sz w:val="18"/>
          <w:szCs w:val="18"/>
        </w:rPr>
        <w:t>组合中，采用其他方法计提坏账准备的其他应收款</w:t>
      </w:r>
    </w:p>
    <w:p>
      <w:pPr>
        <w:spacing w:before="117"/>
        <w:ind w:left="140" w:right="-2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880" w:bottom="280" w:left="1660" w:right="1640"/>
          <w:cols w:num="2" w:equalWidth="0">
            <w:col w:w="4101" w:space="3396"/>
            <w:col w:w="1113"/>
          </w:cols>
        </w:sectPr>
      </w:pP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3461"/>
        <w:gridCol w:w="2496"/>
        <w:gridCol w:w="2408"/>
      </w:tblGrid>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员工暂借款及其他</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3,017,514.34</w:t>
            </w:r>
          </w:p>
        </w:tc>
        <w:tc>
          <w:tcPr>
            <w:tcW w:w="240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应收退税款</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4,142,358.83</w:t>
            </w:r>
          </w:p>
        </w:tc>
        <w:tc>
          <w:tcPr>
            <w:tcW w:w="240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7,159,873.17</w:t>
            </w:r>
          </w:p>
        </w:tc>
        <w:tc>
          <w:tcPr>
            <w:tcW w:w="2408" w:type="dxa"/>
            <w:tcBorders>
              <w:top w:val="single" w:sz="4" w:space="0" w:color="000000"/>
              <w:left w:val="single" w:sz="4" w:space="0" w:color="000000"/>
              <w:bottom w:val="single" w:sz="4" w:space="0" w:color="000000"/>
              <w:right w:val="single" w:sz="4" w:space="0" w:color="000000"/>
            </w:tcBorders>
          </w:tcPr>
          <w:p>
            <w:pPr/>
          </w:p>
        </w:tc>
      </w:tr>
    </w:tbl>
    <w:p>
      <w:pPr>
        <w:spacing w:before="49"/>
        <w:ind w:left="140" w:right="0" w:firstLine="0"/>
        <w:jc w:val="left"/>
        <w:rPr>
          <w:rFonts w:ascii="宋体" w:hAnsi="宋体" w:cs="宋体" w:eastAsia="宋体" w:hint="default"/>
          <w:sz w:val="18"/>
          <w:szCs w:val="18"/>
        </w:rPr>
      </w:pPr>
      <w:r>
        <w:rPr>
          <w:rFonts w:ascii="宋体" w:hAnsi="宋体" w:cs="宋体" w:eastAsia="宋体" w:hint="default"/>
          <w:sz w:val="18"/>
          <w:szCs w:val="18"/>
        </w:rPr>
        <w:t>期末单项金额虽不重大但单项计提坏账准备的其他应收款</w:t>
      </w:r>
    </w:p>
    <w:p>
      <w:pPr>
        <w:spacing w:before="115"/>
        <w:ind w:left="140"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506" w:lineRule="auto" w:before="121"/>
        <w:ind w:left="560" w:right="4126" w:hanging="420"/>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2</w:t>
      </w:r>
      <w:r>
        <w:rPr>
          <w:spacing w:val="-1"/>
        </w:rPr>
        <w:t>）本报告期转回或收回的其他应收款情况</w:t>
      </w:r>
      <w:r>
        <w:rPr>
          <w:spacing w:val="-85"/>
        </w:rPr>
        <w:t> </w:t>
      </w:r>
      <w:r>
        <w:rPr>
          <w:spacing w:val="-85"/>
        </w:rPr>
      </w:r>
      <w:r>
        <w:rPr>
          <w:rFonts w:ascii="宋体" w:hAnsi="宋体" w:cs="宋体" w:eastAsia="宋体" w:hint="default"/>
          <w:b w:val="0"/>
          <w:bCs w:val="0"/>
        </w:rPr>
        <w:t>无。</w:t>
      </w:r>
    </w:p>
    <w:p>
      <w:pPr>
        <w:pStyle w:val="Heading3"/>
        <w:spacing w:line="506" w:lineRule="auto" w:before="104"/>
        <w:ind w:left="560" w:right="4306" w:hanging="420"/>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3</w:t>
      </w:r>
      <w:r>
        <w:rPr>
          <w:spacing w:val="-1"/>
        </w:rPr>
        <w:t>）本报告期实际核销的其他应收款情况</w:t>
      </w:r>
      <w:r>
        <w:rPr>
          <w:spacing w:val="-87"/>
        </w:rPr>
        <w:t> </w:t>
      </w:r>
      <w:r>
        <w:rPr>
          <w:spacing w:val="-87"/>
        </w:rPr>
      </w:r>
      <w:r>
        <w:rPr>
          <w:rFonts w:ascii="宋体" w:hAnsi="宋体" w:cs="宋体" w:eastAsia="宋体" w:hint="default"/>
          <w:b w:val="0"/>
          <w:bCs w:val="0"/>
        </w:rPr>
        <w:t>无。</w:t>
      </w:r>
    </w:p>
    <w:p>
      <w:pPr>
        <w:pStyle w:val="Heading3"/>
        <w:spacing w:line="506" w:lineRule="auto" w:before="101"/>
        <w:ind w:left="560" w:right="652" w:hanging="420"/>
        <w:jc w:val="left"/>
        <w:rPr>
          <w:rFonts w:ascii="宋体" w:hAnsi="宋体" w:cs="宋体" w:eastAsia="宋体" w:hint="default"/>
          <w:b w:val="0"/>
          <w:bCs w:val="0"/>
        </w:rPr>
      </w:pPr>
      <w:r>
        <w:rPr/>
        <w:t>（</w:t>
      </w:r>
      <w:r>
        <w:rPr>
          <w:rFonts w:ascii="Times New Roman" w:hAnsi="Times New Roman" w:cs="Times New Roman" w:eastAsia="Times New Roman" w:hint="default"/>
        </w:rPr>
        <w:t>4</w:t>
      </w:r>
      <w:r>
        <w:rPr/>
        <w:t>）本报告期其他应收款中持有公司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w w:val="100"/>
        </w:rPr>
        <w:t> </w:t>
      </w:r>
      <w:r>
        <w:rPr>
          <w:rFonts w:ascii="宋体" w:hAnsi="宋体" w:cs="宋体" w:eastAsia="宋体" w:hint="default"/>
          <w:b w:val="0"/>
          <w:bCs w:val="0"/>
        </w:rPr>
        <w:t>无。</w:t>
      </w:r>
    </w:p>
    <w:p>
      <w:pPr>
        <w:pStyle w:val="Heading3"/>
        <w:spacing w:line="240" w:lineRule="auto" w:before="104"/>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4"/>
        <w:rPr>
          <w:rFonts w:ascii="宋体" w:hAnsi="宋体" w:cs="宋体" w:eastAsia="宋体" w:hint="default"/>
          <w:b/>
          <w:bCs/>
          <w:sz w:val="26"/>
          <w:szCs w:val="26"/>
        </w:rPr>
      </w:pPr>
    </w:p>
    <w:p>
      <w:pPr>
        <w:spacing w:before="0"/>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091"/>
        <w:gridCol w:w="2090"/>
        <w:gridCol w:w="1673"/>
        <w:gridCol w:w="2511"/>
      </w:tblGrid>
      <w:tr>
        <w:trPr>
          <w:trHeight w:val="403" w:hRule="exact"/>
        </w:trPr>
        <w:tc>
          <w:tcPr>
            <w:tcW w:w="2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5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1" w:hRule="exact"/>
        </w:trPr>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吉林省公安厅</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667,500.00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质保金</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3.19%</w:t>
            </w:r>
          </w:p>
        </w:tc>
      </w:tr>
      <w:tr>
        <w:trPr>
          <w:trHeight w:val="403" w:hRule="exact"/>
        </w:trPr>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浙江省公安厅</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500,000.00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质保金</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2.39%</w:t>
            </w:r>
          </w:p>
        </w:tc>
      </w:tr>
      <w:tr>
        <w:trPr>
          <w:trHeight w:val="401" w:hRule="exact"/>
        </w:trPr>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胥方</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854,402.66</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办事处备用金</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4.08%</w:t>
            </w:r>
          </w:p>
        </w:tc>
      </w:tr>
      <w:tr>
        <w:trPr>
          <w:trHeight w:val="403" w:hRule="exact"/>
        </w:trPr>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2,021,902.66</w:t>
            </w:r>
          </w:p>
        </w:tc>
        <w:tc>
          <w:tcPr>
            <w:tcW w:w="1673"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9.65%</w:t>
            </w:r>
          </w:p>
        </w:tc>
      </w:tr>
    </w:tbl>
    <w:p>
      <w:pPr>
        <w:spacing w:before="49"/>
        <w:ind w:left="140" w:right="0" w:firstLine="0"/>
        <w:jc w:val="left"/>
        <w:rPr>
          <w:rFonts w:ascii="宋体" w:hAnsi="宋体" w:cs="宋体" w:eastAsia="宋体" w:hint="default"/>
          <w:sz w:val="18"/>
          <w:szCs w:val="18"/>
        </w:rPr>
      </w:pPr>
      <w:r>
        <w:rPr>
          <w:rFonts w:ascii="宋体" w:hAnsi="宋体" w:cs="宋体" w:eastAsia="宋体" w:hint="default"/>
          <w:sz w:val="18"/>
          <w:szCs w:val="18"/>
        </w:rPr>
        <w:t>说明：金额较大的其他应收款主要为合同质量保证金和办事处备用金。</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2"/>
        <w:rPr>
          <w:rFonts w:ascii="宋体" w:hAnsi="宋体" w:cs="宋体" w:eastAsia="宋体" w:hint="default"/>
          <w:b/>
          <w:bCs/>
          <w:sz w:val="22"/>
          <w:szCs w:val="22"/>
        </w:rPr>
      </w:pPr>
    </w:p>
    <w:p>
      <w:pPr>
        <w:spacing w:before="44"/>
        <w:ind w:left="0" w:right="156" w:firstLine="0"/>
        <w:jc w:val="right"/>
        <w:rPr>
          <w:rFonts w:ascii="宋体" w:hAnsi="宋体" w:cs="宋体" w:eastAsia="宋体" w:hint="default"/>
          <w:sz w:val="18"/>
          <w:szCs w:val="18"/>
        </w:rPr>
      </w:pPr>
      <w:r>
        <w:rPr/>
        <w:pict>
          <v:shape style="position:absolute;margin-left:417.429993pt;margin-top:95.867714pt;width:88pt;height:19.6pt;mso-position-horizontal-relative:page;mso-position-vertical-relative:paragraph;z-index:-803248" type="#_x0000_t202" filled="false" stroked="false">
            <v:textbox inset="0,0,0,0">
              <w:txbxContent>
                <w:p>
                  <w:pPr>
                    <w:spacing w:before="68"/>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424.630005pt;margin-top:95.867714pt;width:80.8pt;height:19.6pt;mso-position-horizontal-relative:page;mso-position-vertical-relative:paragraph;z-index:-803224" coordorigin="8493,1917" coordsize="1616,392">
            <v:shape style="position:absolute;left:8493;top:1917;width:1616;height:392" coordorigin="8493,1917" coordsize="1616,392" path="m8493,2309l10108,2309,10108,1917,8493,1917,8493,2309xe" filled="true" fillcolor="#ffffff" stroked="false">
              <v:path arrowok="t"/>
              <v:fill type="solid"/>
            </v:shape>
            <w10:wrap type="none"/>
          </v:group>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722"/>
        <w:gridCol w:w="1092"/>
        <w:gridCol w:w="1205"/>
        <w:gridCol w:w="1673"/>
        <w:gridCol w:w="1673"/>
      </w:tblGrid>
      <w:tr>
        <w:trPr>
          <w:trHeight w:val="713" w:hRule="exact"/>
        </w:trPr>
        <w:tc>
          <w:tcPr>
            <w:tcW w:w="2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1" w:right="89" w:hanging="360"/>
              <w:jc w:val="left"/>
              <w:rPr>
                <w:rFonts w:ascii="宋体" w:hAnsi="宋体" w:cs="宋体" w:eastAsia="宋体" w:hint="default"/>
                <w:sz w:val="18"/>
                <w:szCs w:val="18"/>
              </w:rPr>
            </w:pPr>
            <w:r>
              <w:rPr>
                <w:rFonts w:ascii="宋体" w:hAnsi="宋体" w:cs="宋体" w:eastAsia="宋体" w:hint="default"/>
                <w:sz w:val="18"/>
                <w:szCs w:val="18"/>
              </w:rPr>
              <w:t>与本公司关 系</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27" w:right="111" w:hanging="318"/>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 的比例</w:t>
            </w:r>
            <w:r>
              <w:rPr>
                <w:rFonts w:ascii="Times New Roman" w:hAnsi="Times New Roman" w:cs="Times New Roman" w:eastAsia="Times New Roman" w:hint="default"/>
                <w:sz w:val="18"/>
                <w:szCs w:val="18"/>
              </w:rPr>
              <w:t>(%)</w:t>
            </w:r>
          </w:p>
        </w:tc>
      </w:tr>
      <w:tr>
        <w:trPr>
          <w:trHeight w:val="403"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厦门市国税局直属局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4,142,358.83</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19.78%</w:t>
            </w:r>
          </w:p>
        </w:tc>
      </w:tr>
      <w:tr>
        <w:trPr>
          <w:trHeight w:val="401"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厦门市巨龙软件工程有限公司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1,630,000.00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7.78%</w:t>
            </w:r>
          </w:p>
        </w:tc>
      </w:tr>
      <w:tr>
        <w:trPr>
          <w:trHeight w:val="403"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广西公安厅</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1,190,000.00</w:t>
            </w:r>
          </w:p>
        </w:tc>
        <w:tc>
          <w:tcPr>
            <w:tcW w:w="1673"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7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190,000.00</w:t>
            </w:r>
          </w:p>
        </w:tc>
        <w:tc>
          <w:tcPr>
            <w:tcW w:w="167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5.68%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880" w:bottom="280" w:left="1660" w:right="1640"/>
        </w:sectPr>
      </w:pPr>
    </w:p>
    <w:p>
      <w:pPr>
        <w:spacing w:line="240" w:lineRule="auto" w:before="8"/>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2722"/>
        <w:gridCol w:w="1092"/>
        <w:gridCol w:w="1205"/>
        <w:gridCol w:w="1673"/>
        <w:gridCol w:w="1673"/>
      </w:tblGrid>
      <w:tr>
        <w:trPr>
          <w:trHeight w:val="363" w:hRule="exact"/>
        </w:trPr>
        <w:tc>
          <w:tcPr>
            <w:tcW w:w="272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1,000,000.00</w:t>
            </w: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云南公安厅</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4.77%</w:t>
            </w:r>
          </w:p>
        </w:tc>
      </w:tr>
      <w:tr>
        <w:trPr>
          <w:trHeight w:val="403"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代扣五险一金</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925,876.01</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4.42%</w:t>
            </w:r>
          </w:p>
        </w:tc>
      </w:tr>
      <w:tr>
        <w:trPr>
          <w:trHeight w:val="401" w:hRule="exact"/>
        </w:trPr>
        <w:tc>
          <w:tcPr>
            <w:tcW w:w="2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8,888,234.84</w:t>
            </w:r>
          </w:p>
        </w:tc>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42.43%</w:t>
            </w:r>
          </w:p>
        </w:tc>
      </w:tr>
    </w:tbl>
    <w:p>
      <w:pPr>
        <w:spacing w:line="240" w:lineRule="auto" w:before="3"/>
        <w:rPr>
          <w:rFonts w:ascii="宋体" w:hAnsi="宋体" w:cs="宋体" w:eastAsia="宋体" w:hint="default"/>
          <w:sz w:val="19"/>
          <w:szCs w:val="19"/>
        </w:rPr>
      </w:pPr>
    </w:p>
    <w:p>
      <w:pPr>
        <w:pStyle w:val="Heading3"/>
        <w:spacing w:line="506" w:lineRule="auto" w:before="36"/>
        <w:ind w:left="560" w:right="5614" w:hanging="420"/>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7</w:t>
      </w:r>
      <w:r>
        <w:rPr>
          <w:spacing w:val="-1"/>
        </w:rPr>
        <w:t>）其他应收关联方账款情况</w:t>
      </w:r>
      <w:r>
        <w:rPr>
          <w:spacing w:val="-94"/>
        </w:rPr>
        <w:t> </w:t>
      </w:r>
      <w:r>
        <w:rPr>
          <w:spacing w:val="-94"/>
        </w:rPr>
      </w:r>
      <w:r>
        <w:rPr>
          <w:rFonts w:ascii="宋体" w:hAnsi="宋体" w:cs="宋体" w:eastAsia="宋体" w:hint="default"/>
          <w:b w:val="0"/>
          <w:bCs w:val="0"/>
        </w:rPr>
        <w:t>无。</w:t>
      </w:r>
    </w:p>
    <w:p>
      <w:pPr>
        <w:pStyle w:val="Heading3"/>
        <w:spacing w:line="508" w:lineRule="auto" w:before="104"/>
        <w:ind w:left="560" w:right="4846" w:hanging="420"/>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8</w:t>
      </w:r>
      <w:r>
        <w:rPr>
          <w:spacing w:val="-1"/>
        </w:rPr>
        <w:t>）终止确认的其他应收款项情况</w:t>
      </w:r>
      <w:r>
        <w:rPr>
          <w:spacing w:val="-91"/>
        </w:rPr>
        <w:t> </w:t>
      </w:r>
      <w:r>
        <w:rPr>
          <w:spacing w:val="-91"/>
        </w:rPr>
      </w:r>
      <w:r>
        <w:rPr>
          <w:rFonts w:ascii="宋体" w:hAnsi="宋体" w:cs="宋体" w:eastAsia="宋体" w:hint="default"/>
          <w:b w:val="0"/>
          <w:bCs w:val="0"/>
        </w:rPr>
        <w:t>无。</w:t>
      </w:r>
    </w:p>
    <w:p>
      <w:pPr>
        <w:pStyle w:val="Heading3"/>
        <w:spacing w:line="506" w:lineRule="auto" w:before="99"/>
        <w:ind w:left="560" w:right="862" w:hanging="420"/>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9</w:t>
      </w:r>
      <w:r>
        <w:rPr>
          <w:spacing w:val="-1"/>
        </w:rPr>
        <w:t>）以其他应收款为标的进行证券化的，列示继续涉入形成的资产、负债的金额</w:t>
      </w:r>
      <w:r>
        <w:rPr>
          <w:spacing w:val="-75"/>
        </w:rPr>
        <w:t> </w:t>
      </w:r>
      <w:r>
        <w:rPr>
          <w:spacing w:val="-75"/>
        </w:rPr>
      </w:r>
      <w:r>
        <w:rPr>
          <w:rFonts w:ascii="宋体" w:hAnsi="宋体" w:cs="宋体" w:eastAsia="宋体" w:hint="default"/>
          <w:b w:val="0"/>
          <w:bCs w:val="0"/>
        </w:rPr>
        <w:t>无。</w:t>
      </w:r>
    </w:p>
    <w:p>
      <w:pPr>
        <w:pStyle w:val="Heading3"/>
        <w:spacing w:line="240" w:lineRule="auto" w:before="104"/>
        <w:ind w:right="0"/>
        <w:jc w:val="left"/>
        <w:rPr>
          <w:b w:val="0"/>
          <w:bCs w:val="0"/>
        </w:rPr>
      </w:pPr>
      <w:r>
        <w:rPr>
          <w:rFonts w:ascii="Times New Roman" w:hAnsi="Times New Roman" w:cs="Times New Roman" w:eastAsia="Times New Roman" w:hint="default"/>
        </w:rPr>
        <w:t>8</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028"/>
        <w:gridCol w:w="2798"/>
        <w:gridCol w:w="929"/>
        <w:gridCol w:w="2669"/>
        <w:gridCol w:w="929"/>
      </w:tblGrid>
      <w:tr>
        <w:trPr>
          <w:trHeight w:val="206" w:hRule="exact"/>
        </w:trPr>
        <w:tc>
          <w:tcPr>
            <w:tcW w:w="1028" w:type="dxa"/>
            <w:tcBorders>
              <w:top w:val="single" w:sz="4" w:space="0" w:color="000000"/>
              <w:left w:val="single" w:sz="4" w:space="0" w:color="000000"/>
              <w:bottom w:val="nil" w:sz="6" w:space="0" w:color="auto"/>
              <w:right w:val="single" w:sz="4" w:space="0" w:color="000000"/>
            </w:tcBorders>
            <w:shd w:val="clear" w:color="auto" w:fill="D2D2D2"/>
          </w:tcPr>
          <w:p>
            <w:pPr/>
          </w:p>
        </w:tc>
        <w:tc>
          <w:tcPr>
            <w:tcW w:w="37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6" w:hRule="exact"/>
        </w:trPr>
        <w:tc>
          <w:tcPr>
            <w:tcW w:w="10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8"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3727" w:type="dxa"/>
            <w:gridSpan w:val="2"/>
            <w:vMerge/>
            <w:tcBorders>
              <w:left w:val="single" w:sz="4" w:space="0" w:color="000000"/>
              <w:bottom w:val="single" w:sz="4" w:space="0" w:color="000000"/>
              <w:right w:val="single" w:sz="4" w:space="0" w:color="000000"/>
            </w:tcBorders>
            <w:shd w:val="clear" w:color="auto" w:fill="D2D2D2"/>
          </w:tcPr>
          <w:p>
            <w:pPr/>
          </w:p>
        </w:tc>
        <w:tc>
          <w:tcPr>
            <w:tcW w:w="359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028" w:type="dxa"/>
            <w:vMerge/>
            <w:tcBorders>
              <w:left w:val="single" w:sz="4" w:space="0" w:color="000000"/>
              <w:bottom w:val="nil" w:sz="6" w:space="0" w:color="auto"/>
              <w:right w:val="single" w:sz="4" w:space="0" w:color="000000"/>
            </w:tcBorders>
            <w:shd w:val="clear" w:color="auto" w:fill="D2D2D2"/>
          </w:tcPr>
          <w:p>
            <w:pPr/>
          </w:p>
        </w:tc>
        <w:tc>
          <w:tcPr>
            <w:tcW w:w="2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6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6" w:hRule="exact"/>
        </w:trPr>
        <w:tc>
          <w:tcPr>
            <w:tcW w:w="1028" w:type="dxa"/>
            <w:tcBorders>
              <w:top w:val="nil" w:sz="6" w:space="0" w:color="auto"/>
              <w:left w:val="single" w:sz="4" w:space="0" w:color="000000"/>
              <w:bottom w:val="single" w:sz="4" w:space="0" w:color="000000"/>
              <w:right w:val="single" w:sz="4" w:space="0" w:color="000000"/>
            </w:tcBorders>
            <w:shd w:val="clear" w:color="auto" w:fill="D2D2D2"/>
          </w:tcPr>
          <w:p>
            <w:pPr/>
          </w:p>
        </w:tc>
        <w:tc>
          <w:tcPr>
            <w:tcW w:w="2798"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2669"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7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6,144,929.93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99.72%</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9,517,584.95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96.39%</w:t>
            </w:r>
          </w:p>
        </w:tc>
      </w:tr>
      <w:tr>
        <w:trPr>
          <w:trHeight w:val="403" w:hRule="exact"/>
        </w:trPr>
        <w:tc>
          <w:tcPr>
            <w:tcW w:w="1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17,546.00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0.28%</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154,586.08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1.56%</w:t>
            </w:r>
          </w:p>
        </w:tc>
      </w:tr>
      <w:tr>
        <w:trPr>
          <w:trHeight w:val="401" w:hRule="exact"/>
        </w:trPr>
        <w:tc>
          <w:tcPr>
            <w:tcW w:w="1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8" w:type="dxa"/>
            <w:tcBorders>
              <w:top w:val="single" w:sz="4" w:space="0" w:color="000000"/>
              <w:left w:val="single" w:sz="9" w:space="0" w:color="D2D2D2"/>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180,222.09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1.83%</w:t>
            </w:r>
          </w:p>
        </w:tc>
      </w:tr>
      <w:tr>
        <w:trPr>
          <w:trHeight w:val="403" w:hRule="exact"/>
        </w:trPr>
        <w:tc>
          <w:tcPr>
            <w:tcW w:w="1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798" w:type="dxa"/>
            <w:tcBorders>
              <w:top w:val="single" w:sz="4" w:space="0" w:color="000000"/>
              <w:left w:val="single" w:sz="9" w:space="0" w:color="D2D2D2"/>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21,596.00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0.22%</w:t>
            </w:r>
          </w:p>
        </w:tc>
      </w:tr>
      <w:tr>
        <w:trPr>
          <w:trHeight w:val="403" w:hRule="exact"/>
        </w:trPr>
        <w:tc>
          <w:tcPr>
            <w:tcW w:w="1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8"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6,162,475.93</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69" w:type="dxa"/>
            <w:tcBorders>
              <w:top w:val="single" w:sz="4" w:space="0" w:color="000000"/>
              <w:left w:val="single" w:sz="10" w:space="0" w:color="D2D2D2"/>
              <w:bottom w:val="single" w:sz="4" w:space="0" w:color="000000"/>
              <w:right w:val="single" w:sz="12"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9,873,989.12</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r>
    </w:tbl>
    <w:p>
      <w:pPr>
        <w:spacing w:line="439" w:lineRule="auto" w:before="49"/>
        <w:ind w:left="140" w:right="3856" w:firstLine="0"/>
        <w:jc w:val="left"/>
        <w:rPr>
          <w:rFonts w:ascii="宋体" w:hAnsi="宋体" w:cs="宋体" w:eastAsia="宋体" w:hint="default"/>
          <w:sz w:val="18"/>
          <w:szCs w:val="18"/>
        </w:rPr>
      </w:pPr>
      <w:r>
        <w:rPr>
          <w:rFonts w:ascii="宋体" w:hAnsi="宋体" w:cs="宋体" w:eastAsia="宋体" w:hint="default"/>
          <w:sz w:val="18"/>
          <w:szCs w:val="18"/>
        </w:rPr>
        <w:t>预付款项账龄的说明 注：年末预付款项中不存在账龄超过</w:t>
      </w:r>
      <w:r>
        <w:rPr>
          <w:rFonts w:ascii="Times New Roman" w:hAnsi="Times New Roman" w:cs="Times New Roman" w:eastAsia="Times New Roman" w:hint="default"/>
          <w:sz w:val="18"/>
          <w:szCs w:val="18"/>
        </w:rPr>
        <w:t>1</w:t>
      </w:r>
      <w:r>
        <w:rPr>
          <w:rFonts w:ascii="宋体" w:hAnsi="宋体" w:cs="宋体" w:eastAsia="宋体" w:hint="default"/>
          <w:sz w:val="18"/>
          <w:szCs w:val="18"/>
        </w:rPr>
        <w:t>年的重要预付账款。</w:t>
      </w:r>
    </w:p>
    <w:p>
      <w:pPr>
        <w:spacing w:line="240" w:lineRule="auto" w:before="5"/>
        <w:rPr>
          <w:rFonts w:ascii="宋体" w:hAnsi="宋体" w:cs="宋体" w:eastAsia="宋体" w:hint="default"/>
          <w:sz w:val="13"/>
          <w:szCs w:val="13"/>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12"/>
        <w:rPr>
          <w:rFonts w:ascii="宋体" w:hAnsi="宋体" w:cs="宋体" w:eastAsia="宋体" w:hint="default"/>
          <w:b/>
          <w:bCs/>
          <w:sz w:val="22"/>
          <w:szCs w:val="22"/>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3077"/>
        <w:gridCol w:w="982"/>
        <w:gridCol w:w="960"/>
        <w:gridCol w:w="1673"/>
        <w:gridCol w:w="1673"/>
      </w:tblGrid>
      <w:tr>
        <w:trPr>
          <w:trHeight w:val="714" w:hRule="exact"/>
        </w:trPr>
        <w:tc>
          <w:tcPr>
            <w:tcW w:w="3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93" w:right="36" w:hanging="360"/>
              <w:jc w:val="left"/>
              <w:rPr>
                <w:rFonts w:ascii="宋体" w:hAnsi="宋体" w:cs="宋体" w:eastAsia="宋体" w:hint="default"/>
                <w:sz w:val="18"/>
                <w:szCs w:val="18"/>
              </w:rPr>
            </w:pPr>
            <w:r>
              <w:rPr>
                <w:rFonts w:ascii="宋体" w:hAnsi="宋体" w:cs="宋体" w:eastAsia="宋体" w:hint="default"/>
                <w:sz w:val="18"/>
                <w:szCs w:val="18"/>
              </w:rPr>
              <w:t>与本公司关 系</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79"/>
              <w:jc w:val="righ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0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厦门美园系统工程有限公司</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566,965.38</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77"/>
              <w:jc w:val="right"/>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0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成都三零凯天通信实业有限公司</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center"/>
              <w:rPr>
                <w:rFonts w:ascii="Times New Roman" w:hAnsi="Times New Roman" w:cs="Times New Roman" w:eastAsia="Times New Roman" w:hint="default"/>
                <w:sz w:val="18"/>
                <w:szCs w:val="18"/>
              </w:rPr>
            </w:pPr>
            <w:r>
              <w:rPr>
                <w:rFonts w:ascii="Times New Roman"/>
                <w:sz w:val="18"/>
              </w:rPr>
              <w:t>371,700.00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77"/>
              <w:jc w:val="right"/>
              <w:rPr>
                <w:rFonts w:ascii="宋体" w:hAnsi="宋体" w:cs="宋体" w:eastAsia="宋体" w:hint="default"/>
                <w:sz w:val="18"/>
                <w:szCs w:val="18"/>
              </w:rPr>
            </w:pPr>
            <w:r>
              <w:rPr>
                <w:rFonts w:ascii="宋体" w:hAnsi="宋体" w:cs="宋体" w:eastAsia="宋体" w:hint="default"/>
                <w:sz w:val="18"/>
                <w:szCs w:val="18"/>
              </w:rPr>
              <w:t>合同未执行完毕</w:t>
            </w:r>
          </w:p>
        </w:tc>
      </w:tr>
    </w:tbl>
    <w:p>
      <w:pPr>
        <w:spacing w:after="0" w:line="240" w:lineRule="auto"/>
        <w:jc w:val="right"/>
        <w:rPr>
          <w:rFonts w:ascii="宋体" w:hAnsi="宋体" w:cs="宋体" w:eastAsia="宋体" w:hint="default"/>
          <w:sz w:val="18"/>
          <w:szCs w:val="18"/>
        </w:rPr>
        <w:sectPr>
          <w:pgSz w:w="11910" w:h="16840"/>
          <w:pgMar w:header="877" w:footer="1227" w:top="1100" w:bottom="1420" w:left="1660" w:right="1640"/>
        </w:sectPr>
      </w:pPr>
    </w:p>
    <w:p>
      <w:pPr>
        <w:spacing w:line="240" w:lineRule="auto" w:before="8"/>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3077"/>
        <w:gridCol w:w="982"/>
        <w:gridCol w:w="960"/>
        <w:gridCol w:w="1673"/>
        <w:gridCol w:w="1673"/>
      </w:tblGrid>
      <w:tr>
        <w:trPr>
          <w:trHeight w:val="40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天津开发区先特网络系统有限公司</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251,790.00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0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成都艾普瑞实验设备有限公司</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234,100.00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0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济南诚方网络科技有限公司</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230,000.00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bl>
    <w:p>
      <w:pPr>
        <w:spacing w:before="49"/>
        <w:ind w:left="140" w:right="0" w:firstLine="0"/>
        <w:jc w:val="left"/>
        <w:rPr>
          <w:rFonts w:ascii="宋体" w:hAnsi="宋体" w:cs="宋体" w:eastAsia="宋体" w:hint="default"/>
          <w:sz w:val="18"/>
          <w:szCs w:val="18"/>
        </w:rPr>
      </w:pPr>
      <w:r>
        <w:rPr>
          <w:rFonts w:ascii="宋体" w:hAnsi="宋体" w:cs="宋体" w:eastAsia="宋体" w:hint="default"/>
          <w:sz w:val="18"/>
          <w:szCs w:val="18"/>
        </w:rPr>
        <w:t>预付款项主要单位的说明：无。</w:t>
      </w:r>
    </w:p>
    <w:p>
      <w:pPr>
        <w:spacing w:line="240" w:lineRule="auto" w:before="0"/>
        <w:rPr>
          <w:rFonts w:ascii="宋体" w:hAnsi="宋体" w:cs="宋体" w:eastAsia="宋体" w:hint="default"/>
          <w:sz w:val="18"/>
          <w:szCs w:val="18"/>
        </w:rPr>
      </w:pPr>
    </w:p>
    <w:p>
      <w:pPr>
        <w:pStyle w:val="Heading3"/>
        <w:spacing w:line="506" w:lineRule="auto" w:before="118"/>
        <w:ind w:left="560" w:right="652" w:hanging="420"/>
        <w:jc w:val="left"/>
        <w:rPr>
          <w:rFonts w:ascii="宋体" w:hAnsi="宋体" w:cs="宋体" w:eastAsia="宋体" w:hint="default"/>
          <w:b w:val="0"/>
          <w:bCs w:val="0"/>
        </w:rPr>
      </w:pPr>
      <w:r>
        <w:rPr/>
        <w:t>（</w:t>
      </w:r>
      <w:r>
        <w:rPr>
          <w:rFonts w:ascii="Times New Roman" w:hAnsi="Times New Roman" w:cs="Times New Roman" w:eastAsia="Times New Roman" w:hint="default"/>
        </w:rPr>
        <w:t>3</w:t>
      </w:r>
      <w:r>
        <w:rPr/>
        <w:t>）本报告期预付款项中持有本公司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w w:val="100"/>
        </w:rPr>
        <w:t> </w:t>
      </w:r>
      <w:r>
        <w:rPr>
          <w:rFonts w:ascii="宋体" w:hAnsi="宋体" w:cs="宋体" w:eastAsia="宋体" w:hint="default"/>
          <w:b w:val="0"/>
          <w:bCs w:val="0"/>
        </w:rPr>
        <w:t>无。</w:t>
      </w:r>
    </w:p>
    <w:p>
      <w:pPr>
        <w:pStyle w:val="Heading3"/>
        <w:spacing w:line="506" w:lineRule="auto" w:before="104"/>
        <w:ind w:left="560" w:right="6444" w:hanging="420"/>
        <w:jc w:val="left"/>
        <w:rPr>
          <w:rFonts w:ascii="宋体" w:hAnsi="宋体" w:cs="宋体" w:eastAsia="宋体" w:hint="default"/>
          <w:b w:val="0"/>
          <w:bCs w:val="0"/>
        </w:rPr>
      </w:pPr>
      <w:r>
        <w:rPr/>
        <w:t>（</w:t>
      </w:r>
      <w:r>
        <w:rPr>
          <w:rFonts w:ascii="Times New Roman" w:hAnsi="Times New Roman" w:cs="Times New Roman" w:eastAsia="Times New Roman" w:hint="default"/>
        </w:rPr>
        <w:t>4</w:t>
      </w:r>
      <w:r>
        <w:rPr/>
        <w:t>）预付款项的说明</w:t>
      </w:r>
      <w:r>
        <w:rPr>
          <w:w w:val="100"/>
        </w:rPr>
        <w:t> </w:t>
      </w:r>
      <w:r>
        <w:rPr>
          <w:rFonts w:ascii="宋体" w:hAnsi="宋体" w:cs="宋体" w:eastAsia="宋体" w:hint="default"/>
          <w:b w:val="0"/>
          <w:bCs w:val="0"/>
        </w:rPr>
        <w:t>无。</w:t>
      </w:r>
    </w:p>
    <w:p>
      <w:pPr>
        <w:pStyle w:val="Heading3"/>
        <w:spacing w:line="240" w:lineRule="auto" w:before="104"/>
        <w:ind w:right="0"/>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2"/>
        <w:rPr>
          <w:rFonts w:ascii="宋体" w:hAnsi="宋体" w:cs="宋体" w:eastAsia="宋体" w:hint="default"/>
          <w:b/>
          <w:bCs/>
          <w:sz w:val="26"/>
          <w:szCs w:val="26"/>
        </w:rPr>
      </w:pPr>
    </w:p>
    <w:p>
      <w:pPr>
        <w:spacing w:before="0"/>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385"/>
        <w:gridCol w:w="1292"/>
        <w:gridCol w:w="1044"/>
        <w:gridCol w:w="1162"/>
        <w:gridCol w:w="1159"/>
        <w:gridCol w:w="1165"/>
        <w:gridCol w:w="1159"/>
      </w:tblGrid>
      <w:tr>
        <w:trPr>
          <w:trHeight w:val="206" w:hRule="exact"/>
        </w:trPr>
        <w:tc>
          <w:tcPr>
            <w:tcW w:w="13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49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13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98" w:type="dxa"/>
            <w:gridSpan w:val="3"/>
            <w:vMerge/>
            <w:tcBorders>
              <w:left w:val="single" w:sz="4" w:space="0" w:color="000000"/>
              <w:bottom w:val="single" w:sz="4" w:space="0" w:color="000000"/>
              <w:right w:val="single" w:sz="4" w:space="0" w:color="000000"/>
            </w:tcBorders>
            <w:shd w:val="clear" w:color="auto" w:fill="D2D2D2"/>
          </w:tcPr>
          <w:p>
            <w:pPr/>
          </w:p>
        </w:tc>
        <w:tc>
          <w:tcPr>
            <w:tcW w:w="3483"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85" w:type="dxa"/>
            <w:vMerge/>
            <w:tcBorders>
              <w:left w:val="single" w:sz="4" w:space="0" w:color="000000"/>
              <w:bottom w:val="nil" w:sz="6" w:space="0" w:color="auto"/>
              <w:right w:val="single" w:sz="4" w:space="0" w:color="000000"/>
            </w:tcBorders>
            <w:shd w:val="clear" w:color="auto" w:fill="D2D2D2"/>
          </w:tcPr>
          <w:p>
            <w:pPr/>
          </w:p>
        </w:tc>
        <w:tc>
          <w:tcPr>
            <w:tcW w:w="12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1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1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92" w:type="dxa"/>
            <w:vMerge/>
            <w:tcBorders>
              <w:left w:val="single" w:sz="4" w:space="0" w:color="000000"/>
              <w:bottom w:val="single" w:sz="4" w:space="0" w:color="000000"/>
              <w:right w:val="single" w:sz="4" w:space="0" w:color="000000"/>
            </w:tcBorders>
            <w:shd w:val="clear" w:color="auto" w:fill="D2D2D2"/>
          </w:tcPr>
          <w:p>
            <w:pPr/>
          </w:p>
        </w:tc>
        <w:tc>
          <w:tcPr>
            <w:tcW w:w="1044" w:type="dxa"/>
            <w:vMerge/>
            <w:tcBorders>
              <w:left w:val="single" w:sz="4" w:space="0" w:color="000000"/>
              <w:bottom w:val="single" w:sz="4" w:space="0" w:color="000000"/>
              <w:right w:val="single" w:sz="4" w:space="0" w:color="000000"/>
            </w:tcBorders>
            <w:shd w:val="clear" w:color="auto" w:fill="D2D2D2"/>
          </w:tcPr>
          <w:p>
            <w:pPr/>
          </w:p>
        </w:tc>
        <w:tc>
          <w:tcPr>
            <w:tcW w:w="1162" w:type="dxa"/>
            <w:vMerge/>
            <w:tcBorders>
              <w:left w:val="single" w:sz="4" w:space="0" w:color="000000"/>
              <w:bottom w:val="single" w:sz="4" w:space="0" w:color="000000"/>
              <w:right w:val="single" w:sz="4" w:space="0" w:color="000000"/>
            </w:tcBorders>
            <w:shd w:val="clear" w:color="auto" w:fill="D2D2D2"/>
          </w:tcPr>
          <w:p>
            <w:pPr/>
          </w:p>
        </w:tc>
        <w:tc>
          <w:tcPr>
            <w:tcW w:w="1159" w:type="dxa"/>
            <w:vMerge/>
            <w:tcBorders>
              <w:left w:val="single" w:sz="4" w:space="0" w:color="000000"/>
              <w:bottom w:val="single" w:sz="4" w:space="0" w:color="000000"/>
              <w:right w:val="single" w:sz="4" w:space="0" w:color="000000"/>
            </w:tcBorders>
            <w:shd w:val="clear" w:color="auto" w:fill="D2D2D2"/>
          </w:tcPr>
          <w:p>
            <w:pPr/>
          </w:p>
        </w:tc>
        <w:tc>
          <w:tcPr>
            <w:tcW w:w="1165" w:type="dxa"/>
            <w:vMerge/>
            <w:tcBorders>
              <w:left w:val="single" w:sz="4" w:space="0" w:color="000000"/>
              <w:bottom w:val="single" w:sz="4" w:space="0" w:color="000000"/>
              <w:right w:val="single" w:sz="4" w:space="0" w:color="000000"/>
            </w:tcBorders>
            <w:shd w:val="clear" w:color="auto" w:fill="D2D2D2"/>
          </w:tcPr>
          <w:p>
            <w:pPr/>
          </w:p>
        </w:tc>
        <w:tc>
          <w:tcPr>
            <w:tcW w:w="115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2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19,522,460.03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14,405.04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19,508,054.99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14,932,901.03</w:t>
            </w:r>
          </w:p>
        </w:tc>
        <w:tc>
          <w:tcPr>
            <w:tcW w:w="116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14,932,901.03</w:t>
            </w:r>
          </w:p>
        </w:tc>
      </w:tr>
      <w:tr>
        <w:trPr>
          <w:trHeight w:val="401" w:hRule="exact"/>
        </w:trPr>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2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9,338,188.79</w:t>
            </w:r>
          </w:p>
        </w:tc>
        <w:tc>
          <w:tcPr>
            <w:tcW w:w="104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9,338,188.79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1,466,709.34</w:t>
            </w:r>
          </w:p>
        </w:tc>
        <w:tc>
          <w:tcPr>
            <w:tcW w:w="116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1,466,709.34</w:t>
            </w:r>
          </w:p>
        </w:tc>
      </w:tr>
      <w:tr>
        <w:trPr>
          <w:trHeight w:val="403" w:hRule="exact"/>
        </w:trPr>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2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23,529,405.38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201,269.37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23,328,136.01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18,396,458.30</w:t>
            </w:r>
          </w:p>
        </w:tc>
        <w:tc>
          <w:tcPr>
            <w:tcW w:w="116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18,396,458.30</w:t>
            </w:r>
          </w:p>
        </w:tc>
      </w:tr>
      <w:tr>
        <w:trPr>
          <w:trHeight w:val="401" w:hRule="exact"/>
        </w:trPr>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2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769,811.39</w:t>
            </w:r>
          </w:p>
        </w:tc>
        <w:tc>
          <w:tcPr>
            <w:tcW w:w="104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769,811.39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821,425.87</w:t>
            </w:r>
          </w:p>
        </w:tc>
        <w:tc>
          <w:tcPr>
            <w:tcW w:w="116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821,425.87</w:t>
            </w:r>
          </w:p>
        </w:tc>
      </w:tr>
      <w:tr>
        <w:trPr>
          <w:trHeight w:val="40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31,112,532.98</w:t>
            </w:r>
          </w:p>
        </w:tc>
        <w:tc>
          <w:tcPr>
            <w:tcW w:w="104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31,112,532.98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42,242,193.00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42,242,193.00</w:t>
            </w:r>
          </w:p>
        </w:tc>
      </w:tr>
      <w:tr>
        <w:trPr>
          <w:trHeight w:val="40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390,378.28</w:t>
            </w:r>
          </w:p>
        </w:tc>
        <w:tc>
          <w:tcPr>
            <w:tcW w:w="104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390,378.28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2,654,123.72</w:t>
            </w:r>
          </w:p>
        </w:tc>
        <w:tc>
          <w:tcPr>
            <w:tcW w:w="116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2,654,123.72</w:t>
            </w:r>
          </w:p>
        </w:tc>
      </w:tr>
      <w:tr>
        <w:trPr>
          <w:trHeight w:val="403" w:hRule="exact"/>
        </w:trPr>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84,662,776.85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215,674.41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84,447,102.44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80,513,811.26</w:t>
            </w:r>
          </w:p>
        </w:tc>
        <w:tc>
          <w:tcPr>
            <w:tcW w:w="116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80,513,811.26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2"/>
          <w:szCs w:val="22"/>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507"/>
        <w:gridCol w:w="1412"/>
        <w:gridCol w:w="1414"/>
        <w:gridCol w:w="1234"/>
        <w:gridCol w:w="1250"/>
        <w:gridCol w:w="1537"/>
      </w:tblGrid>
      <w:tr>
        <w:trPr>
          <w:trHeight w:val="206" w:hRule="exact"/>
        </w:trPr>
        <w:tc>
          <w:tcPr>
            <w:tcW w:w="15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4" w:type="dxa"/>
            <w:tcBorders>
              <w:top w:val="single" w:sz="4" w:space="0" w:color="000000"/>
              <w:left w:val="single" w:sz="4" w:space="0" w:color="000000"/>
              <w:bottom w:val="nil" w:sz="6" w:space="0" w:color="auto"/>
              <w:right w:val="single" w:sz="4" w:space="0" w:color="000000"/>
            </w:tcBorders>
            <w:shd w:val="clear" w:color="auto" w:fill="D2D2D2"/>
          </w:tcPr>
          <w:p>
            <w:pPr/>
          </w:p>
        </w:tc>
        <w:tc>
          <w:tcPr>
            <w:tcW w:w="24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3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3" w:hRule="exact"/>
        </w:trPr>
        <w:tc>
          <w:tcPr>
            <w:tcW w:w="15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4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4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484" w:type="dxa"/>
            <w:gridSpan w:val="2"/>
            <w:vMerge/>
            <w:tcBorders>
              <w:left w:val="single" w:sz="4" w:space="0" w:color="000000"/>
              <w:bottom w:val="single" w:sz="4" w:space="0" w:color="000000"/>
              <w:right w:val="single" w:sz="4" w:space="0" w:color="000000"/>
            </w:tcBorders>
            <w:shd w:val="clear" w:color="auto" w:fill="D2D2D2"/>
          </w:tcPr>
          <w:p>
            <w:pPr/>
          </w:p>
        </w:tc>
        <w:tc>
          <w:tcPr>
            <w:tcW w:w="15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99" w:hRule="exact"/>
        </w:trPr>
        <w:tc>
          <w:tcPr>
            <w:tcW w:w="1507" w:type="dxa"/>
            <w:vMerge/>
            <w:tcBorders>
              <w:left w:val="single" w:sz="4" w:space="0" w:color="000000"/>
              <w:bottom w:val="nil" w:sz="6" w:space="0" w:color="auto"/>
              <w:right w:val="single" w:sz="4" w:space="0" w:color="000000"/>
            </w:tcBorders>
            <w:shd w:val="clear" w:color="auto" w:fill="D2D2D2"/>
          </w:tcPr>
          <w:p>
            <w:pPr/>
          </w:p>
        </w:tc>
        <w:tc>
          <w:tcPr>
            <w:tcW w:w="1412" w:type="dxa"/>
            <w:vMerge/>
            <w:tcBorders>
              <w:left w:val="single" w:sz="4" w:space="0" w:color="000000"/>
              <w:bottom w:val="nil" w:sz="6" w:space="0" w:color="auto"/>
              <w:right w:val="single" w:sz="4" w:space="0" w:color="000000"/>
            </w:tcBorders>
            <w:shd w:val="clear" w:color="auto" w:fill="D2D2D2"/>
          </w:tcPr>
          <w:p>
            <w:pPr/>
          </w:p>
        </w:tc>
        <w:tc>
          <w:tcPr>
            <w:tcW w:w="1414" w:type="dxa"/>
            <w:vMerge/>
            <w:tcBorders>
              <w:left w:val="single" w:sz="4" w:space="0" w:color="000000"/>
              <w:bottom w:val="nil" w:sz="6" w:space="0" w:color="auto"/>
              <w:right w:val="single" w:sz="4" w:space="0" w:color="000000"/>
            </w:tcBorders>
            <w:shd w:val="clear" w:color="auto" w:fill="D2D2D2"/>
          </w:tcPr>
          <w:p>
            <w:pPr/>
          </w:p>
        </w:tc>
        <w:tc>
          <w:tcPr>
            <w:tcW w:w="12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转回</w:t>
            </w:r>
          </w:p>
        </w:tc>
        <w:tc>
          <w:tcPr>
            <w:tcW w:w="12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53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34" w:type="dxa"/>
            <w:vMerge/>
            <w:tcBorders>
              <w:left w:val="single" w:sz="4" w:space="0" w:color="000000"/>
              <w:bottom w:val="single" w:sz="4" w:space="0" w:color="000000"/>
              <w:right w:val="single" w:sz="4" w:space="0" w:color="000000"/>
            </w:tcBorders>
            <w:shd w:val="clear" w:color="auto" w:fill="D2D2D2"/>
          </w:tcPr>
          <w:p>
            <w:pPr/>
          </w:p>
        </w:tc>
        <w:tc>
          <w:tcPr>
            <w:tcW w:w="1250" w:type="dxa"/>
            <w:vMerge/>
            <w:tcBorders>
              <w:left w:val="single" w:sz="4" w:space="0" w:color="000000"/>
              <w:bottom w:val="single" w:sz="4" w:space="0" w:color="000000"/>
              <w:right w:val="single" w:sz="4" w:space="0" w:color="000000"/>
            </w:tcBorders>
            <w:shd w:val="clear" w:color="auto" w:fill="D2D2D2"/>
          </w:tcPr>
          <w:p>
            <w:pPr/>
          </w:p>
        </w:tc>
        <w:tc>
          <w:tcPr>
            <w:tcW w:w="153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12" w:type="dxa"/>
            <w:tcBorders>
              <w:top w:val="single" w:sz="4" w:space="0" w:color="000000"/>
              <w:left w:val="single" w:sz="13" w:space="0" w:color="D2D2D2"/>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14,405.04</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14,405.04</w:t>
            </w:r>
          </w:p>
        </w:tc>
      </w:tr>
      <w:tr>
        <w:trPr>
          <w:trHeight w:val="401" w:hRule="exact"/>
        </w:trPr>
        <w:tc>
          <w:tcPr>
            <w:tcW w:w="1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12" w:type="dxa"/>
            <w:tcBorders>
              <w:top w:val="single" w:sz="4" w:space="0" w:color="000000"/>
              <w:left w:val="single" w:sz="13" w:space="0" w:color="D2D2D2"/>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201,269.37</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201,269.37</w:t>
            </w:r>
          </w:p>
        </w:tc>
      </w:tr>
      <w:tr>
        <w:trPr>
          <w:trHeight w:val="403" w:hRule="exact"/>
        </w:trPr>
        <w:tc>
          <w:tcPr>
            <w:tcW w:w="1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9"/>
                <w:sz w:val="18"/>
                <w:szCs w:val="18"/>
              </w:rPr>
              <w:t> </w:t>
            </w:r>
            <w:r>
              <w:rPr>
                <w:rFonts w:ascii="宋体" w:hAnsi="宋体" w:cs="宋体" w:eastAsia="宋体" w:hint="default"/>
                <w:sz w:val="18"/>
                <w:szCs w:val="18"/>
              </w:rPr>
              <w:t>计</w:t>
            </w:r>
          </w:p>
        </w:tc>
        <w:tc>
          <w:tcPr>
            <w:tcW w:w="1412" w:type="dxa"/>
            <w:tcBorders>
              <w:top w:val="single" w:sz="4" w:space="0" w:color="000000"/>
              <w:left w:val="single" w:sz="13" w:space="0" w:color="D2D2D2"/>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215,674.41</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215,674.41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1660" w:right="164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8" w:type="dxa"/>
        <w:tblLayout w:type="fixed"/>
        <w:tblCellMar>
          <w:top w:w="0" w:type="dxa"/>
          <w:left w:w="0" w:type="dxa"/>
          <w:bottom w:w="0" w:type="dxa"/>
          <w:right w:w="0" w:type="dxa"/>
        </w:tblCellMar>
        <w:tblLook w:val="01E0"/>
      </w:tblPr>
      <w:tblGrid>
        <w:gridCol w:w="2079"/>
        <w:gridCol w:w="2090"/>
        <w:gridCol w:w="2091"/>
        <w:gridCol w:w="2093"/>
      </w:tblGrid>
      <w:tr>
        <w:trPr>
          <w:trHeight w:val="161" w:hRule="exact"/>
        </w:trPr>
        <w:tc>
          <w:tcPr>
            <w:tcW w:w="2079"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861" w:right="48" w:hanging="812"/>
              <w:jc w:val="left"/>
              <w:rPr>
                <w:rFonts w:ascii="宋体" w:hAnsi="宋体" w:cs="宋体" w:eastAsia="宋体" w:hint="default"/>
                <w:sz w:val="18"/>
                <w:szCs w:val="18"/>
              </w:rPr>
            </w:pPr>
            <w:r>
              <w:rPr>
                <w:rFonts w:ascii="宋体" w:hAnsi="宋体" w:cs="宋体" w:eastAsia="宋体" w:hint="default"/>
                <w:sz w:val="18"/>
                <w:szCs w:val="18"/>
              </w:rPr>
              <w:t>本期转回存货跌价准备的 原因</w:t>
            </w:r>
          </w:p>
        </w:tc>
        <w:tc>
          <w:tcPr>
            <w:tcW w:w="20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56" w:right="51" w:hanging="106"/>
              <w:jc w:val="left"/>
              <w:rPr>
                <w:rFonts w:ascii="宋体" w:hAnsi="宋体" w:cs="宋体" w:eastAsia="宋体" w:hint="default"/>
                <w:sz w:val="18"/>
                <w:szCs w:val="18"/>
              </w:rPr>
            </w:pPr>
            <w:r>
              <w:rPr>
                <w:rFonts w:ascii="宋体" w:hAnsi="宋体" w:cs="宋体" w:eastAsia="宋体" w:hint="default"/>
                <w:sz w:val="18"/>
                <w:szCs w:val="18"/>
              </w:rPr>
              <w:t>本期转回金额占该项存货 期末余额的比例（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1" w:hRule="exact"/>
        </w:trPr>
        <w:tc>
          <w:tcPr>
            <w:tcW w:w="20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20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091" w:type="dxa"/>
            <w:vMerge/>
            <w:tcBorders>
              <w:left w:val="single" w:sz="4" w:space="0" w:color="000000"/>
              <w:right w:val="single" w:sz="4" w:space="0" w:color="000000"/>
            </w:tcBorders>
            <w:shd w:val="clear" w:color="auto" w:fill="D2D2D2"/>
          </w:tcPr>
          <w:p>
            <w:pPr/>
          </w:p>
        </w:tc>
        <w:tc>
          <w:tcPr>
            <w:tcW w:w="2093" w:type="dxa"/>
            <w:vMerge/>
            <w:tcBorders>
              <w:left w:val="single" w:sz="4" w:space="0" w:color="000000"/>
              <w:right w:val="single" w:sz="4" w:space="0" w:color="000000"/>
            </w:tcBorders>
            <w:shd w:val="clear" w:color="auto" w:fill="D2D2D2"/>
          </w:tcPr>
          <w:p>
            <w:pPr/>
          </w:p>
        </w:tc>
      </w:tr>
      <w:tr>
        <w:trPr>
          <w:trHeight w:val="161" w:hRule="exact"/>
        </w:trPr>
        <w:tc>
          <w:tcPr>
            <w:tcW w:w="2079"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1" w:type="dxa"/>
            <w:vMerge/>
            <w:tcBorders>
              <w:left w:val="single" w:sz="4" w:space="0" w:color="000000"/>
              <w:bottom w:val="single" w:sz="4" w:space="0" w:color="000000"/>
              <w:right w:val="single" w:sz="4" w:space="0" w:color="000000"/>
            </w:tcBorders>
            <w:shd w:val="clear" w:color="auto" w:fill="D2D2D2"/>
          </w:tcPr>
          <w:p>
            <w:pPr/>
          </w:p>
        </w:tc>
        <w:tc>
          <w:tcPr>
            <w:tcW w:w="20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0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产品更新换代</w:t>
            </w:r>
          </w:p>
        </w:tc>
        <w:tc>
          <w:tcPr>
            <w:tcW w:w="2091"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0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产品更新换代</w:t>
            </w:r>
          </w:p>
        </w:tc>
        <w:tc>
          <w:tcPr>
            <w:tcW w:w="2091"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r>
    </w:tbl>
    <w:p>
      <w:pPr>
        <w:spacing w:before="49"/>
        <w:ind w:left="140" w:right="0" w:firstLine="0"/>
        <w:jc w:val="left"/>
        <w:rPr>
          <w:rFonts w:ascii="宋体" w:hAnsi="宋体" w:cs="宋体" w:eastAsia="宋体" w:hint="default"/>
          <w:sz w:val="18"/>
          <w:szCs w:val="18"/>
        </w:rPr>
      </w:pPr>
      <w:r>
        <w:rPr>
          <w:rFonts w:ascii="宋体" w:hAnsi="宋体" w:cs="宋体" w:eastAsia="宋体" w:hint="default"/>
          <w:sz w:val="18"/>
          <w:szCs w:val="18"/>
        </w:rPr>
        <w:t>存货的说明：无。</w:t>
      </w:r>
    </w:p>
    <w:p>
      <w:pPr>
        <w:spacing w:line="240" w:lineRule="auto" w:before="0"/>
        <w:rPr>
          <w:rFonts w:ascii="宋体" w:hAnsi="宋体" w:cs="宋体" w:eastAsia="宋体" w:hint="default"/>
          <w:sz w:val="18"/>
          <w:szCs w:val="18"/>
        </w:rPr>
      </w:pPr>
    </w:p>
    <w:p>
      <w:pPr>
        <w:pStyle w:val="Heading3"/>
        <w:spacing w:line="506" w:lineRule="auto" w:before="120"/>
        <w:ind w:left="560" w:right="6760" w:hanging="420"/>
        <w:jc w:val="left"/>
        <w:rPr>
          <w:rFonts w:ascii="宋体" w:hAnsi="宋体" w:cs="宋体" w:eastAsia="宋体" w:hint="default"/>
          <w:b w:val="0"/>
          <w:bCs w:val="0"/>
        </w:rPr>
      </w:pPr>
      <w:r>
        <w:rPr>
          <w:rFonts w:ascii="Times New Roman" w:hAnsi="Times New Roman" w:cs="Times New Roman" w:eastAsia="Times New Roman" w:hint="default"/>
        </w:rPr>
        <w:t>10</w:t>
      </w:r>
      <w:r>
        <w:rPr/>
        <w:t>、其他流动资产</w:t>
      </w:r>
      <w:r>
        <w:rPr>
          <w:w w:val="100"/>
        </w:rPr>
        <w:t> </w:t>
      </w:r>
      <w:r>
        <w:rPr>
          <w:rFonts w:ascii="宋体" w:hAnsi="宋体" w:cs="宋体" w:eastAsia="宋体" w:hint="default"/>
          <w:b w:val="0"/>
          <w:bCs w:val="0"/>
        </w:rPr>
        <w:t>无。</w:t>
      </w:r>
    </w:p>
    <w:p>
      <w:pPr>
        <w:pStyle w:val="Heading3"/>
        <w:spacing w:line="240" w:lineRule="auto" w:before="104"/>
        <w:ind w:right="0"/>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506" w:lineRule="auto"/>
        <w:ind w:left="560" w:right="5824" w:hanging="420"/>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1</w:t>
      </w:r>
      <w:r>
        <w:rPr>
          <w:spacing w:val="-1"/>
        </w:rPr>
        <w:t>）可供出售金融资产情况</w:t>
      </w:r>
      <w:r>
        <w:rPr>
          <w:spacing w:val="-95"/>
        </w:rPr>
        <w:t> </w:t>
      </w:r>
      <w:r>
        <w:rPr>
          <w:spacing w:val="-95"/>
        </w:rPr>
      </w:r>
      <w:r>
        <w:rPr>
          <w:rFonts w:ascii="宋体" w:hAnsi="宋体" w:cs="宋体" w:eastAsia="宋体" w:hint="default"/>
          <w:b w:val="0"/>
          <w:bCs w:val="0"/>
        </w:rPr>
        <w:t>无。</w:t>
      </w:r>
    </w:p>
    <w:p>
      <w:pPr>
        <w:pStyle w:val="Heading3"/>
        <w:spacing w:line="506" w:lineRule="auto" w:before="104"/>
        <w:ind w:left="560" w:right="4306" w:hanging="420"/>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2</w:t>
      </w:r>
      <w:r>
        <w:rPr>
          <w:spacing w:val="-1"/>
        </w:rPr>
        <w:t>）可供出售金融资产中的长期债权投资</w:t>
      </w:r>
      <w:r>
        <w:rPr>
          <w:spacing w:val="-87"/>
        </w:rPr>
        <w:t> </w:t>
      </w:r>
      <w:r>
        <w:rPr>
          <w:spacing w:val="-87"/>
        </w:rPr>
      </w:r>
      <w:r>
        <w:rPr>
          <w:rFonts w:ascii="宋体" w:hAnsi="宋体" w:cs="宋体" w:eastAsia="宋体" w:hint="default"/>
          <w:b w:val="0"/>
          <w:bCs w:val="0"/>
        </w:rPr>
        <w:t>无。</w:t>
      </w:r>
    </w:p>
    <w:p>
      <w:pPr>
        <w:pStyle w:val="Heading3"/>
        <w:spacing w:line="506" w:lineRule="auto" w:before="104"/>
        <w:ind w:left="560" w:right="6549" w:hanging="420"/>
        <w:jc w:val="left"/>
        <w:rPr>
          <w:rFonts w:ascii="宋体" w:hAnsi="宋体" w:cs="宋体" w:eastAsia="宋体" w:hint="default"/>
          <w:b w:val="0"/>
          <w:bCs w:val="0"/>
        </w:rPr>
      </w:pPr>
      <w:r>
        <w:rPr>
          <w:rFonts w:ascii="Times New Roman" w:hAnsi="Times New Roman" w:cs="Times New Roman" w:eastAsia="Times New Roman" w:hint="default"/>
        </w:rPr>
        <w:t>12</w:t>
      </w:r>
      <w:r>
        <w:rPr/>
        <w:t>、持有至到期投资</w:t>
      </w:r>
      <w:r>
        <w:rPr>
          <w:w w:val="100"/>
        </w:rPr>
        <w:t> </w:t>
      </w:r>
      <w:r>
        <w:rPr>
          <w:rFonts w:ascii="宋体" w:hAnsi="宋体" w:cs="宋体" w:eastAsia="宋体" w:hint="default"/>
          <w:b w:val="0"/>
          <w:bCs w:val="0"/>
        </w:rPr>
        <w:t>无。</w:t>
      </w:r>
    </w:p>
    <w:p>
      <w:pPr>
        <w:pStyle w:val="Heading3"/>
        <w:spacing w:line="506" w:lineRule="auto" w:before="101"/>
        <w:ind w:left="560" w:right="6971" w:hanging="420"/>
        <w:jc w:val="left"/>
        <w:rPr>
          <w:rFonts w:ascii="宋体" w:hAnsi="宋体" w:cs="宋体" w:eastAsia="宋体" w:hint="default"/>
          <w:b w:val="0"/>
          <w:bCs w:val="0"/>
        </w:rPr>
      </w:pPr>
      <w:r>
        <w:rPr>
          <w:rFonts w:ascii="Times New Roman" w:hAnsi="Times New Roman" w:cs="Times New Roman" w:eastAsia="Times New Roman" w:hint="default"/>
        </w:rPr>
        <w:t>13</w:t>
      </w:r>
      <w:r>
        <w:rPr/>
        <w:t>、长期应收款</w:t>
      </w:r>
      <w:r>
        <w:rPr>
          <w:w w:val="100"/>
        </w:rPr>
        <w:t> </w:t>
      </w:r>
      <w:r>
        <w:rPr>
          <w:rFonts w:ascii="宋体" w:hAnsi="宋体" w:cs="宋体" w:eastAsia="宋体" w:hint="default"/>
          <w:b w:val="0"/>
          <w:bCs w:val="0"/>
        </w:rPr>
        <w:t>无。</w:t>
      </w:r>
    </w:p>
    <w:p>
      <w:pPr>
        <w:pStyle w:val="Heading3"/>
        <w:spacing w:line="506" w:lineRule="auto" w:before="104"/>
        <w:ind w:left="560" w:right="4846" w:hanging="420"/>
        <w:jc w:val="left"/>
        <w:rPr>
          <w:rFonts w:ascii="宋体" w:hAnsi="宋体" w:cs="宋体" w:eastAsia="宋体" w:hint="default"/>
          <w:b w:val="0"/>
          <w:bCs w:val="0"/>
        </w:rPr>
      </w:pPr>
      <w:r>
        <w:rPr>
          <w:rFonts w:ascii="Times New Roman" w:hAnsi="Times New Roman" w:cs="Times New Roman" w:eastAsia="Times New Roman" w:hint="default"/>
          <w:spacing w:val="-1"/>
        </w:rPr>
        <w:t>14</w:t>
      </w:r>
      <w:r>
        <w:rPr>
          <w:spacing w:val="-1"/>
        </w:rPr>
        <w:t>、对合营企业投资和联营企业投资</w:t>
      </w:r>
      <w:r>
        <w:rPr>
          <w:spacing w:val="-88"/>
        </w:rPr>
        <w:t> </w:t>
      </w:r>
      <w:r>
        <w:rPr>
          <w:spacing w:val="-88"/>
        </w:rPr>
      </w:r>
      <w:r>
        <w:rPr>
          <w:rFonts w:ascii="宋体" w:hAnsi="宋体" w:cs="宋体" w:eastAsia="宋体" w:hint="default"/>
          <w:b w:val="0"/>
          <w:bCs w:val="0"/>
        </w:rPr>
        <w:t>无。</w:t>
      </w:r>
    </w:p>
    <w:p>
      <w:pPr>
        <w:pStyle w:val="Heading3"/>
        <w:spacing w:line="240" w:lineRule="auto" w:before="101"/>
        <w:ind w:right="0"/>
        <w:jc w:val="left"/>
        <w:rPr>
          <w:b w:val="0"/>
          <w:bCs w:val="0"/>
        </w:rPr>
      </w:pPr>
      <w:r>
        <w:rPr>
          <w:rFonts w:ascii="Times New Roman" w:hAnsi="Times New Roman" w:cs="Times New Roman" w:eastAsia="Times New Roman" w:hint="default"/>
        </w:rPr>
        <w:t>15</w:t>
      </w:r>
      <w:r>
        <w:rPr/>
        <w:t>、长期股权投资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）长期股权投资明细情况</w:t>
      </w:r>
      <w:r>
        <w:rPr>
          <w:b w:val="0"/>
          <w:bCs w:val="0"/>
        </w:rPr>
      </w:r>
    </w:p>
    <w:p>
      <w:pPr>
        <w:spacing w:line="240" w:lineRule="auto" w:before="12"/>
        <w:rPr>
          <w:rFonts w:ascii="宋体" w:hAnsi="宋体" w:cs="宋体" w:eastAsia="宋体" w:hint="default"/>
          <w:b/>
          <w:bCs/>
          <w:sz w:val="22"/>
          <w:szCs w:val="22"/>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595"/>
        <w:gridCol w:w="595"/>
        <w:gridCol w:w="1001"/>
        <w:gridCol w:w="595"/>
        <w:gridCol w:w="1003"/>
        <w:gridCol w:w="1001"/>
        <w:gridCol w:w="612"/>
        <w:gridCol w:w="610"/>
        <w:gridCol w:w="1105"/>
        <w:gridCol w:w="425"/>
        <w:gridCol w:w="427"/>
        <w:gridCol w:w="384"/>
      </w:tblGrid>
      <w:tr>
        <w:trPr>
          <w:trHeight w:val="1338" w:hRule="exact"/>
        </w:trPr>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12" w:right="110"/>
              <w:jc w:val="both"/>
              <w:rPr>
                <w:rFonts w:ascii="宋体" w:hAnsi="宋体" w:cs="宋体" w:eastAsia="宋体" w:hint="default"/>
                <w:sz w:val="18"/>
                <w:szCs w:val="18"/>
              </w:rPr>
            </w:pPr>
            <w:r>
              <w:rPr>
                <w:rFonts w:ascii="宋体" w:hAnsi="宋体" w:cs="宋体" w:eastAsia="宋体" w:hint="default"/>
                <w:sz w:val="18"/>
                <w:szCs w:val="18"/>
              </w:rPr>
              <w:t>被投 资单 位</w:t>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110" w:right="113"/>
              <w:jc w:val="left"/>
              <w:rPr>
                <w:rFonts w:ascii="宋体" w:hAnsi="宋体" w:cs="宋体" w:eastAsia="宋体" w:hint="default"/>
                <w:sz w:val="18"/>
                <w:szCs w:val="18"/>
              </w:rPr>
            </w:pPr>
            <w:r>
              <w:rPr>
                <w:rFonts w:ascii="宋体" w:hAnsi="宋体" w:cs="宋体" w:eastAsia="宋体" w:hint="default"/>
                <w:sz w:val="18"/>
                <w:szCs w:val="18"/>
              </w:rPr>
              <w:t>核算 方法</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112" w:right="110"/>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1" w:right="29"/>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 资单位 持股比 例</w:t>
            </w:r>
            <w:r>
              <w:rPr>
                <w:rFonts w:ascii="Times New Roman" w:hAnsi="Times New Roman" w:cs="Times New Roman" w:eastAsia="Times New Roman" w:hint="default"/>
                <w:sz w:val="18"/>
                <w:szCs w:val="18"/>
              </w:rPr>
              <w:t>(%)</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28" w:right="29"/>
              <w:jc w:val="both"/>
              <w:rPr>
                <w:rFonts w:ascii="宋体" w:hAnsi="宋体" w:cs="宋体" w:eastAsia="宋体" w:hint="default"/>
                <w:sz w:val="18"/>
                <w:szCs w:val="18"/>
              </w:rPr>
            </w:pPr>
            <w:r>
              <w:rPr>
                <w:rFonts w:ascii="宋体" w:hAnsi="宋体" w:cs="宋体" w:eastAsia="宋体" w:hint="default"/>
                <w:sz w:val="18"/>
                <w:szCs w:val="18"/>
              </w:rPr>
              <w:t>在被投 资单位 表决权 比例</w:t>
            </w:r>
          </w:p>
        </w:tc>
        <w:tc>
          <w:tcPr>
            <w:tcW w:w="1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98" w:right="94"/>
              <w:jc w:val="both"/>
              <w:rPr>
                <w:rFonts w:ascii="宋体" w:hAnsi="宋体" w:cs="宋体" w:eastAsia="宋体" w:hint="default"/>
                <w:sz w:val="18"/>
                <w:szCs w:val="18"/>
              </w:rPr>
            </w:pPr>
            <w:r>
              <w:rPr>
                <w:rFonts w:ascii="宋体" w:hAnsi="宋体" w:cs="宋体" w:eastAsia="宋体" w:hint="default"/>
                <w:sz w:val="18"/>
                <w:szCs w:val="18"/>
              </w:rPr>
              <w:t>在被投资单 位持股比例 与表决权比 例不一致的</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8" w:right="24"/>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8" w:right="26"/>
              <w:jc w:val="both"/>
              <w:rPr>
                <w:rFonts w:ascii="宋体" w:hAnsi="宋体" w:cs="宋体" w:eastAsia="宋体" w:hint="default"/>
                <w:sz w:val="18"/>
                <w:szCs w:val="18"/>
              </w:rPr>
            </w:pPr>
            <w:r>
              <w:rPr>
                <w:rFonts w:ascii="宋体" w:hAnsi="宋体" w:cs="宋体" w:eastAsia="宋体" w:hint="default"/>
                <w:sz w:val="18"/>
                <w:szCs w:val="18"/>
              </w:rPr>
              <w:t>本期 计提 减值 准备</w:t>
            </w:r>
          </w:p>
        </w:tc>
        <w:tc>
          <w:tcPr>
            <w:tcW w:w="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100" w:right="91"/>
              <w:jc w:val="both"/>
              <w:rPr>
                <w:rFonts w:ascii="宋体" w:hAnsi="宋体" w:cs="宋体" w:eastAsia="宋体" w:hint="default"/>
                <w:sz w:val="18"/>
                <w:szCs w:val="18"/>
              </w:rPr>
            </w:pPr>
            <w:r>
              <w:rPr>
                <w:rFonts w:ascii="宋体" w:hAnsi="宋体" w:cs="宋体" w:eastAsia="宋体" w:hint="default"/>
                <w:sz w:val="18"/>
                <w:szCs w:val="18"/>
              </w:rPr>
              <w:t>本 期 现 金</w:t>
            </w:r>
          </w:p>
        </w:tc>
      </w:tr>
    </w:tbl>
    <w:p>
      <w:pPr>
        <w:spacing w:after="0" w:line="316" w:lineRule="auto"/>
        <w:jc w:val="both"/>
        <w:rPr>
          <w:rFonts w:ascii="宋体" w:hAnsi="宋体" w:cs="宋体" w:eastAsia="宋体" w:hint="default"/>
          <w:sz w:val="18"/>
          <w:szCs w:val="18"/>
        </w:rPr>
        <w:sectPr>
          <w:pgSz w:w="11910" w:h="16840"/>
          <w:pgMar w:header="877" w:footer="1227" w:top="1100" w:bottom="1420" w:left="1660" w:right="1640"/>
        </w:sectPr>
      </w:pPr>
    </w:p>
    <w:p>
      <w:pPr>
        <w:spacing w:line="240" w:lineRule="auto" w:before="8"/>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595"/>
        <w:gridCol w:w="595"/>
        <w:gridCol w:w="1001"/>
        <w:gridCol w:w="595"/>
        <w:gridCol w:w="1003"/>
        <w:gridCol w:w="1001"/>
        <w:gridCol w:w="612"/>
        <w:gridCol w:w="610"/>
        <w:gridCol w:w="1105"/>
        <w:gridCol w:w="425"/>
        <w:gridCol w:w="427"/>
        <w:gridCol w:w="396"/>
      </w:tblGrid>
      <w:tr>
        <w:trPr>
          <w:trHeight w:val="675" w:hRule="exact"/>
        </w:trPr>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w:t>
            </w:r>
          </w:p>
        </w:tc>
        <w:tc>
          <w:tcPr>
            <w:tcW w:w="1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说明</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00" w:right="103"/>
              <w:jc w:val="left"/>
              <w:rPr>
                <w:rFonts w:ascii="宋体" w:hAnsi="宋体" w:cs="宋体" w:eastAsia="宋体" w:hint="default"/>
                <w:sz w:val="18"/>
                <w:szCs w:val="18"/>
              </w:rPr>
            </w:pPr>
            <w:r>
              <w:rPr>
                <w:rFonts w:ascii="宋体" w:hAnsi="宋体" w:cs="宋体" w:eastAsia="宋体" w:hint="default"/>
                <w:sz w:val="18"/>
                <w:szCs w:val="18"/>
              </w:rPr>
              <w:t>红 利</w:t>
            </w:r>
          </w:p>
        </w:tc>
      </w:tr>
      <w:tr>
        <w:trPr>
          <w:trHeight w:val="1961" w:hRule="exact"/>
        </w:trPr>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9"/>
              <w:jc w:val="both"/>
              <w:rPr>
                <w:rFonts w:ascii="宋体" w:hAnsi="宋体" w:cs="宋体" w:eastAsia="宋体" w:hint="default"/>
                <w:sz w:val="18"/>
                <w:szCs w:val="18"/>
              </w:rPr>
            </w:pPr>
            <w:r>
              <w:rPr>
                <w:rFonts w:ascii="宋体" w:hAnsi="宋体" w:cs="宋体" w:eastAsia="宋体" w:hint="default"/>
                <w:sz w:val="18"/>
                <w:szCs w:val="18"/>
              </w:rPr>
              <w:t>杭州 攀克 网络 技术 有限 公司</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 w:right="203"/>
              <w:jc w:val="left"/>
              <w:rPr>
                <w:rFonts w:ascii="宋体" w:hAnsi="宋体" w:cs="宋体" w:eastAsia="宋体" w:hint="default"/>
                <w:sz w:val="18"/>
                <w:szCs w:val="18"/>
              </w:rPr>
            </w:pPr>
            <w:r>
              <w:rPr>
                <w:rFonts w:ascii="宋体" w:hAnsi="宋体" w:cs="宋体" w:eastAsia="宋体" w:hint="default"/>
                <w:sz w:val="18"/>
                <w:szCs w:val="18"/>
              </w:rPr>
              <w:t>成本 法</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1,000,000.00</w:t>
            </w:r>
          </w:p>
        </w:tc>
        <w:tc>
          <w:tcPr>
            <w:tcW w:w="595"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1,000,000.00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10.71%</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10.71%</w:t>
            </w:r>
          </w:p>
        </w:tc>
        <w:tc>
          <w:tcPr>
            <w:tcW w:w="110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1,000,000.00</w:t>
            </w:r>
          </w:p>
        </w:tc>
        <w:tc>
          <w:tcPr>
            <w:tcW w:w="595"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1,000,000.00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1,000,000.00</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12" w:space="0" w:color="D2D2D2"/>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508" w:lineRule="auto" w:before="36"/>
        <w:ind w:left="560" w:right="3136" w:hanging="420"/>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2</w:t>
      </w:r>
      <w:r>
        <w:rPr>
          <w:spacing w:val="-1"/>
        </w:rPr>
        <w:t>）向投资企业转移资金的能力受到限制的有关情况</w:t>
      </w:r>
      <w:r>
        <w:rPr>
          <w:spacing w:val="-86"/>
        </w:rPr>
        <w:t> </w:t>
      </w:r>
      <w:r>
        <w:rPr>
          <w:spacing w:val="-86"/>
        </w:rPr>
      </w:r>
      <w:r>
        <w:rPr>
          <w:rFonts w:ascii="宋体" w:hAnsi="宋体" w:cs="宋体" w:eastAsia="宋体" w:hint="default"/>
          <w:b w:val="0"/>
          <w:bCs w:val="0"/>
        </w:rPr>
        <w:t>无。</w:t>
      </w:r>
    </w:p>
    <w:p>
      <w:pPr>
        <w:pStyle w:val="Heading3"/>
        <w:spacing w:line="506" w:lineRule="auto" w:before="99"/>
        <w:ind w:left="560" w:right="6760" w:hanging="420"/>
        <w:jc w:val="left"/>
        <w:rPr>
          <w:rFonts w:ascii="宋体" w:hAnsi="宋体" w:cs="宋体" w:eastAsia="宋体" w:hint="default"/>
          <w:b w:val="0"/>
          <w:bCs w:val="0"/>
        </w:rPr>
      </w:pPr>
      <w:r>
        <w:rPr>
          <w:rFonts w:ascii="Times New Roman" w:hAnsi="Times New Roman" w:cs="Times New Roman" w:eastAsia="Times New Roman" w:hint="default"/>
        </w:rPr>
        <w:t>16</w:t>
      </w:r>
      <w:r>
        <w:rPr/>
        <w:t>、投资性房地产</w:t>
      </w:r>
      <w:r>
        <w:rPr>
          <w:w w:val="100"/>
        </w:rPr>
        <w:t> </w:t>
      </w:r>
      <w:r>
        <w:rPr>
          <w:rFonts w:ascii="宋体" w:hAnsi="宋体" w:cs="宋体" w:eastAsia="宋体" w:hint="default"/>
          <w:b w:val="0"/>
          <w:bCs w:val="0"/>
        </w:rPr>
        <w:t>无。</w:t>
      </w:r>
    </w:p>
    <w:p>
      <w:pPr>
        <w:pStyle w:val="Heading3"/>
        <w:spacing w:line="240" w:lineRule="auto" w:before="104"/>
        <w:ind w:right="0"/>
        <w:jc w:val="left"/>
        <w:rPr>
          <w:b w:val="0"/>
          <w:bCs w:val="0"/>
        </w:rPr>
      </w:pPr>
      <w:r>
        <w:rPr>
          <w:rFonts w:ascii="Times New Roman" w:hAnsi="Times New Roman" w:cs="Times New Roman" w:eastAsia="Times New Roman" w:hint="default"/>
        </w:rPr>
        <w:t>17</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850"/>
        <w:gridCol w:w="1277"/>
        <w:gridCol w:w="1162"/>
        <w:gridCol w:w="1392"/>
        <w:gridCol w:w="1395"/>
        <w:gridCol w:w="1277"/>
      </w:tblGrid>
      <w:tr>
        <w:trPr>
          <w:trHeight w:val="401"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5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32"/>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55,776,984.11</w:t>
            </w:r>
          </w:p>
        </w:tc>
        <w:tc>
          <w:tcPr>
            <w:tcW w:w="2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8" w:right="0"/>
              <w:jc w:val="left"/>
              <w:rPr>
                <w:rFonts w:ascii="Times New Roman" w:hAnsi="Times New Roman" w:cs="Times New Roman" w:eastAsia="Times New Roman" w:hint="default"/>
                <w:sz w:val="18"/>
                <w:szCs w:val="18"/>
              </w:rPr>
            </w:pPr>
            <w:r>
              <w:rPr>
                <w:rFonts w:ascii="Times New Roman"/>
                <w:sz w:val="18"/>
              </w:rPr>
              <w:t>54,975,987.48</w:t>
            </w:r>
          </w:p>
        </w:tc>
        <w:tc>
          <w:tcPr>
            <w:tcW w:w="139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110,752,971.59</w:t>
            </w:r>
          </w:p>
        </w:tc>
      </w:tr>
      <w:tr>
        <w:trPr>
          <w:trHeight w:val="401"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36,328,063.98</w:t>
            </w:r>
          </w:p>
        </w:tc>
        <w:tc>
          <w:tcPr>
            <w:tcW w:w="2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8" w:right="0"/>
              <w:jc w:val="left"/>
              <w:rPr>
                <w:rFonts w:ascii="Times New Roman" w:hAnsi="Times New Roman" w:cs="Times New Roman" w:eastAsia="Times New Roman" w:hint="default"/>
                <w:sz w:val="18"/>
                <w:szCs w:val="18"/>
              </w:rPr>
            </w:pPr>
            <w:r>
              <w:rPr>
                <w:rFonts w:ascii="Times New Roman"/>
                <w:sz w:val="18"/>
              </w:rPr>
              <w:t>24,681,272.15</w:t>
            </w:r>
          </w:p>
        </w:tc>
        <w:tc>
          <w:tcPr>
            <w:tcW w:w="139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61,009,336.13</w:t>
            </w:r>
          </w:p>
        </w:tc>
      </w:tr>
      <w:tr>
        <w:trPr>
          <w:trHeight w:val="403"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277" w:type="dxa"/>
            <w:tcBorders>
              <w:top w:val="single" w:sz="4" w:space="0" w:color="000000"/>
              <w:left w:val="single" w:sz="13" w:space="0" w:color="D2D2D2"/>
              <w:bottom w:val="single" w:sz="4" w:space="0" w:color="000000"/>
              <w:right w:val="single" w:sz="4" w:space="0" w:color="000000"/>
            </w:tcBorders>
          </w:tcPr>
          <w:p>
            <w:pPr/>
          </w:p>
        </w:tc>
        <w:tc>
          <w:tcPr>
            <w:tcW w:w="2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477,351.39</w:t>
            </w:r>
          </w:p>
        </w:tc>
        <w:tc>
          <w:tcPr>
            <w:tcW w:w="139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477,351.39</w:t>
            </w:r>
          </w:p>
        </w:tc>
      </w:tr>
      <w:tr>
        <w:trPr>
          <w:trHeight w:val="401"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6,594,325.06</w:t>
            </w:r>
          </w:p>
        </w:tc>
        <w:tc>
          <w:tcPr>
            <w:tcW w:w="2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77" w:right="0"/>
              <w:jc w:val="left"/>
              <w:rPr>
                <w:rFonts w:ascii="Times New Roman" w:hAnsi="Times New Roman" w:cs="Times New Roman" w:eastAsia="Times New Roman" w:hint="default"/>
                <w:sz w:val="18"/>
                <w:szCs w:val="18"/>
              </w:rPr>
            </w:pPr>
            <w:r>
              <w:rPr>
                <w:rFonts w:ascii="Times New Roman"/>
                <w:sz w:val="18"/>
              </w:rPr>
              <w:t>5,160,712.88</w:t>
            </w:r>
          </w:p>
        </w:tc>
        <w:tc>
          <w:tcPr>
            <w:tcW w:w="139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11,755,037.94</w:t>
            </w:r>
          </w:p>
        </w:tc>
      </w:tr>
      <w:tr>
        <w:trPr>
          <w:trHeight w:val="403"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宋体" w:hAnsi="宋体" w:cs="宋体" w:eastAsia="宋体" w:hint="default"/>
                <w:sz w:val="18"/>
                <w:szCs w:val="18"/>
              </w:rPr>
              <w:t>电子及办公设备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12,854,595.07</w:t>
            </w:r>
          </w:p>
        </w:tc>
        <w:tc>
          <w:tcPr>
            <w:tcW w:w="2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8" w:right="0"/>
              <w:jc w:val="left"/>
              <w:rPr>
                <w:rFonts w:ascii="Times New Roman" w:hAnsi="Times New Roman" w:cs="Times New Roman" w:eastAsia="Times New Roman" w:hint="default"/>
                <w:sz w:val="18"/>
                <w:szCs w:val="18"/>
              </w:rPr>
            </w:pPr>
            <w:r>
              <w:rPr>
                <w:rFonts w:ascii="Times New Roman"/>
                <w:sz w:val="18"/>
              </w:rPr>
              <w:t>24,656,651.06</w:t>
            </w:r>
          </w:p>
        </w:tc>
        <w:tc>
          <w:tcPr>
            <w:tcW w:w="139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37,511,246.13</w:t>
            </w:r>
          </w:p>
        </w:tc>
      </w:tr>
      <w:tr>
        <w:trPr>
          <w:trHeight w:val="401"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32"/>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11,197,422.27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13,633.40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10,173,903.86</w:t>
            </w:r>
          </w:p>
        </w:tc>
        <w:tc>
          <w:tcPr>
            <w:tcW w:w="139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21,384,959.53</w:t>
            </w:r>
          </w:p>
        </w:tc>
      </w:tr>
      <w:tr>
        <w:trPr>
          <w:trHeight w:val="401"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6,214,386.42</w:t>
            </w:r>
          </w:p>
        </w:tc>
        <w:tc>
          <w:tcPr>
            <w:tcW w:w="1162"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3,266,411.57</w:t>
            </w:r>
          </w:p>
        </w:tc>
        <w:tc>
          <w:tcPr>
            <w:tcW w:w="139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9,480,797.99</w:t>
            </w:r>
          </w:p>
        </w:tc>
      </w:tr>
      <w:tr>
        <w:trPr>
          <w:trHeight w:val="404"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277" w:type="dxa"/>
            <w:tcBorders>
              <w:top w:val="single" w:sz="4" w:space="0" w:color="000000"/>
              <w:left w:val="single" w:sz="13" w:space="0" w:color="D2D2D2"/>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2,950.16</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14,514.54</w:t>
            </w:r>
          </w:p>
        </w:tc>
        <w:tc>
          <w:tcPr>
            <w:tcW w:w="139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17,464.70</w:t>
            </w:r>
          </w:p>
        </w:tc>
      </w:tr>
      <w:tr>
        <w:trPr>
          <w:trHeight w:val="401"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1,976,015.05</w:t>
            </w:r>
          </w:p>
        </w:tc>
        <w:tc>
          <w:tcPr>
            <w:tcW w:w="1162"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3,847,257.00</w:t>
            </w:r>
          </w:p>
        </w:tc>
      </w:tr>
      <w:tr>
        <w:trPr>
          <w:trHeight w:val="403"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宋体" w:hAnsi="宋体" w:cs="宋体" w:eastAsia="宋体" w:hint="default"/>
                <w:sz w:val="18"/>
                <w:szCs w:val="18"/>
              </w:rPr>
              <w:t>电子及办公设备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3,007,020.80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10,683.24</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5,021,735.80</w:t>
            </w:r>
          </w:p>
        </w:tc>
        <w:tc>
          <w:tcPr>
            <w:tcW w:w="139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8,039,439.84</w:t>
            </w:r>
          </w:p>
        </w:tc>
      </w:tr>
      <w:tr>
        <w:trPr>
          <w:trHeight w:val="401"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394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161" w:hRule="exact"/>
        </w:trPr>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 w:right="26"/>
              <w:jc w:val="left"/>
              <w:rPr>
                <w:rFonts w:ascii="宋体" w:hAnsi="宋体" w:cs="宋体" w:eastAsia="宋体" w:hint="default"/>
                <w:sz w:val="18"/>
                <w:szCs w:val="18"/>
              </w:rPr>
            </w:pPr>
            <w:r>
              <w:rPr>
                <w:rFonts w:ascii="宋体" w:hAnsi="宋体" w:cs="宋体" w:eastAsia="宋体" w:hint="default"/>
                <w:sz w:val="18"/>
                <w:szCs w:val="18"/>
              </w:rPr>
              <w:t>三、固定资产账面净值 合计</w:t>
            </w:r>
          </w:p>
        </w:tc>
        <w:tc>
          <w:tcPr>
            <w:tcW w:w="1277" w:type="dxa"/>
            <w:vMerge w:val="restart"/>
            <w:tcBorders>
              <w:top w:val="single" w:sz="4" w:space="0" w:color="000000"/>
              <w:left w:val="single" w:sz="13" w:space="0" w:color="D2D2D2"/>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7" w:right="0"/>
              <w:jc w:val="left"/>
              <w:rPr>
                <w:rFonts w:ascii="Times New Roman" w:hAnsi="Times New Roman" w:cs="Times New Roman" w:eastAsia="Times New Roman" w:hint="default"/>
                <w:sz w:val="18"/>
                <w:szCs w:val="18"/>
              </w:rPr>
            </w:pPr>
            <w:r>
              <w:rPr>
                <w:rFonts w:ascii="Times New Roman"/>
                <w:sz w:val="18"/>
              </w:rPr>
              <w:t>44,579,561.84</w:t>
            </w:r>
          </w:p>
        </w:tc>
        <w:tc>
          <w:tcPr>
            <w:tcW w:w="3949"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89,368,012.06</w:t>
            </w:r>
          </w:p>
        </w:tc>
      </w:tr>
      <w:tr>
        <w:trPr>
          <w:trHeight w:val="394" w:hRule="exact"/>
        </w:trPr>
        <w:tc>
          <w:tcPr>
            <w:tcW w:w="1850" w:type="dxa"/>
            <w:vMerge/>
            <w:tcBorders>
              <w:left w:val="single" w:sz="4" w:space="0" w:color="000000"/>
              <w:right w:val="single" w:sz="4" w:space="0" w:color="000000"/>
            </w:tcBorders>
            <w:shd w:val="clear" w:color="auto" w:fill="D2D2D2"/>
          </w:tcPr>
          <w:p>
            <w:pPr/>
          </w:p>
        </w:tc>
        <w:tc>
          <w:tcPr>
            <w:tcW w:w="1277" w:type="dxa"/>
            <w:vMerge/>
            <w:tcBorders>
              <w:left w:val="single" w:sz="13" w:space="0" w:color="D2D2D2"/>
              <w:right w:val="single" w:sz="10" w:space="0" w:color="D2D2D2"/>
            </w:tcBorders>
          </w:tcPr>
          <w:p>
            <w:pPr/>
          </w:p>
        </w:tc>
        <w:tc>
          <w:tcPr>
            <w:tcW w:w="3949"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7" w:type="dxa"/>
            <w:vMerge/>
            <w:tcBorders>
              <w:left w:val="single" w:sz="10" w:space="0" w:color="D2D2D2"/>
              <w:right w:val="single" w:sz="4" w:space="0" w:color="000000"/>
            </w:tcBorders>
          </w:tcPr>
          <w:p>
            <w:pPr/>
          </w:p>
        </w:tc>
      </w:tr>
      <w:tr>
        <w:trPr>
          <w:trHeight w:val="161" w:hRule="exact"/>
        </w:trPr>
        <w:tc>
          <w:tcPr>
            <w:tcW w:w="1850"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13" w:space="0" w:color="D2D2D2"/>
              <w:bottom w:val="single" w:sz="4" w:space="0" w:color="000000"/>
              <w:right w:val="single" w:sz="10" w:space="0" w:color="D2D2D2"/>
            </w:tcBorders>
          </w:tcPr>
          <w:p>
            <w:pPr/>
          </w:p>
        </w:tc>
        <w:tc>
          <w:tcPr>
            <w:tcW w:w="3949"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10" w:space="0" w:color="D2D2D2"/>
              <w:bottom w:val="single" w:sz="4" w:space="0" w:color="000000"/>
              <w:right w:val="single" w:sz="4" w:space="0" w:color="000000"/>
            </w:tcBorders>
          </w:tcPr>
          <w:p>
            <w:pPr/>
          </w:p>
        </w:tc>
      </w:tr>
      <w:tr>
        <w:trPr>
          <w:trHeight w:val="401"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27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30,113,677.56</w:t>
            </w:r>
          </w:p>
        </w:tc>
        <w:tc>
          <w:tcPr>
            <w:tcW w:w="394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51,528,538.14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1660" w:right="1640"/>
        </w:sectPr>
      </w:pPr>
    </w:p>
    <w:p>
      <w:pPr>
        <w:spacing w:line="240" w:lineRule="auto" w:before="8"/>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1862"/>
        <w:gridCol w:w="1277"/>
        <w:gridCol w:w="3949"/>
        <w:gridCol w:w="1277"/>
      </w:tblGrid>
      <w:tr>
        <w:trPr>
          <w:trHeight w:val="401" w:hRule="exact"/>
        </w:trPr>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277" w:type="dxa"/>
            <w:tcBorders>
              <w:top w:val="single" w:sz="4" w:space="0" w:color="000000"/>
              <w:left w:val="single" w:sz="4" w:space="0" w:color="000000"/>
              <w:bottom w:val="single" w:sz="4" w:space="0" w:color="000000"/>
              <w:right w:val="single" w:sz="4" w:space="0" w:color="000000"/>
            </w:tcBorders>
          </w:tcPr>
          <w:p>
            <w:pPr/>
          </w:p>
        </w:tc>
        <w:tc>
          <w:tcPr>
            <w:tcW w:w="3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459,886.69</w:t>
            </w:r>
          </w:p>
        </w:tc>
      </w:tr>
      <w:tr>
        <w:trPr>
          <w:trHeight w:val="403" w:hRule="exact"/>
        </w:trPr>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4,618,310.01</w:t>
            </w:r>
          </w:p>
        </w:tc>
        <w:tc>
          <w:tcPr>
            <w:tcW w:w="3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7,907,780.94</w:t>
            </w:r>
          </w:p>
        </w:tc>
      </w:tr>
      <w:tr>
        <w:trPr>
          <w:trHeight w:val="401"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宋体" w:hAnsi="宋体" w:cs="宋体" w:eastAsia="宋体" w:hint="default"/>
                <w:sz w:val="18"/>
                <w:szCs w:val="18"/>
              </w:rPr>
              <w:t>电子及办公设备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9,847,574.27</w:t>
            </w:r>
          </w:p>
        </w:tc>
        <w:tc>
          <w:tcPr>
            <w:tcW w:w="3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29,471,806.29</w:t>
            </w:r>
          </w:p>
        </w:tc>
      </w:tr>
      <w:tr>
        <w:trPr>
          <w:trHeight w:val="403" w:hRule="exact"/>
        </w:trPr>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394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277" w:type="dxa"/>
            <w:tcBorders>
              <w:top w:val="single" w:sz="4" w:space="0" w:color="000000"/>
              <w:left w:val="single" w:sz="4" w:space="0" w:color="000000"/>
              <w:bottom w:val="single" w:sz="4" w:space="0" w:color="000000"/>
              <w:right w:val="single" w:sz="4" w:space="0" w:color="000000"/>
            </w:tcBorders>
          </w:tcPr>
          <w:p>
            <w:pPr/>
          </w:p>
        </w:tc>
        <w:tc>
          <w:tcPr>
            <w:tcW w:w="394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277" w:type="dxa"/>
            <w:tcBorders>
              <w:top w:val="single" w:sz="4" w:space="0" w:color="000000"/>
              <w:left w:val="single" w:sz="4" w:space="0" w:color="000000"/>
              <w:bottom w:val="single" w:sz="4" w:space="0" w:color="000000"/>
              <w:right w:val="single" w:sz="4" w:space="0" w:color="000000"/>
            </w:tcBorders>
          </w:tcPr>
          <w:p>
            <w:pPr/>
          </w:p>
        </w:tc>
        <w:tc>
          <w:tcPr>
            <w:tcW w:w="394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277" w:type="dxa"/>
            <w:tcBorders>
              <w:top w:val="single" w:sz="4" w:space="0" w:color="000000"/>
              <w:left w:val="single" w:sz="4" w:space="0" w:color="000000"/>
              <w:bottom w:val="single" w:sz="4" w:space="0" w:color="000000"/>
              <w:right w:val="single" w:sz="4" w:space="0" w:color="000000"/>
            </w:tcBorders>
          </w:tcPr>
          <w:p>
            <w:pPr/>
          </w:p>
        </w:tc>
        <w:tc>
          <w:tcPr>
            <w:tcW w:w="394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
              <w:jc w:val="right"/>
              <w:rPr>
                <w:rFonts w:ascii="宋体" w:hAnsi="宋体" w:cs="宋体" w:eastAsia="宋体" w:hint="default"/>
                <w:sz w:val="18"/>
                <w:szCs w:val="18"/>
              </w:rPr>
            </w:pPr>
            <w:r>
              <w:rPr>
                <w:rFonts w:ascii="宋体" w:hAnsi="宋体" w:cs="宋体" w:eastAsia="宋体" w:hint="default"/>
                <w:sz w:val="18"/>
                <w:szCs w:val="18"/>
              </w:rPr>
              <w:t>电子及办公设备</w:t>
            </w:r>
          </w:p>
        </w:tc>
        <w:tc>
          <w:tcPr>
            <w:tcW w:w="1277" w:type="dxa"/>
            <w:tcBorders>
              <w:top w:val="single" w:sz="4" w:space="0" w:color="000000"/>
              <w:left w:val="single" w:sz="4" w:space="0" w:color="000000"/>
              <w:bottom w:val="single" w:sz="4" w:space="0" w:color="000000"/>
              <w:right w:val="single" w:sz="4" w:space="0" w:color="000000"/>
            </w:tcBorders>
          </w:tcPr>
          <w:p>
            <w:pPr/>
          </w:p>
        </w:tc>
        <w:tc>
          <w:tcPr>
            <w:tcW w:w="3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6"/>
              <w:jc w:val="left"/>
              <w:rPr>
                <w:rFonts w:ascii="宋体" w:hAnsi="宋体" w:cs="宋体" w:eastAsia="宋体" w:hint="default"/>
                <w:sz w:val="18"/>
                <w:szCs w:val="18"/>
              </w:rPr>
            </w:pPr>
            <w:r>
              <w:rPr>
                <w:rFonts w:ascii="宋体" w:hAnsi="宋体" w:cs="宋体" w:eastAsia="宋体" w:hint="default"/>
                <w:sz w:val="18"/>
                <w:szCs w:val="18"/>
              </w:rPr>
              <w:t>五、固定资产账面价值 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44,579,561.84</w:t>
            </w:r>
          </w:p>
        </w:tc>
        <w:tc>
          <w:tcPr>
            <w:tcW w:w="3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89,368,012.06</w:t>
            </w:r>
          </w:p>
        </w:tc>
      </w:tr>
      <w:tr>
        <w:trPr>
          <w:trHeight w:val="403" w:hRule="exact"/>
        </w:trPr>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30,113,677.56</w:t>
            </w:r>
          </w:p>
        </w:tc>
        <w:tc>
          <w:tcPr>
            <w:tcW w:w="3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51,528,538.14</w:t>
            </w:r>
          </w:p>
        </w:tc>
      </w:tr>
      <w:tr>
        <w:trPr>
          <w:trHeight w:val="401" w:hRule="exact"/>
        </w:trPr>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277" w:type="dxa"/>
            <w:tcBorders>
              <w:top w:val="single" w:sz="4" w:space="0" w:color="000000"/>
              <w:left w:val="single" w:sz="4" w:space="0" w:color="000000"/>
              <w:bottom w:val="single" w:sz="4" w:space="0" w:color="000000"/>
              <w:right w:val="single" w:sz="4" w:space="0" w:color="000000"/>
            </w:tcBorders>
          </w:tcPr>
          <w:p>
            <w:pPr/>
          </w:p>
        </w:tc>
        <w:tc>
          <w:tcPr>
            <w:tcW w:w="3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459,886.69</w:t>
            </w:r>
          </w:p>
        </w:tc>
      </w:tr>
      <w:tr>
        <w:trPr>
          <w:trHeight w:val="403" w:hRule="exact"/>
        </w:trPr>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4,618,310.01</w:t>
            </w:r>
          </w:p>
        </w:tc>
        <w:tc>
          <w:tcPr>
            <w:tcW w:w="3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7,907,780.94</w:t>
            </w:r>
          </w:p>
        </w:tc>
      </w:tr>
      <w:tr>
        <w:trPr>
          <w:trHeight w:val="403"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宋体" w:hAnsi="宋体" w:cs="宋体" w:eastAsia="宋体" w:hint="default"/>
                <w:sz w:val="18"/>
                <w:szCs w:val="18"/>
              </w:rPr>
              <w:t>电子及办公设备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9,847,574.27</w:t>
            </w:r>
          </w:p>
        </w:tc>
        <w:tc>
          <w:tcPr>
            <w:tcW w:w="3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29,471,806.29</w:t>
            </w:r>
          </w:p>
        </w:tc>
      </w:tr>
    </w:tbl>
    <w:p>
      <w:pPr>
        <w:spacing w:before="49"/>
        <w:ind w:left="140" w:right="0" w:firstLine="0"/>
        <w:jc w:val="left"/>
        <w:rPr>
          <w:rFonts w:ascii="宋体" w:hAnsi="宋体" w:cs="宋体" w:eastAsia="宋体" w:hint="default"/>
          <w:sz w:val="18"/>
          <w:szCs w:val="18"/>
        </w:rPr>
      </w:pPr>
      <w:r>
        <w:rPr>
          <w:rFonts w:ascii="宋体" w:hAnsi="宋体" w:cs="宋体" w:eastAsia="宋体" w:hint="default"/>
          <w:sz w:val="18"/>
          <w:szCs w:val="18"/>
        </w:rPr>
        <w:t>本期折旧额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10,173,903.86 </w:t>
      </w:r>
      <w:r>
        <w:rPr>
          <w:rFonts w:ascii="宋体" w:hAnsi="宋体" w:cs="宋体" w:eastAsia="宋体" w:hint="default"/>
          <w:sz w:val="18"/>
          <w:szCs w:val="18"/>
        </w:rPr>
        <w:t>元；本期由在建工程转入固定资产原价为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16,493,861.46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pStyle w:val="Heading3"/>
        <w:spacing w:line="506" w:lineRule="auto"/>
        <w:ind w:left="560" w:right="5614" w:hanging="420"/>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2</w:t>
      </w:r>
      <w:r>
        <w:rPr>
          <w:spacing w:val="-1"/>
        </w:rPr>
        <w:t>）暂时闲置的固定资产情况</w:t>
      </w:r>
      <w:r>
        <w:rPr>
          <w:spacing w:val="-94"/>
        </w:rPr>
        <w:t> </w:t>
      </w:r>
      <w:r>
        <w:rPr>
          <w:spacing w:val="-94"/>
        </w:rPr>
      </w:r>
      <w:r>
        <w:rPr>
          <w:rFonts w:ascii="宋体" w:hAnsi="宋体" w:cs="宋体" w:eastAsia="宋体" w:hint="default"/>
          <w:b w:val="0"/>
          <w:bCs w:val="0"/>
        </w:rPr>
        <w:t>无。</w:t>
      </w:r>
    </w:p>
    <w:p>
      <w:pPr>
        <w:pStyle w:val="Heading3"/>
        <w:spacing w:line="506" w:lineRule="auto" w:before="104"/>
        <w:ind w:left="560" w:right="4846" w:hanging="420"/>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3</w:t>
      </w:r>
      <w:r>
        <w:rPr>
          <w:spacing w:val="-1"/>
        </w:rPr>
        <w:t>）通过融资租赁租入的固定资产</w:t>
      </w:r>
      <w:r>
        <w:rPr>
          <w:spacing w:val="-91"/>
        </w:rPr>
        <w:t> </w:t>
      </w:r>
      <w:r>
        <w:rPr>
          <w:spacing w:val="-91"/>
        </w:rPr>
      </w:r>
      <w:r>
        <w:rPr>
          <w:rFonts w:ascii="宋体" w:hAnsi="宋体" w:cs="宋体" w:eastAsia="宋体" w:hint="default"/>
          <w:b w:val="0"/>
          <w:bCs w:val="0"/>
        </w:rPr>
        <w:t>无。</w:t>
      </w:r>
    </w:p>
    <w:p>
      <w:pPr>
        <w:pStyle w:val="Heading3"/>
        <w:spacing w:line="506" w:lineRule="auto" w:before="104"/>
        <w:ind w:left="560" w:right="4846" w:hanging="420"/>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4</w:t>
      </w:r>
      <w:r>
        <w:rPr>
          <w:spacing w:val="-1"/>
        </w:rPr>
        <w:t>）通过经营租赁租出的固定资产</w:t>
      </w:r>
      <w:r>
        <w:rPr>
          <w:spacing w:val="-91"/>
        </w:rPr>
        <w:t> </w:t>
      </w:r>
      <w:r>
        <w:rPr>
          <w:spacing w:val="-91"/>
        </w:rPr>
      </w:r>
      <w:r>
        <w:rPr>
          <w:rFonts w:ascii="宋体" w:hAnsi="宋体" w:cs="宋体" w:eastAsia="宋体" w:hint="default"/>
          <w:b w:val="0"/>
          <w:bCs w:val="0"/>
        </w:rPr>
        <w:t>无。</w:t>
      </w:r>
    </w:p>
    <w:p>
      <w:pPr>
        <w:pStyle w:val="Heading3"/>
        <w:spacing w:line="506" w:lineRule="auto" w:before="104"/>
        <w:ind w:left="560" w:right="4846" w:hanging="420"/>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5</w:t>
      </w:r>
      <w:r>
        <w:rPr>
          <w:spacing w:val="-1"/>
        </w:rPr>
        <w:t>）期末持有待售的固定资产情况</w:t>
      </w:r>
      <w:r>
        <w:rPr>
          <w:spacing w:val="-91"/>
        </w:rPr>
        <w:t> </w:t>
      </w:r>
      <w:r>
        <w:rPr>
          <w:spacing w:val="-91"/>
        </w:rPr>
      </w:r>
      <w:r>
        <w:rPr>
          <w:rFonts w:ascii="宋体" w:hAnsi="宋体" w:cs="宋体" w:eastAsia="宋体" w:hint="default"/>
          <w:b w:val="0"/>
          <w:bCs w:val="0"/>
        </w:rPr>
        <w:t>无。</w:t>
      </w:r>
    </w:p>
    <w:p>
      <w:pPr>
        <w:pStyle w:val="Heading3"/>
        <w:spacing w:line="506" w:lineRule="auto" w:before="104"/>
        <w:ind w:left="560" w:right="4846" w:hanging="420"/>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6</w:t>
      </w:r>
      <w:r>
        <w:rPr>
          <w:spacing w:val="-1"/>
        </w:rPr>
        <w:t>）未办妥产权证书的固定资产情况</w:t>
      </w:r>
      <w:r>
        <w:rPr>
          <w:spacing w:val="-90"/>
        </w:rPr>
        <w:t> </w:t>
      </w:r>
      <w:r>
        <w:rPr>
          <w:spacing w:val="-90"/>
        </w:rPr>
      </w:r>
      <w:r>
        <w:rPr>
          <w:rFonts w:ascii="宋体" w:hAnsi="宋体" w:cs="宋体" w:eastAsia="宋体" w:hint="default"/>
          <w:b w:val="0"/>
          <w:bCs w:val="0"/>
        </w:rPr>
        <w:t>无。</w:t>
      </w:r>
    </w:p>
    <w:p>
      <w:pPr>
        <w:pStyle w:val="Heading3"/>
        <w:spacing w:line="240" w:lineRule="auto" w:before="104"/>
        <w:ind w:right="0"/>
        <w:jc w:val="left"/>
        <w:rPr>
          <w:b w:val="0"/>
          <w:bCs w:val="0"/>
        </w:rPr>
      </w:pPr>
      <w:r>
        <w:rPr>
          <w:rFonts w:ascii="Times New Roman" w:hAnsi="Times New Roman" w:cs="Times New Roman" w:eastAsia="Times New Roman" w:hint="default"/>
        </w:rPr>
        <w:t>18</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1227" w:top="1100" w:bottom="1420" w:left="1660" w:right="1640"/>
        </w:sectPr>
      </w:pPr>
    </w:p>
    <w:p>
      <w:pPr>
        <w:spacing w:line="240" w:lineRule="auto" w:before="8"/>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1925"/>
        <w:gridCol w:w="1184"/>
        <w:gridCol w:w="989"/>
        <w:gridCol w:w="1181"/>
        <w:gridCol w:w="1001"/>
        <w:gridCol w:w="977"/>
        <w:gridCol w:w="1109"/>
      </w:tblGrid>
      <w:tr>
        <w:trPr>
          <w:trHeight w:val="402" w:hRule="exact"/>
        </w:trPr>
        <w:tc>
          <w:tcPr>
            <w:tcW w:w="19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25" w:type="dxa"/>
            <w:vMerge/>
            <w:tcBorders>
              <w:left w:val="single" w:sz="4" w:space="0" w:color="000000"/>
              <w:bottom w:val="single" w:sz="4" w:space="0" w:color="000000"/>
              <w:right w:val="single" w:sz="4" w:space="0" w:color="000000"/>
            </w:tcBorders>
            <w:shd w:val="clear" w:color="auto" w:fill="D2D2D2"/>
          </w:tcPr>
          <w:p>
            <w:pP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厦门超级计算中心（云 计算中心）</w:t>
            </w:r>
          </w:p>
        </w:tc>
        <w:tc>
          <w:tcPr>
            <w:tcW w:w="118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4,699,290.12</w:t>
            </w:r>
          </w:p>
        </w:tc>
        <w:tc>
          <w:tcPr>
            <w:tcW w:w="977"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4,699,290.12</w:t>
            </w:r>
          </w:p>
        </w:tc>
      </w:tr>
      <w:tr>
        <w:trPr>
          <w:trHeight w:val="715"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软件园二期观日路</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103-403 </w:t>
            </w:r>
            <w:r>
              <w:rPr>
                <w:rFonts w:ascii="宋体" w:hAnsi="宋体" w:cs="宋体" w:eastAsia="宋体" w:hint="default"/>
                <w:sz w:val="18"/>
                <w:szCs w:val="18"/>
              </w:rPr>
              <w:t>单元装修工程</w:t>
            </w:r>
          </w:p>
        </w:tc>
        <w:tc>
          <w:tcPr>
            <w:tcW w:w="118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73,697.40</w:t>
            </w:r>
          </w:p>
        </w:tc>
        <w:tc>
          <w:tcPr>
            <w:tcW w:w="977"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73,697.40</w:t>
            </w:r>
          </w:p>
        </w:tc>
      </w:tr>
      <w:tr>
        <w:trPr>
          <w:trHeight w:val="401"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东海火炬科技园</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楼</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161,216,920.00</w:t>
            </w:r>
          </w:p>
        </w:tc>
        <w:tc>
          <w:tcPr>
            <w:tcW w:w="98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161,216,920.00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161,216,920.00</w:t>
            </w:r>
          </w:p>
        </w:tc>
        <w:tc>
          <w:tcPr>
            <w:tcW w:w="98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161,216,920.00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4,772,987.52</w:t>
            </w:r>
          </w:p>
        </w:tc>
        <w:tc>
          <w:tcPr>
            <w:tcW w:w="977"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4,772,987.52</w:t>
            </w:r>
          </w:p>
        </w:tc>
      </w:tr>
    </w:tbl>
    <w:p>
      <w:pPr>
        <w:spacing w:line="240" w:lineRule="auto" w:before="3"/>
        <w:rPr>
          <w:rFonts w:ascii="宋体" w:hAnsi="宋体" w:cs="宋体" w:eastAsia="宋体" w:hint="default"/>
          <w:sz w:val="19"/>
          <w:szCs w:val="19"/>
        </w:rPr>
      </w:pPr>
    </w:p>
    <w:p>
      <w:pPr>
        <w:pStyle w:val="Heading3"/>
        <w:spacing w:line="240" w:lineRule="auto" w:before="36"/>
        <w:ind w:right="1061"/>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13"/>
        <w:rPr>
          <w:rFonts w:ascii="宋体" w:hAnsi="宋体" w:cs="宋体" w:eastAsia="宋体" w:hint="default"/>
          <w:b/>
          <w:bCs/>
          <w:sz w:val="22"/>
          <w:szCs w:val="22"/>
        </w:rPr>
      </w:pPr>
    </w:p>
    <w:p>
      <w:pPr>
        <w:spacing w:before="44"/>
        <w:ind w:left="0" w:right="137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734"/>
        <w:gridCol w:w="737"/>
        <w:gridCol w:w="735"/>
        <w:gridCol w:w="734"/>
        <w:gridCol w:w="734"/>
        <w:gridCol w:w="737"/>
        <w:gridCol w:w="737"/>
        <w:gridCol w:w="734"/>
        <w:gridCol w:w="737"/>
        <w:gridCol w:w="737"/>
        <w:gridCol w:w="734"/>
        <w:gridCol w:w="737"/>
        <w:gridCol w:w="737"/>
      </w:tblGrid>
      <w:tr>
        <w:trPr>
          <w:trHeight w:val="1338"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1" w:right="91"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93" w:right="89"/>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1" w:right="95"/>
              <w:jc w:val="center"/>
              <w:rPr>
                <w:rFonts w:ascii="宋体" w:hAnsi="宋体" w:cs="宋体" w:eastAsia="宋体" w:hint="default"/>
                <w:sz w:val="18"/>
                <w:szCs w:val="18"/>
              </w:rPr>
            </w:pPr>
            <w:r>
              <w:rPr>
                <w:rFonts w:ascii="宋体" w:hAnsi="宋体" w:cs="宋体" w:eastAsia="宋体" w:hint="default"/>
                <w:sz w:val="18"/>
                <w:szCs w:val="18"/>
              </w:rPr>
              <w:t>工程投 入占预 算比例</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1"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5" w:right="48"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649"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厦门超 级计算 </w:t>
            </w:r>
            <w:r>
              <w:rPr>
                <w:rFonts w:ascii="宋体" w:hAnsi="宋体" w:cs="宋体" w:eastAsia="宋体" w:hint="default"/>
                <w:spacing w:val="-11"/>
                <w:sz w:val="18"/>
                <w:szCs w:val="18"/>
              </w:rPr>
              <w:t>中心（云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计算中 心）</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45" w:right="0"/>
              <w:jc w:val="left"/>
              <w:rPr>
                <w:rFonts w:ascii="Arial Narrow" w:hAnsi="Arial Narrow" w:cs="Arial Narrow" w:eastAsia="Arial Narrow" w:hint="default"/>
                <w:sz w:val="18"/>
                <w:szCs w:val="18"/>
              </w:rPr>
            </w:pPr>
            <w:r>
              <w:rPr>
                <w:rFonts w:ascii="Arial Narrow"/>
                <w:sz w:val="18"/>
              </w:rPr>
              <w:t>27,050,00</w:t>
            </w:r>
          </w:p>
          <w:p>
            <w:pPr>
              <w:pStyle w:val="TableParagraph"/>
              <w:spacing w:line="240" w:lineRule="auto" w:before="105"/>
              <w:ind w:left="415" w:right="0"/>
              <w:jc w:val="left"/>
              <w:rPr>
                <w:rFonts w:ascii="Arial Narrow" w:hAnsi="Arial Narrow" w:cs="Arial Narrow" w:eastAsia="Arial Narrow" w:hint="default"/>
                <w:sz w:val="18"/>
                <w:szCs w:val="18"/>
              </w:rPr>
            </w:pPr>
            <w:r>
              <w:rPr>
                <w:rFonts w:ascii="Arial Narrow"/>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4,699,29</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0.12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12,361,3</w:t>
            </w:r>
          </w:p>
          <w:p>
            <w:pPr>
              <w:pStyle w:val="TableParagraph"/>
              <w:spacing w:line="240" w:lineRule="auto" w:before="105"/>
              <w:ind w:left="295" w:right="0"/>
              <w:jc w:val="left"/>
              <w:rPr>
                <w:rFonts w:ascii="Times New Roman" w:hAnsi="Times New Roman" w:cs="Times New Roman" w:eastAsia="Times New Roman" w:hint="default"/>
                <w:sz w:val="18"/>
                <w:szCs w:val="18"/>
              </w:rPr>
            </w:pPr>
            <w:r>
              <w:rPr>
                <w:rFonts w:ascii="Times New Roman"/>
                <w:sz w:val="18"/>
              </w:rPr>
              <w:t>08.61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13,993,5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03.70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3,067,09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5.03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Arial Narrow"/>
                <w:spacing w:val="-1"/>
                <w:sz w:val="18"/>
              </w:rPr>
              <w:t>51.73</w:t>
            </w:r>
            <w:r>
              <w:rPr>
                <w:rFonts w:ascii="Times New Roman"/>
                <w:spacing w:val="-1"/>
                <w:sz w:val="18"/>
              </w:rPr>
              <w:t>%</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0"/>
              <w:jc w:val="both"/>
              <w:rPr>
                <w:rFonts w:ascii="宋体" w:hAnsi="宋体" w:cs="宋体" w:eastAsia="宋体" w:hint="default"/>
                <w:sz w:val="18"/>
                <w:szCs w:val="18"/>
              </w:rPr>
            </w:pPr>
            <w:r>
              <w:rPr>
                <w:rFonts w:ascii="宋体" w:hAnsi="宋体" w:cs="宋体" w:eastAsia="宋体" w:hint="default"/>
                <w:sz w:val="18"/>
                <w:szCs w:val="18"/>
              </w:rPr>
              <w:t>东海火 炬科技 园</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楼</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200,786,</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920.00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161,216,</w:t>
            </w:r>
          </w:p>
          <w:p>
            <w:pPr>
              <w:pStyle w:val="TableParagraph"/>
              <w:spacing w:line="240" w:lineRule="auto" w:before="102"/>
              <w:ind w:left="183" w:right="0"/>
              <w:jc w:val="center"/>
              <w:rPr>
                <w:rFonts w:ascii="Times New Roman" w:hAnsi="Times New Roman" w:cs="Times New Roman" w:eastAsia="Times New Roman" w:hint="default"/>
                <w:sz w:val="18"/>
                <w:szCs w:val="18"/>
              </w:rPr>
            </w:pPr>
            <w:r>
              <w:rPr>
                <w:rFonts w:ascii="Times New Roman"/>
                <w:sz w:val="18"/>
              </w:rPr>
              <w:t>920.00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80.29%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80.29%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161,216,</w:t>
            </w:r>
          </w:p>
          <w:p>
            <w:pPr>
              <w:pStyle w:val="TableParagraph"/>
              <w:spacing w:line="240" w:lineRule="auto" w:before="102"/>
              <w:ind w:left="189" w:right="0"/>
              <w:jc w:val="center"/>
              <w:rPr>
                <w:rFonts w:ascii="Times New Roman" w:hAnsi="Times New Roman" w:cs="Times New Roman" w:eastAsia="Times New Roman" w:hint="default"/>
                <w:sz w:val="18"/>
                <w:szCs w:val="18"/>
              </w:rPr>
            </w:pPr>
            <w:r>
              <w:rPr>
                <w:rFonts w:ascii="Times New Roman"/>
                <w:sz w:val="18"/>
              </w:rPr>
              <w:t>920.00</w:t>
            </w:r>
          </w:p>
        </w:tc>
      </w:tr>
      <w:tr>
        <w:trPr>
          <w:trHeight w:val="715"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227,836,</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920.00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4,699,29</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0.12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center"/>
              <w:rPr>
                <w:rFonts w:ascii="Times New Roman" w:hAnsi="Times New Roman" w:cs="Times New Roman" w:eastAsia="Times New Roman" w:hint="default"/>
                <w:sz w:val="18"/>
                <w:szCs w:val="18"/>
              </w:rPr>
            </w:pPr>
            <w:r>
              <w:rPr>
                <w:rFonts w:ascii="Times New Roman"/>
                <w:sz w:val="18"/>
              </w:rPr>
              <w:t>173,578,</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228.61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13,993,5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03.70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3,067,09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5.03</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161,216,</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920.00</w:t>
            </w:r>
          </w:p>
        </w:tc>
      </w:tr>
    </w:tbl>
    <w:p>
      <w:pPr>
        <w:spacing w:before="49"/>
        <w:ind w:left="140" w:right="1061" w:firstLine="0"/>
        <w:jc w:val="left"/>
        <w:rPr>
          <w:rFonts w:ascii="宋体" w:hAnsi="宋体" w:cs="宋体" w:eastAsia="宋体" w:hint="default"/>
          <w:sz w:val="18"/>
          <w:szCs w:val="18"/>
        </w:rPr>
      </w:pPr>
      <w:r>
        <w:rPr>
          <w:rFonts w:ascii="宋体" w:hAnsi="宋体" w:cs="宋体" w:eastAsia="宋体" w:hint="default"/>
          <w:sz w:val="18"/>
          <w:szCs w:val="18"/>
        </w:rPr>
        <w:t>在建工程项目变动情况的说明：</w:t>
      </w:r>
    </w:p>
    <w:p>
      <w:pPr>
        <w:spacing w:line="300" w:lineRule="auto" w:before="115"/>
        <w:ind w:left="140" w:right="1371" w:firstLine="0"/>
        <w:jc w:val="left"/>
        <w:rPr>
          <w:rFonts w:ascii="宋体" w:hAnsi="宋体" w:cs="宋体" w:eastAsia="宋体" w:hint="default"/>
          <w:sz w:val="18"/>
          <w:szCs w:val="18"/>
        </w:rPr>
      </w:pPr>
      <w:r>
        <w:rPr>
          <w:rFonts w:ascii="宋体" w:hAnsi="宋体" w:cs="宋体" w:eastAsia="宋体" w:hint="default"/>
          <w:sz w:val="18"/>
          <w:szCs w:val="18"/>
        </w:rPr>
        <w:t>厦门超级计算中心（云计算中心）工程投入占预算比例仅为</w:t>
      </w:r>
      <w:r>
        <w:rPr>
          <w:rFonts w:ascii="Times New Roman" w:hAnsi="Times New Roman" w:cs="Times New Roman" w:eastAsia="Times New Roman" w:hint="default"/>
          <w:sz w:val="18"/>
          <w:szCs w:val="18"/>
        </w:rPr>
        <w:t>51,73%</w:t>
      </w:r>
      <w:r>
        <w:rPr>
          <w:rFonts w:ascii="宋体" w:hAnsi="宋体" w:cs="宋体" w:eastAsia="宋体" w:hint="default"/>
          <w:sz w:val="18"/>
          <w:szCs w:val="18"/>
        </w:rPr>
        <w:t>，系由于部分设备无需安装，未通过在 建工程核算。</w:t>
      </w:r>
    </w:p>
    <w:p>
      <w:pPr>
        <w:spacing w:before="31"/>
        <w:ind w:left="140" w:right="1061" w:firstLine="0"/>
        <w:jc w:val="left"/>
        <w:rPr>
          <w:rFonts w:ascii="宋体" w:hAnsi="宋体" w:cs="宋体" w:eastAsia="宋体" w:hint="default"/>
          <w:sz w:val="18"/>
          <w:szCs w:val="18"/>
        </w:rPr>
      </w:pPr>
      <w:r>
        <w:rPr>
          <w:rFonts w:ascii="宋体" w:hAnsi="宋体" w:cs="宋体" w:eastAsia="宋体" w:hint="default"/>
          <w:sz w:val="18"/>
          <w:szCs w:val="18"/>
        </w:rPr>
        <w:t>本年在建工程变动主要是由于本年购建厦门东海火炬科技园研发</w:t>
      </w:r>
      <w:r>
        <w:rPr>
          <w:rFonts w:ascii="Times New Roman" w:hAnsi="Times New Roman" w:cs="Times New Roman" w:eastAsia="Times New Roman" w:hint="default"/>
          <w:sz w:val="18"/>
          <w:szCs w:val="18"/>
        </w:rPr>
        <w:t>3</w:t>
      </w:r>
      <w:r>
        <w:rPr>
          <w:rFonts w:ascii="宋体" w:hAnsi="宋体" w:cs="宋体" w:eastAsia="宋体" w:hint="default"/>
          <w:sz w:val="18"/>
          <w:szCs w:val="18"/>
        </w:rPr>
        <w:t>号楼所致。</w:t>
      </w:r>
    </w:p>
    <w:p>
      <w:pPr>
        <w:spacing w:line="240" w:lineRule="auto" w:before="2"/>
        <w:rPr>
          <w:rFonts w:ascii="宋体" w:hAnsi="宋体" w:cs="宋体" w:eastAsia="宋体" w:hint="default"/>
          <w:sz w:val="26"/>
          <w:szCs w:val="26"/>
        </w:rPr>
      </w:pPr>
    </w:p>
    <w:p>
      <w:pPr>
        <w:pStyle w:val="Heading3"/>
        <w:spacing w:line="506" w:lineRule="auto"/>
        <w:ind w:left="560" w:right="7453" w:hanging="420"/>
        <w:jc w:val="left"/>
        <w:rPr>
          <w:rFonts w:ascii="宋体" w:hAnsi="宋体" w:cs="宋体" w:eastAsia="宋体" w:hint="default"/>
          <w:b w:val="0"/>
          <w:bCs w:val="0"/>
        </w:rPr>
      </w:pPr>
      <w:r>
        <w:rPr/>
        <w:t>（</w:t>
      </w:r>
      <w:r>
        <w:rPr>
          <w:rFonts w:ascii="Times New Roman" w:hAnsi="Times New Roman" w:cs="Times New Roman" w:eastAsia="Times New Roman" w:hint="default"/>
        </w:rPr>
        <w:t>3</w:t>
      </w:r>
      <w:r>
        <w:rPr/>
        <w:t>）在建工程减值准备</w:t>
      </w:r>
      <w:r>
        <w:rPr>
          <w:w w:val="100"/>
        </w:rPr>
        <w:t> </w:t>
      </w:r>
      <w:r>
        <w:rPr>
          <w:rFonts w:ascii="宋体" w:hAnsi="宋体" w:cs="宋体" w:eastAsia="宋体" w:hint="default"/>
          <w:b w:val="0"/>
          <w:bCs w:val="0"/>
        </w:rPr>
        <w:t>无。</w:t>
      </w:r>
    </w:p>
    <w:p>
      <w:pPr>
        <w:pStyle w:val="Heading3"/>
        <w:spacing w:line="506" w:lineRule="auto" w:before="104"/>
        <w:ind w:left="560" w:right="6035" w:hanging="420"/>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4</w:t>
      </w:r>
      <w:r>
        <w:rPr>
          <w:spacing w:val="-1"/>
        </w:rPr>
        <w:t>）重大在建工程的工程进度情况</w:t>
      </w:r>
      <w:r>
        <w:rPr>
          <w:spacing w:val="-91"/>
        </w:rPr>
        <w:t> </w:t>
      </w:r>
      <w:r>
        <w:rPr>
          <w:spacing w:val="-91"/>
        </w:rPr>
      </w:r>
      <w:r>
        <w:rPr>
          <w:rFonts w:ascii="宋体" w:hAnsi="宋体" w:cs="宋体" w:eastAsia="宋体" w:hint="default"/>
          <w:b w:val="0"/>
          <w:bCs w:val="0"/>
        </w:rPr>
        <w:t>无。</w:t>
      </w:r>
    </w:p>
    <w:p>
      <w:pPr>
        <w:spacing w:after="0" w:line="506" w:lineRule="auto"/>
        <w:jc w:val="left"/>
        <w:rPr>
          <w:rFonts w:ascii="宋体" w:hAnsi="宋体" w:cs="宋体" w:eastAsia="宋体" w:hint="default"/>
        </w:rPr>
        <w:sectPr>
          <w:pgSz w:w="11910" w:h="16840"/>
          <w:pgMar w:header="877" w:footer="1227" w:top="1100" w:bottom="1420" w:left="1660" w:right="420"/>
        </w:sectPr>
      </w:pPr>
    </w:p>
    <w:p>
      <w:pPr>
        <w:spacing w:line="240" w:lineRule="auto" w:before="11"/>
        <w:rPr>
          <w:rFonts w:ascii="宋体" w:hAnsi="宋体" w:cs="宋体" w:eastAsia="宋体" w:hint="default"/>
          <w:sz w:val="20"/>
          <w:szCs w:val="20"/>
        </w:rPr>
      </w:pPr>
    </w:p>
    <w:p>
      <w:pPr>
        <w:pStyle w:val="Heading3"/>
        <w:spacing w:line="506" w:lineRule="auto" w:before="36"/>
        <w:ind w:left="560" w:right="6444" w:hanging="420"/>
        <w:jc w:val="left"/>
        <w:rPr>
          <w:rFonts w:ascii="宋体" w:hAnsi="宋体" w:cs="宋体" w:eastAsia="宋体" w:hint="default"/>
          <w:b w:val="0"/>
          <w:bCs w:val="0"/>
        </w:rPr>
      </w:pPr>
      <w:r>
        <w:rPr/>
        <w:t>（</w:t>
      </w:r>
      <w:r>
        <w:rPr>
          <w:rFonts w:ascii="Times New Roman" w:hAnsi="Times New Roman" w:cs="Times New Roman" w:eastAsia="Times New Roman" w:hint="default"/>
        </w:rPr>
        <w:t>5</w:t>
      </w:r>
      <w:r>
        <w:rPr/>
        <w:t>）在建工程的说明</w:t>
      </w:r>
      <w:r>
        <w:rPr>
          <w:w w:val="100"/>
        </w:rPr>
        <w:t> </w:t>
      </w:r>
      <w:r>
        <w:rPr>
          <w:rFonts w:ascii="宋体" w:hAnsi="宋体" w:cs="宋体" w:eastAsia="宋体" w:hint="default"/>
          <w:b w:val="0"/>
          <w:bCs w:val="0"/>
        </w:rPr>
        <w:t>无。</w:t>
      </w:r>
    </w:p>
    <w:p>
      <w:pPr>
        <w:pStyle w:val="Heading3"/>
        <w:spacing w:line="506" w:lineRule="auto" w:before="101"/>
        <w:ind w:left="560" w:right="7182" w:hanging="420"/>
        <w:jc w:val="left"/>
        <w:rPr>
          <w:rFonts w:ascii="宋体" w:hAnsi="宋体" w:cs="宋体" w:eastAsia="宋体" w:hint="default"/>
          <w:b w:val="0"/>
          <w:bCs w:val="0"/>
        </w:rPr>
      </w:pPr>
      <w:r>
        <w:rPr>
          <w:rFonts w:ascii="Times New Roman" w:hAnsi="Times New Roman" w:cs="Times New Roman" w:eastAsia="Times New Roman" w:hint="default"/>
        </w:rPr>
        <w:t>19</w:t>
      </w:r>
      <w:r>
        <w:rPr/>
        <w:t>、工程物资</w:t>
      </w:r>
      <w:r>
        <w:rPr>
          <w:w w:val="100"/>
        </w:rPr>
        <w:t> </w:t>
      </w:r>
      <w:r>
        <w:rPr>
          <w:rFonts w:ascii="宋体" w:hAnsi="宋体" w:cs="宋体" w:eastAsia="宋体" w:hint="default"/>
          <w:b w:val="0"/>
          <w:bCs w:val="0"/>
        </w:rPr>
        <w:t>无。</w:t>
      </w:r>
    </w:p>
    <w:p>
      <w:pPr>
        <w:pStyle w:val="Heading3"/>
        <w:spacing w:line="506" w:lineRule="auto" w:before="104"/>
        <w:ind w:left="560" w:right="6760" w:hanging="420"/>
        <w:jc w:val="left"/>
        <w:rPr>
          <w:rFonts w:ascii="宋体" w:hAnsi="宋体" w:cs="宋体" w:eastAsia="宋体" w:hint="default"/>
          <w:b w:val="0"/>
          <w:bCs w:val="0"/>
        </w:rPr>
      </w:pPr>
      <w:r>
        <w:rPr>
          <w:rFonts w:ascii="Times New Roman" w:hAnsi="Times New Roman" w:cs="Times New Roman" w:eastAsia="Times New Roman" w:hint="default"/>
        </w:rPr>
        <w:t>20</w:t>
      </w:r>
      <w:r>
        <w:rPr/>
        <w:t>、固定资产清理</w:t>
      </w:r>
      <w:r>
        <w:rPr>
          <w:w w:val="100"/>
        </w:rPr>
        <w:t> </w:t>
      </w:r>
      <w:r>
        <w:rPr>
          <w:rFonts w:ascii="宋体" w:hAnsi="宋体" w:cs="宋体" w:eastAsia="宋体" w:hint="default"/>
          <w:b w:val="0"/>
          <w:bCs w:val="0"/>
        </w:rPr>
        <w:t>无。</w:t>
      </w:r>
    </w:p>
    <w:p>
      <w:pPr>
        <w:pStyle w:val="Heading3"/>
        <w:spacing w:line="506" w:lineRule="auto" w:before="102"/>
        <w:ind w:left="560" w:right="6549" w:hanging="420"/>
        <w:jc w:val="left"/>
        <w:rPr>
          <w:rFonts w:ascii="宋体" w:hAnsi="宋体" w:cs="宋体" w:eastAsia="宋体" w:hint="default"/>
          <w:b w:val="0"/>
          <w:bCs w:val="0"/>
        </w:rPr>
      </w:pPr>
      <w:r>
        <w:rPr>
          <w:rFonts w:ascii="Times New Roman" w:hAnsi="Times New Roman" w:cs="Times New Roman" w:eastAsia="Times New Roman" w:hint="default"/>
        </w:rPr>
        <w:t>21</w:t>
      </w:r>
      <w:r>
        <w:rPr/>
        <w:t>、生产性生物资产</w:t>
      </w:r>
      <w:r>
        <w:rPr>
          <w:w w:val="100"/>
        </w:rPr>
        <w:t> </w:t>
      </w:r>
      <w:r>
        <w:rPr>
          <w:rFonts w:ascii="宋体" w:hAnsi="宋体" w:cs="宋体" w:eastAsia="宋体" w:hint="default"/>
          <w:b w:val="0"/>
          <w:bCs w:val="0"/>
        </w:rPr>
        <w:t>无。</w:t>
      </w:r>
    </w:p>
    <w:p>
      <w:pPr>
        <w:pStyle w:val="Heading3"/>
        <w:spacing w:line="520" w:lineRule="auto" w:before="104"/>
        <w:ind w:right="7199"/>
        <w:jc w:val="center"/>
        <w:rPr>
          <w:b w:val="0"/>
          <w:bCs w:val="0"/>
        </w:rPr>
      </w:pPr>
      <w:r>
        <w:rPr>
          <w:rFonts w:ascii="Times New Roman" w:hAnsi="Times New Roman" w:cs="Times New Roman" w:eastAsia="Times New Roman" w:hint="default"/>
          <w:spacing w:val="-1"/>
        </w:rPr>
        <w:t>22</w:t>
      </w:r>
      <w:r>
        <w:rPr>
          <w:spacing w:val="-1"/>
        </w:rPr>
        <w:t>、油气资产</w:t>
      </w:r>
      <w:r>
        <w:rPr>
          <w:spacing w:val="-103"/>
        </w:rPr>
        <w:t> </w:t>
      </w:r>
      <w:r>
        <w:rPr>
          <w:rFonts w:ascii="宋体" w:hAnsi="宋体" w:cs="宋体" w:eastAsia="宋体" w:hint="default"/>
          <w:b w:val="0"/>
          <w:bCs w:val="0"/>
        </w:rPr>
        <w:t>无。</w:t>
      </w:r>
      <w:r>
        <w:rPr>
          <w:rFonts w:ascii="宋体" w:hAnsi="宋体" w:cs="宋体" w:eastAsia="宋体" w:hint="default"/>
          <w:b w:val="0"/>
          <w:bCs w:val="0"/>
          <w:w w:val="100"/>
        </w:rPr>
        <w:t> </w:t>
      </w:r>
      <w:r>
        <w:rPr>
          <w:rFonts w:ascii="Times New Roman" w:hAnsi="Times New Roman" w:cs="Times New Roman" w:eastAsia="Times New Roman" w:hint="default"/>
          <w:spacing w:val="-1"/>
        </w:rPr>
        <w:t>23</w:t>
      </w:r>
      <w:r>
        <w:rPr>
          <w:spacing w:val="-1"/>
        </w:rPr>
        <w:t>、无形资产</w:t>
      </w:r>
      <w:r>
        <w:rPr>
          <w:b w:val="0"/>
          <w:bCs w:val="0"/>
          <w:spacing w:val="-1"/>
        </w:rPr>
      </w:r>
    </w:p>
    <w:p>
      <w:pPr>
        <w:pStyle w:val="Heading3"/>
        <w:spacing w:line="240" w:lineRule="auto" w:before="51"/>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920"/>
        <w:gridCol w:w="1611"/>
        <w:gridCol w:w="1611"/>
        <w:gridCol w:w="1610"/>
        <w:gridCol w:w="1613"/>
      </w:tblGrid>
      <w:tr>
        <w:trPr>
          <w:trHeight w:val="403" w:hRule="exact"/>
        </w:trPr>
        <w:tc>
          <w:tcPr>
            <w:tcW w:w="1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1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924,722.34</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16,457,488.93</w:t>
            </w:r>
          </w:p>
        </w:tc>
        <w:tc>
          <w:tcPr>
            <w:tcW w:w="1610"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17,382,211.27</w:t>
            </w:r>
          </w:p>
        </w:tc>
      </w:tr>
      <w:tr>
        <w:trPr>
          <w:trHeight w:val="403"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659,322.34</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839,810.75</w:t>
            </w:r>
          </w:p>
        </w:tc>
        <w:tc>
          <w:tcPr>
            <w:tcW w:w="1610"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1,499,133.09</w:t>
            </w:r>
          </w:p>
        </w:tc>
      </w:tr>
      <w:tr>
        <w:trPr>
          <w:trHeight w:val="401"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265,400.00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6,500.00</w:t>
            </w:r>
          </w:p>
        </w:tc>
        <w:tc>
          <w:tcPr>
            <w:tcW w:w="1610"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271,900.00</w:t>
            </w:r>
          </w:p>
        </w:tc>
      </w:tr>
      <w:tr>
        <w:trPr>
          <w:trHeight w:val="403"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611"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15,611,178.18</w:t>
            </w:r>
          </w:p>
        </w:tc>
        <w:tc>
          <w:tcPr>
            <w:tcW w:w="1610"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15,611,178.18</w:t>
            </w:r>
          </w:p>
        </w:tc>
      </w:tr>
      <w:tr>
        <w:trPr>
          <w:trHeight w:val="401" w:hRule="exact"/>
        </w:trPr>
        <w:tc>
          <w:tcPr>
            <w:tcW w:w="1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137,469.96</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1,579,028.68</w:t>
            </w:r>
          </w:p>
        </w:tc>
        <w:tc>
          <w:tcPr>
            <w:tcW w:w="1610"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1,716,498.64</w:t>
            </w:r>
          </w:p>
        </w:tc>
      </w:tr>
      <w:tr>
        <w:trPr>
          <w:trHeight w:val="403"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127,366.63</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182,017.44</w:t>
            </w:r>
          </w:p>
        </w:tc>
        <w:tc>
          <w:tcPr>
            <w:tcW w:w="1610"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309,384.07</w:t>
            </w:r>
          </w:p>
        </w:tc>
      </w:tr>
      <w:tr>
        <w:trPr>
          <w:trHeight w:val="401"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10,103.33</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21,672.03</w:t>
            </w:r>
          </w:p>
        </w:tc>
        <w:tc>
          <w:tcPr>
            <w:tcW w:w="1610"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31,775.36</w:t>
            </w:r>
          </w:p>
        </w:tc>
      </w:tr>
      <w:tr>
        <w:trPr>
          <w:trHeight w:val="404"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611"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1,375,339.21</w:t>
            </w:r>
          </w:p>
        </w:tc>
        <w:tc>
          <w:tcPr>
            <w:tcW w:w="1610"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1,375,339.21</w:t>
            </w:r>
          </w:p>
        </w:tc>
      </w:tr>
      <w:tr>
        <w:trPr>
          <w:trHeight w:val="713" w:hRule="exact"/>
        </w:trPr>
        <w:tc>
          <w:tcPr>
            <w:tcW w:w="1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84"/>
              <w:jc w:val="left"/>
              <w:rPr>
                <w:rFonts w:ascii="宋体" w:hAnsi="宋体" w:cs="宋体" w:eastAsia="宋体" w:hint="default"/>
                <w:sz w:val="18"/>
                <w:szCs w:val="18"/>
              </w:rPr>
            </w:pPr>
            <w:r>
              <w:rPr>
                <w:rFonts w:ascii="宋体" w:hAnsi="宋体" w:cs="宋体" w:eastAsia="宋体" w:hint="default"/>
                <w:sz w:val="18"/>
                <w:szCs w:val="18"/>
              </w:rPr>
              <w:t>三、无形资产账面净值 合计</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787,252.38</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14,878,460.25</w:t>
            </w:r>
          </w:p>
        </w:tc>
        <w:tc>
          <w:tcPr>
            <w:tcW w:w="1610"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15,665,712.63</w:t>
            </w:r>
          </w:p>
        </w:tc>
      </w:tr>
      <w:tr>
        <w:trPr>
          <w:trHeight w:val="403"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531,955.71</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657,793.31</w:t>
            </w:r>
          </w:p>
        </w:tc>
        <w:tc>
          <w:tcPr>
            <w:tcW w:w="1610"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1,189,749.02</w:t>
            </w:r>
          </w:p>
        </w:tc>
      </w:tr>
      <w:tr>
        <w:trPr>
          <w:trHeight w:val="401"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255,296.67</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-15,172.03</w:t>
            </w:r>
          </w:p>
        </w:tc>
        <w:tc>
          <w:tcPr>
            <w:tcW w:w="1610"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240,124.64</w:t>
            </w:r>
          </w:p>
        </w:tc>
      </w:tr>
      <w:tr>
        <w:trPr>
          <w:trHeight w:val="403"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611"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14,235,838.97</w:t>
            </w:r>
          </w:p>
        </w:tc>
        <w:tc>
          <w:tcPr>
            <w:tcW w:w="1610"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14,235,838.97</w:t>
            </w:r>
          </w:p>
        </w:tc>
      </w:tr>
      <w:tr>
        <w:trPr>
          <w:trHeight w:val="403"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611"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27" w:top="1100" w:bottom="1420" w:left="1660" w:right="1640"/>
        </w:sectPr>
      </w:pPr>
    </w:p>
    <w:p>
      <w:pPr>
        <w:spacing w:line="240" w:lineRule="auto" w:before="8"/>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1920"/>
        <w:gridCol w:w="1611"/>
        <w:gridCol w:w="1611"/>
        <w:gridCol w:w="1610"/>
        <w:gridCol w:w="1613"/>
      </w:tblGrid>
      <w:tr>
        <w:trPr>
          <w:trHeight w:val="401"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611"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611"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611"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787,252.38</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14,878,460.25</w:t>
            </w:r>
          </w:p>
        </w:tc>
        <w:tc>
          <w:tcPr>
            <w:tcW w:w="1610"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15,665,712.63</w:t>
            </w:r>
          </w:p>
        </w:tc>
      </w:tr>
      <w:tr>
        <w:trPr>
          <w:trHeight w:val="401"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531,955.71</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657,793.31</w:t>
            </w:r>
          </w:p>
        </w:tc>
        <w:tc>
          <w:tcPr>
            <w:tcW w:w="1610"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1,189,749.02</w:t>
            </w:r>
          </w:p>
        </w:tc>
      </w:tr>
      <w:tr>
        <w:trPr>
          <w:trHeight w:val="403"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255,296.67</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-15,172.03</w:t>
            </w:r>
          </w:p>
        </w:tc>
        <w:tc>
          <w:tcPr>
            <w:tcW w:w="1610"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240,124.64</w:t>
            </w:r>
          </w:p>
        </w:tc>
      </w:tr>
      <w:tr>
        <w:trPr>
          <w:trHeight w:val="403"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611"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14,235,838.97</w:t>
            </w:r>
          </w:p>
        </w:tc>
        <w:tc>
          <w:tcPr>
            <w:tcW w:w="1610"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14,235,838.97</w:t>
            </w:r>
          </w:p>
        </w:tc>
      </w:tr>
    </w:tbl>
    <w:p>
      <w:pPr>
        <w:spacing w:before="49"/>
        <w:ind w:left="140" w:right="0" w:firstLine="0"/>
        <w:jc w:val="left"/>
        <w:rPr>
          <w:rFonts w:ascii="宋体" w:hAnsi="宋体" w:cs="宋体" w:eastAsia="宋体" w:hint="default"/>
          <w:sz w:val="18"/>
          <w:szCs w:val="18"/>
        </w:rPr>
      </w:pPr>
      <w:r>
        <w:rPr>
          <w:rFonts w:ascii="宋体" w:hAnsi="宋体" w:cs="宋体" w:eastAsia="宋体" w:hint="default"/>
          <w:sz w:val="18"/>
          <w:szCs w:val="18"/>
        </w:rPr>
        <w:t>本期摊销额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1,579,028.68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）公司开发项目支出</w:t>
      </w:r>
      <w:r>
        <w:rPr>
          <w:b w:val="0"/>
          <w:bCs w:val="0"/>
        </w:rPr>
      </w:r>
    </w:p>
    <w:p>
      <w:pPr>
        <w:spacing w:line="240" w:lineRule="auto" w:before="13"/>
        <w:rPr>
          <w:rFonts w:ascii="宋体" w:hAnsi="宋体" w:cs="宋体" w:eastAsia="宋体" w:hint="default"/>
          <w:b/>
          <w:bCs/>
          <w:sz w:val="22"/>
          <w:szCs w:val="22"/>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800"/>
        <w:gridCol w:w="994"/>
        <w:gridCol w:w="1392"/>
        <w:gridCol w:w="1395"/>
        <w:gridCol w:w="1392"/>
        <w:gridCol w:w="1393"/>
      </w:tblGrid>
      <w:tr>
        <w:trPr>
          <w:trHeight w:val="401" w:hRule="exact"/>
        </w:trPr>
        <w:tc>
          <w:tcPr>
            <w:tcW w:w="1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800"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392" w:type="dxa"/>
            <w:vMerge/>
            <w:tcBorders>
              <w:left w:val="single" w:sz="4" w:space="0" w:color="000000"/>
              <w:bottom w:val="single" w:sz="4" w:space="0" w:color="000000"/>
              <w:right w:val="single" w:sz="4" w:space="0" w:color="000000"/>
            </w:tcBorders>
            <w:shd w:val="clear" w:color="auto" w:fill="D2D2D2"/>
          </w:tcPr>
          <w:p>
            <w:pPr/>
          </w:p>
        </w:tc>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1"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0"/>
              <w:jc w:val="right"/>
              <w:rPr>
                <w:rFonts w:ascii="宋体" w:hAnsi="宋体" w:cs="宋体" w:eastAsia="宋体" w:hint="default"/>
                <w:sz w:val="18"/>
                <w:szCs w:val="18"/>
              </w:rPr>
            </w:pPr>
            <w:r>
              <w:rPr>
                <w:rFonts w:ascii="宋体" w:hAnsi="宋体" w:cs="宋体" w:eastAsia="宋体" w:hint="default"/>
                <w:sz w:val="18"/>
                <w:szCs w:val="18"/>
              </w:rPr>
              <w:t>确认为无形资产</w:t>
            </w:r>
          </w:p>
        </w:tc>
        <w:tc>
          <w:tcPr>
            <w:tcW w:w="1393"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44"/>
              <w:jc w:val="left"/>
              <w:rPr>
                <w:rFonts w:ascii="宋体" w:hAnsi="宋体" w:cs="宋体" w:eastAsia="宋体" w:hint="default"/>
                <w:sz w:val="18"/>
                <w:szCs w:val="18"/>
              </w:rPr>
            </w:pPr>
            <w:r>
              <w:rPr>
                <w:rFonts w:ascii="宋体" w:hAnsi="宋体" w:cs="宋体" w:eastAsia="宋体" w:hint="default"/>
                <w:sz w:val="18"/>
                <w:szCs w:val="18"/>
              </w:rPr>
              <w:t>电子数据取证综合勘 查平台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4,930,999.1</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8</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657,639.28</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5,588,638.46</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手机取证一体机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2,572,511.4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1,056,056.95</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3,628,568.36</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极光系统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2,074,226.00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2,074,226.00</w:t>
            </w:r>
          </w:p>
        </w:tc>
      </w:tr>
      <w:tr>
        <w:trPr>
          <w:trHeight w:val="716"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44"/>
              <w:jc w:val="left"/>
              <w:rPr>
                <w:rFonts w:ascii="宋体" w:hAnsi="宋体" w:cs="宋体" w:eastAsia="宋体" w:hint="default"/>
                <w:sz w:val="18"/>
                <w:szCs w:val="18"/>
              </w:rPr>
            </w:pPr>
            <w:r>
              <w:rPr>
                <w:rFonts w:ascii="宋体" w:hAnsi="宋体" w:cs="宋体" w:eastAsia="宋体" w:hint="default"/>
                <w:sz w:val="18"/>
                <w:szCs w:val="18"/>
              </w:rPr>
              <w:t>手机数据移动采集终 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972,239.04</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227,690.59</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744,548.45</w:t>
            </w:r>
          </w:p>
        </w:tc>
      </w:tr>
      <w:tr>
        <w:trPr>
          <w:trHeight w:val="71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44"/>
              <w:jc w:val="left"/>
              <w:rPr>
                <w:rFonts w:ascii="宋体" w:hAnsi="宋体" w:cs="宋体" w:eastAsia="宋体" w:hint="default"/>
                <w:sz w:val="18"/>
                <w:szCs w:val="18"/>
              </w:rPr>
            </w:pPr>
            <w:r>
              <w:rPr>
                <w:rFonts w:ascii="宋体" w:hAnsi="宋体" w:cs="宋体" w:eastAsia="宋体" w:hint="default"/>
                <w:sz w:val="18"/>
                <w:szCs w:val="18"/>
              </w:rPr>
              <w:t>可视化数据智能分析 系统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268,008.17</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62,531.87</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205,476.30</w:t>
            </w:r>
          </w:p>
        </w:tc>
      </w:tr>
      <w:tr>
        <w:trPr>
          <w:trHeight w:val="40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取证塔</w:t>
            </w:r>
            <w:r>
              <w:rPr>
                <w:rFonts w:ascii="Times New Roman" w:hAnsi="Times New Roman" w:cs="Times New Roman" w:eastAsia="Times New Roman" w:hint="default"/>
                <w:sz w:val="18"/>
                <w:szCs w:val="18"/>
              </w:rPr>
              <w:t>.</w:t>
            </w:r>
            <w:r>
              <w:rPr>
                <w:rFonts w:ascii="宋体" w:hAnsi="宋体" w:cs="宋体" w:eastAsia="宋体" w:hint="default"/>
                <w:sz w:val="18"/>
                <w:szCs w:val="18"/>
              </w:rPr>
              <w:t>便携版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646,825.54</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57,075.33</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589,750.21</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取证大师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1,904,334.00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761,556.96</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1,142,777.04</w:t>
            </w:r>
          </w:p>
        </w:tc>
      </w:tr>
      <w:tr>
        <w:trPr>
          <w:trHeight w:val="40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视频取证系统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322,463.18</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90,466.18</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231,997.00</w:t>
            </w:r>
          </w:p>
        </w:tc>
      </w:tr>
      <w:tr>
        <w:trPr>
          <w:trHeight w:val="401"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恢复大师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418,128.80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418,128.80</w:t>
            </w:r>
          </w:p>
        </w:tc>
      </w:tr>
      <w:tr>
        <w:trPr>
          <w:trHeight w:val="557"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3" w:right="23"/>
              <w:jc w:val="left"/>
              <w:rPr>
                <w:rFonts w:ascii="宋体" w:hAnsi="宋体" w:cs="宋体" w:eastAsia="宋体" w:hint="default"/>
                <w:sz w:val="18"/>
                <w:szCs w:val="18"/>
              </w:rPr>
            </w:pPr>
            <w:r>
              <w:rPr>
                <w:rFonts w:ascii="宋体" w:hAnsi="宋体" w:cs="宋体" w:eastAsia="宋体" w:hint="default"/>
                <w:spacing w:val="13"/>
                <w:sz w:val="18"/>
                <w:szCs w:val="18"/>
              </w:rPr>
              <w:t>互联网行业舆情分析</w:t>
            </w:r>
            <w:r>
              <w:rPr>
                <w:rFonts w:ascii="宋体" w:hAnsi="宋体" w:cs="宋体" w:eastAsia="宋体" w:hint="default"/>
                <w:sz w:val="18"/>
                <w:szCs w:val="18"/>
              </w:rPr>
              <w:t> 平台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1,972,375.13</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717,105.44</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1,255,269.69</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r>
      <w:tr>
        <w:trPr>
          <w:trHeight w:val="716"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55"/>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MT-CAP</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综合应用平 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2,304,703.42</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175,860.99</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2,128,842.43</w:t>
            </w:r>
          </w:p>
        </w:tc>
      </w:tr>
      <w:tr>
        <w:trPr>
          <w:trHeight w:val="401"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网络信息搜索云系统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1,912,330.29</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132,349.39</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1,779,980.90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4"/>
              <w:jc w:val="left"/>
              <w:rPr>
                <w:rFonts w:ascii="宋体" w:hAnsi="宋体" w:cs="宋体" w:eastAsia="宋体" w:hint="default"/>
                <w:sz w:val="18"/>
                <w:szCs w:val="18"/>
              </w:rPr>
            </w:pPr>
            <w:r>
              <w:rPr>
                <w:rFonts w:ascii="宋体" w:hAnsi="宋体" w:cs="宋体" w:eastAsia="宋体" w:hint="default"/>
                <w:sz w:val="18"/>
                <w:szCs w:val="18"/>
              </w:rPr>
              <w:t>网络商品交易监管系 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1,456,386.61</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1,037,447.18</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418,939.43</w:t>
            </w:r>
          </w:p>
        </w:tc>
      </w:tr>
      <w:tr>
        <w:trPr>
          <w:trHeight w:val="401"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公证云平台项目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2,733,848.79</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994,996.28</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1,738,852.51</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固定翼无人机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1,358,240.20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328,122.15</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1,030,118.05</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其他项目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29,052,373.60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29,052,373.60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1660" w:right="1640"/>
        </w:sectPr>
      </w:pPr>
    </w:p>
    <w:p>
      <w:pPr>
        <w:spacing w:line="240" w:lineRule="auto" w:before="8"/>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1800"/>
        <w:gridCol w:w="994"/>
        <w:gridCol w:w="1392"/>
        <w:gridCol w:w="1395"/>
        <w:gridCol w:w="1392"/>
        <w:gridCol w:w="1393"/>
      </w:tblGrid>
      <w:tr>
        <w:trPr>
          <w:trHeight w:val="716" w:hRule="exact"/>
        </w:trPr>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7,503,510.5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8" w:right="0"/>
              <w:jc w:val="left"/>
              <w:rPr>
                <w:rFonts w:ascii="Times New Roman" w:hAnsi="Times New Roman" w:cs="Times New Roman" w:eastAsia="Times New Roman" w:hint="default"/>
                <w:sz w:val="18"/>
                <w:szCs w:val="18"/>
              </w:rPr>
            </w:pPr>
            <w:r>
              <w:rPr>
                <w:rFonts w:ascii="Times New Roman"/>
                <w:sz w:val="18"/>
              </w:rPr>
              <w:t>49,110,179.00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33,637,575.96</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8" w:right="0"/>
              <w:jc w:val="left"/>
              <w:rPr>
                <w:rFonts w:ascii="Times New Roman" w:hAnsi="Times New Roman" w:cs="Times New Roman" w:eastAsia="Times New Roman" w:hint="default"/>
                <w:sz w:val="18"/>
                <w:szCs w:val="18"/>
              </w:rPr>
            </w:pPr>
            <w:r>
              <w:rPr>
                <w:rFonts w:ascii="Times New Roman"/>
                <w:sz w:val="18"/>
              </w:rPr>
              <w:t>15,611,178.18</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7,364,935.45</w:t>
            </w:r>
          </w:p>
        </w:tc>
      </w:tr>
    </w:tbl>
    <w:p>
      <w:pPr>
        <w:pStyle w:val="BodyText"/>
        <w:spacing w:line="386" w:lineRule="auto" w:before="64"/>
        <w:ind w:left="560" w:right="0"/>
        <w:jc w:val="left"/>
      </w:pPr>
      <w:r>
        <w:rPr/>
        <w:t>本期开发支出占本期研究开发项目支出总额的比例</w:t>
      </w:r>
      <w:r>
        <w:rPr>
          <w:rFonts w:ascii="Times New Roman" w:hAnsi="Times New Roman" w:cs="Times New Roman" w:eastAsia="Times New Roman" w:hint="default"/>
        </w:rPr>
        <w:t>31.51%</w:t>
      </w:r>
      <w:r>
        <w:rPr/>
        <w:t>。</w:t>
      </w:r>
      <w:r>
        <w:rPr>
          <w:w w:val="100"/>
        </w:rPr>
        <w:t> </w:t>
      </w:r>
      <w:r>
        <w:rPr/>
        <w:t>通过公司内部研发形成的无形资产占无形资产期末账面价值的比例</w:t>
      </w:r>
      <w:r>
        <w:rPr>
          <w:rFonts w:ascii="Times New Roman" w:hAnsi="Times New Roman" w:cs="Times New Roman" w:eastAsia="Times New Roman" w:hint="default"/>
        </w:rPr>
        <w:t>89.81%</w:t>
      </w:r>
      <w:r>
        <w:rPr/>
        <w:t>。</w:t>
      </w:r>
      <w:r>
        <w:rPr>
          <w:w w:val="100"/>
        </w:rPr>
        <w:t> </w:t>
      </w:r>
      <w:r>
        <w:rPr>
          <w:spacing w:val="-2"/>
        </w:rPr>
        <w:t>公司开发项目的说明，包括本期发生的单项价值在</w:t>
      </w:r>
      <w:r>
        <w:rPr>
          <w:rFonts w:ascii="Times New Roman" w:hAnsi="Times New Roman" w:cs="Times New Roman" w:eastAsia="Times New Roman" w:hint="default"/>
          <w:spacing w:val="-2"/>
        </w:rPr>
        <w:t>100</w:t>
      </w:r>
      <w:r>
        <w:rPr>
          <w:spacing w:val="-2"/>
        </w:rPr>
        <w:t>万元以上且以评估值为入账依据</w:t>
      </w:r>
    </w:p>
    <w:p>
      <w:pPr>
        <w:pStyle w:val="BodyText"/>
        <w:spacing w:line="240" w:lineRule="auto" w:before="35"/>
        <w:ind w:right="0"/>
        <w:jc w:val="left"/>
      </w:pPr>
      <w:r>
        <w:rPr/>
        <w:t>的，应披露评估机构名称、评估方法：</w:t>
      </w:r>
    </w:p>
    <w:p>
      <w:pPr>
        <w:spacing w:line="240" w:lineRule="auto" w:before="10"/>
        <w:rPr>
          <w:rFonts w:ascii="宋体" w:hAnsi="宋体" w:cs="宋体" w:eastAsia="宋体" w:hint="default"/>
          <w:sz w:val="14"/>
          <w:szCs w:val="14"/>
        </w:rPr>
      </w:pPr>
    </w:p>
    <w:p>
      <w:pPr>
        <w:pStyle w:val="BodyText"/>
        <w:spacing w:line="400" w:lineRule="auto"/>
        <w:ind w:right="211" w:firstLine="419"/>
        <w:jc w:val="both"/>
      </w:pPr>
      <w:r>
        <w:rPr>
          <w:spacing w:val="-2"/>
        </w:rPr>
        <w:t>（</w:t>
      </w:r>
      <w:r>
        <w:rPr>
          <w:rFonts w:ascii="Times New Roman" w:hAnsi="Times New Roman" w:cs="Times New Roman" w:eastAsia="Times New Roman" w:hint="default"/>
          <w:spacing w:val="-2"/>
        </w:rPr>
        <w:t>1</w:t>
      </w:r>
      <w:r>
        <w:rPr>
          <w:spacing w:val="-2"/>
        </w:rPr>
        <w:t>）电子数据取证综合勘查平台项目自</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月已完成项目的技术预研、需求分析</w:t>
      </w:r>
      <w:r>
        <w:rPr>
          <w:w w:val="100"/>
        </w:rPr>
        <w:t> </w:t>
      </w:r>
      <w:r>
        <w:rPr>
          <w:spacing w:val="-4"/>
        </w:rPr>
        <w:t>进入开发阶段，完成上述研发项目在技术上具有可行性，项目实施完成后形成的新产品为对</w:t>
      </w:r>
      <w:r>
        <w:rPr>
          <w:spacing w:val="-45"/>
        </w:rPr>
        <w:t> </w:t>
      </w:r>
      <w:r>
        <w:rPr>
          <w:spacing w:val="-45"/>
        </w:rPr>
      </w:r>
      <w:r>
        <w:rPr>
          <w:spacing w:val="-4"/>
        </w:rPr>
        <w:t>原有优势产品的升级换代，具有较好的市场容量和市场占有率，可以为项目收益提供有力保</w:t>
      </w:r>
      <w:r>
        <w:rPr>
          <w:spacing w:val="-44"/>
        </w:rPr>
        <w:t> </w:t>
      </w:r>
      <w:r>
        <w:rPr>
          <w:spacing w:val="-44"/>
        </w:rPr>
      </w:r>
      <w:r>
        <w:rPr>
          <w:spacing w:val="-4"/>
        </w:rPr>
        <w:t>证，同时公司有足够的技术、财务等资源的支持，并单独核算，支出能够可靠的计量。故公</w:t>
      </w:r>
      <w:r>
        <w:rPr>
          <w:spacing w:val="-46"/>
        </w:rPr>
        <w:t> </w:t>
      </w:r>
      <w:r>
        <w:rPr>
          <w:spacing w:val="-46"/>
        </w:rPr>
      </w:r>
      <w:r>
        <w:rPr/>
        <w:t>司从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rFonts w:ascii="Times New Roman" w:hAnsi="Times New Roman" w:cs="Times New Roman" w:eastAsia="Times New Roman" w:hint="default"/>
          <w:spacing w:val="18"/>
        </w:rPr>
        <w:t> </w:t>
      </w:r>
      <w:r>
        <w:rPr>
          <w:spacing w:val="-4"/>
        </w:rPr>
        <w:t>月对该项目研发费用予以资本化。该项目已于</w:t>
      </w:r>
      <w:r>
        <w:rPr>
          <w:rFonts w:ascii="Times New Roman" w:hAnsi="Times New Roman" w:cs="Times New Roman" w:eastAsia="Times New Roman" w:hint="default"/>
          <w:spacing w:val="-4"/>
        </w:rPr>
        <w:t>2012</w:t>
      </w:r>
      <w:r>
        <w:rPr>
          <w:rFonts w:ascii="Times New Roman" w:hAnsi="Times New Roman" w:cs="Times New Roman" w:eastAsia="Times New Roman" w:hint="default"/>
          <w:spacing w:val="20"/>
        </w:rPr>
        <w:t> </w:t>
      </w:r>
      <w:r>
        <w:rPr/>
        <w:t>年</w:t>
      </w:r>
      <w:r>
        <w:rPr>
          <w:rFonts w:ascii="Times New Roman" w:hAnsi="Times New Roman" w:cs="Times New Roman" w:eastAsia="Times New Roman" w:hint="default"/>
        </w:rPr>
        <w:t>5</w:t>
      </w:r>
      <w:r>
        <w:rPr>
          <w:rFonts w:ascii="Times New Roman" w:hAnsi="Times New Roman" w:cs="Times New Roman" w:eastAsia="Times New Roman" w:hint="default"/>
          <w:spacing w:val="16"/>
        </w:rPr>
        <w:t> </w:t>
      </w:r>
      <w:r>
        <w:rPr>
          <w:spacing w:val="-5"/>
        </w:rPr>
        <w:t>月末完成，于</w:t>
      </w:r>
      <w:r>
        <w:rPr>
          <w:rFonts w:ascii="Times New Roman" w:hAnsi="Times New Roman" w:cs="Times New Roman" w:eastAsia="Times New Roman" w:hint="default"/>
          <w:spacing w:val="-5"/>
        </w:rPr>
        <w:t>2012</w:t>
      </w:r>
      <w:r>
        <w:rPr>
          <w:spacing w:val="-5"/>
        </w:rPr>
        <w:t>年</w:t>
      </w:r>
      <w:r>
        <w:rPr>
          <w:rFonts w:ascii="Times New Roman" w:hAnsi="Times New Roman" w:cs="Times New Roman" w:eastAsia="Times New Roman" w:hint="default"/>
          <w:spacing w:val="-5"/>
        </w:rPr>
        <w:t>6</w:t>
      </w:r>
      <w:r>
        <w:rPr>
          <w:rFonts w:ascii="Times New Roman" w:hAnsi="Times New Roman" w:cs="Times New Roman" w:eastAsia="Times New Roman" w:hint="default"/>
          <w:spacing w:val="-49"/>
        </w:rPr>
        <w:t> </w:t>
      </w:r>
      <w:r>
        <w:rPr/>
        <w:t>月结转无形资产，并按</w:t>
      </w:r>
      <w:r>
        <w:rPr>
          <w:rFonts w:ascii="Times New Roman" w:hAnsi="Times New Roman" w:cs="Times New Roman" w:eastAsia="Times New Roman" w:hint="default"/>
        </w:rPr>
        <w:t>4  </w:t>
      </w:r>
      <w:r>
        <w:rPr/>
        <w:t>年摊销。</w:t>
      </w:r>
    </w:p>
    <w:p>
      <w:pPr>
        <w:pStyle w:val="BodyText"/>
        <w:spacing w:line="400" w:lineRule="auto" w:before="21"/>
        <w:ind w:right="0" w:firstLine="419"/>
        <w:jc w:val="left"/>
      </w:pPr>
      <w:r>
        <w:rPr>
          <w:spacing w:val="-7"/>
          <w:w w:val="100"/>
        </w:rPr>
        <w:t>（</w:t>
      </w:r>
      <w:r>
        <w:rPr>
          <w:rFonts w:ascii="Times New Roman" w:hAnsi="Times New Roman" w:cs="Times New Roman" w:eastAsia="Times New Roman" w:hint="default"/>
          <w:spacing w:val="-7"/>
          <w:w w:val="100"/>
        </w:rPr>
        <w:t>2</w:t>
      </w:r>
      <w:r>
        <w:rPr>
          <w:spacing w:val="-7"/>
          <w:w w:val="100"/>
        </w:rPr>
        <w:t>）手机取证一体机项目自</w:t>
      </w:r>
      <w:r>
        <w:rPr>
          <w:rFonts w:ascii="Times New Roman" w:hAnsi="Times New Roman" w:cs="Times New Roman" w:eastAsia="Times New Roman" w:hint="default"/>
          <w:spacing w:val="-7"/>
          <w:w w:val="100"/>
        </w:rPr>
        <w:t>2011</w:t>
      </w:r>
      <w:r>
        <w:rPr>
          <w:spacing w:val="-7"/>
          <w:w w:val="100"/>
        </w:rPr>
        <w:t>年</w:t>
      </w:r>
      <w:r>
        <w:rPr>
          <w:rFonts w:ascii="Times New Roman" w:hAnsi="Times New Roman" w:cs="Times New Roman" w:eastAsia="Times New Roman" w:hint="default"/>
          <w:spacing w:val="-7"/>
          <w:w w:val="100"/>
        </w:rPr>
        <w:t>3</w:t>
      </w:r>
      <w:r>
        <w:rPr>
          <w:spacing w:val="-7"/>
          <w:w w:val="100"/>
        </w:rPr>
        <w:t>月已完成项目的技术预研、需求分析进入开发阶段，</w:t>
      </w:r>
      <w:r>
        <w:rPr>
          <w:w w:val="100"/>
        </w:rPr>
        <w:t> </w:t>
      </w:r>
      <w:r>
        <w:rPr>
          <w:spacing w:val="-4"/>
          <w:w w:val="100"/>
        </w:rPr>
        <w:t>完成上述研发项目在技术上具有可行性，项目实施完成后形成的新产品能够提供一套适合现</w:t>
      </w:r>
      <w:r>
        <w:rPr>
          <w:spacing w:val="-95"/>
          <w:w w:val="100"/>
        </w:rPr>
        <w:t> </w:t>
      </w:r>
      <w:r>
        <w:rPr>
          <w:spacing w:val="-95"/>
          <w:w w:val="100"/>
        </w:rPr>
      </w:r>
      <w:r>
        <w:rPr>
          <w:spacing w:val="-4"/>
        </w:rPr>
        <w:t>场取证或者实验室取证的软硬一体设备，获取各类手机的逻辑数据、镜像文件以及解析常见</w:t>
      </w:r>
      <w:r>
        <w:rPr>
          <w:spacing w:val="-44"/>
        </w:rPr>
        <w:t> </w:t>
      </w:r>
      <w:r>
        <w:rPr>
          <w:spacing w:val="-44"/>
        </w:rPr>
      </w:r>
      <w:r>
        <w:rPr>
          <w:spacing w:val="-4"/>
        </w:rPr>
        <w:t>应用程序的数据，适用于各级单位进行手机取证，具有较好的市场容量和市场占有率，可以</w:t>
      </w:r>
      <w:r>
        <w:rPr>
          <w:spacing w:val="-47"/>
        </w:rPr>
        <w:t> </w:t>
      </w:r>
      <w:r>
        <w:rPr>
          <w:spacing w:val="-47"/>
        </w:rPr>
      </w:r>
      <w:r>
        <w:rPr>
          <w:spacing w:val="-4"/>
        </w:rPr>
        <w:t>为项目收益提供有力保证，同时公司有足够的技术、财务等资源的支持，并单独核算，支出</w:t>
      </w:r>
      <w:r>
        <w:rPr>
          <w:spacing w:val="-47"/>
        </w:rPr>
        <w:t> </w:t>
      </w:r>
      <w:r>
        <w:rPr>
          <w:spacing w:val="-47"/>
        </w:rPr>
      </w:r>
      <w:r>
        <w:rPr/>
        <w:t>能够可靠的计量。故公司从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月对该项目研发费用予以资本化。该项目已于</w:t>
      </w:r>
      <w:r>
        <w:rPr>
          <w:rFonts w:ascii="Times New Roman" w:hAnsi="Times New Roman" w:cs="Times New Roman" w:eastAsia="Times New Roman" w:hint="default"/>
        </w:rPr>
        <w:t>2012</w:t>
      </w:r>
      <w:r>
        <w:rPr>
          <w:rFonts w:ascii="Times New Roman" w:hAnsi="Times New Roman" w:cs="Times New Roman" w:eastAsia="Times New Roman" w:hint="default"/>
          <w:spacing w:val="48"/>
        </w:rPr>
        <w:t> </w:t>
      </w:r>
      <w:r>
        <w:rPr/>
        <w:t>年</w:t>
      </w:r>
      <w:r>
        <w:rPr>
          <w:rFonts w:ascii="Times New Roman" w:hAnsi="Times New Roman" w:cs="Times New Roman" w:eastAsia="Times New Roman" w:hint="default"/>
        </w:rPr>
        <w:t>8</w:t>
      </w:r>
      <w:r>
        <w:rPr>
          <w:rFonts w:ascii="Times New Roman" w:hAnsi="Times New Roman" w:cs="Times New Roman" w:eastAsia="Times New Roman" w:hint="default"/>
          <w:w w:val="100"/>
        </w:rPr>
        <w:t> </w:t>
      </w:r>
      <w:r>
        <w:rPr/>
        <w:t>月末完成，于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  </w:t>
      </w:r>
      <w:r>
        <w:rPr/>
        <w:t>月结转无形资产，并按</w:t>
      </w:r>
      <w:r>
        <w:rPr>
          <w:rFonts w:ascii="Times New Roman" w:hAnsi="Times New Roman" w:cs="Times New Roman" w:eastAsia="Times New Roman" w:hint="default"/>
        </w:rPr>
        <w:t>4</w:t>
      </w:r>
      <w:r>
        <w:rPr>
          <w:rFonts w:ascii="Times New Roman" w:hAnsi="Times New Roman" w:cs="Times New Roman" w:eastAsia="Times New Roman" w:hint="default"/>
          <w:spacing w:val="50"/>
        </w:rPr>
        <w:t> </w:t>
      </w:r>
      <w:r>
        <w:rPr/>
        <w:t>年摊销。</w:t>
      </w:r>
    </w:p>
    <w:p>
      <w:pPr>
        <w:pStyle w:val="BodyText"/>
        <w:spacing w:line="398" w:lineRule="auto" w:before="21"/>
        <w:ind w:right="0" w:firstLine="419"/>
        <w:jc w:val="left"/>
      </w:pPr>
      <w:r>
        <w:rPr>
          <w:spacing w:val="-2"/>
        </w:rPr>
        <w:t>（</w:t>
      </w:r>
      <w:r>
        <w:rPr>
          <w:rFonts w:ascii="Times New Roman" w:hAnsi="Times New Roman" w:cs="Times New Roman" w:eastAsia="Times New Roman" w:hint="default"/>
          <w:spacing w:val="-2"/>
        </w:rPr>
        <w:t>3</w:t>
      </w:r>
      <w:r>
        <w:rPr>
          <w:spacing w:val="-2"/>
        </w:rPr>
        <w:t>）极光系统项目自</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月已完成项目的技术预研、需求分析进入开发阶段，完</w:t>
      </w:r>
      <w:r>
        <w:rPr>
          <w:w w:val="100"/>
        </w:rPr>
        <w:t> </w:t>
      </w:r>
      <w:r>
        <w:rPr/>
        <w:t>成上述研发项目在技术上具有可行性，项目实施完成后能够满足客户在数据恢复领域的需</w:t>
      </w:r>
      <w:r>
        <w:rPr>
          <w:w w:val="100"/>
        </w:rPr>
        <w:t> </w:t>
      </w:r>
      <w:r>
        <w:rPr>
          <w:spacing w:val="-4"/>
        </w:rPr>
        <w:t>求，产品市场空间广阔，可以为项目收益提供有力保证，同时公司有足够的技术、财务等资</w:t>
      </w:r>
      <w:r>
        <w:rPr>
          <w:spacing w:val="-45"/>
        </w:rPr>
        <w:t> </w:t>
      </w:r>
      <w:r>
        <w:rPr>
          <w:spacing w:val="-45"/>
        </w:rPr>
      </w:r>
      <w:r>
        <w:rPr>
          <w:spacing w:val="-2"/>
        </w:rPr>
        <w:t>源的支持，并单独核算，支出能够可靠的计量。故公司从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w:t>
      </w:r>
      <w:r>
        <w:rPr>
          <w:spacing w:val="-2"/>
        </w:rPr>
        <w:t>月对该项目研发费用予以</w:t>
      </w:r>
      <w:r>
        <w:rPr>
          <w:spacing w:val="-28"/>
        </w:rPr>
        <w:t> </w:t>
      </w:r>
      <w:r>
        <w:rPr>
          <w:spacing w:val="-28"/>
        </w:rPr>
      </w:r>
      <w:r>
        <w:rPr/>
        <w:t>资本化。该项目目前处于开发阶段。</w:t>
      </w:r>
    </w:p>
    <w:p>
      <w:pPr>
        <w:pStyle w:val="BodyText"/>
        <w:spacing w:line="398" w:lineRule="auto" w:before="55"/>
        <w:ind w:right="211" w:firstLine="419"/>
        <w:jc w:val="both"/>
      </w:pPr>
      <w:r>
        <w:rPr>
          <w:spacing w:val="-2"/>
        </w:rPr>
        <w:t>（</w:t>
      </w:r>
      <w:r>
        <w:rPr>
          <w:rFonts w:ascii="Times New Roman" w:hAnsi="Times New Roman" w:cs="Times New Roman" w:eastAsia="Times New Roman" w:hint="default"/>
          <w:spacing w:val="-2"/>
        </w:rPr>
        <w:t>4</w:t>
      </w:r>
      <w:r>
        <w:rPr>
          <w:spacing w:val="-2"/>
        </w:rPr>
        <w:t>）手机数据移动采集终端项目自</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11</w:t>
      </w:r>
      <w:r>
        <w:rPr>
          <w:spacing w:val="-2"/>
        </w:rPr>
        <w:t>月已完成项目的技术预研、需求分析进入</w:t>
      </w:r>
      <w:r>
        <w:rPr>
          <w:w w:val="100"/>
        </w:rPr>
        <w:t> </w:t>
      </w:r>
      <w:r>
        <w:rPr>
          <w:spacing w:val="-4"/>
        </w:rPr>
        <w:t>开发阶段，完成上述研发项目在技术上具有可行性，项目实施完成后对采集的数据进行挖掘</w:t>
      </w:r>
      <w:r>
        <w:rPr>
          <w:spacing w:val="-45"/>
        </w:rPr>
        <w:t> </w:t>
      </w:r>
      <w:r>
        <w:rPr>
          <w:spacing w:val="-45"/>
        </w:rPr>
      </w:r>
      <w:r>
        <w:rPr>
          <w:spacing w:val="-4"/>
        </w:rPr>
        <w:t>和关联分析，具有较好的市场容量和市场占有率，可以为项目收益提供有力保证，同时公司</w:t>
      </w:r>
      <w:r>
        <w:rPr>
          <w:spacing w:val="-44"/>
        </w:rPr>
        <w:t> </w:t>
      </w:r>
      <w:r>
        <w:rPr>
          <w:spacing w:val="-44"/>
        </w:rPr>
      </w:r>
      <w:r>
        <w:rPr>
          <w:spacing w:val="-4"/>
        </w:rPr>
        <w:t>有足够的技术、财务等资源的支持，并单独核算，支出能够可靠的计量。故公司从</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12</w:t>
      </w:r>
      <w:r>
        <w:rPr>
          <w:rFonts w:ascii="Times New Roman" w:hAnsi="Times New Roman" w:cs="Times New Roman" w:eastAsia="Times New Roman" w:hint="default"/>
          <w:spacing w:val="20"/>
        </w:rPr>
        <w:t> </w:t>
      </w:r>
      <w:r>
        <w:rPr/>
        <w:t>月对该项目研发费用予以资本化。该项目目前处于开发阶段。</w:t>
      </w:r>
    </w:p>
    <w:p>
      <w:pPr>
        <w:pStyle w:val="BodyText"/>
        <w:spacing w:line="240" w:lineRule="auto" w:before="54"/>
        <w:ind w:left="560" w:right="0"/>
        <w:jc w:val="left"/>
      </w:pPr>
      <w:r>
        <w:rPr/>
        <w:t>（</w:t>
      </w:r>
      <w:r>
        <w:rPr>
          <w:rFonts w:ascii="Times New Roman" w:hAnsi="Times New Roman" w:cs="Times New Roman" w:eastAsia="Times New Roman" w:hint="default"/>
        </w:rPr>
        <w:t>5</w:t>
      </w:r>
      <w:r>
        <w:rPr/>
        <w:t>）可视化数据智能分析系统项目自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月已完成项目的技术预研、需求分析进</w:t>
      </w:r>
    </w:p>
    <w:p>
      <w:pPr>
        <w:spacing w:after="0" w:line="240" w:lineRule="auto"/>
        <w:jc w:val="left"/>
        <w:sectPr>
          <w:pgSz w:w="11910" w:h="16840"/>
          <w:pgMar w:header="877" w:footer="1227" w:top="1100" w:bottom="1420" w:left="1660" w:right="1580"/>
        </w:sectPr>
      </w:pPr>
    </w:p>
    <w:p>
      <w:pPr>
        <w:spacing w:line="240" w:lineRule="auto" w:before="9"/>
        <w:rPr>
          <w:rFonts w:ascii="宋体" w:hAnsi="宋体" w:cs="宋体" w:eastAsia="宋体" w:hint="default"/>
          <w:sz w:val="26"/>
          <w:szCs w:val="26"/>
        </w:rPr>
      </w:pPr>
    </w:p>
    <w:p>
      <w:pPr>
        <w:pStyle w:val="BodyText"/>
        <w:spacing w:line="408" w:lineRule="auto" w:before="36"/>
        <w:ind w:right="211"/>
        <w:jc w:val="both"/>
      </w:pPr>
      <w:r>
        <w:rPr>
          <w:spacing w:val="-4"/>
        </w:rPr>
        <w:t>入开发阶段，完成上述研发项目在技术上具有可行性，项目实施完成后形成的新产品能够满</w:t>
      </w:r>
      <w:r>
        <w:rPr>
          <w:spacing w:val="-44"/>
        </w:rPr>
        <w:t> </w:t>
      </w:r>
      <w:r>
        <w:rPr>
          <w:spacing w:val="-44"/>
        </w:rPr>
      </w:r>
      <w:r>
        <w:rPr>
          <w:spacing w:val="-4"/>
        </w:rPr>
        <w:t>足调查人员对海量信息进行分析处理，有较好的市场容量和市场占有率，可以为项目收益提</w:t>
      </w:r>
      <w:r>
        <w:rPr>
          <w:spacing w:val="-44"/>
        </w:rPr>
        <w:t> </w:t>
      </w:r>
      <w:r>
        <w:rPr>
          <w:spacing w:val="-44"/>
        </w:rPr>
      </w:r>
      <w:r>
        <w:rPr>
          <w:spacing w:val="-4"/>
        </w:rPr>
        <w:t>供有力保证，同时公司有足够的技术、财务等资源的支持，并单独核算，支出能够可靠的计</w:t>
      </w:r>
      <w:r>
        <w:rPr>
          <w:spacing w:val="-48"/>
        </w:rPr>
        <w:t> </w:t>
      </w:r>
      <w:r>
        <w:rPr>
          <w:spacing w:val="-48"/>
        </w:rPr>
      </w:r>
      <w:r>
        <w:rPr/>
        <w:t>量。故公司从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月对该项目研发费用予以资本化。该项目目前处于开发阶段。</w:t>
      </w:r>
    </w:p>
    <w:p>
      <w:pPr>
        <w:pStyle w:val="BodyText"/>
        <w:spacing w:line="400" w:lineRule="auto" w:before="14"/>
        <w:ind w:right="0" w:firstLine="419"/>
        <w:jc w:val="left"/>
      </w:pPr>
      <w:r>
        <w:rPr>
          <w:spacing w:val="-3"/>
        </w:rPr>
        <w:t>（</w:t>
      </w:r>
      <w:r>
        <w:rPr>
          <w:rFonts w:ascii="Times New Roman" w:hAnsi="Times New Roman" w:cs="Times New Roman" w:eastAsia="Times New Roman" w:hint="default"/>
          <w:spacing w:val="-3"/>
        </w:rPr>
        <w:t>6</w:t>
      </w:r>
      <w:r>
        <w:rPr>
          <w:spacing w:val="-3"/>
        </w:rPr>
        <w:t>）取证塔</w:t>
      </w:r>
      <w:r>
        <w:rPr>
          <w:rFonts w:ascii="Times New Roman" w:hAnsi="Times New Roman" w:cs="Times New Roman" w:eastAsia="Times New Roman" w:hint="default"/>
          <w:spacing w:val="-3"/>
        </w:rPr>
        <w:t>.</w:t>
      </w:r>
      <w:r>
        <w:rPr>
          <w:spacing w:val="-3"/>
        </w:rPr>
        <w:t>便携版项目自</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w:t>
      </w:r>
      <w:r>
        <w:rPr>
          <w:spacing w:val="-3"/>
        </w:rPr>
        <w:t>月已完成项目的技术预研、需求分析进入开发阶段，</w:t>
      </w:r>
      <w:r>
        <w:rPr>
          <w:w w:val="100"/>
        </w:rPr>
        <w:t> </w:t>
      </w:r>
      <w:r>
        <w:rPr/>
        <w:t>完成上述研发项目在技术上具有可行性，项目实施完成后能够将一款产品扩展成一条产品</w:t>
      </w:r>
      <w:r>
        <w:rPr>
          <w:w w:val="100"/>
        </w:rPr>
        <w:t> </w:t>
      </w:r>
      <w:r>
        <w:rPr>
          <w:spacing w:val="-2"/>
        </w:rPr>
        <w:t>线，同时对原有产品的设计和其他软硬件功能的进行提升，可以为项目收益提供有力保证，</w:t>
      </w:r>
      <w:r>
        <w:rPr>
          <w:spacing w:val="-31"/>
        </w:rPr>
        <w:t> </w:t>
      </w:r>
      <w:r>
        <w:rPr>
          <w:spacing w:val="-31"/>
        </w:rPr>
      </w:r>
      <w:r>
        <w:rPr>
          <w:spacing w:val="-4"/>
        </w:rPr>
        <w:t>同时公司有足够的技术、财务等资源的支持，并单独核算，支出能够可靠的计量。故公司从</w:t>
      </w:r>
      <w:r>
        <w:rPr>
          <w:spacing w:val="-45"/>
        </w:rPr>
        <w:t> </w:t>
      </w:r>
      <w:r>
        <w:rPr>
          <w:spacing w:val="-45"/>
        </w:rPr>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月对该项目研发费用予以资本化。该项目已于</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8</w:t>
      </w:r>
      <w:r>
        <w:rPr/>
        <w:t>月末完成，于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rFonts w:ascii="Times New Roman" w:hAnsi="Times New Roman" w:cs="Times New Roman" w:eastAsia="Times New Roman" w:hint="default"/>
          <w:spacing w:val="47"/>
        </w:rPr>
        <w:t> </w:t>
      </w:r>
      <w:r>
        <w:rPr>
          <w:spacing w:val="-3"/>
        </w:rPr>
        <w:t>月结</w:t>
      </w:r>
      <w:r>
        <w:rPr>
          <w:spacing w:val="-3"/>
          <w:w w:val="100"/>
        </w:rPr>
        <w:t> </w:t>
      </w:r>
      <w:r>
        <w:rPr/>
        <w:t>转无形资产，并按</w:t>
      </w:r>
      <w:r>
        <w:rPr>
          <w:rFonts w:ascii="Times New Roman" w:hAnsi="Times New Roman" w:cs="Times New Roman" w:eastAsia="Times New Roman" w:hint="default"/>
        </w:rPr>
        <w:t>4  </w:t>
      </w:r>
      <w:r>
        <w:rPr/>
        <w:t>年摊销。</w:t>
      </w:r>
    </w:p>
    <w:p>
      <w:pPr>
        <w:pStyle w:val="BodyText"/>
        <w:spacing w:line="398" w:lineRule="auto" w:before="21"/>
        <w:ind w:right="211" w:firstLine="419"/>
        <w:jc w:val="both"/>
      </w:pPr>
      <w:r>
        <w:rPr>
          <w:spacing w:val="-4"/>
        </w:rPr>
        <w:t>（</w:t>
      </w:r>
      <w:r>
        <w:rPr>
          <w:rFonts w:ascii="Times New Roman" w:hAnsi="Times New Roman" w:cs="Times New Roman" w:eastAsia="Times New Roman" w:hint="default"/>
          <w:spacing w:val="-4"/>
        </w:rPr>
        <w:t>7</w:t>
      </w:r>
      <w:r>
        <w:rPr>
          <w:spacing w:val="-4"/>
        </w:rPr>
        <w:t>）取证大师项目自</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6</w:t>
      </w:r>
      <w:r>
        <w:rPr>
          <w:spacing w:val="-4"/>
        </w:rPr>
        <w:t>月已完成项目的技术预研、需求分析进入开发阶段，完成</w:t>
      </w:r>
      <w:r>
        <w:rPr>
          <w:w w:val="100"/>
        </w:rPr>
        <w:t> </w:t>
      </w:r>
      <w:r>
        <w:rPr>
          <w:spacing w:val="-4"/>
          <w:w w:val="100"/>
        </w:rPr>
        <w:t>上述研发项目在技术上具有可行性，项目实施完成后将极大满足客户在电子数据取证分析领</w:t>
      </w:r>
      <w:r>
        <w:rPr>
          <w:spacing w:val="-94"/>
          <w:w w:val="100"/>
        </w:rPr>
        <w:t> </w:t>
      </w:r>
      <w:r>
        <w:rPr>
          <w:spacing w:val="-94"/>
          <w:w w:val="100"/>
        </w:rPr>
      </w:r>
      <w:r>
        <w:rPr>
          <w:spacing w:val="-4"/>
        </w:rPr>
        <w:t>域的需求，应用广泛，实用性强，产品的市场空间广阔，可以为项目收益提供有力保证，同</w:t>
      </w:r>
      <w:r>
        <w:rPr>
          <w:spacing w:val="-46"/>
        </w:rPr>
        <w:t> </w:t>
      </w:r>
      <w:r>
        <w:rPr>
          <w:spacing w:val="-46"/>
        </w:rPr>
      </w:r>
      <w:r>
        <w:rPr>
          <w:spacing w:val="-9"/>
        </w:rPr>
        <w:t>时公司有足够的技术、财务等资源的支持，并单独核算，支出能够可靠的计量。故公司从</w:t>
      </w:r>
      <w:r>
        <w:rPr>
          <w:rFonts w:ascii="Times New Roman" w:hAnsi="Times New Roman" w:cs="Times New Roman" w:eastAsia="Times New Roman" w:hint="default"/>
          <w:spacing w:val="-9"/>
        </w:rPr>
        <w:t>2012</w:t>
      </w:r>
      <w:r>
        <w:rPr>
          <w:rFonts w:ascii="Times New Roman" w:hAnsi="Times New Roman" w:cs="Times New Roman" w:eastAsia="Times New Roman" w:hint="default"/>
          <w:spacing w:val="22"/>
        </w:rPr>
        <w:t> </w:t>
      </w:r>
      <w:r>
        <w:rPr/>
        <w:t>年</w:t>
      </w:r>
      <w:r>
        <w:rPr>
          <w:rFonts w:ascii="Times New Roman" w:hAnsi="Times New Roman" w:cs="Times New Roman" w:eastAsia="Times New Roman" w:hint="default"/>
        </w:rPr>
        <w:t>6</w:t>
      </w:r>
      <w:r>
        <w:rPr/>
        <w:t>月对该项目研发费用予以资本化。该项目目前处于开发阶段。</w:t>
      </w:r>
    </w:p>
    <w:p>
      <w:pPr>
        <w:pStyle w:val="BodyText"/>
        <w:spacing w:line="398" w:lineRule="auto" w:before="24"/>
        <w:ind w:right="0" w:firstLine="419"/>
        <w:jc w:val="left"/>
      </w:pPr>
      <w:r>
        <w:rPr>
          <w:spacing w:val="-4"/>
        </w:rPr>
        <w:t>（</w:t>
      </w:r>
      <w:r>
        <w:rPr>
          <w:rFonts w:ascii="Times New Roman" w:hAnsi="Times New Roman" w:cs="Times New Roman" w:eastAsia="Times New Roman" w:hint="default"/>
          <w:spacing w:val="-4"/>
        </w:rPr>
        <w:t>8</w:t>
      </w:r>
      <w:r>
        <w:rPr>
          <w:spacing w:val="-4"/>
        </w:rPr>
        <w:t>）视频取证系统项目自</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11</w:t>
      </w:r>
      <w:r>
        <w:rPr>
          <w:spacing w:val="-4"/>
        </w:rPr>
        <w:t>月已完成项目的技术预研、需求分析进入开发阶段，</w:t>
      </w:r>
      <w:r>
        <w:rPr>
          <w:w w:val="100"/>
        </w:rPr>
        <w:t> </w:t>
      </w:r>
      <w:r>
        <w:rPr>
          <w:spacing w:val="-4"/>
          <w:w w:val="100"/>
        </w:rPr>
        <w:t>完成上述研发项目在技术上具有可行性，项目实施完成后形成的新产品能够为公安系统视频</w:t>
      </w:r>
      <w:r>
        <w:rPr>
          <w:spacing w:val="-94"/>
          <w:w w:val="100"/>
        </w:rPr>
        <w:t> </w:t>
      </w:r>
      <w:r>
        <w:rPr>
          <w:spacing w:val="-94"/>
          <w:w w:val="100"/>
        </w:rPr>
      </w:r>
      <w:r>
        <w:rPr>
          <w:spacing w:val="-4"/>
        </w:rPr>
        <w:t>取证提供技术支持，具有较好的市场容量和市场占有率，可以为项目收益提供有力保证，同</w:t>
      </w:r>
      <w:r>
        <w:rPr>
          <w:spacing w:val="-44"/>
        </w:rPr>
        <w:t> </w:t>
      </w:r>
      <w:r>
        <w:rPr>
          <w:spacing w:val="-44"/>
        </w:rPr>
      </w:r>
      <w:r>
        <w:rPr>
          <w:spacing w:val="-9"/>
        </w:rPr>
        <w:t>时公司有足够的技术、财务等资源的支持，并单独核算，支出能够可靠的计量。故公司从</w:t>
      </w:r>
      <w:r>
        <w:rPr>
          <w:rFonts w:ascii="Times New Roman" w:hAnsi="Times New Roman" w:cs="Times New Roman" w:eastAsia="Times New Roman" w:hint="default"/>
          <w:spacing w:val="-9"/>
        </w:rPr>
        <w:t>2012</w:t>
      </w:r>
      <w:r>
        <w:rPr>
          <w:rFonts w:ascii="Times New Roman" w:hAnsi="Times New Roman" w:cs="Times New Roman" w:eastAsia="Times New Roman" w:hint="default"/>
          <w:spacing w:val="22"/>
        </w:rPr>
        <w:t> </w:t>
      </w:r>
      <w:r>
        <w:rPr/>
        <w:t>年</w:t>
      </w:r>
      <w:r>
        <w:rPr>
          <w:rFonts w:ascii="Times New Roman" w:hAnsi="Times New Roman" w:cs="Times New Roman" w:eastAsia="Times New Roman" w:hint="default"/>
        </w:rPr>
        <w:t>12</w:t>
      </w:r>
      <w:r>
        <w:rPr/>
        <w:t>月对该项目研发费用予以资本化。该项目目前处于开发阶段。</w:t>
      </w:r>
    </w:p>
    <w:p>
      <w:pPr>
        <w:pStyle w:val="BodyText"/>
        <w:spacing w:line="398" w:lineRule="auto" w:before="24"/>
        <w:ind w:right="0" w:firstLine="419"/>
        <w:jc w:val="left"/>
      </w:pPr>
      <w:r>
        <w:rPr/>
        <w:t>（</w:t>
      </w:r>
      <w:r>
        <w:rPr>
          <w:rFonts w:ascii="Times New Roman" w:hAnsi="Times New Roman" w:cs="Times New Roman" w:eastAsia="Times New Roman" w:hint="default"/>
        </w:rPr>
        <w:t>9</w:t>
      </w:r>
      <w:r>
        <w:rPr/>
        <w:t>）恢复大师项目自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月已完成项目的技术预研、需求分析进入开发阶段，完</w:t>
      </w:r>
      <w:r>
        <w:rPr>
          <w:w w:val="100"/>
        </w:rPr>
        <w:t> </w:t>
      </w:r>
      <w:r>
        <w:rPr>
          <w:spacing w:val="-4"/>
        </w:rPr>
        <w:t>成上述研发项目在技术上具有可行性，项目实施完成后能够满足民用客户数据恢复需求，具</w:t>
      </w:r>
      <w:r>
        <w:rPr>
          <w:spacing w:val="-44"/>
        </w:rPr>
        <w:t> </w:t>
      </w:r>
      <w:r>
        <w:rPr>
          <w:spacing w:val="-44"/>
        </w:rPr>
      </w:r>
      <w:r>
        <w:rPr>
          <w:spacing w:val="-2"/>
        </w:rPr>
        <w:t>有较好的市场容量和市场占有率，可以为项目收益提供有力保证，同时公司有足够的技术、</w:t>
      </w:r>
      <w:r>
        <w:rPr>
          <w:spacing w:val="-31"/>
        </w:rPr>
        <w:t> </w:t>
      </w:r>
      <w:r>
        <w:rPr>
          <w:spacing w:val="-31"/>
        </w:rPr>
      </w:r>
      <w:r>
        <w:rPr>
          <w:spacing w:val="-4"/>
        </w:rPr>
        <w:t>财务等资源的支持，并单独核算，支出能够可靠的计量。故公司从</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12</w:t>
      </w:r>
      <w:r>
        <w:rPr>
          <w:spacing w:val="-4"/>
        </w:rPr>
        <w:t>月对该项目研发</w:t>
      </w:r>
      <w:r>
        <w:rPr>
          <w:spacing w:val="-33"/>
        </w:rPr>
        <w:t> </w:t>
      </w:r>
      <w:r>
        <w:rPr>
          <w:spacing w:val="-33"/>
        </w:rPr>
      </w:r>
      <w:r>
        <w:rPr/>
        <w:t>费用予以资本化。该项目目前处于开发阶段。</w:t>
      </w:r>
    </w:p>
    <w:p>
      <w:pPr>
        <w:pStyle w:val="BodyText"/>
        <w:spacing w:line="400" w:lineRule="auto" w:before="54"/>
        <w:ind w:right="0" w:firstLine="419"/>
        <w:jc w:val="left"/>
      </w:pPr>
      <w:r>
        <w:rPr/>
        <w:t>（</w:t>
      </w:r>
      <w:r>
        <w:rPr>
          <w:rFonts w:ascii="Times New Roman" w:hAnsi="Times New Roman" w:cs="Times New Roman" w:eastAsia="Times New Roman" w:hint="default"/>
        </w:rPr>
        <w:t>10</w:t>
      </w:r>
      <w:r>
        <w:rPr/>
        <w:t>）互联行业网舆情分析平台项目自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月已完成项目的技术预研、需求分析进</w:t>
      </w:r>
      <w:r>
        <w:rPr>
          <w:w w:val="100"/>
        </w:rPr>
        <w:t> </w:t>
      </w:r>
      <w:r>
        <w:rPr>
          <w:spacing w:val="-2"/>
        </w:rPr>
        <w:t>入开发阶段，完成上述研发项目在技术上具有可行性，项目实施完成后能够为政府、企业、</w:t>
      </w:r>
      <w:r>
        <w:rPr>
          <w:spacing w:val="-31"/>
        </w:rPr>
        <w:t> </w:t>
      </w:r>
      <w:r>
        <w:rPr>
          <w:spacing w:val="-31"/>
        </w:rPr>
      </w:r>
      <w:r>
        <w:rPr>
          <w:spacing w:val="-7"/>
          <w:w w:val="100"/>
        </w:rPr>
        <w:t>个人提供各类有效信息和情报，具有较好的市场容量和市场占有率，同时公司有足够的技术、</w:t>
      </w:r>
      <w:r>
        <w:rPr>
          <w:spacing w:val="-74"/>
          <w:w w:val="100"/>
        </w:rPr>
        <w:t> </w:t>
      </w:r>
      <w:r>
        <w:rPr>
          <w:spacing w:val="-74"/>
          <w:w w:val="100"/>
        </w:rPr>
      </w:r>
      <w:r>
        <w:rPr/>
        <w:t>财务等资源的支持，并单独核算，支出能够可靠的计量。故公司从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月对该项目研发</w:t>
      </w:r>
    </w:p>
    <w:p>
      <w:pPr>
        <w:spacing w:after="0" w:line="400" w:lineRule="auto"/>
        <w:jc w:val="left"/>
        <w:sectPr>
          <w:pgSz w:w="11910" w:h="16840"/>
          <w:pgMar w:header="877" w:footer="1227" w:top="1100" w:bottom="1420" w:left="1660" w:right="1580"/>
        </w:sectPr>
      </w:pPr>
    </w:p>
    <w:p>
      <w:pPr>
        <w:spacing w:line="240" w:lineRule="auto" w:before="9"/>
        <w:rPr>
          <w:rFonts w:ascii="宋体" w:hAnsi="宋体" w:cs="宋体" w:eastAsia="宋体" w:hint="default"/>
          <w:sz w:val="26"/>
          <w:szCs w:val="26"/>
        </w:rPr>
      </w:pPr>
    </w:p>
    <w:p>
      <w:pPr>
        <w:pStyle w:val="BodyText"/>
        <w:spacing w:line="386" w:lineRule="auto" w:before="36"/>
        <w:ind w:right="0"/>
        <w:jc w:val="left"/>
      </w:pPr>
      <w:r>
        <w:rPr/>
        <w:t>费用予以资本化。该项目已于</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12</w:t>
      </w:r>
      <w:r>
        <w:rPr/>
        <w:t>月末完成，于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月结转无形资产，并按</w:t>
      </w:r>
      <w:r>
        <w:rPr>
          <w:rFonts w:ascii="Times New Roman" w:hAnsi="Times New Roman" w:cs="Times New Roman" w:eastAsia="Times New Roman" w:hint="default"/>
        </w:rPr>
        <w:t>4</w:t>
      </w:r>
      <w:r>
        <w:rPr>
          <w:rFonts w:ascii="Times New Roman" w:hAnsi="Times New Roman" w:cs="Times New Roman" w:eastAsia="Times New Roman" w:hint="default"/>
          <w:spacing w:val="47"/>
        </w:rPr>
        <w:t> </w:t>
      </w:r>
      <w:r>
        <w:rPr/>
        <w:t>年</w:t>
      </w:r>
      <w:r>
        <w:rPr>
          <w:w w:val="100"/>
        </w:rPr>
        <w:t> </w:t>
      </w:r>
      <w:r>
        <w:rPr/>
        <w:t>摊销。</w:t>
      </w:r>
    </w:p>
    <w:p>
      <w:pPr>
        <w:pStyle w:val="BodyText"/>
        <w:spacing w:line="398" w:lineRule="auto" w:before="65"/>
        <w:ind w:right="211" w:firstLine="419"/>
        <w:jc w:val="both"/>
      </w:pPr>
      <w:r>
        <w:rPr>
          <w:spacing w:val="-2"/>
        </w:rPr>
        <w:t>（</w:t>
      </w:r>
      <w:r>
        <w:rPr>
          <w:rFonts w:ascii="Times New Roman" w:hAnsi="Times New Roman" w:cs="Times New Roman" w:eastAsia="Times New Roman" w:hint="default"/>
          <w:spacing w:val="-2"/>
        </w:rPr>
        <w:t>11</w:t>
      </w:r>
      <w:r>
        <w:rPr>
          <w:spacing w:val="-2"/>
        </w:rPr>
        <w:t>）</w:t>
      </w:r>
      <w:r>
        <w:rPr>
          <w:rFonts w:ascii="Times New Roman" w:hAnsi="Times New Roman" w:cs="Times New Roman" w:eastAsia="Times New Roman" w:hint="default"/>
          <w:spacing w:val="-2"/>
        </w:rPr>
        <w:t>MT-CAP</w:t>
      </w:r>
      <w:r>
        <w:rPr>
          <w:spacing w:val="-2"/>
        </w:rPr>
        <w:t>综合应用平台自</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月已完成项目的技术预研、需求分析进入开发</w:t>
      </w:r>
      <w:r>
        <w:rPr>
          <w:w w:val="100"/>
        </w:rPr>
        <w:t> </w:t>
      </w:r>
      <w:r>
        <w:rPr>
          <w:spacing w:val="-4"/>
        </w:rPr>
        <w:t>阶段，完成上述研发项目在技术上具有可行性，项目实施完成后能够满足市场上客户在电子</w:t>
      </w:r>
      <w:r>
        <w:rPr>
          <w:spacing w:val="-44"/>
        </w:rPr>
        <w:t> </w:t>
      </w:r>
      <w:r>
        <w:rPr>
          <w:spacing w:val="-44"/>
        </w:rPr>
      </w:r>
      <w:r>
        <w:rPr>
          <w:spacing w:val="-4"/>
        </w:rPr>
        <w:t>数据取证分析领域的需求，应用广泛，可以为项目收益提供有力保证，同时公司有足够的技</w:t>
      </w:r>
      <w:r>
        <w:rPr>
          <w:spacing w:val="-45"/>
        </w:rPr>
        <w:t> </w:t>
      </w:r>
      <w:r>
        <w:rPr>
          <w:spacing w:val="-45"/>
        </w:rPr>
      </w:r>
      <w:r>
        <w:rPr>
          <w:spacing w:val="-4"/>
        </w:rPr>
        <w:t>术、财务等资源的支持，并单独核算，支出能够可靠的计量。故公司从</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10</w:t>
      </w:r>
      <w:r>
        <w:rPr>
          <w:spacing w:val="-4"/>
        </w:rPr>
        <w:t>月对该项目</w:t>
      </w:r>
      <w:r>
        <w:rPr>
          <w:spacing w:val="-34"/>
        </w:rPr>
        <w:t> </w:t>
      </w:r>
      <w:r>
        <w:rPr>
          <w:spacing w:val="-34"/>
        </w:rPr>
      </w:r>
      <w:r>
        <w:rPr/>
        <w:t>研发费用予以资本化。该项目目前处于开发阶段。</w:t>
      </w:r>
    </w:p>
    <w:p>
      <w:pPr>
        <w:pStyle w:val="BodyText"/>
        <w:spacing w:line="398" w:lineRule="auto" w:before="54"/>
        <w:ind w:right="211" w:firstLine="419"/>
        <w:jc w:val="both"/>
      </w:pPr>
      <w:r>
        <w:rPr>
          <w:spacing w:val="-2"/>
        </w:rPr>
        <w:t>（</w:t>
      </w:r>
      <w:r>
        <w:rPr>
          <w:rFonts w:ascii="Times New Roman" w:hAnsi="Times New Roman" w:cs="Times New Roman" w:eastAsia="Times New Roman" w:hint="default"/>
          <w:spacing w:val="-2"/>
        </w:rPr>
        <w:t>12</w:t>
      </w:r>
      <w:r>
        <w:rPr>
          <w:spacing w:val="-2"/>
        </w:rPr>
        <w:t>）网络信息搜索云系统项目自</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w:t>
      </w:r>
      <w:r>
        <w:rPr>
          <w:spacing w:val="-2"/>
        </w:rPr>
        <w:t>月已完成项目的技术预研、需求分析进入开</w:t>
      </w:r>
      <w:r>
        <w:rPr>
          <w:w w:val="100"/>
        </w:rPr>
        <w:t> </w:t>
      </w:r>
      <w:r>
        <w:rPr>
          <w:spacing w:val="-4"/>
        </w:rPr>
        <w:t>发阶段，完成上述研发项目在技术上具有可行性，项目实施完成后实时搜索和处理数据，满</w:t>
      </w:r>
      <w:r>
        <w:rPr>
          <w:spacing w:val="-44"/>
        </w:rPr>
        <w:t> </w:t>
      </w:r>
      <w:r>
        <w:rPr>
          <w:spacing w:val="-44"/>
        </w:rPr>
      </w:r>
      <w:r>
        <w:rPr>
          <w:spacing w:val="-4"/>
        </w:rPr>
        <w:t>足政企信息需求，具有较好的市场容量。同时公司有足够的技术、财务等资源的支持，并单</w:t>
      </w:r>
      <w:r>
        <w:rPr>
          <w:spacing w:val="-45"/>
        </w:rPr>
        <w:t> </w:t>
      </w:r>
      <w:r>
        <w:rPr>
          <w:spacing w:val="-45"/>
        </w:rPr>
      </w:r>
      <w:r>
        <w:rPr>
          <w:spacing w:val="-2"/>
        </w:rPr>
        <w:t>独核算，支出能够可靠的计量。故公司从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2</w:t>
      </w:r>
      <w:r>
        <w:rPr>
          <w:spacing w:val="-2"/>
        </w:rPr>
        <w:t>月对该项目研发费用予以资本化。该项目</w:t>
      </w:r>
      <w:r>
        <w:rPr>
          <w:spacing w:val="-27"/>
        </w:rPr>
        <w:t> </w:t>
      </w:r>
      <w:r>
        <w:rPr>
          <w:spacing w:val="-27"/>
        </w:rPr>
      </w:r>
      <w:r>
        <w:rPr/>
        <w:t>已于</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12</w:t>
      </w:r>
      <w:r>
        <w:rPr/>
        <w:t>月末完成，于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月结转无形资产，并按</w:t>
      </w:r>
      <w:r>
        <w:rPr>
          <w:rFonts w:ascii="Times New Roman" w:hAnsi="Times New Roman" w:cs="Times New Roman" w:eastAsia="Times New Roman" w:hint="default"/>
        </w:rPr>
        <w:t>4</w:t>
      </w:r>
      <w:r>
        <w:rPr>
          <w:rFonts w:ascii="Times New Roman" w:hAnsi="Times New Roman" w:cs="Times New Roman" w:eastAsia="Times New Roman" w:hint="default"/>
          <w:spacing w:val="49"/>
        </w:rPr>
        <w:t> </w:t>
      </w:r>
      <w:r>
        <w:rPr/>
        <w:t>年摊销。</w:t>
      </w:r>
    </w:p>
    <w:p>
      <w:pPr>
        <w:pStyle w:val="BodyText"/>
        <w:spacing w:line="386" w:lineRule="auto" w:before="24"/>
        <w:ind w:right="0" w:firstLine="419"/>
        <w:jc w:val="left"/>
      </w:pPr>
      <w:r>
        <w:rPr>
          <w:spacing w:val="-4"/>
        </w:rPr>
        <w:t>（</w:t>
      </w:r>
      <w:r>
        <w:rPr>
          <w:rFonts w:ascii="Times New Roman" w:hAnsi="Times New Roman" w:cs="Times New Roman" w:eastAsia="Times New Roman" w:hint="default"/>
          <w:spacing w:val="-4"/>
        </w:rPr>
        <w:t>13</w:t>
      </w:r>
      <w:r>
        <w:rPr>
          <w:spacing w:val="-4"/>
        </w:rPr>
        <w:t>）网络商品交易监管系统项目系升级项目，前期已有技术经验和市场基础，同时公</w:t>
      </w:r>
      <w:r>
        <w:rPr>
          <w:w w:val="100"/>
        </w:rPr>
        <w:t> </w:t>
      </w:r>
      <w:r>
        <w:rPr/>
        <w:t>司有足够的技术、财务等资源的支持，并单独核算，支出能够可靠的计量。故公司从</w:t>
      </w:r>
      <w:r>
        <w:rPr>
          <w:rFonts w:ascii="Times New Roman" w:hAnsi="Times New Roman" w:cs="Times New Roman" w:eastAsia="Times New Roman" w:hint="default"/>
        </w:rPr>
        <w:t>2012</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12</w:t>
      </w:r>
      <w:r>
        <w:rPr/>
        <w:t>月对该项目研发费用予以资本化。该项目目前处于开发阶段。</w:t>
      </w:r>
    </w:p>
    <w:p>
      <w:pPr>
        <w:pStyle w:val="BodyText"/>
        <w:spacing w:line="400" w:lineRule="auto" w:before="35"/>
        <w:ind w:right="0" w:firstLine="419"/>
        <w:jc w:val="left"/>
      </w:pPr>
      <w:r>
        <w:rPr/>
        <w:t>（</w:t>
      </w:r>
      <w:r>
        <w:rPr>
          <w:rFonts w:ascii="Times New Roman" w:hAnsi="Times New Roman" w:cs="Times New Roman" w:eastAsia="Times New Roman" w:hint="default"/>
        </w:rPr>
        <w:t>14</w:t>
      </w:r>
      <w:r>
        <w:rPr/>
        <w:t>）公证云平台项目自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月已完成项目的技术预研、需求分析进入开发阶段，</w:t>
      </w:r>
      <w:r>
        <w:rPr>
          <w:w w:val="100"/>
        </w:rPr>
        <w:t> </w:t>
      </w:r>
      <w:r>
        <w:rPr>
          <w:spacing w:val="-4"/>
          <w:w w:val="100"/>
        </w:rPr>
        <w:t>完成上述研发项目在技术上具有可行性，项目实施完成后能够满足民用市场电子数据取证需</w:t>
      </w:r>
      <w:r>
        <w:rPr>
          <w:spacing w:val="-94"/>
          <w:w w:val="100"/>
        </w:rPr>
        <w:t> </w:t>
      </w:r>
      <w:r>
        <w:rPr>
          <w:spacing w:val="-94"/>
          <w:w w:val="100"/>
        </w:rPr>
      </w:r>
      <w:r>
        <w:rPr>
          <w:spacing w:val="-2"/>
        </w:rPr>
        <w:t>求，解决信息社会各类矛盾与纠纷，具有较好的市场容量，可以为项目收益提供有力保证，</w:t>
      </w:r>
      <w:r>
        <w:rPr>
          <w:spacing w:val="-31"/>
        </w:rPr>
        <w:t> </w:t>
      </w:r>
      <w:r>
        <w:rPr>
          <w:spacing w:val="-31"/>
        </w:rPr>
      </w:r>
      <w:r>
        <w:rPr>
          <w:spacing w:val="-4"/>
        </w:rPr>
        <w:t>同时公司有足够的技术、财务等资源的支持，并单独核算，支出能够可靠的计量。故公司从</w:t>
      </w:r>
      <w:r>
        <w:rPr>
          <w:spacing w:val="-45"/>
        </w:rPr>
        <w:t> </w:t>
      </w:r>
      <w:r>
        <w:rPr>
          <w:spacing w:val="-45"/>
        </w:rPr>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7</w:t>
      </w:r>
      <w:r>
        <w:rPr>
          <w:spacing w:val="-3"/>
        </w:rPr>
        <w:t>月对该项目研发费用予以资本化。该项目已于</w:t>
      </w:r>
      <w:r>
        <w:rPr>
          <w:rFonts w:ascii="Times New Roman" w:hAnsi="Times New Roman" w:cs="Times New Roman" w:eastAsia="Times New Roman" w:hint="default"/>
          <w:spacing w:val="-3"/>
        </w:rPr>
        <w:t>2012 </w:t>
      </w:r>
      <w:r>
        <w:rPr>
          <w:spacing w:val="-4"/>
        </w:rPr>
        <w:t>年</w:t>
      </w:r>
      <w:r>
        <w:rPr>
          <w:rFonts w:ascii="Times New Roman" w:hAnsi="Times New Roman" w:cs="Times New Roman" w:eastAsia="Times New Roman" w:hint="default"/>
          <w:spacing w:val="-4"/>
        </w:rPr>
        <w:t>12</w:t>
      </w:r>
      <w:r>
        <w:rPr>
          <w:spacing w:val="-4"/>
        </w:rPr>
        <w:t>月末完成，于</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12</w:t>
      </w:r>
      <w:r>
        <w:rPr>
          <w:spacing w:val="-4"/>
        </w:rPr>
        <w:t>月结</w:t>
      </w:r>
      <w:r>
        <w:rPr>
          <w:spacing w:val="-92"/>
        </w:rPr>
        <w:t> </w:t>
      </w:r>
      <w:r>
        <w:rPr/>
        <w:t>转无形资产，并按</w:t>
      </w:r>
      <w:r>
        <w:rPr>
          <w:rFonts w:ascii="Times New Roman" w:hAnsi="Times New Roman" w:cs="Times New Roman" w:eastAsia="Times New Roman" w:hint="default"/>
        </w:rPr>
        <w:t>4  </w:t>
      </w:r>
      <w:r>
        <w:rPr/>
        <w:t>年摊销。</w:t>
      </w:r>
    </w:p>
    <w:p>
      <w:pPr>
        <w:pStyle w:val="BodyText"/>
        <w:spacing w:line="400" w:lineRule="auto" w:before="21"/>
        <w:ind w:right="0" w:firstLine="419"/>
        <w:jc w:val="left"/>
      </w:pPr>
      <w:r>
        <w:rPr>
          <w:spacing w:val="-4"/>
        </w:rPr>
        <w:t>（</w:t>
      </w:r>
      <w:r>
        <w:rPr>
          <w:rFonts w:ascii="Times New Roman" w:hAnsi="Times New Roman" w:cs="Times New Roman" w:eastAsia="Times New Roman" w:hint="default"/>
          <w:spacing w:val="-4"/>
        </w:rPr>
        <w:t>15</w:t>
      </w:r>
      <w:r>
        <w:rPr>
          <w:spacing w:val="-4"/>
        </w:rPr>
        <w:t>）固定翼无人机项目自</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6</w:t>
      </w:r>
      <w:r>
        <w:rPr>
          <w:spacing w:val="-4"/>
        </w:rPr>
        <w:t>月已完成项目的技术预研、需求分析进入开发阶段，</w:t>
      </w:r>
      <w:r>
        <w:rPr>
          <w:w w:val="100"/>
        </w:rPr>
        <w:t> </w:t>
      </w:r>
      <w:r>
        <w:rPr>
          <w:spacing w:val="-4"/>
        </w:rPr>
        <w:t>完成上述研发项目在技术上具有可行性，项目实施完成后在航空摄影、抢险救灾、地质勘探</w:t>
      </w:r>
      <w:r>
        <w:rPr>
          <w:spacing w:val="-46"/>
        </w:rPr>
        <w:t> </w:t>
      </w:r>
      <w:r>
        <w:rPr>
          <w:spacing w:val="-46"/>
        </w:rPr>
      </w:r>
      <w:r>
        <w:rPr>
          <w:spacing w:val="-4"/>
        </w:rPr>
        <w:t>等航空应用提供稳定可靠的无载人小型飞行，具有较好的市场容量，可以为项目收益提供有</w:t>
      </w:r>
      <w:r>
        <w:rPr>
          <w:spacing w:val="-44"/>
        </w:rPr>
        <w:t> </w:t>
      </w:r>
      <w:r>
        <w:rPr>
          <w:spacing w:val="-44"/>
        </w:rPr>
      </w:r>
      <w:r>
        <w:rPr>
          <w:spacing w:val="-2"/>
        </w:rPr>
        <w:t>力保证，同时公司有足够的技术、财务等资源的支持，并单独核算，支出能够可靠的计量。</w:t>
      </w:r>
      <w:r>
        <w:rPr>
          <w:spacing w:val="-31"/>
        </w:rPr>
        <w:t> </w:t>
      </w:r>
      <w:r>
        <w:rPr>
          <w:spacing w:val="-31"/>
        </w:rPr>
      </w:r>
      <w:r>
        <w:rPr>
          <w:spacing w:val="-3"/>
        </w:rPr>
        <w:t>故公司从</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7</w:t>
      </w:r>
      <w:r>
        <w:rPr>
          <w:spacing w:val="-3"/>
        </w:rPr>
        <w:t>月对该项目研发费用予以资本化。该项目已于</w:t>
      </w:r>
      <w:r>
        <w:rPr>
          <w:rFonts w:ascii="Times New Roman" w:hAnsi="Times New Roman" w:cs="Times New Roman" w:eastAsia="Times New Roman" w:hint="default"/>
          <w:spacing w:val="-3"/>
        </w:rPr>
        <w:t>2012 </w:t>
      </w:r>
      <w:r>
        <w:rPr>
          <w:spacing w:val="-6"/>
        </w:rPr>
        <w:t>年</w:t>
      </w:r>
      <w:r>
        <w:rPr>
          <w:rFonts w:ascii="Times New Roman" w:hAnsi="Times New Roman" w:cs="Times New Roman" w:eastAsia="Times New Roman" w:hint="default"/>
          <w:spacing w:val="-6"/>
        </w:rPr>
        <w:t>12</w:t>
      </w:r>
      <w:r>
        <w:rPr>
          <w:spacing w:val="-6"/>
        </w:rPr>
        <w:t>月末完成，于</w:t>
      </w:r>
      <w:r>
        <w:rPr>
          <w:rFonts w:ascii="Times New Roman" w:hAnsi="Times New Roman" w:cs="Times New Roman" w:eastAsia="Times New Roman" w:hint="default"/>
          <w:spacing w:val="-6"/>
        </w:rPr>
        <w:t>2012</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t>年</w:t>
      </w:r>
      <w:r>
        <w:rPr>
          <w:rFonts w:ascii="Times New Roman" w:hAnsi="Times New Roman" w:cs="Times New Roman" w:eastAsia="Times New Roman" w:hint="default"/>
        </w:rPr>
        <w:t>12</w:t>
      </w:r>
      <w:r>
        <w:rPr/>
        <w:t>月结转无形资产，并按</w:t>
      </w:r>
      <w:r>
        <w:rPr>
          <w:rFonts w:ascii="Times New Roman" w:hAnsi="Times New Roman" w:cs="Times New Roman" w:eastAsia="Times New Roman" w:hint="default"/>
        </w:rPr>
        <w:t>4</w:t>
      </w:r>
      <w:r>
        <w:rPr/>
        <w:t>年摊销。</w:t>
      </w:r>
    </w:p>
    <w:p>
      <w:pPr>
        <w:spacing w:line="240" w:lineRule="auto" w:before="9"/>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24</w:t>
      </w:r>
      <w:r>
        <w:rPr/>
        <w:t>、商誉</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60" w:right="0"/>
        <w:jc w:val="left"/>
      </w:pPr>
      <w:r>
        <w:rPr/>
        <w:t>无。</w:t>
      </w:r>
    </w:p>
    <w:p>
      <w:pPr>
        <w:spacing w:after="0" w:line="240" w:lineRule="auto"/>
        <w:jc w:val="left"/>
        <w:sectPr>
          <w:pgSz w:w="11910" w:h="16840"/>
          <w:pgMar w:header="877" w:footer="1227" w:top="1100" w:bottom="1420" w:left="1660" w:right="1580"/>
        </w:sectPr>
      </w:pPr>
    </w:p>
    <w:p>
      <w:pPr>
        <w:spacing w:line="240" w:lineRule="auto" w:before="11"/>
        <w:rPr>
          <w:rFonts w:ascii="宋体" w:hAnsi="宋体" w:cs="宋体" w:eastAsia="宋体" w:hint="default"/>
          <w:sz w:val="20"/>
          <w:szCs w:val="20"/>
        </w:rPr>
      </w:pPr>
    </w:p>
    <w:p>
      <w:pPr>
        <w:pStyle w:val="Heading3"/>
        <w:spacing w:line="240" w:lineRule="auto" w:before="36"/>
        <w:ind w:left="220" w:right="186"/>
        <w:jc w:val="left"/>
        <w:rPr>
          <w:b w:val="0"/>
          <w:bCs w:val="0"/>
        </w:rPr>
      </w:pPr>
      <w:r>
        <w:rPr>
          <w:rFonts w:ascii="Times New Roman" w:hAnsi="Times New Roman" w:cs="Times New Roman" w:eastAsia="Times New Roman" w:hint="default"/>
        </w:rPr>
        <w:t>25</w:t>
      </w:r>
      <w:r>
        <w:rPr/>
        <w:t>、长期待摊费用</w:t>
      </w:r>
      <w:r>
        <w:rPr>
          <w:b w:val="0"/>
          <w:bCs w:val="0"/>
        </w:rPr>
      </w:r>
    </w:p>
    <w:p>
      <w:pPr>
        <w:spacing w:line="240" w:lineRule="auto" w:before="12"/>
        <w:rPr>
          <w:rFonts w:ascii="宋体" w:hAnsi="宋体" w:cs="宋体" w:eastAsia="宋体" w:hint="default"/>
          <w:b/>
          <w:bCs/>
          <w:sz w:val="22"/>
          <w:szCs w:val="22"/>
        </w:rPr>
      </w:pPr>
    </w:p>
    <w:p>
      <w:pPr>
        <w:spacing w:before="44"/>
        <w:ind w:left="0" w:right="21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6" w:type="dxa"/>
        <w:tblLayout w:type="fixed"/>
        <w:tblCellMar>
          <w:top w:w="0" w:type="dxa"/>
          <w:left w:w="0" w:type="dxa"/>
          <w:bottom w:w="0" w:type="dxa"/>
          <w:right w:w="0" w:type="dxa"/>
        </w:tblCellMar>
        <w:tblLook w:val="01E0"/>
      </w:tblPr>
      <w:tblGrid>
        <w:gridCol w:w="1997"/>
        <w:gridCol w:w="1001"/>
        <w:gridCol w:w="1003"/>
        <w:gridCol w:w="1112"/>
        <w:gridCol w:w="866"/>
        <w:gridCol w:w="1001"/>
        <w:gridCol w:w="1385"/>
      </w:tblGrid>
      <w:tr>
        <w:trPr>
          <w:trHeight w:val="715"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本期增加额</w:t>
            </w:r>
          </w:p>
        </w:tc>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65" w:hanging="269"/>
              <w:jc w:val="left"/>
              <w:rPr>
                <w:rFonts w:ascii="宋体" w:hAnsi="宋体" w:cs="宋体" w:eastAsia="宋体" w:hint="default"/>
                <w:sz w:val="18"/>
                <w:szCs w:val="18"/>
              </w:rPr>
            </w:pPr>
            <w:r>
              <w:rPr>
                <w:rFonts w:ascii="宋体" w:hAnsi="宋体" w:cs="宋体" w:eastAsia="宋体" w:hint="default"/>
                <w:sz w:val="18"/>
                <w:szCs w:val="18"/>
              </w:rPr>
              <w:t>其他减少 额</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40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北京办事处装修费</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729,511.62</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11,529.98</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318,919.64</w:t>
            </w:r>
          </w:p>
        </w:tc>
        <w:tc>
          <w:tcPr>
            <w:tcW w:w="8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422,121.96</w:t>
            </w: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软件园二期观日路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租入办公楼装修费</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369,691.32</w:t>
            </w:r>
          </w:p>
        </w:tc>
        <w:tc>
          <w:tcPr>
            <w:tcW w:w="1003"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369,691.32</w:t>
            </w:r>
          </w:p>
        </w:tc>
        <w:tc>
          <w:tcPr>
            <w:tcW w:w="8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2897"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软件园二期观日路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103</w:t>
            </w:r>
            <w:r>
              <w:rPr>
                <w:rFonts w:ascii="宋体" w:hAnsi="宋体" w:cs="宋体" w:eastAsia="宋体" w:hint="default"/>
                <w:sz w:val="18"/>
                <w:szCs w:val="18"/>
              </w:rPr>
              <w:t>、</w:t>
            </w:r>
            <w:r>
              <w:rPr>
                <w:rFonts w:ascii="Times New Roman" w:hAnsi="Times New Roman" w:cs="Times New Roman" w:eastAsia="Times New Roman" w:hint="default"/>
                <w:sz w:val="18"/>
                <w:szCs w:val="18"/>
              </w:rPr>
              <w:t>403 </w:t>
            </w:r>
            <w:r>
              <w:rPr>
                <w:rFonts w:ascii="宋体" w:hAnsi="宋体" w:cs="宋体" w:eastAsia="宋体" w:hint="default"/>
                <w:sz w:val="18"/>
                <w:szCs w:val="18"/>
              </w:rPr>
              <w:t>单元装修费</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684,632.09</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110,799.75</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590,932.34</w:t>
            </w:r>
          </w:p>
        </w:tc>
        <w:tc>
          <w:tcPr>
            <w:tcW w:w="1001"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其他减少系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p>
          <w:p>
            <w:pPr>
              <w:pStyle w:val="TableParagraph"/>
              <w:spacing w:line="304"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月本公司购 买位于软件园二 期观日路 </w:t>
            </w:r>
            <w:r>
              <w:rPr>
                <w:rFonts w:ascii="Times New Roman" w:hAnsi="Times New Roman" w:cs="Times New Roman" w:eastAsia="Times New Roman" w:hint="default"/>
                <w:sz w:val="18"/>
                <w:szCs w:val="18"/>
              </w:rPr>
              <w:t>12 </w:t>
            </w:r>
            <w:r>
              <w:rPr>
                <w:rFonts w:ascii="宋体" w:hAnsi="宋体" w:cs="宋体" w:eastAsia="宋体" w:hint="default"/>
                <w:sz w:val="18"/>
                <w:szCs w:val="18"/>
              </w:rPr>
              <w:t>号 的研发楼</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103</w:t>
            </w:r>
            <w:r>
              <w:rPr>
                <w:rFonts w:ascii="宋体" w:hAnsi="宋体" w:cs="宋体" w:eastAsia="宋体" w:hint="default"/>
                <w:sz w:val="18"/>
                <w:szCs w:val="18"/>
              </w:rPr>
              <w:t>、 </w:t>
            </w:r>
            <w:r>
              <w:rPr>
                <w:rFonts w:ascii="Times New Roman" w:hAnsi="Times New Roman" w:cs="Times New Roman" w:eastAsia="Times New Roman" w:hint="default"/>
                <w:spacing w:val="-11"/>
                <w:sz w:val="18"/>
                <w:szCs w:val="18"/>
              </w:rPr>
              <w:t>203</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303</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403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单</w:t>
            </w:r>
          </w:p>
          <w:p>
            <w:pPr>
              <w:pStyle w:val="TableParagraph"/>
              <w:spacing w:line="309" w:lineRule="auto" w:before="9"/>
              <w:ind w:left="23" w:right="42"/>
              <w:jc w:val="both"/>
              <w:rPr>
                <w:rFonts w:ascii="宋体" w:hAnsi="宋体" w:cs="宋体" w:eastAsia="宋体" w:hint="default"/>
                <w:sz w:val="18"/>
                <w:szCs w:val="18"/>
              </w:rPr>
            </w:pPr>
            <w:r>
              <w:rPr>
                <w:rFonts w:ascii="宋体" w:hAnsi="宋体" w:cs="宋体" w:eastAsia="宋体" w:hint="default"/>
                <w:sz w:val="18"/>
                <w:szCs w:val="18"/>
              </w:rPr>
              <w:t>元，原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103</w:t>
            </w:r>
            <w:r>
              <w:rPr>
                <w:rFonts w:ascii="宋体" w:hAnsi="宋体" w:cs="宋体" w:eastAsia="宋体" w:hint="default"/>
                <w:sz w:val="18"/>
                <w:szCs w:val="18"/>
              </w:rPr>
              <w:t>、</w:t>
            </w:r>
            <w:r>
              <w:rPr>
                <w:rFonts w:ascii="Times New Roman" w:hAnsi="Times New Roman" w:cs="Times New Roman" w:eastAsia="Times New Roman" w:hint="default"/>
                <w:sz w:val="18"/>
                <w:szCs w:val="18"/>
              </w:rPr>
              <w:t>403 </w:t>
            </w:r>
            <w:r>
              <w:rPr>
                <w:rFonts w:ascii="宋体" w:hAnsi="宋体" w:cs="宋体" w:eastAsia="宋体" w:hint="default"/>
                <w:sz w:val="18"/>
                <w:szCs w:val="18"/>
              </w:rPr>
              <w:t>单元装修费相应 转入固定资产。</w:t>
            </w: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成都办事处装修费</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63,000.00</w:t>
            </w:r>
          </w:p>
        </w:tc>
        <w:tc>
          <w:tcPr>
            <w:tcW w:w="1003"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28,000.00</w:t>
            </w:r>
          </w:p>
        </w:tc>
        <w:tc>
          <w:tcPr>
            <w:tcW w:w="8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w:t>
            </w: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培训中心装修费</w:t>
            </w:r>
          </w:p>
        </w:tc>
        <w:tc>
          <w:tcPr>
            <w:tcW w:w="1001"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56,451.60</w:t>
            </w:r>
          </w:p>
        </w:tc>
        <w:tc>
          <w:tcPr>
            <w:tcW w:w="8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153,548.40</w:t>
            </w: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昆明办事处装修费</w:t>
            </w:r>
          </w:p>
        </w:tc>
        <w:tc>
          <w:tcPr>
            <w:tcW w:w="1001"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40,500.00</w:t>
            </w:r>
          </w:p>
        </w:tc>
        <w:tc>
          <w:tcPr>
            <w:tcW w:w="8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94,500.00</w:t>
            </w: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软件园二期观日路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 </w:t>
            </w:r>
            <w:r>
              <w:rPr>
                <w:rFonts w:ascii="宋体" w:hAnsi="宋体" w:cs="宋体" w:eastAsia="宋体" w:hint="default"/>
                <w:sz w:val="18"/>
                <w:szCs w:val="18"/>
              </w:rPr>
              <w:t>单元装修费</w:t>
            </w:r>
          </w:p>
        </w:tc>
        <w:tc>
          <w:tcPr>
            <w:tcW w:w="1001"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3,067,095.03</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522,058.73</w:t>
            </w:r>
          </w:p>
        </w:tc>
        <w:tc>
          <w:tcPr>
            <w:tcW w:w="8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2,545,036.30</w:t>
            </w: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软件园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403 </w:t>
            </w:r>
            <w:r>
              <w:rPr>
                <w:rFonts w:ascii="宋体" w:hAnsi="宋体" w:cs="宋体" w:eastAsia="宋体" w:hint="default"/>
                <w:sz w:val="18"/>
                <w:szCs w:val="18"/>
              </w:rPr>
              <w:t>单元 装修费</w:t>
            </w:r>
          </w:p>
        </w:tc>
        <w:tc>
          <w:tcPr>
            <w:tcW w:w="1001"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249,480.00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67,064.50</w:t>
            </w:r>
          </w:p>
        </w:tc>
        <w:tc>
          <w:tcPr>
            <w:tcW w:w="8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182,415.50</w:t>
            </w: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1,846,835.03</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3,690,205.01</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1,513,485.54</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590,932.34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3,432,622.16</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220" w:right="186" w:firstLine="0"/>
        <w:jc w:val="left"/>
        <w:rPr>
          <w:rFonts w:ascii="宋体" w:hAnsi="宋体" w:cs="宋体" w:eastAsia="宋体" w:hint="default"/>
          <w:sz w:val="18"/>
          <w:szCs w:val="18"/>
        </w:rPr>
      </w:pPr>
      <w:r>
        <w:rPr>
          <w:rFonts w:ascii="宋体" w:hAnsi="宋体" w:cs="宋体" w:eastAsia="宋体" w:hint="default"/>
          <w:sz w:val="18"/>
          <w:szCs w:val="18"/>
        </w:rPr>
        <w:t>长期待摊费用的说明：</w:t>
      </w:r>
    </w:p>
    <w:p>
      <w:pPr>
        <w:spacing w:line="300" w:lineRule="auto" w:before="117"/>
        <w:ind w:left="220" w:right="186" w:firstLine="0"/>
        <w:jc w:val="left"/>
        <w:rPr>
          <w:rFonts w:ascii="宋体" w:hAnsi="宋体" w:cs="宋体" w:eastAsia="宋体" w:hint="default"/>
          <w:sz w:val="18"/>
          <w:szCs w:val="18"/>
        </w:rPr>
      </w:pPr>
      <w:r>
        <w:rPr>
          <w:rFonts w:ascii="宋体" w:hAnsi="宋体" w:cs="宋体" w:eastAsia="宋体" w:hint="default"/>
          <w:sz w:val="18"/>
          <w:szCs w:val="18"/>
        </w:rPr>
        <w:t>其他减少系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月本公司购买位于软件园二期观日路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号的研发楼</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103</w:t>
      </w:r>
      <w:r>
        <w:rPr>
          <w:rFonts w:ascii="宋体" w:hAnsi="宋体" w:cs="宋体" w:eastAsia="宋体" w:hint="default"/>
          <w:sz w:val="18"/>
          <w:szCs w:val="18"/>
        </w:rPr>
        <w:t>、</w:t>
      </w:r>
      <w:r>
        <w:rPr>
          <w:rFonts w:ascii="Times New Roman" w:hAnsi="Times New Roman" w:cs="Times New Roman" w:eastAsia="Times New Roman" w:hint="default"/>
          <w:sz w:val="18"/>
          <w:szCs w:val="18"/>
        </w:rPr>
        <w:t>203</w:t>
      </w:r>
      <w:r>
        <w:rPr>
          <w:rFonts w:ascii="宋体" w:hAnsi="宋体" w:cs="宋体" w:eastAsia="宋体" w:hint="default"/>
          <w:sz w:val="18"/>
          <w:szCs w:val="18"/>
        </w:rPr>
        <w:t>、</w:t>
      </w:r>
      <w:r>
        <w:rPr>
          <w:rFonts w:ascii="Times New Roman" w:hAnsi="Times New Roman" w:cs="Times New Roman" w:eastAsia="Times New Roman" w:hint="default"/>
          <w:sz w:val="18"/>
          <w:szCs w:val="18"/>
        </w:rPr>
        <w:t>303</w:t>
      </w:r>
      <w:r>
        <w:rPr>
          <w:rFonts w:ascii="宋体" w:hAnsi="宋体" w:cs="宋体" w:eastAsia="宋体" w:hint="default"/>
          <w:sz w:val="18"/>
          <w:szCs w:val="18"/>
        </w:rPr>
        <w:t>、</w:t>
      </w:r>
      <w:r>
        <w:rPr>
          <w:rFonts w:ascii="Times New Roman" w:hAnsi="Times New Roman" w:cs="Times New Roman" w:eastAsia="Times New Roman" w:hint="default"/>
          <w:sz w:val="18"/>
          <w:szCs w:val="18"/>
        </w:rPr>
        <w:t>403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单元， 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103</w:t>
      </w:r>
      <w:r>
        <w:rPr>
          <w:rFonts w:ascii="宋体" w:hAnsi="宋体" w:cs="宋体" w:eastAsia="宋体" w:hint="default"/>
          <w:sz w:val="18"/>
          <w:szCs w:val="18"/>
        </w:rPr>
        <w:t>、</w:t>
      </w:r>
      <w:r>
        <w:rPr>
          <w:rFonts w:ascii="Times New Roman" w:hAnsi="Times New Roman" w:cs="Times New Roman" w:eastAsia="Times New Roman" w:hint="default"/>
          <w:sz w:val="18"/>
          <w:szCs w:val="18"/>
        </w:rPr>
        <w:t>403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单元装修费相应转入固定资产。</w:t>
      </w:r>
    </w:p>
    <w:p>
      <w:pPr>
        <w:spacing w:line="240" w:lineRule="auto" w:before="2"/>
        <w:rPr>
          <w:rFonts w:ascii="宋体" w:hAnsi="宋体" w:cs="宋体" w:eastAsia="宋体" w:hint="default"/>
          <w:sz w:val="22"/>
          <w:szCs w:val="22"/>
        </w:rPr>
      </w:pPr>
    </w:p>
    <w:p>
      <w:pPr>
        <w:pStyle w:val="Heading3"/>
        <w:spacing w:line="240" w:lineRule="auto"/>
        <w:ind w:left="220" w:right="186"/>
        <w:jc w:val="left"/>
        <w:rPr>
          <w:b w:val="0"/>
          <w:bCs w:val="0"/>
        </w:rPr>
      </w:pPr>
      <w:r>
        <w:rPr>
          <w:rFonts w:ascii="Times New Roman" w:hAnsi="Times New Roman" w:cs="Times New Roman" w:eastAsia="Times New Roman" w:hint="default"/>
        </w:rPr>
        <w:t>26</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20" w:right="186"/>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13"/>
        <w:rPr>
          <w:rFonts w:ascii="宋体" w:hAnsi="宋体" w:cs="宋体" w:eastAsia="宋体" w:hint="default"/>
          <w:b/>
          <w:bCs/>
          <w:sz w:val="22"/>
          <w:szCs w:val="22"/>
        </w:rPr>
      </w:pPr>
    </w:p>
    <w:p>
      <w:pPr>
        <w:spacing w:before="44"/>
        <w:ind w:left="220" w:right="186" w:firstLine="0"/>
        <w:jc w:val="left"/>
        <w:rPr>
          <w:rFonts w:ascii="宋体" w:hAnsi="宋体" w:cs="宋体" w:eastAsia="宋体" w:hint="default"/>
          <w:sz w:val="18"/>
          <w:szCs w:val="18"/>
        </w:rPr>
      </w:pPr>
      <w:r>
        <w:rPr>
          <w:rFonts w:ascii="宋体" w:hAnsi="宋体" w:cs="宋体" w:eastAsia="宋体" w:hint="default"/>
          <w:sz w:val="18"/>
          <w:szCs w:val="18"/>
        </w:rPr>
        <w:t>已确认的递延所得税资产和递延所得税负债：</w:t>
      </w:r>
    </w:p>
    <w:p>
      <w:pPr>
        <w:spacing w:before="115"/>
        <w:ind w:left="0" w:right="21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840"/>
        <w:gridCol w:w="2842"/>
        <w:gridCol w:w="2842"/>
      </w:tblGrid>
      <w:tr>
        <w:trPr>
          <w:trHeight w:val="403" w:hRule="exact"/>
        </w:trPr>
        <w:tc>
          <w:tcPr>
            <w:tcW w:w="28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4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84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8524" w:type="dxa"/>
            <w:gridSpan w:val="3"/>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2,023,718.30</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83" w:right="0"/>
              <w:jc w:val="left"/>
              <w:rPr>
                <w:rFonts w:ascii="Times New Roman" w:hAnsi="Times New Roman" w:cs="Times New Roman" w:eastAsia="Times New Roman" w:hint="default"/>
                <w:sz w:val="18"/>
                <w:szCs w:val="18"/>
              </w:rPr>
            </w:pPr>
            <w:r>
              <w:rPr>
                <w:rFonts w:ascii="Times New Roman"/>
                <w:sz w:val="18"/>
              </w:rPr>
              <w:t>1,332,723.35</w:t>
            </w:r>
          </w:p>
        </w:tc>
      </w:tr>
      <w:tr>
        <w:trPr>
          <w:trHeight w:val="401"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123,780.53</w:t>
            </w:r>
          </w:p>
        </w:tc>
        <w:tc>
          <w:tcPr>
            <w:tcW w:w="284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27" w:top="1100" w:bottom="1420" w:left="1580" w:right="1580"/>
        </w:sectPr>
      </w:pPr>
    </w:p>
    <w:p>
      <w:pPr>
        <w:spacing w:line="240" w:lineRule="auto" w:before="8"/>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2840"/>
        <w:gridCol w:w="2842"/>
        <w:gridCol w:w="2842"/>
      </w:tblGrid>
      <w:tr>
        <w:trPr>
          <w:trHeight w:val="401"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2,822,847.12</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3,053,895.63</w:t>
            </w:r>
          </w:p>
        </w:tc>
      </w:tr>
      <w:tr>
        <w:trPr>
          <w:trHeight w:val="403"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250,292.61</w:t>
            </w:r>
          </w:p>
        </w:tc>
        <w:tc>
          <w:tcPr>
            <w:tcW w:w="2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5,220,638.56</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4,386,618.98</w:t>
            </w:r>
          </w:p>
        </w:tc>
      </w:tr>
      <w:tr>
        <w:trPr>
          <w:trHeight w:val="402" w:hRule="exact"/>
        </w:trPr>
        <w:tc>
          <w:tcPr>
            <w:tcW w:w="8524" w:type="dxa"/>
            <w:gridSpan w:val="3"/>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before="49"/>
        <w:ind w:left="220" w:right="186" w:firstLine="0"/>
        <w:jc w:val="left"/>
        <w:rPr>
          <w:rFonts w:ascii="宋体" w:hAnsi="宋体" w:cs="宋体" w:eastAsia="宋体" w:hint="default"/>
          <w:sz w:val="18"/>
          <w:szCs w:val="18"/>
        </w:rPr>
      </w:pPr>
      <w:r>
        <w:rPr>
          <w:rFonts w:ascii="宋体" w:hAnsi="宋体" w:cs="宋体" w:eastAsia="宋体" w:hint="default"/>
          <w:sz w:val="18"/>
          <w:szCs w:val="18"/>
        </w:rPr>
        <w:t>未确认递延所得税资产明细：</w:t>
      </w:r>
    </w:p>
    <w:p>
      <w:pPr>
        <w:spacing w:before="115"/>
        <w:ind w:left="0" w:right="21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98" w:type="dxa"/>
        <w:tblLayout w:type="fixed"/>
        <w:tblCellMar>
          <w:top w:w="0" w:type="dxa"/>
          <w:left w:w="0" w:type="dxa"/>
          <w:bottom w:w="0" w:type="dxa"/>
          <w:right w:w="0" w:type="dxa"/>
        </w:tblCellMar>
        <w:tblLook w:val="01E0"/>
      </w:tblPr>
      <w:tblGrid>
        <w:gridCol w:w="3231"/>
        <w:gridCol w:w="2566"/>
        <w:gridCol w:w="2557"/>
      </w:tblGrid>
      <w:tr>
        <w:trPr>
          <w:trHeight w:val="403"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2566" w:type="dxa"/>
            <w:tcBorders>
              <w:top w:val="single" w:sz="4" w:space="0" w:color="000000"/>
              <w:left w:val="single" w:sz="13" w:space="0" w:color="D2D2D2"/>
              <w:bottom w:val="single" w:sz="4" w:space="0" w:color="000000"/>
              <w:right w:val="single" w:sz="4" w:space="0" w:color="000000"/>
            </w:tcBorders>
          </w:tcPr>
          <w:p>
            <w:pP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86,011.36</w:t>
            </w:r>
          </w:p>
        </w:tc>
      </w:tr>
      <w:tr>
        <w:trPr>
          <w:trHeight w:val="403"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566" w:type="dxa"/>
            <w:tcBorders>
              <w:top w:val="single" w:sz="4" w:space="0" w:color="000000"/>
              <w:left w:val="single" w:sz="13" w:space="0" w:color="D2D2D2"/>
              <w:bottom w:val="single" w:sz="4" w:space="0" w:color="000000"/>
              <w:right w:val="single" w:sz="4" w:space="0" w:color="000000"/>
            </w:tcBorders>
          </w:tcPr>
          <w:p>
            <w:pP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323,271.54</w:t>
            </w:r>
          </w:p>
        </w:tc>
      </w:tr>
      <w:tr>
        <w:trPr>
          <w:trHeight w:val="401"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66" w:type="dxa"/>
            <w:tcBorders>
              <w:top w:val="single" w:sz="4" w:space="0" w:color="000000"/>
              <w:left w:val="single" w:sz="13" w:space="0" w:color="D2D2D2"/>
              <w:bottom w:val="single" w:sz="4" w:space="0" w:color="000000"/>
              <w:right w:val="single" w:sz="4" w:space="0" w:color="000000"/>
            </w:tcBorders>
          </w:tcPr>
          <w:p>
            <w:pP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409,282.90</w:t>
            </w:r>
          </w:p>
        </w:tc>
      </w:tr>
    </w:tbl>
    <w:p>
      <w:pPr>
        <w:spacing w:before="49"/>
        <w:ind w:left="220" w:right="186" w:firstLine="0"/>
        <w:jc w:val="left"/>
        <w:rPr>
          <w:rFonts w:ascii="宋体" w:hAnsi="宋体" w:cs="宋体" w:eastAsia="宋体" w:hint="default"/>
          <w:sz w:val="18"/>
          <w:szCs w:val="18"/>
        </w:rPr>
      </w:pPr>
      <w:r>
        <w:rPr>
          <w:rFonts w:ascii="宋体" w:hAnsi="宋体" w:cs="宋体" w:eastAsia="宋体" w:hint="default"/>
          <w:sz w:val="18"/>
          <w:szCs w:val="18"/>
        </w:rPr>
        <w:t>未确认递延所得税资产的可抵扣亏损将于以下年度到期：</w:t>
      </w:r>
    </w:p>
    <w:p>
      <w:pPr>
        <w:spacing w:before="117"/>
        <w:ind w:left="0" w:right="21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6" w:type="dxa"/>
        <w:tblLayout w:type="fixed"/>
        <w:tblCellMar>
          <w:top w:w="0" w:type="dxa"/>
          <w:left w:w="0" w:type="dxa"/>
          <w:bottom w:w="0" w:type="dxa"/>
          <w:right w:w="0" w:type="dxa"/>
        </w:tblCellMar>
        <w:tblLook w:val="01E0"/>
      </w:tblPr>
      <w:tblGrid>
        <w:gridCol w:w="1745"/>
        <w:gridCol w:w="1973"/>
        <w:gridCol w:w="1743"/>
        <w:gridCol w:w="2905"/>
      </w:tblGrid>
      <w:tr>
        <w:trPr>
          <w:trHeight w:val="403" w:hRule="exact"/>
        </w:trPr>
        <w:tc>
          <w:tcPr>
            <w:tcW w:w="1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73"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133,373.60</w:t>
            </w:r>
          </w:p>
        </w:tc>
        <w:tc>
          <w:tcPr>
            <w:tcW w:w="29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73"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189,897.94</w:t>
            </w:r>
          </w:p>
        </w:tc>
        <w:tc>
          <w:tcPr>
            <w:tcW w:w="29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73"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323,271.54</w:t>
            </w:r>
          </w:p>
        </w:tc>
        <w:tc>
          <w:tcPr>
            <w:tcW w:w="2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220" w:right="186" w:firstLine="0"/>
        <w:jc w:val="left"/>
        <w:rPr>
          <w:rFonts w:ascii="宋体" w:hAnsi="宋体" w:cs="宋体" w:eastAsia="宋体" w:hint="default"/>
          <w:sz w:val="18"/>
          <w:szCs w:val="18"/>
        </w:rPr>
      </w:pPr>
      <w:r>
        <w:rPr>
          <w:rFonts w:ascii="宋体" w:hAnsi="宋体" w:cs="宋体" w:eastAsia="宋体" w:hint="default"/>
          <w:sz w:val="18"/>
          <w:szCs w:val="18"/>
        </w:rPr>
        <w:t>应纳税差异和可抵扣差异项目明细：</w:t>
      </w:r>
    </w:p>
    <w:p>
      <w:pPr>
        <w:spacing w:line="240" w:lineRule="auto" w:before="4"/>
        <w:rPr>
          <w:rFonts w:ascii="宋体" w:hAnsi="宋体" w:cs="宋体" w:eastAsia="宋体" w:hint="default"/>
          <w:sz w:val="8"/>
          <w:szCs w:val="8"/>
        </w:rPr>
      </w:pPr>
    </w:p>
    <w:tbl>
      <w:tblPr>
        <w:tblW w:w="0" w:type="auto"/>
        <w:jc w:val="left"/>
        <w:tblInd w:w="186" w:type="dxa"/>
        <w:tblLayout w:type="fixed"/>
        <w:tblCellMar>
          <w:top w:w="0" w:type="dxa"/>
          <w:left w:w="0" w:type="dxa"/>
          <w:bottom w:w="0" w:type="dxa"/>
          <w:right w:w="0" w:type="dxa"/>
        </w:tblCellMar>
        <w:tblLook w:val="01E0"/>
      </w:tblPr>
      <w:tblGrid>
        <w:gridCol w:w="3373"/>
        <w:gridCol w:w="2554"/>
        <w:gridCol w:w="2439"/>
      </w:tblGrid>
      <w:tr>
        <w:trPr>
          <w:trHeight w:val="401" w:hRule="exact"/>
        </w:trPr>
        <w:tc>
          <w:tcPr>
            <w:tcW w:w="3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9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4" w:hRule="exact"/>
        </w:trPr>
        <w:tc>
          <w:tcPr>
            <w:tcW w:w="3373" w:type="dxa"/>
            <w:vMerge/>
            <w:tcBorders>
              <w:left w:val="single" w:sz="4" w:space="0" w:color="000000"/>
              <w:bottom w:val="single" w:sz="4" w:space="0" w:color="000000"/>
              <w:right w:val="single" w:sz="4" w:space="0" w:color="000000"/>
            </w:tcBorders>
            <w:shd w:val="clear" w:color="auto" w:fill="D2D2D2"/>
          </w:tcPr>
          <w:p>
            <w:pPr/>
          </w:p>
        </w:tc>
        <w:tc>
          <w:tcPr>
            <w:tcW w:w="2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期末</w:t>
            </w:r>
          </w:p>
        </w:tc>
        <w:tc>
          <w:tcPr>
            <w:tcW w:w="2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1" w:hRule="exact"/>
        </w:trPr>
        <w:tc>
          <w:tcPr>
            <w:tcW w:w="836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3" w:hRule="exact"/>
        </w:trPr>
        <w:tc>
          <w:tcPr>
            <w:tcW w:w="836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r>
        <w:trPr>
          <w:trHeight w:val="401"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13,511,913.25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8,750,386.26</w:t>
            </w:r>
          </w:p>
        </w:tc>
      </w:tr>
      <w:tr>
        <w:trPr>
          <w:trHeight w:val="403"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825,203.54</w:t>
            </w: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18,818,980.83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20,359,304.17</w:t>
            </w:r>
          </w:p>
        </w:tc>
      </w:tr>
      <w:tr>
        <w:trPr>
          <w:trHeight w:val="403"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1,001,170.44</w:t>
            </w: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5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34,157,268.06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29,109,690.43</w:t>
            </w:r>
          </w:p>
        </w:tc>
      </w:tr>
    </w:tbl>
    <w:p>
      <w:pPr>
        <w:spacing w:line="240" w:lineRule="auto" w:before="3"/>
        <w:rPr>
          <w:rFonts w:ascii="宋体" w:hAnsi="宋体" w:cs="宋体" w:eastAsia="宋体" w:hint="default"/>
          <w:sz w:val="19"/>
          <w:szCs w:val="19"/>
        </w:rPr>
      </w:pPr>
    </w:p>
    <w:p>
      <w:pPr>
        <w:pStyle w:val="Heading3"/>
        <w:spacing w:line="240" w:lineRule="auto" w:before="36"/>
        <w:ind w:left="220" w:right="186"/>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13"/>
        <w:rPr>
          <w:rFonts w:ascii="宋体" w:hAnsi="宋体" w:cs="宋体" w:eastAsia="宋体" w:hint="default"/>
          <w:b/>
          <w:bCs/>
          <w:sz w:val="22"/>
          <w:szCs w:val="22"/>
        </w:rPr>
      </w:pPr>
    </w:p>
    <w:p>
      <w:pPr>
        <w:spacing w:before="44"/>
        <w:ind w:left="220" w:right="186" w:firstLine="0"/>
        <w:jc w:val="left"/>
        <w:rPr>
          <w:rFonts w:ascii="宋体" w:hAnsi="宋体" w:cs="宋体" w:eastAsia="宋体" w:hint="default"/>
          <w:sz w:val="18"/>
          <w:szCs w:val="18"/>
        </w:rPr>
      </w:pPr>
      <w:r>
        <w:rPr>
          <w:rFonts w:ascii="宋体" w:hAnsi="宋体" w:cs="宋体" w:eastAsia="宋体" w:hint="default"/>
          <w:sz w:val="18"/>
          <w:szCs w:val="18"/>
        </w:rPr>
        <w:t>互抵后的递延所得税资产及负债的组成项目：</w:t>
      </w:r>
    </w:p>
    <w:p>
      <w:pPr>
        <w:spacing w:before="117"/>
        <w:ind w:left="0" w:right="21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98" w:type="dxa"/>
        <w:tblLayout w:type="fixed"/>
        <w:tblCellMar>
          <w:top w:w="0" w:type="dxa"/>
          <w:left w:w="0" w:type="dxa"/>
          <w:bottom w:w="0" w:type="dxa"/>
          <w:right w:w="0" w:type="dxa"/>
        </w:tblCellMar>
        <w:tblLook w:val="01E0"/>
      </w:tblPr>
      <w:tblGrid>
        <w:gridCol w:w="1435"/>
        <w:gridCol w:w="1844"/>
        <w:gridCol w:w="1842"/>
        <w:gridCol w:w="1819"/>
        <w:gridCol w:w="1401"/>
      </w:tblGrid>
      <w:tr>
        <w:trPr>
          <w:trHeight w:val="163" w:hRule="exact"/>
        </w:trPr>
        <w:tc>
          <w:tcPr>
            <w:tcW w:w="1435" w:type="dxa"/>
            <w:vMerge w:val="restart"/>
            <w:tcBorders>
              <w:top w:val="single" w:sz="4" w:space="0" w:color="000000"/>
              <w:left w:val="single" w:sz="4" w:space="0" w:color="000000"/>
              <w:right w:val="single" w:sz="4" w:space="0" w:color="000000"/>
            </w:tcBorders>
            <w:shd w:val="clear" w:color="auto" w:fill="D2D2D2"/>
          </w:tcPr>
          <w:p>
            <w:pPr/>
          </w:p>
        </w:tc>
        <w:tc>
          <w:tcPr>
            <w:tcW w:w="1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5" w:right="105"/>
              <w:jc w:val="center"/>
              <w:rPr>
                <w:rFonts w:ascii="宋体" w:hAnsi="宋体" w:cs="宋体" w:eastAsia="宋体" w:hint="default"/>
                <w:sz w:val="18"/>
                <w:szCs w:val="18"/>
              </w:rPr>
            </w:pPr>
            <w:r>
              <w:rPr>
                <w:rFonts w:ascii="宋体" w:hAnsi="宋体" w:cs="宋体" w:eastAsia="宋体" w:hint="default"/>
                <w:sz w:val="18"/>
                <w:szCs w:val="18"/>
              </w:rPr>
              <w:t>报告期末互抵后的可 抵扣或应纳税暂时性 差异</w:t>
            </w:r>
          </w:p>
        </w:tc>
        <w:tc>
          <w:tcPr>
            <w:tcW w:w="18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40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3" w:right="65"/>
              <w:jc w:val="both"/>
              <w:rPr>
                <w:rFonts w:ascii="宋体" w:hAnsi="宋体" w:cs="宋体" w:eastAsia="宋体" w:hint="default"/>
                <w:sz w:val="18"/>
                <w:szCs w:val="18"/>
              </w:rPr>
            </w:pPr>
            <w:r>
              <w:rPr>
                <w:rFonts w:ascii="宋体" w:hAnsi="宋体" w:cs="宋体" w:eastAsia="宋体" w:hint="default"/>
                <w:sz w:val="18"/>
                <w:szCs w:val="18"/>
              </w:rPr>
              <w:t>报告期初互抵后 的可抵扣或应纳 税暂时性差异</w:t>
            </w:r>
          </w:p>
        </w:tc>
      </w:tr>
      <w:tr>
        <w:trPr>
          <w:trHeight w:val="156" w:hRule="exact"/>
        </w:trPr>
        <w:tc>
          <w:tcPr>
            <w:tcW w:w="1435" w:type="dxa"/>
            <w:vMerge/>
            <w:tcBorders>
              <w:left w:val="single" w:sz="4" w:space="0" w:color="000000"/>
              <w:bottom w:val="nil" w:sz="6" w:space="0" w:color="auto"/>
              <w:right w:val="single" w:sz="4" w:space="0" w:color="000000"/>
            </w:tcBorders>
            <w:shd w:val="clear" w:color="auto" w:fill="D2D2D2"/>
          </w:tcPr>
          <w:p>
            <w:pPr/>
          </w:p>
        </w:tc>
        <w:tc>
          <w:tcPr>
            <w:tcW w:w="184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8" w:right="104"/>
              <w:jc w:val="left"/>
              <w:rPr>
                <w:rFonts w:ascii="宋体" w:hAnsi="宋体" w:cs="宋体" w:eastAsia="宋体" w:hint="default"/>
                <w:sz w:val="18"/>
                <w:szCs w:val="18"/>
              </w:rPr>
            </w:pPr>
            <w:r>
              <w:rPr>
                <w:rFonts w:ascii="宋体" w:hAnsi="宋体" w:cs="宋体" w:eastAsia="宋体" w:hint="default"/>
                <w:sz w:val="18"/>
                <w:szCs w:val="18"/>
              </w:rPr>
              <w:t>报告期末互抵后的递 延所得税资产或负债</w:t>
            </w:r>
          </w:p>
        </w:tc>
        <w:tc>
          <w:tcPr>
            <w:tcW w:w="1842" w:type="dxa"/>
            <w:vMerge/>
            <w:tcBorders>
              <w:left w:val="single" w:sz="4" w:space="0" w:color="000000"/>
              <w:right w:val="single" w:sz="4" w:space="0" w:color="000000"/>
            </w:tcBorders>
            <w:shd w:val="clear" w:color="auto" w:fill="D2D2D2"/>
          </w:tcPr>
          <w:p>
            <w:pPr/>
          </w:p>
        </w:tc>
        <w:tc>
          <w:tcPr>
            <w:tcW w:w="1819"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87" w:right="101"/>
              <w:jc w:val="left"/>
              <w:rPr>
                <w:rFonts w:ascii="宋体" w:hAnsi="宋体" w:cs="宋体" w:eastAsia="宋体" w:hint="default"/>
                <w:sz w:val="18"/>
                <w:szCs w:val="18"/>
              </w:rPr>
            </w:pPr>
            <w:r>
              <w:rPr>
                <w:rFonts w:ascii="宋体" w:hAnsi="宋体" w:cs="宋体" w:eastAsia="宋体" w:hint="default"/>
                <w:sz w:val="18"/>
                <w:szCs w:val="18"/>
              </w:rPr>
              <w:t>报告期初互抵后的递 延所得税资产或负债</w:t>
            </w:r>
          </w:p>
        </w:tc>
        <w:tc>
          <w:tcPr>
            <w:tcW w:w="1401" w:type="dxa"/>
            <w:vMerge/>
            <w:tcBorders>
              <w:left w:val="single" w:sz="4" w:space="0" w:color="000000"/>
              <w:right w:val="single" w:sz="4" w:space="0" w:color="000000"/>
            </w:tcBorders>
            <w:shd w:val="clear" w:color="auto" w:fill="D2D2D2"/>
          </w:tcPr>
          <w:p>
            <w:pPr/>
          </w:p>
        </w:tc>
      </w:tr>
      <w:tr>
        <w:trPr>
          <w:trHeight w:val="391" w:hRule="exact"/>
        </w:trPr>
        <w:tc>
          <w:tcPr>
            <w:tcW w:w="14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vMerge/>
            <w:tcBorders>
              <w:left w:val="single" w:sz="4" w:space="0" w:color="000000"/>
              <w:right w:val="single" w:sz="4" w:space="0" w:color="000000"/>
            </w:tcBorders>
            <w:shd w:val="clear" w:color="auto" w:fill="D2D2D2"/>
          </w:tcPr>
          <w:p>
            <w:pPr/>
          </w:p>
        </w:tc>
        <w:tc>
          <w:tcPr>
            <w:tcW w:w="1842" w:type="dxa"/>
            <w:vMerge/>
            <w:tcBorders>
              <w:left w:val="single" w:sz="4" w:space="0" w:color="000000"/>
              <w:right w:val="single" w:sz="4" w:space="0" w:color="000000"/>
            </w:tcBorders>
            <w:shd w:val="clear" w:color="auto" w:fill="D2D2D2"/>
          </w:tcPr>
          <w:p>
            <w:pPr/>
          </w:p>
        </w:tc>
        <w:tc>
          <w:tcPr>
            <w:tcW w:w="1819" w:type="dxa"/>
            <w:vMerge/>
            <w:tcBorders>
              <w:left w:val="single" w:sz="4" w:space="0" w:color="000000"/>
              <w:right w:val="single" w:sz="4" w:space="0" w:color="000000"/>
            </w:tcBorders>
            <w:shd w:val="clear" w:color="auto" w:fill="D2D2D2"/>
          </w:tcPr>
          <w:p>
            <w:pPr/>
          </w:p>
        </w:tc>
        <w:tc>
          <w:tcPr>
            <w:tcW w:w="1401" w:type="dxa"/>
            <w:vMerge/>
            <w:tcBorders>
              <w:left w:val="single" w:sz="4" w:space="0" w:color="000000"/>
              <w:right w:val="single" w:sz="4" w:space="0" w:color="000000"/>
            </w:tcBorders>
            <w:shd w:val="clear" w:color="auto" w:fill="D2D2D2"/>
          </w:tcPr>
          <w:p>
            <w:pPr/>
          </w:p>
        </w:tc>
      </w:tr>
      <w:tr>
        <w:trPr>
          <w:trHeight w:val="156" w:hRule="exact"/>
        </w:trPr>
        <w:tc>
          <w:tcPr>
            <w:tcW w:w="1435" w:type="dxa"/>
            <w:vMerge w:val="restart"/>
            <w:tcBorders>
              <w:top w:val="nil" w:sz="6" w:space="0" w:color="auto"/>
              <w:left w:val="single" w:sz="4" w:space="0" w:color="000000"/>
              <w:right w:val="single" w:sz="4" w:space="0" w:color="000000"/>
            </w:tcBorders>
            <w:shd w:val="clear" w:color="auto" w:fill="D2D2D2"/>
          </w:tcPr>
          <w:p>
            <w:pPr/>
          </w:p>
        </w:tc>
        <w:tc>
          <w:tcPr>
            <w:tcW w:w="1844" w:type="dxa"/>
            <w:vMerge/>
            <w:tcBorders>
              <w:left w:val="single" w:sz="4" w:space="0" w:color="000000"/>
              <w:bottom w:val="nil" w:sz="6" w:space="0" w:color="auto"/>
              <w:right w:val="single" w:sz="4" w:space="0" w:color="000000"/>
            </w:tcBorders>
            <w:shd w:val="clear" w:color="auto" w:fill="D2D2D2"/>
          </w:tcPr>
          <w:p>
            <w:pPr/>
          </w:p>
        </w:tc>
        <w:tc>
          <w:tcPr>
            <w:tcW w:w="1842" w:type="dxa"/>
            <w:vMerge/>
            <w:tcBorders>
              <w:left w:val="single" w:sz="4" w:space="0" w:color="000000"/>
              <w:right w:val="single" w:sz="4" w:space="0" w:color="000000"/>
            </w:tcBorders>
            <w:shd w:val="clear" w:color="auto" w:fill="D2D2D2"/>
          </w:tcPr>
          <w:p>
            <w:pPr/>
          </w:p>
        </w:tc>
        <w:tc>
          <w:tcPr>
            <w:tcW w:w="1819" w:type="dxa"/>
            <w:vMerge/>
            <w:tcBorders>
              <w:left w:val="single" w:sz="4" w:space="0" w:color="000000"/>
              <w:bottom w:val="nil" w:sz="6" w:space="0" w:color="auto"/>
              <w:right w:val="single" w:sz="4" w:space="0" w:color="000000"/>
            </w:tcBorders>
            <w:shd w:val="clear" w:color="auto" w:fill="D2D2D2"/>
          </w:tcPr>
          <w:p>
            <w:pPr/>
          </w:p>
        </w:tc>
        <w:tc>
          <w:tcPr>
            <w:tcW w:w="1401" w:type="dxa"/>
            <w:vMerge/>
            <w:tcBorders>
              <w:left w:val="single" w:sz="4" w:space="0" w:color="000000"/>
              <w:right w:val="single" w:sz="4" w:space="0" w:color="000000"/>
            </w:tcBorders>
            <w:shd w:val="clear" w:color="auto" w:fill="D2D2D2"/>
          </w:tcPr>
          <w:p>
            <w:pPr/>
          </w:p>
        </w:tc>
      </w:tr>
      <w:tr>
        <w:trPr>
          <w:trHeight w:val="161" w:hRule="exact"/>
        </w:trPr>
        <w:tc>
          <w:tcPr>
            <w:tcW w:w="1435" w:type="dxa"/>
            <w:vMerge/>
            <w:tcBorders>
              <w:left w:val="single" w:sz="4" w:space="0" w:color="000000"/>
              <w:bottom w:val="single" w:sz="4" w:space="0" w:color="000000"/>
              <w:right w:val="single" w:sz="4" w:space="0" w:color="000000"/>
            </w:tcBorders>
            <w:shd w:val="clear" w:color="auto" w:fill="D2D2D2"/>
          </w:tcPr>
          <w:p>
            <w:pPr/>
          </w:p>
        </w:tc>
        <w:tc>
          <w:tcPr>
            <w:tcW w:w="1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842" w:type="dxa"/>
            <w:vMerge/>
            <w:tcBorders>
              <w:left w:val="single" w:sz="4" w:space="0" w:color="000000"/>
              <w:bottom w:val="single" w:sz="4" w:space="0" w:color="000000"/>
              <w:right w:val="single" w:sz="4" w:space="0" w:color="000000"/>
            </w:tcBorders>
            <w:shd w:val="clear" w:color="auto" w:fill="D2D2D2"/>
          </w:tcPr>
          <w:p>
            <w:pPr/>
          </w:p>
        </w:tc>
        <w:tc>
          <w:tcPr>
            <w:tcW w:w="18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0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860" w:right="0"/>
              <w:jc w:val="left"/>
              <w:rPr>
                <w:rFonts w:ascii="Times New Roman" w:hAnsi="Times New Roman" w:cs="Times New Roman" w:eastAsia="Times New Roman" w:hint="default"/>
                <w:sz w:val="18"/>
                <w:szCs w:val="18"/>
              </w:rPr>
            </w:pPr>
            <w:r>
              <w:rPr>
                <w:rFonts w:ascii="Times New Roman"/>
                <w:sz w:val="18"/>
              </w:rPr>
              <w:t>5,220,638.56</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9" w:right="0"/>
              <w:jc w:val="left"/>
              <w:rPr>
                <w:rFonts w:ascii="Times New Roman" w:hAnsi="Times New Roman" w:cs="Times New Roman" w:eastAsia="Times New Roman" w:hint="default"/>
                <w:sz w:val="18"/>
                <w:szCs w:val="18"/>
              </w:rPr>
            </w:pPr>
            <w:r>
              <w:rPr>
                <w:rFonts w:ascii="Times New Roman"/>
                <w:sz w:val="18"/>
              </w:rPr>
              <w:t>4,386,618.98</w:t>
            </w:r>
          </w:p>
        </w:tc>
        <w:tc>
          <w:tcPr>
            <w:tcW w:w="1401" w:type="dxa"/>
            <w:tcBorders>
              <w:top w:val="single" w:sz="4" w:space="0" w:color="000000"/>
              <w:left w:val="single" w:sz="4" w:space="0" w:color="000000"/>
              <w:bottom w:val="single" w:sz="4" w:space="0" w:color="000000"/>
              <w:right w:val="single" w:sz="4" w:space="0" w:color="000000"/>
            </w:tcBorders>
          </w:tcPr>
          <w:p>
            <w:pPr/>
          </w:p>
        </w:tc>
      </w:tr>
    </w:tbl>
    <w:p>
      <w:pPr>
        <w:spacing w:before="49"/>
        <w:ind w:left="220" w:right="186" w:firstLine="0"/>
        <w:jc w:val="left"/>
        <w:rPr>
          <w:rFonts w:ascii="宋体" w:hAnsi="宋体" w:cs="宋体" w:eastAsia="宋体" w:hint="default"/>
          <w:sz w:val="18"/>
          <w:szCs w:val="18"/>
        </w:rPr>
      </w:pPr>
      <w:r>
        <w:rPr>
          <w:rFonts w:ascii="宋体" w:hAnsi="宋体" w:cs="宋体" w:eastAsia="宋体" w:hint="default"/>
          <w:sz w:val="18"/>
          <w:szCs w:val="18"/>
        </w:rPr>
        <w:t>递延所得税资产和递延所得税负债互抵明细：无。</w:t>
      </w:r>
    </w:p>
    <w:p>
      <w:pPr>
        <w:spacing w:after="0"/>
        <w:jc w:val="left"/>
        <w:rPr>
          <w:rFonts w:ascii="宋体" w:hAnsi="宋体" w:cs="宋体" w:eastAsia="宋体" w:hint="default"/>
          <w:sz w:val="18"/>
          <w:szCs w:val="18"/>
        </w:rPr>
        <w:sectPr>
          <w:footerReference w:type="default" r:id="rId71"/>
          <w:pgSz w:w="11910" w:h="16840"/>
          <w:pgMar w:footer="1227" w:header="877" w:top="1100" w:bottom="1420" w:left="1580" w:right="1580"/>
          <w:pgNumType w:start="134"/>
        </w:sectPr>
      </w:pPr>
    </w:p>
    <w:p>
      <w:pPr>
        <w:spacing w:line="240" w:lineRule="auto" w:before="11"/>
        <w:rPr>
          <w:rFonts w:ascii="宋体" w:hAnsi="宋体" w:cs="宋体" w:eastAsia="宋体" w:hint="default"/>
          <w:sz w:val="21"/>
          <w:szCs w:val="21"/>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递延所得税资产和递延所得税负债的说明：无。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27</w:t>
      </w:r>
      <w:r>
        <w:rPr/>
        <w:t>、资产减值准备明细</w:t>
      </w:r>
      <w:r>
        <w:rPr>
          <w:b w:val="0"/>
          <w:bCs w:val="0"/>
        </w:rPr>
      </w:r>
    </w:p>
    <w:p>
      <w:pPr>
        <w:spacing w:line="240" w:lineRule="auto" w:before="12"/>
        <w:rPr>
          <w:rFonts w:ascii="宋体" w:hAnsi="宋体" w:cs="宋体" w:eastAsia="宋体" w:hint="default"/>
          <w:b/>
          <w:bCs/>
          <w:sz w:val="22"/>
          <w:szCs w:val="22"/>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980"/>
        <w:gridCol w:w="1335"/>
        <w:gridCol w:w="1335"/>
        <w:gridCol w:w="1222"/>
        <w:gridCol w:w="1225"/>
        <w:gridCol w:w="1270"/>
      </w:tblGrid>
      <w:tr>
        <w:trPr>
          <w:trHeight w:val="206" w:hRule="exact"/>
        </w:trPr>
        <w:tc>
          <w:tcPr>
            <w:tcW w:w="198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5" w:type="dxa"/>
            <w:tcBorders>
              <w:top w:val="single" w:sz="4" w:space="0" w:color="000000"/>
              <w:left w:val="single" w:sz="4" w:space="0" w:color="000000"/>
              <w:bottom w:val="nil" w:sz="6" w:space="0" w:color="auto"/>
              <w:right w:val="single" w:sz="4" w:space="0" w:color="000000"/>
            </w:tcBorders>
            <w:shd w:val="clear" w:color="auto" w:fill="D2D2D2"/>
          </w:tcPr>
          <w:p>
            <w:pPr/>
          </w:p>
        </w:tc>
        <w:tc>
          <w:tcPr>
            <w:tcW w:w="244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27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9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446" w:type="dxa"/>
            <w:gridSpan w:val="2"/>
            <w:vMerge/>
            <w:tcBorders>
              <w:left w:val="single" w:sz="4" w:space="0" w:color="000000"/>
              <w:bottom w:val="single" w:sz="4" w:space="0" w:color="000000"/>
              <w:right w:val="single" w:sz="4" w:space="0" w:color="000000"/>
            </w:tcBorders>
            <w:shd w:val="clear" w:color="auto" w:fill="D2D2D2"/>
          </w:tcPr>
          <w:p>
            <w:pPr/>
          </w:p>
        </w:tc>
        <w:tc>
          <w:tcPr>
            <w:tcW w:w="127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99" w:hRule="exact"/>
        </w:trPr>
        <w:tc>
          <w:tcPr>
            <w:tcW w:w="1980" w:type="dxa"/>
            <w:vMerge/>
            <w:tcBorders>
              <w:left w:val="single" w:sz="4" w:space="0" w:color="000000"/>
              <w:bottom w:val="nil" w:sz="6" w:space="0" w:color="auto"/>
              <w:right w:val="single" w:sz="4" w:space="0" w:color="000000"/>
            </w:tcBorders>
            <w:shd w:val="clear" w:color="auto" w:fill="D2D2D2"/>
          </w:tcPr>
          <w:p>
            <w:pPr/>
          </w:p>
        </w:tc>
        <w:tc>
          <w:tcPr>
            <w:tcW w:w="1335" w:type="dxa"/>
            <w:vMerge/>
            <w:tcBorders>
              <w:left w:val="single" w:sz="4" w:space="0" w:color="000000"/>
              <w:bottom w:val="nil" w:sz="6" w:space="0" w:color="auto"/>
              <w:right w:val="single" w:sz="4" w:space="0" w:color="000000"/>
            </w:tcBorders>
            <w:shd w:val="clear" w:color="auto" w:fill="D2D2D2"/>
          </w:tcPr>
          <w:p>
            <w:pPr/>
          </w:p>
        </w:tc>
        <w:tc>
          <w:tcPr>
            <w:tcW w:w="1335" w:type="dxa"/>
            <w:vMerge/>
            <w:tcBorders>
              <w:left w:val="single" w:sz="4" w:space="0" w:color="000000"/>
              <w:bottom w:val="nil" w:sz="6" w:space="0" w:color="auto"/>
              <w:right w:val="single" w:sz="4" w:space="0" w:color="000000"/>
            </w:tcBorders>
            <w:shd w:val="clear" w:color="auto" w:fill="D2D2D2"/>
          </w:tcPr>
          <w:p>
            <w:pPr/>
          </w:p>
        </w:tc>
        <w:tc>
          <w:tcPr>
            <w:tcW w:w="12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2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270"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9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2" w:type="dxa"/>
            <w:vMerge/>
            <w:tcBorders>
              <w:left w:val="single" w:sz="4" w:space="0" w:color="000000"/>
              <w:bottom w:val="single" w:sz="4" w:space="0" w:color="000000"/>
              <w:right w:val="single" w:sz="4" w:space="0" w:color="000000"/>
            </w:tcBorders>
            <w:shd w:val="clear" w:color="auto" w:fill="D2D2D2"/>
          </w:tcPr>
          <w:p>
            <w:pPr/>
          </w:p>
        </w:tc>
        <w:tc>
          <w:tcPr>
            <w:tcW w:w="1225" w:type="dxa"/>
            <w:vMerge/>
            <w:tcBorders>
              <w:left w:val="single" w:sz="4" w:space="0" w:color="000000"/>
              <w:bottom w:val="single" w:sz="4" w:space="0" w:color="000000"/>
              <w:right w:val="single" w:sz="4" w:space="0" w:color="000000"/>
            </w:tcBorders>
            <w:shd w:val="clear" w:color="auto" w:fill="D2D2D2"/>
          </w:tcPr>
          <w:p>
            <w:pPr/>
          </w:p>
        </w:tc>
        <w:tc>
          <w:tcPr>
            <w:tcW w:w="127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3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8,836,397.62</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4,492,641.22</w:t>
            </w:r>
          </w:p>
        </w:tc>
        <w:tc>
          <w:tcPr>
            <w:tcW w:w="1222"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32,800.00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13,296,238.84</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335" w:type="dxa"/>
            <w:tcBorders>
              <w:top w:val="single" w:sz="4" w:space="0" w:color="000000"/>
              <w:left w:val="single" w:sz="13" w:space="0" w:color="D2D2D2"/>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215,674.41</w:t>
            </w:r>
          </w:p>
        </w:tc>
        <w:tc>
          <w:tcPr>
            <w:tcW w:w="1222"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215,674.41</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8,836,397.62</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b/>
                <w:spacing w:val="-1"/>
                <w:sz w:val="18"/>
              </w:rPr>
              <w:t>4,708,315.63</w:t>
            </w:r>
            <w:r>
              <w:rPr>
                <w:rFonts w:ascii="Times New Roman"/>
                <w:spacing w:val="-1"/>
                <w:sz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32,800.00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13,511,913.25</w:t>
            </w:r>
          </w:p>
        </w:tc>
      </w:tr>
    </w:tbl>
    <w:p>
      <w:pPr>
        <w:spacing w:before="49"/>
        <w:ind w:left="140" w:right="0" w:firstLine="0"/>
        <w:jc w:val="left"/>
        <w:rPr>
          <w:rFonts w:ascii="宋体" w:hAnsi="宋体" w:cs="宋体" w:eastAsia="宋体" w:hint="default"/>
          <w:sz w:val="18"/>
          <w:szCs w:val="18"/>
        </w:rPr>
      </w:pPr>
      <w:r>
        <w:rPr>
          <w:rFonts w:ascii="宋体" w:hAnsi="宋体" w:cs="宋体" w:eastAsia="宋体" w:hint="default"/>
          <w:sz w:val="18"/>
          <w:szCs w:val="18"/>
        </w:rPr>
        <w:t>资产减值明细情况的说明：无。</w:t>
      </w:r>
    </w:p>
    <w:p>
      <w:pPr>
        <w:spacing w:line="240" w:lineRule="auto" w:before="0"/>
        <w:rPr>
          <w:rFonts w:ascii="宋体" w:hAnsi="宋体" w:cs="宋体" w:eastAsia="宋体" w:hint="default"/>
          <w:sz w:val="18"/>
          <w:szCs w:val="18"/>
        </w:rPr>
      </w:pPr>
    </w:p>
    <w:p>
      <w:pPr>
        <w:pStyle w:val="Heading3"/>
        <w:spacing w:line="506" w:lineRule="auto" w:before="118"/>
        <w:ind w:left="560" w:right="6549" w:hanging="420"/>
        <w:jc w:val="left"/>
        <w:rPr>
          <w:rFonts w:ascii="宋体" w:hAnsi="宋体" w:cs="宋体" w:eastAsia="宋体" w:hint="default"/>
          <w:b w:val="0"/>
          <w:bCs w:val="0"/>
        </w:rPr>
      </w:pPr>
      <w:r>
        <w:rPr>
          <w:rFonts w:ascii="Times New Roman" w:hAnsi="Times New Roman" w:cs="Times New Roman" w:eastAsia="Times New Roman" w:hint="default"/>
        </w:rPr>
        <w:t>28</w:t>
      </w:r>
      <w:r>
        <w:rPr/>
        <w:t>、其他非流动资产</w:t>
      </w:r>
      <w:r>
        <w:rPr>
          <w:w w:val="100"/>
        </w:rPr>
        <w:t> </w:t>
      </w:r>
      <w:r>
        <w:rPr>
          <w:rFonts w:ascii="宋体" w:hAnsi="宋体" w:cs="宋体" w:eastAsia="宋体" w:hint="default"/>
          <w:b w:val="0"/>
          <w:bCs w:val="0"/>
        </w:rPr>
        <w:t>无。</w:t>
      </w:r>
    </w:p>
    <w:p>
      <w:pPr>
        <w:pStyle w:val="Heading3"/>
        <w:spacing w:line="506" w:lineRule="auto" w:before="104"/>
        <w:ind w:left="560" w:right="7182" w:hanging="420"/>
        <w:jc w:val="left"/>
        <w:rPr>
          <w:rFonts w:ascii="宋体" w:hAnsi="宋体" w:cs="宋体" w:eastAsia="宋体" w:hint="default"/>
          <w:b w:val="0"/>
          <w:bCs w:val="0"/>
        </w:rPr>
      </w:pPr>
      <w:r>
        <w:rPr>
          <w:rFonts w:ascii="Times New Roman" w:hAnsi="Times New Roman" w:cs="Times New Roman" w:eastAsia="Times New Roman" w:hint="default"/>
        </w:rPr>
        <w:t>29</w:t>
      </w:r>
      <w:r>
        <w:rPr/>
        <w:t>、短期借款</w:t>
      </w:r>
      <w:r>
        <w:rPr>
          <w:w w:val="100"/>
        </w:rPr>
        <w:t> </w:t>
      </w:r>
      <w:r>
        <w:rPr>
          <w:rFonts w:ascii="宋体" w:hAnsi="宋体" w:cs="宋体" w:eastAsia="宋体" w:hint="default"/>
          <w:b w:val="0"/>
          <w:bCs w:val="0"/>
        </w:rPr>
        <w:t>无。</w:t>
      </w:r>
    </w:p>
    <w:p>
      <w:pPr>
        <w:pStyle w:val="Heading3"/>
        <w:spacing w:line="506" w:lineRule="auto" w:before="101"/>
        <w:ind w:left="560" w:right="6549" w:hanging="420"/>
        <w:jc w:val="left"/>
        <w:rPr>
          <w:rFonts w:ascii="宋体" w:hAnsi="宋体" w:cs="宋体" w:eastAsia="宋体" w:hint="default"/>
          <w:b w:val="0"/>
          <w:bCs w:val="0"/>
        </w:rPr>
      </w:pPr>
      <w:r>
        <w:rPr>
          <w:rFonts w:ascii="Times New Roman" w:hAnsi="Times New Roman" w:cs="Times New Roman" w:eastAsia="Times New Roman" w:hint="default"/>
        </w:rPr>
        <w:t>30</w:t>
      </w:r>
      <w:r>
        <w:rPr/>
        <w:t>、交易性金融负债</w:t>
      </w:r>
      <w:r>
        <w:rPr>
          <w:w w:val="100"/>
        </w:rPr>
        <w:t> </w:t>
      </w:r>
      <w:r>
        <w:rPr>
          <w:rFonts w:ascii="宋体" w:hAnsi="宋体" w:cs="宋体" w:eastAsia="宋体" w:hint="default"/>
          <w:b w:val="0"/>
          <w:bCs w:val="0"/>
        </w:rPr>
        <w:t>无。</w:t>
      </w:r>
    </w:p>
    <w:p>
      <w:pPr>
        <w:pStyle w:val="Heading3"/>
        <w:spacing w:line="520" w:lineRule="auto" w:before="104"/>
        <w:ind w:right="7199"/>
        <w:jc w:val="center"/>
        <w:rPr>
          <w:b w:val="0"/>
          <w:bCs w:val="0"/>
        </w:rPr>
      </w:pPr>
      <w:r>
        <w:rPr>
          <w:rFonts w:ascii="Times New Roman" w:hAnsi="Times New Roman" w:cs="Times New Roman" w:eastAsia="Times New Roman" w:hint="default"/>
          <w:spacing w:val="-1"/>
        </w:rPr>
        <w:t>31</w:t>
      </w:r>
      <w:r>
        <w:rPr>
          <w:spacing w:val="-1"/>
        </w:rPr>
        <w:t>、应付票据</w:t>
      </w:r>
      <w:r>
        <w:rPr>
          <w:spacing w:val="-103"/>
        </w:rPr>
        <w:t> </w:t>
      </w:r>
      <w:r>
        <w:rPr>
          <w:rFonts w:ascii="宋体" w:hAnsi="宋体" w:cs="宋体" w:eastAsia="宋体" w:hint="default"/>
          <w:b w:val="0"/>
          <w:bCs w:val="0"/>
        </w:rPr>
        <w:t>无。</w:t>
      </w:r>
      <w:r>
        <w:rPr>
          <w:rFonts w:ascii="宋体" w:hAnsi="宋体" w:cs="宋体" w:eastAsia="宋体" w:hint="default"/>
          <w:b w:val="0"/>
          <w:bCs w:val="0"/>
          <w:w w:val="100"/>
        </w:rPr>
        <w:t> </w:t>
      </w:r>
      <w:r>
        <w:rPr>
          <w:rFonts w:ascii="Times New Roman" w:hAnsi="Times New Roman" w:cs="Times New Roman" w:eastAsia="Times New Roman" w:hint="default"/>
          <w:spacing w:val="-1"/>
        </w:rPr>
        <w:t>32</w:t>
      </w:r>
      <w:r>
        <w:rPr>
          <w:spacing w:val="-1"/>
        </w:rPr>
        <w:t>、应付账款</w:t>
      </w:r>
      <w:r>
        <w:rPr>
          <w:b w:val="0"/>
          <w:bCs w:val="0"/>
          <w:spacing w:val="-1"/>
        </w:rPr>
      </w:r>
    </w:p>
    <w:p>
      <w:pPr>
        <w:pStyle w:val="Heading3"/>
        <w:spacing w:line="240" w:lineRule="auto" w:before="51"/>
        <w:ind w:right="0"/>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12"/>
        <w:rPr>
          <w:rFonts w:ascii="宋体" w:hAnsi="宋体" w:cs="宋体" w:eastAsia="宋体" w:hint="default"/>
          <w:b/>
          <w:bCs/>
          <w:sz w:val="22"/>
          <w:szCs w:val="22"/>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3137"/>
        <w:gridCol w:w="2556"/>
        <w:gridCol w:w="2672"/>
      </w:tblGrid>
      <w:tr>
        <w:trPr>
          <w:trHeight w:val="403" w:hRule="exact"/>
        </w:trPr>
        <w:tc>
          <w:tcPr>
            <w:tcW w:w="3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37,533,694.38</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31,303,059.74</w:t>
            </w:r>
          </w:p>
        </w:tc>
      </w:tr>
      <w:tr>
        <w:trPr>
          <w:trHeight w:val="403" w:hRule="exact"/>
        </w:trPr>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装修款</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948,063.97</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721,565.34</w:t>
            </w:r>
          </w:p>
        </w:tc>
      </w:tr>
      <w:tr>
        <w:trPr>
          <w:trHeight w:val="403" w:hRule="exact"/>
        </w:trPr>
        <w:tc>
          <w:tcPr>
            <w:tcW w:w="3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38,481,758.35</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32,024,625.08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）本报告期应付账款中应付持有公司</w:t>
      </w:r>
      <w:r>
        <w:rPr>
          <w:spacing w:val="-55"/>
        </w:rPr>
        <w:t> </w:t>
      </w:r>
      <w:r>
        <w:rPr>
          <w:rFonts w:ascii="Times New Roman" w:hAnsi="Times New Roman" w:cs="Times New Roman" w:eastAsia="Times New Roman" w:hint="default"/>
        </w:rPr>
        <w:t>5</w:t>
      </w:r>
      <w:r>
        <w:rPr/>
        <w:t>％（含</w:t>
      </w:r>
      <w:r>
        <w:rPr>
          <w:spacing w:val="-55"/>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5"/>
        <w:rPr>
          <w:rFonts w:ascii="宋体" w:hAnsi="宋体" w:cs="宋体" w:eastAsia="宋体" w:hint="default"/>
          <w:b/>
          <w:bCs/>
          <w:sz w:val="30"/>
          <w:szCs w:val="30"/>
        </w:rPr>
      </w:pPr>
    </w:p>
    <w:p>
      <w:pPr>
        <w:pStyle w:val="BodyText"/>
        <w:spacing w:line="240" w:lineRule="auto"/>
        <w:ind w:left="560" w:right="0"/>
        <w:jc w:val="left"/>
      </w:pPr>
      <w:r>
        <w:rPr/>
        <w:t>年末应付账款中不存在应付持本公司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）以上表决权股份的股东单位或关联方</w:t>
      </w:r>
    </w:p>
    <w:p>
      <w:pPr>
        <w:spacing w:after="0" w:line="240" w:lineRule="auto"/>
        <w:jc w:val="left"/>
        <w:sectPr>
          <w:pgSz w:w="11910" w:h="16840"/>
          <w:pgMar w:header="877" w:footer="1227" w:top="1100" w:bottom="1420" w:left="1660" w:right="1640"/>
        </w:sectPr>
      </w:pPr>
    </w:p>
    <w:p>
      <w:pPr>
        <w:spacing w:line="240" w:lineRule="auto" w:before="9"/>
        <w:rPr>
          <w:rFonts w:ascii="宋体" w:hAnsi="宋体" w:cs="宋体" w:eastAsia="宋体" w:hint="default"/>
          <w:sz w:val="26"/>
          <w:szCs w:val="26"/>
        </w:rPr>
      </w:pPr>
    </w:p>
    <w:p>
      <w:pPr>
        <w:pStyle w:val="BodyText"/>
        <w:spacing w:line="240" w:lineRule="auto" w:before="36"/>
        <w:ind w:right="0"/>
        <w:jc w:val="left"/>
      </w:pPr>
      <w:r>
        <w:rPr/>
        <w:t>的款项。</w:t>
      </w:r>
    </w:p>
    <w:p>
      <w:pPr>
        <w:spacing w:line="690" w:lineRule="atLeast" w:before="17"/>
        <w:ind w:left="560"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）账龄超过一年的大额应付账款情况的说明</w:t>
      </w:r>
      <w:r>
        <w:rPr>
          <w:rFonts w:ascii="宋体" w:hAnsi="宋体" w:cs="宋体" w:eastAsia="宋体" w:hint="default"/>
          <w:b/>
          <w:bCs/>
          <w:w w:val="100"/>
          <w:sz w:val="21"/>
          <w:szCs w:val="21"/>
        </w:rPr>
        <w:t> </w:t>
      </w:r>
      <w:r>
        <w:rPr>
          <w:rFonts w:ascii="宋体" w:hAnsi="宋体" w:cs="宋体" w:eastAsia="宋体" w:hint="default"/>
          <w:spacing w:val="-2"/>
          <w:sz w:val="21"/>
          <w:szCs w:val="21"/>
        </w:rPr>
        <w:t>年末应付账款中不存在应付持本公司</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（含</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）以上表决权股份的股东单位或关联方</w:t>
      </w:r>
    </w:p>
    <w:p>
      <w:pPr>
        <w:pStyle w:val="BodyText"/>
        <w:spacing w:line="240" w:lineRule="auto" w:before="177"/>
        <w:ind w:right="0"/>
        <w:jc w:val="left"/>
      </w:pPr>
      <w:r>
        <w:rPr/>
        <w:t>的款项。</w:t>
      </w:r>
    </w:p>
    <w:p>
      <w:pPr>
        <w:spacing w:line="240" w:lineRule="auto" w:before="0"/>
        <w:rPr>
          <w:rFonts w:ascii="宋体" w:hAnsi="宋体" w:cs="宋体" w:eastAsia="宋体" w:hint="default"/>
          <w:sz w:val="20"/>
          <w:szCs w:val="20"/>
        </w:rPr>
      </w:pPr>
    </w:p>
    <w:p>
      <w:pPr>
        <w:pStyle w:val="Heading3"/>
        <w:spacing w:line="240" w:lineRule="auto" w:before="154"/>
        <w:ind w:right="0"/>
        <w:jc w:val="left"/>
        <w:rPr>
          <w:b w:val="0"/>
          <w:bCs w:val="0"/>
        </w:rPr>
      </w:pPr>
      <w:r>
        <w:rPr>
          <w:rFonts w:ascii="Times New Roman" w:hAnsi="Times New Roman" w:cs="Times New Roman" w:eastAsia="Times New Roman" w:hint="default"/>
        </w:rPr>
        <w:t>33</w:t>
      </w:r>
      <w:r>
        <w:rPr/>
        <w:t>、预收账款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5"/>
        <w:rPr>
          <w:rFonts w:ascii="宋体" w:hAnsi="宋体" w:cs="宋体" w:eastAsia="宋体" w:hint="default"/>
          <w:b/>
          <w:bCs/>
          <w:sz w:val="26"/>
          <w:szCs w:val="26"/>
        </w:rPr>
      </w:pPr>
    </w:p>
    <w:p>
      <w:pPr>
        <w:spacing w:before="0"/>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3373"/>
        <w:gridCol w:w="2436"/>
        <w:gridCol w:w="2557"/>
      </w:tblGrid>
      <w:tr>
        <w:trPr>
          <w:trHeight w:val="403" w:hRule="exact"/>
        </w:trPr>
        <w:tc>
          <w:tcPr>
            <w:tcW w:w="3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43,183,408.58</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51,067,806.23</w:t>
            </w:r>
          </w:p>
        </w:tc>
      </w:tr>
      <w:tr>
        <w:trPr>
          <w:trHeight w:val="403" w:hRule="exact"/>
        </w:trPr>
        <w:tc>
          <w:tcPr>
            <w:tcW w:w="3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43,183,408.58</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51,067,806.23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）本报告期预收账款中预收持有公司</w:t>
      </w:r>
      <w:r>
        <w:rPr>
          <w:spacing w:val="-55"/>
        </w:rPr>
        <w:t> </w:t>
      </w:r>
      <w:r>
        <w:rPr>
          <w:rFonts w:ascii="Times New Roman" w:hAnsi="Times New Roman" w:cs="Times New Roman" w:eastAsia="Times New Roman" w:hint="default"/>
        </w:rPr>
        <w:t>5</w:t>
      </w:r>
      <w:r>
        <w:rPr/>
        <w:t>％（含</w:t>
      </w:r>
      <w:r>
        <w:rPr>
          <w:spacing w:val="-55"/>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6"/>
        <w:rPr>
          <w:rFonts w:ascii="宋体" w:hAnsi="宋体" w:cs="宋体" w:eastAsia="宋体" w:hint="default"/>
          <w:b/>
          <w:bCs/>
          <w:sz w:val="30"/>
          <w:szCs w:val="30"/>
        </w:rPr>
      </w:pPr>
    </w:p>
    <w:p>
      <w:pPr>
        <w:pStyle w:val="BodyText"/>
        <w:spacing w:line="386" w:lineRule="auto"/>
        <w:ind w:right="0" w:firstLine="419"/>
        <w:jc w:val="left"/>
      </w:pPr>
      <w:r>
        <w:rPr>
          <w:spacing w:val="-2"/>
        </w:rPr>
        <w:t>年末预收款项中不存在预收持本公司</w:t>
      </w:r>
      <w:r>
        <w:rPr>
          <w:rFonts w:ascii="Times New Roman" w:hAnsi="Times New Roman" w:cs="Times New Roman" w:eastAsia="Times New Roman" w:hint="default"/>
          <w:spacing w:val="-2"/>
        </w:rPr>
        <w:t>5%</w:t>
      </w:r>
      <w:r>
        <w:rPr>
          <w:spacing w:val="-2"/>
        </w:rPr>
        <w:t>（含</w:t>
      </w:r>
      <w:r>
        <w:rPr>
          <w:rFonts w:ascii="Times New Roman" w:hAnsi="Times New Roman" w:cs="Times New Roman" w:eastAsia="Times New Roman" w:hint="default"/>
          <w:spacing w:val="-2"/>
        </w:rPr>
        <w:t>5%</w:t>
      </w:r>
      <w:r>
        <w:rPr>
          <w:spacing w:val="-2"/>
        </w:rPr>
        <w:t>）以上表决权股份的股东或其他关联方</w:t>
      </w:r>
      <w:r>
        <w:rPr>
          <w:w w:val="100"/>
        </w:rPr>
        <w:t> </w:t>
      </w:r>
      <w:r>
        <w:rPr/>
        <w:t>的款项。</w:t>
      </w:r>
    </w:p>
    <w:p>
      <w:pPr>
        <w:spacing w:line="240" w:lineRule="auto" w:before="1"/>
        <w:rPr>
          <w:rFonts w:ascii="宋体" w:hAnsi="宋体" w:cs="宋体" w:eastAsia="宋体" w:hint="default"/>
          <w:sz w:val="22"/>
          <w:szCs w:val="22"/>
        </w:rPr>
      </w:pPr>
    </w:p>
    <w:p>
      <w:pPr>
        <w:spacing w:line="571" w:lineRule="auto" w:before="0"/>
        <w:ind w:left="560"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）账龄超过一年的大额预收账款情况的说明</w:t>
      </w:r>
      <w:r>
        <w:rPr>
          <w:rFonts w:ascii="宋体" w:hAnsi="宋体" w:cs="宋体" w:eastAsia="宋体" w:hint="default"/>
          <w:b/>
          <w:bCs/>
          <w:w w:val="100"/>
          <w:sz w:val="21"/>
          <w:szCs w:val="21"/>
        </w:rPr>
        <w:t> </w:t>
      </w:r>
      <w:r>
        <w:rPr>
          <w:rFonts w:ascii="宋体" w:hAnsi="宋体" w:cs="宋体" w:eastAsia="宋体" w:hint="default"/>
          <w:spacing w:val="-2"/>
          <w:sz w:val="21"/>
          <w:szCs w:val="21"/>
        </w:rPr>
        <w:t>年末预收款项中不存在账龄超过</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年的大额预收款项。</w:t>
      </w:r>
    </w:p>
    <w:p>
      <w:pPr>
        <w:pStyle w:val="Heading3"/>
        <w:spacing w:line="240" w:lineRule="auto" w:before="79"/>
        <w:ind w:right="0"/>
        <w:jc w:val="left"/>
        <w:rPr>
          <w:b w:val="0"/>
          <w:bCs w:val="0"/>
        </w:rPr>
      </w:pPr>
      <w:r>
        <w:rPr>
          <w:rFonts w:ascii="Times New Roman" w:hAnsi="Times New Roman" w:cs="Times New Roman" w:eastAsia="Times New Roman" w:hint="default"/>
        </w:rPr>
        <w:t>34</w:t>
      </w:r>
      <w:r>
        <w:rPr/>
        <w:t>、应付职工薪酬</w:t>
      </w:r>
      <w:r>
        <w:rPr>
          <w:b w:val="0"/>
          <w:bCs w:val="0"/>
        </w:rPr>
      </w:r>
    </w:p>
    <w:p>
      <w:pPr>
        <w:spacing w:line="240" w:lineRule="auto" w:before="4"/>
        <w:rPr>
          <w:rFonts w:ascii="宋体" w:hAnsi="宋体" w:cs="宋体" w:eastAsia="宋体" w:hint="default"/>
          <w:b/>
          <w:bCs/>
          <w:sz w:val="26"/>
          <w:szCs w:val="26"/>
        </w:rPr>
      </w:pPr>
    </w:p>
    <w:p>
      <w:pPr>
        <w:spacing w:before="0"/>
        <w:ind w:left="0" w:right="156" w:firstLine="0"/>
        <w:jc w:val="right"/>
        <w:rPr>
          <w:rFonts w:ascii="宋体" w:hAnsi="宋体" w:cs="宋体" w:eastAsia="宋体" w:hint="default"/>
          <w:sz w:val="18"/>
          <w:szCs w:val="18"/>
        </w:rPr>
      </w:pPr>
      <w:r>
        <w:rPr/>
        <w:pict>
          <v:shape style="position:absolute;margin-left:134.538010pt;margin-top:42.977341pt;width:103.85pt;height:22.15pt;mso-position-horizontal-relative:page;mso-position-vertical-relative:paragraph;z-index:-80320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奖金、</w:t>
                  </w:r>
                </w:p>
              </w:txbxContent>
            </v:textbox>
            <w10:wrap type="none"/>
          </v:shape>
        </w:pict>
      </w:r>
      <w:r>
        <w:rPr/>
        <w:pict>
          <v:group style="position:absolute;margin-left:158.660004pt;margin-top:37.751717pt;width:80.8pt;height:28pt;mso-position-horizontal-relative:page;mso-position-vertical-relative:paragraph;z-index:-803176" coordorigin="3173,755" coordsize="1616,560">
            <v:group style="position:absolute;left:3173;top:755;width:1616;height:156" coordorigin="3173,755" coordsize="1616,156">
              <v:shape style="position:absolute;left:3173;top:755;width:1616;height:156" coordorigin="3173,755" coordsize="1616,156" path="m3173,911l4789,911,4789,755,3173,755,3173,911xe" filled="true" fillcolor="#ffffff" stroked="false">
                <v:path arrowok="t"/>
                <v:fill type="solid"/>
              </v:shape>
            </v:group>
            <v:group style="position:absolute;left:3185;top:911;width:2;height:392" coordorigin="3185,911" coordsize="2,392">
              <v:shape style="position:absolute;left:3185;top:911;width:2;height:392" coordorigin="3185,911" coordsize="0,392" path="m3185,911l3185,1302e" filled="false" stroked="true" strokeweight="1.2pt" strokecolor="#ffffff">
                <v:path arrowok="t"/>
              </v:shape>
            </v:group>
            <v:group style="position:absolute;left:3197;top:911;width:1571;height:392" coordorigin="3197,911" coordsize="1571,392">
              <v:shape style="position:absolute;left:3197;top:911;width:1571;height:392" coordorigin="3197,911" coordsize="1571,392" path="m3197,1302l4767,1302,4767,911,3197,911,3197,1302xe" filled="true" fillcolor="#ffffff" stroked="false">
                <v:path arrowok="t"/>
                <v:fill type="solid"/>
              </v:shape>
            </v:group>
            <w10:wrap type="none"/>
          </v:group>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397"/>
        <w:gridCol w:w="313"/>
        <w:gridCol w:w="1315"/>
        <w:gridCol w:w="1740"/>
        <w:gridCol w:w="1973"/>
        <w:gridCol w:w="1628"/>
      </w:tblGrid>
      <w:tr>
        <w:trPr>
          <w:trHeight w:val="403" w:hRule="exact"/>
        </w:trPr>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3" w:hRule="exact"/>
        </w:trPr>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461"/>
              <w:jc w:val="left"/>
              <w:rPr>
                <w:rFonts w:ascii="宋体" w:hAnsi="宋体" w:cs="宋体" w:eastAsia="宋体" w:hint="default"/>
                <w:sz w:val="18"/>
                <w:szCs w:val="18"/>
              </w:rPr>
            </w:pPr>
            <w:r>
              <w:rPr>
                <w:rFonts w:ascii="宋体" w:hAnsi="宋体" w:cs="宋体" w:eastAsia="宋体" w:hint="default"/>
                <w:sz w:val="18"/>
                <w:szCs w:val="18"/>
              </w:rPr>
              <w:t>一、工资、 津贴和补贴</w:t>
            </w:r>
          </w:p>
        </w:tc>
        <w:tc>
          <w:tcPr>
            <w:tcW w:w="313" w:type="dxa"/>
            <w:tcBorders>
              <w:top w:val="single" w:sz="4" w:space="0" w:color="000000"/>
              <w:left w:val="single" w:sz="13" w:space="0" w:color="D2D2D2"/>
              <w:bottom w:val="single" w:sz="4" w:space="0" w:color="000000"/>
              <w:right w:val="nil" w:sz="6" w:space="0" w:color="auto"/>
            </w:tcBorders>
          </w:tcPr>
          <w:p>
            <w:pPr/>
          </w:p>
        </w:tc>
        <w:tc>
          <w:tcPr>
            <w:tcW w:w="13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0" w:right="0"/>
              <w:jc w:val="left"/>
              <w:rPr>
                <w:rFonts w:ascii="Times New Roman" w:hAnsi="Times New Roman" w:cs="Times New Roman" w:eastAsia="Times New Roman" w:hint="default"/>
                <w:sz w:val="18"/>
                <w:szCs w:val="18"/>
              </w:rPr>
            </w:pPr>
            <w:r>
              <w:rPr>
                <w:rFonts w:ascii="Times New Roman"/>
                <w:sz w:val="18"/>
              </w:rPr>
              <w:t>25,672,971.58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81,779,197.73</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78,626,879.31</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28,825,290.00</w:t>
            </w:r>
          </w:p>
        </w:tc>
      </w:tr>
      <w:tr>
        <w:trPr>
          <w:trHeight w:val="404" w:hRule="exact"/>
        </w:trPr>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628" w:type="dxa"/>
            <w:gridSpan w:val="2"/>
            <w:tcBorders>
              <w:top w:val="single" w:sz="4" w:space="0" w:color="000000"/>
              <w:left w:val="single" w:sz="13" w:space="0" w:color="D2D2D2"/>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1,514,399.59</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1,514,399.59</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62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69" w:right="0"/>
              <w:jc w:val="left"/>
              <w:rPr>
                <w:rFonts w:ascii="Times New Roman" w:hAnsi="Times New Roman" w:cs="Times New Roman" w:eastAsia="Times New Roman" w:hint="default"/>
                <w:sz w:val="18"/>
                <w:szCs w:val="18"/>
              </w:rPr>
            </w:pPr>
            <w:r>
              <w:rPr>
                <w:rFonts w:ascii="Times New Roman"/>
                <w:sz w:val="18"/>
              </w:rPr>
              <w:t>11,324.54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11,117,628.42</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10,992,073.57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136,879.39</w:t>
            </w:r>
          </w:p>
        </w:tc>
      </w:tr>
      <w:tr>
        <w:trPr>
          <w:trHeight w:val="715"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1"/>
              <w:jc w:val="left"/>
              <w:rPr>
                <w:rFonts w:ascii="宋体" w:hAnsi="宋体" w:cs="宋体" w:eastAsia="宋体" w:hint="default"/>
                <w:sz w:val="18"/>
                <w:szCs w:val="18"/>
              </w:rPr>
            </w:pPr>
            <w:r>
              <w:rPr>
                <w:rFonts w:ascii="宋体" w:hAnsi="宋体" w:cs="宋体" w:eastAsia="宋体" w:hint="default"/>
                <w:sz w:val="18"/>
                <w:szCs w:val="18"/>
              </w:rPr>
              <w:t>其中：①医疗保 险费</w:t>
            </w:r>
          </w:p>
        </w:tc>
        <w:tc>
          <w:tcPr>
            <w:tcW w:w="16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2" w:right="0"/>
              <w:jc w:val="left"/>
              <w:rPr>
                <w:rFonts w:ascii="Times New Roman" w:hAnsi="Times New Roman" w:cs="Times New Roman" w:eastAsia="Times New Roman" w:hint="default"/>
                <w:sz w:val="18"/>
                <w:szCs w:val="18"/>
              </w:rPr>
            </w:pPr>
            <w:r>
              <w:rPr>
                <w:rFonts w:ascii="Times New Roman"/>
                <w:sz w:val="18"/>
              </w:rPr>
              <w:t>5,691.65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2,834,344.14</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2,795,197.53</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44,838.26</w:t>
            </w:r>
          </w:p>
        </w:tc>
      </w:tr>
      <w:tr>
        <w:trPr>
          <w:trHeight w:val="713"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1"/>
              <w:jc w:val="left"/>
              <w:rPr>
                <w:rFonts w:ascii="宋体" w:hAnsi="宋体" w:cs="宋体" w:eastAsia="宋体" w:hint="default"/>
                <w:sz w:val="18"/>
                <w:szCs w:val="18"/>
              </w:rPr>
            </w:pPr>
            <w:r>
              <w:rPr>
                <w:rFonts w:ascii="宋体" w:hAnsi="宋体" w:cs="宋体" w:eastAsia="宋体" w:hint="default"/>
                <w:sz w:val="18"/>
                <w:szCs w:val="18"/>
              </w:rPr>
              <w:t>②基本养老保险 费</w:t>
            </w:r>
          </w:p>
        </w:tc>
        <w:tc>
          <w:tcPr>
            <w:tcW w:w="16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2" w:right="0"/>
              <w:jc w:val="left"/>
              <w:rPr>
                <w:rFonts w:ascii="Times New Roman" w:hAnsi="Times New Roman" w:cs="Times New Roman" w:eastAsia="Times New Roman" w:hint="default"/>
                <w:sz w:val="18"/>
                <w:szCs w:val="18"/>
              </w:rPr>
            </w:pPr>
            <w:r>
              <w:rPr>
                <w:rFonts w:ascii="Times New Roman"/>
                <w:sz w:val="18"/>
              </w:rPr>
              <w:t>3,184.95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5,731,926.34</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5,653,665.93</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81,445.36</w:t>
            </w:r>
          </w:p>
        </w:tc>
      </w:tr>
      <w:tr>
        <w:trPr>
          <w:trHeight w:val="403"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③年金缴费</w:t>
            </w:r>
          </w:p>
        </w:tc>
        <w:tc>
          <w:tcPr>
            <w:tcW w:w="1628" w:type="dxa"/>
            <w:gridSpan w:val="2"/>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1,716,202.79</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1,716,202.79</w:t>
            </w:r>
          </w:p>
        </w:tc>
        <w:tc>
          <w:tcPr>
            <w:tcW w:w="162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27" w:top="1100" w:bottom="1420" w:left="1660" w:right="1640"/>
        </w:sectPr>
      </w:pPr>
    </w:p>
    <w:p>
      <w:pPr>
        <w:spacing w:line="240" w:lineRule="auto" w:before="8"/>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1397"/>
        <w:gridCol w:w="1628"/>
        <w:gridCol w:w="1740"/>
        <w:gridCol w:w="1973"/>
        <w:gridCol w:w="1628"/>
      </w:tblGrid>
      <w:tr>
        <w:trPr>
          <w:trHeight w:val="401"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④失业保险费</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1,663.70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446,514.53</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443,279.37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4,898.86</w:t>
            </w:r>
          </w:p>
        </w:tc>
      </w:tr>
      <w:tr>
        <w:trPr>
          <w:trHeight w:val="403"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⑤工伤保险费</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388.33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151,912.68</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150,132.11</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2,168.90</w:t>
            </w:r>
          </w:p>
        </w:tc>
      </w:tr>
      <w:tr>
        <w:trPr>
          <w:trHeight w:val="401"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⑥生育保险费</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395.91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236,727.94</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233,595.84</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3,528.01</w:t>
            </w:r>
          </w:p>
        </w:tc>
      </w:tr>
      <w:tr>
        <w:trPr>
          <w:trHeight w:val="403" w:hRule="exact"/>
        </w:trPr>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6,039,544.88</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6,039,544.88</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2,824.56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5,583,262.62</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5,585,069.02</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1,018.16</w:t>
            </w:r>
          </w:p>
        </w:tc>
      </w:tr>
      <w:tr>
        <w:trPr>
          <w:trHeight w:val="715"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01"/>
              <w:jc w:val="left"/>
              <w:rPr>
                <w:rFonts w:ascii="宋体" w:hAnsi="宋体" w:cs="宋体" w:eastAsia="宋体" w:hint="default"/>
                <w:sz w:val="18"/>
                <w:szCs w:val="18"/>
              </w:rPr>
            </w:pPr>
            <w:r>
              <w:rPr>
                <w:rFonts w:ascii="宋体" w:hAnsi="宋体" w:cs="宋体" w:eastAsia="宋体" w:hint="default"/>
                <w:sz w:val="18"/>
                <w:szCs w:val="18"/>
              </w:rPr>
              <w:t>工会经费和职工 教育经费</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2,824.56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1,588,042.66</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1,589,849.06</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1,018.16</w:t>
            </w:r>
          </w:p>
        </w:tc>
      </w:tr>
      <w:tr>
        <w:trPr>
          <w:trHeight w:val="401"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628"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3,995,219.96</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3,995,219.96</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25,687,120.68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106,034,033.24</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102,757,966.37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28,963,187.55</w:t>
            </w:r>
          </w:p>
        </w:tc>
      </w:tr>
    </w:tbl>
    <w:p>
      <w:pPr>
        <w:spacing w:before="49"/>
        <w:ind w:left="140" w:right="120" w:firstLine="0"/>
        <w:jc w:val="left"/>
        <w:rPr>
          <w:rFonts w:ascii="宋体" w:hAnsi="宋体" w:cs="宋体" w:eastAsia="宋体" w:hint="default"/>
          <w:sz w:val="18"/>
          <w:szCs w:val="18"/>
        </w:rPr>
      </w:pPr>
      <w:r>
        <w:rPr>
          <w:rFonts w:ascii="宋体" w:hAnsi="宋体" w:cs="宋体" w:eastAsia="宋体" w:hint="default"/>
          <w:sz w:val="18"/>
          <w:szCs w:val="18"/>
        </w:rPr>
        <w:t>应付职工薪酬中属于拖欠性质的金额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350" w:lineRule="auto" w:before="102"/>
        <w:ind w:left="140" w:right="120" w:firstLine="0"/>
        <w:jc w:val="left"/>
        <w:rPr>
          <w:rFonts w:ascii="宋体" w:hAnsi="宋体" w:cs="宋体" w:eastAsia="宋体" w:hint="default"/>
          <w:sz w:val="18"/>
          <w:szCs w:val="18"/>
        </w:rPr>
      </w:pPr>
      <w:r>
        <w:rPr>
          <w:rFonts w:ascii="宋体" w:hAnsi="宋体" w:cs="宋体" w:eastAsia="宋体" w:hint="default"/>
          <w:sz w:val="18"/>
          <w:szCs w:val="18"/>
        </w:rPr>
        <w:t>工会经费和职工教育经费金额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1,018.16 </w:t>
      </w:r>
      <w:r>
        <w:rPr>
          <w:rFonts w:ascii="宋体" w:hAnsi="宋体" w:cs="宋体" w:eastAsia="宋体" w:hint="default"/>
          <w:sz w:val="18"/>
          <w:szCs w:val="18"/>
        </w:rPr>
        <w:t>元，非货币性福利金额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元，因解除劳动关系给予补偿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 应付职工薪酬预计发放时间、金额等安排 应付职工薪酬年末余额中，</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月工资将于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月发放，年终奖金将陆续于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年发放。</w:t>
      </w:r>
    </w:p>
    <w:p>
      <w:pPr>
        <w:spacing w:line="240" w:lineRule="auto" w:before="2"/>
        <w:rPr>
          <w:rFonts w:ascii="宋体" w:hAnsi="宋体" w:cs="宋体" w:eastAsia="宋体" w:hint="default"/>
          <w:sz w:val="19"/>
          <w:szCs w:val="19"/>
        </w:rPr>
      </w:pPr>
    </w:p>
    <w:p>
      <w:pPr>
        <w:pStyle w:val="Heading3"/>
        <w:spacing w:line="240" w:lineRule="auto"/>
        <w:ind w:right="120"/>
        <w:jc w:val="left"/>
        <w:rPr>
          <w:b w:val="0"/>
          <w:bCs w:val="0"/>
        </w:rPr>
      </w:pPr>
      <w:r>
        <w:rPr>
          <w:rFonts w:ascii="Times New Roman" w:hAnsi="Times New Roman" w:cs="Times New Roman" w:eastAsia="Times New Roman" w:hint="default"/>
        </w:rPr>
        <w:t>35</w:t>
      </w:r>
      <w:r>
        <w:rPr/>
        <w:t>、应交税费</w:t>
      </w:r>
      <w:r>
        <w:rPr>
          <w:b w:val="0"/>
          <w:bCs w:val="0"/>
        </w:rPr>
      </w:r>
    </w:p>
    <w:p>
      <w:pPr>
        <w:spacing w:line="240" w:lineRule="auto" w:before="2"/>
        <w:rPr>
          <w:rFonts w:ascii="宋体" w:hAnsi="宋体" w:cs="宋体" w:eastAsia="宋体" w:hint="default"/>
          <w:b/>
          <w:bCs/>
          <w:sz w:val="26"/>
          <w:szCs w:val="26"/>
        </w:rPr>
      </w:pPr>
    </w:p>
    <w:p>
      <w:pPr>
        <w:spacing w:before="0"/>
        <w:ind w:left="0" w:right="19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3605"/>
        <w:gridCol w:w="2436"/>
        <w:gridCol w:w="2324"/>
      </w:tblGrid>
      <w:tr>
        <w:trPr>
          <w:trHeight w:val="403" w:hRule="exact"/>
        </w:trPr>
        <w:tc>
          <w:tcPr>
            <w:tcW w:w="3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11,196,398.06</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6,971,848.70</w:t>
            </w:r>
          </w:p>
        </w:tc>
      </w:tr>
      <w:tr>
        <w:trPr>
          <w:trHeight w:val="403" w:hRule="exact"/>
        </w:trPr>
        <w:tc>
          <w:tcPr>
            <w:tcW w:w="3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47,468.08</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147,409.28</w:t>
            </w:r>
          </w:p>
        </w:tc>
      </w:tr>
      <w:tr>
        <w:trPr>
          <w:trHeight w:val="401" w:hRule="exact"/>
        </w:trPr>
        <w:tc>
          <w:tcPr>
            <w:tcW w:w="3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1,059,762.80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6,901,534.87</w:t>
            </w:r>
          </w:p>
        </w:tc>
      </w:tr>
      <w:tr>
        <w:trPr>
          <w:trHeight w:val="403" w:hRule="exact"/>
        </w:trPr>
        <w:tc>
          <w:tcPr>
            <w:tcW w:w="3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157,329.00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84,568.33</w:t>
            </w:r>
          </w:p>
        </w:tc>
      </w:tr>
      <w:tr>
        <w:trPr>
          <w:trHeight w:val="401" w:hRule="exact"/>
        </w:trPr>
        <w:tc>
          <w:tcPr>
            <w:tcW w:w="3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786,215.67</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497,698.19</w:t>
            </w:r>
          </w:p>
        </w:tc>
      </w:tr>
      <w:tr>
        <w:trPr>
          <w:trHeight w:val="403" w:hRule="exact"/>
        </w:trPr>
        <w:tc>
          <w:tcPr>
            <w:tcW w:w="3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336,949.58</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213,719.85</w:t>
            </w:r>
          </w:p>
        </w:tc>
      </w:tr>
      <w:tr>
        <w:trPr>
          <w:trHeight w:val="401" w:hRule="exact"/>
        </w:trPr>
        <w:tc>
          <w:tcPr>
            <w:tcW w:w="3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224,877.32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141,964.55</w:t>
            </w:r>
          </w:p>
        </w:tc>
      </w:tr>
      <w:tr>
        <w:trPr>
          <w:trHeight w:val="403" w:hRule="exact"/>
        </w:trPr>
        <w:tc>
          <w:tcPr>
            <w:tcW w:w="3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其他税种</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33,611.52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27,061.38</w:t>
            </w:r>
          </w:p>
        </w:tc>
      </w:tr>
      <w:tr>
        <w:trPr>
          <w:trHeight w:val="401" w:hRule="exact"/>
        </w:trPr>
        <w:tc>
          <w:tcPr>
            <w:tcW w:w="3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13,842,612.03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14,985,805.15</w:t>
            </w:r>
          </w:p>
        </w:tc>
      </w:tr>
    </w:tbl>
    <w:p>
      <w:pPr>
        <w:spacing w:line="316" w:lineRule="auto" w:before="49"/>
        <w:ind w:left="140" w:right="0" w:firstLine="0"/>
        <w:jc w:val="left"/>
        <w:rPr>
          <w:rFonts w:ascii="宋体" w:hAnsi="宋体" w:cs="宋体" w:eastAsia="宋体" w:hint="default"/>
          <w:sz w:val="18"/>
          <w:szCs w:val="18"/>
        </w:rPr>
      </w:pPr>
      <w:r>
        <w:rPr>
          <w:rFonts w:ascii="宋体" w:hAnsi="宋体" w:cs="宋体" w:eastAsia="宋体" w:hint="default"/>
          <w:spacing w:val="-2"/>
          <w:sz w:val="18"/>
          <w:szCs w:val="18"/>
        </w:rPr>
        <w:t>应交税费说明，所在地税务机关同意各分公司、分厂之间应纳税所得额相互调剂的，应说明税款计算过程：</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无。</w:t>
      </w:r>
    </w:p>
    <w:p>
      <w:pPr>
        <w:spacing w:line="240" w:lineRule="auto" w:before="11"/>
        <w:rPr>
          <w:rFonts w:ascii="宋体" w:hAnsi="宋体" w:cs="宋体" w:eastAsia="宋体" w:hint="default"/>
          <w:sz w:val="22"/>
          <w:szCs w:val="22"/>
        </w:rPr>
      </w:pPr>
    </w:p>
    <w:p>
      <w:pPr>
        <w:spacing w:line="516" w:lineRule="auto" w:before="0"/>
        <w:ind w:left="140" w:right="7239" w:firstLine="0"/>
        <w:jc w:val="center"/>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36</w:t>
      </w:r>
      <w:r>
        <w:rPr>
          <w:rFonts w:ascii="宋体" w:hAnsi="宋体" w:cs="宋体" w:eastAsia="宋体" w:hint="default"/>
          <w:b/>
          <w:bCs/>
          <w:spacing w:val="-1"/>
          <w:sz w:val="21"/>
          <w:szCs w:val="21"/>
        </w:rPr>
        <w:t>、应付利息</w:t>
      </w:r>
      <w:r>
        <w:rPr>
          <w:rFonts w:ascii="宋体" w:hAnsi="宋体" w:cs="宋体" w:eastAsia="宋体" w:hint="default"/>
          <w:b/>
          <w:bCs/>
          <w:spacing w:val="-103"/>
          <w:sz w:val="21"/>
          <w:szCs w:val="21"/>
        </w:rPr>
        <w:t> </w:t>
      </w:r>
      <w:r>
        <w:rPr>
          <w:rFonts w:ascii="宋体" w:hAnsi="宋体" w:cs="宋体" w:eastAsia="宋体" w:hint="default"/>
          <w:sz w:val="21"/>
          <w:szCs w:val="21"/>
        </w:rPr>
        <w:t>无。</w:t>
      </w:r>
      <w:r>
        <w:rPr>
          <w:rFonts w:ascii="宋体" w:hAnsi="宋体" w:cs="宋体" w:eastAsia="宋体" w:hint="default"/>
          <w:w w:val="100"/>
          <w:sz w:val="21"/>
          <w:szCs w:val="21"/>
        </w:rPr>
        <w:t> </w:t>
      </w:r>
      <w:r>
        <w:rPr>
          <w:rFonts w:ascii="Times New Roman" w:hAnsi="Times New Roman" w:cs="Times New Roman" w:eastAsia="Times New Roman" w:hint="default"/>
          <w:b/>
          <w:bCs/>
          <w:spacing w:val="-1"/>
          <w:sz w:val="21"/>
          <w:szCs w:val="21"/>
        </w:rPr>
        <w:t>37</w:t>
      </w:r>
      <w:r>
        <w:rPr>
          <w:rFonts w:ascii="宋体" w:hAnsi="宋体" w:cs="宋体" w:eastAsia="宋体" w:hint="default"/>
          <w:b/>
          <w:bCs/>
          <w:spacing w:val="-1"/>
          <w:sz w:val="21"/>
          <w:szCs w:val="21"/>
        </w:rPr>
        <w:t>、应付股利</w:t>
      </w:r>
      <w:r>
        <w:rPr>
          <w:rFonts w:ascii="宋体" w:hAnsi="宋体" w:cs="宋体" w:eastAsia="宋体" w:hint="default"/>
          <w:b/>
          <w:bCs/>
          <w:spacing w:val="-103"/>
          <w:sz w:val="21"/>
          <w:szCs w:val="21"/>
        </w:rPr>
        <w:t> </w:t>
      </w:r>
      <w:r>
        <w:rPr>
          <w:rFonts w:ascii="宋体" w:hAnsi="宋体" w:cs="宋体" w:eastAsia="宋体" w:hint="default"/>
          <w:sz w:val="21"/>
          <w:szCs w:val="21"/>
        </w:rPr>
        <w:t>无。</w:t>
      </w:r>
    </w:p>
    <w:p>
      <w:pPr>
        <w:spacing w:after="0" w:line="516" w:lineRule="auto"/>
        <w:jc w:val="center"/>
        <w:rPr>
          <w:rFonts w:ascii="宋体" w:hAnsi="宋体" w:cs="宋体" w:eastAsia="宋体" w:hint="default"/>
          <w:sz w:val="21"/>
          <w:szCs w:val="21"/>
        </w:rPr>
        <w:sectPr>
          <w:pgSz w:w="11910" w:h="16840"/>
          <w:pgMar w:header="877" w:footer="1227" w:top="1100" w:bottom="1420" w:left="1660" w:right="160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38</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10"/>
        <w:rPr>
          <w:rFonts w:ascii="宋体" w:hAnsi="宋体" w:cs="宋体" w:eastAsia="宋体" w:hint="default"/>
          <w:b/>
          <w:bCs/>
          <w:sz w:val="22"/>
          <w:szCs w:val="22"/>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3255"/>
        <w:gridCol w:w="2672"/>
        <w:gridCol w:w="2439"/>
      </w:tblGrid>
      <w:tr>
        <w:trPr>
          <w:trHeight w:val="401" w:hRule="exact"/>
        </w:trPr>
        <w:tc>
          <w:tcPr>
            <w:tcW w:w="3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装修款</w:t>
            </w:r>
          </w:p>
        </w:tc>
        <w:tc>
          <w:tcPr>
            <w:tcW w:w="2672"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145,385.73</w:t>
            </w:r>
          </w:p>
        </w:tc>
      </w:tr>
      <w:tr>
        <w:trPr>
          <w:trHeight w:val="401"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201,750.00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32,000.00</w:t>
            </w:r>
          </w:p>
        </w:tc>
      </w:tr>
      <w:tr>
        <w:trPr>
          <w:trHeight w:val="403"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应付费用</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2,222,502.15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2,885,074.12</w:t>
            </w:r>
          </w:p>
        </w:tc>
      </w:tr>
      <w:tr>
        <w:trPr>
          <w:trHeight w:val="401"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员工往来</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178,715.34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4,021.88</w:t>
            </w:r>
          </w:p>
        </w:tc>
      </w:tr>
      <w:tr>
        <w:trPr>
          <w:trHeight w:val="404" w:hRule="exact"/>
        </w:trPr>
        <w:tc>
          <w:tcPr>
            <w:tcW w:w="3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2,602,967.49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3,066,481.73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）本报告期其他应付款中应付持有公司</w:t>
      </w:r>
      <w:r>
        <w:rPr>
          <w:spacing w:val="-55"/>
        </w:rPr>
        <w:t> </w:t>
      </w:r>
      <w:r>
        <w:rPr>
          <w:rFonts w:ascii="Times New Roman" w:hAnsi="Times New Roman" w:cs="Times New Roman" w:eastAsia="Times New Roman" w:hint="default"/>
        </w:rPr>
        <w:t>5</w:t>
      </w:r>
      <w:r>
        <w:rPr/>
        <w:t>％（含</w:t>
      </w:r>
      <w:r>
        <w:rPr>
          <w:spacing w:val="-55"/>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6"/>
        <w:rPr>
          <w:rFonts w:ascii="宋体" w:hAnsi="宋体" w:cs="宋体" w:eastAsia="宋体" w:hint="default"/>
          <w:b/>
          <w:bCs/>
          <w:sz w:val="30"/>
          <w:szCs w:val="30"/>
        </w:rPr>
      </w:pPr>
    </w:p>
    <w:p>
      <w:pPr>
        <w:pStyle w:val="BodyText"/>
        <w:spacing w:line="386" w:lineRule="auto"/>
        <w:ind w:right="0" w:firstLine="419"/>
        <w:jc w:val="left"/>
      </w:pPr>
      <w:r>
        <w:rPr>
          <w:spacing w:val="-2"/>
        </w:rPr>
        <w:t>年末其他应付款中不存在应付持本公司</w:t>
      </w:r>
      <w:r>
        <w:rPr>
          <w:rFonts w:ascii="Times New Roman" w:hAnsi="Times New Roman" w:cs="Times New Roman" w:eastAsia="Times New Roman" w:hint="default"/>
          <w:spacing w:val="-2"/>
        </w:rPr>
        <w:t>5%</w:t>
      </w:r>
      <w:r>
        <w:rPr>
          <w:spacing w:val="-2"/>
        </w:rPr>
        <w:t>（含</w:t>
      </w:r>
      <w:r>
        <w:rPr>
          <w:rFonts w:ascii="Times New Roman" w:hAnsi="Times New Roman" w:cs="Times New Roman" w:eastAsia="Times New Roman" w:hint="default"/>
          <w:spacing w:val="-2"/>
        </w:rPr>
        <w:t>5%</w:t>
      </w:r>
      <w:r>
        <w:rPr>
          <w:spacing w:val="-2"/>
        </w:rPr>
        <w:t>）以上表决权股份的股东单位或其他</w:t>
      </w:r>
      <w:r>
        <w:rPr>
          <w:w w:val="100"/>
        </w:rPr>
        <w:t> </w:t>
      </w:r>
      <w:r>
        <w:rPr/>
        <w:t>关联方款项。</w:t>
      </w:r>
    </w:p>
    <w:p>
      <w:pPr>
        <w:spacing w:line="240" w:lineRule="auto" w:before="0"/>
        <w:rPr>
          <w:rFonts w:ascii="宋体" w:hAnsi="宋体" w:cs="宋体" w:eastAsia="宋体" w:hint="default"/>
          <w:sz w:val="22"/>
          <w:szCs w:val="22"/>
        </w:rPr>
      </w:pPr>
    </w:p>
    <w:p>
      <w:pPr>
        <w:spacing w:line="571" w:lineRule="auto" w:before="0"/>
        <w:ind w:left="560"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）账龄超过一年的大额其他应付款情况的说明</w:t>
      </w:r>
      <w:r>
        <w:rPr>
          <w:rFonts w:ascii="宋体" w:hAnsi="宋体" w:cs="宋体" w:eastAsia="宋体" w:hint="default"/>
          <w:b/>
          <w:bCs/>
          <w:w w:val="100"/>
          <w:sz w:val="21"/>
          <w:szCs w:val="21"/>
        </w:rPr>
        <w:t> </w:t>
      </w:r>
      <w:r>
        <w:rPr>
          <w:rFonts w:ascii="宋体" w:hAnsi="宋体" w:cs="宋体" w:eastAsia="宋体" w:hint="default"/>
          <w:spacing w:val="-2"/>
          <w:sz w:val="21"/>
          <w:szCs w:val="21"/>
        </w:rPr>
        <w:t>年末其他应付款中不存在账龄超过</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年的大额其他应付款。</w:t>
      </w:r>
    </w:p>
    <w:p>
      <w:pPr>
        <w:pStyle w:val="Heading3"/>
        <w:spacing w:line="506" w:lineRule="auto" w:before="80"/>
        <w:ind w:left="560" w:right="4846" w:hanging="420"/>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4</w:t>
      </w:r>
      <w:r>
        <w:rPr>
          <w:spacing w:val="-1"/>
        </w:rPr>
        <w:t>）金额较大的其他应付款说明内容</w:t>
      </w:r>
      <w:r>
        <w:rPr>
          <w:spacing w:val="-90"/>
        </w:rPr>
        <w:t> </w:t>
      </w:r>
      <w:r>
        <w:rPr>
          <w:spacing w:val="-90"/>
        </w:rPr>
      </w:r>
      <w:r>
        <w:rPr>
          <w:rFonts w:ascii="宋体" w:hAnsi="宋体" w:cs="宋体" w:eastAsia="宋体" w:hint="default"/>
          <w:b w:val="0"/>
          <w:bCs w:val="0"/>
        </w:rPr>
        <w:t>无。</w:t>
      </w:r>
    </w:p>
    <w:p>
      <w:pPr>
        <w:pStyle w:val="Heading3"/>
        <w:spacing w:line="506" w:lineRule="auto" w:before="101"/>
        <w:ind w:left="560" w:right="7182" w:hanging="420"/>
        <w:jc w:val="left"/>
        <w:rPr>
          <w:rFonts w:ascii="宋体" w:hAnsi="宋体" w:cs="宋体" w:eastAsia="宋体" w:hint="default"/>
          <w:b w:val="0"/>
          <w:bCs w:val="0"/>
        </w:rPr>
      </w:pPr>
      <w:r>
        <w:rPr>
          <w:rFonts w:ascii="Times New Roman" w:hAnsi="Times New Roman" w:cs="Times New Roman" w:eastAsia="Times New Roman" w:hint="default"/>
        </w:rPr>
        <w:t>39</w:t>
      </w:r>
      <w:r>
        <w:rPr/>
        <w:t>、预计负债</w:t>
      </w:r>
      <w:r>
        <w:rPr>
          <w:w w:val="100"/>
        </w:rPr>
        <w:t> </w:t>
      </w:r>
      <w:r>
        <w:rPr>
          <w:rFonts w:ascii="宋体" w:hAnsi="宋体" w:cs="宋体" w:eastAsia="宋体" w:hint="default"/>
          <w:b w:val="0"/>
          <w:bCs w:val="0"/>
        </w:rPr>
        <w:t>无。</w:t>
      </w:r>
    </w:p>
    <w:p>
      <w:pPr>
        <w:pStyle w:val="Heading3"/>
        <w:spacing w:line="506" w:lineRule="auto" w:before="104"/>
        <w:ind w:left="560" w:right="5720" w:hanging="420"/>
        <w:jc w:val="left"/>
        <w:rPr>
          <w:rFonts w:ascii="宋体" w:hAnsi="宋体" w:cs="宋体" w:eastAsia="宋体" w:hint="default"/>
          <w:b w:val="0"/>
          <w:bCs w:val="0"/>
        </w:rPr>
      </w:pPr>
      <w:r>
        <w:rPr>
          <w:rFonts w:ascii="Times New Roman" w:hAnsi="Times New Roman" w:cs="Times New Roman" w:eastAsia="Times New Roman" w:hint="default"/>
          <w:spacing w:val="-1"/>
        </w:rPr>
        <w:t>40</w:t>
      </w:r>
      <w:r>
        <w:rPr>
          <w:spacing w:val="-1"/>
        </w:rPr>
        <w:t>、一年内到期的非流动负债</w:t>
      </w:r>
      <w:r>
        <w:rPr>
          <w:spacing w:val="-93"/>
        </w:rPr>
        <w:t> </w:t>
      </w:r>
      <w:r>
        <w:rPr>
          <w:spacing w:val="-93"/>
        </w:rPr>
      </w:r>
      <w:r>
        <w:rPr>
          <w:rFonts w:ascii="宋体" w:hAnsi="宋体" w:cs="宋体" w:eastAsia="宋体" w:hint="default"/>
          <w:b w:val="0"/>
          <w:bCs w:val="0"/>
        </w:rPr>
        <w:t>无。</w:t>
      </w:r>
    </w:p>
    <w:p>
      <w:pPr>
        <w:pStyle w:val="Heading3"/>
        <w:spacing w:line="506" w:lineRule="auto" w:before="102"/>
        <w:ind w:left="560" w:right="6760" w:hanging="420"/>
        <w:jc w:val="left"/>
        <w:rPr>
          <w:rFonts w:ascii="宋体" w:hAnsi="宋体" w:cs="宋体" w:eastAsia="宋体" w:hint="default"/>
          <w:b w:val="0"/>
          <w:bCs w:val="0"/>
        </w:rPr>
      </w:pPr>
      <w:r>
        <w:rPr>
          <w:rFonts w:ascii="Times New Roman" w:hAnsi="Times New Roman" w:cs="Times New Roman" w:eastAsia="Times New Roman" w:hint="default"/>
        </w:rPr>
        <w:t>41</w:t>
      </w:r>
      <w:r>
        <w:rPr/>
        <w:t>、其他流动负债</w:t>
      </w:r>
      <w:r>
        <w:rPr>
          <w:w w:val="100"/>
        </w:rPr>
        <w:t> </w:t>
      </w:r>
      <w:r>
        <w:rPr>
          <w:rFonts w:ascii="宋体" w:hAnsi="宋体" w:cs="宋体" w:eastAsia="宋体" w:hint="default"/>
          <w:b w:val="0"/>
          <w:bCs w:val="0"/>
        </w:rPr>
        <w:t>无。</w:t>
      </w:r>
    </w:p>
    <w:p>
      <w:pPr>
        <w:pStyle w:val="Heading3"/>
        <w:spacing w:line="506" w:lineRule="auto" w:before="104"/>
        <w:ind w:left="560" w:right="7182" w:hanging="420"/>
        <w:jc w:val="left"/>
        <w:rPr>
          <w:rFonts w:ascii="宋体" w:hAnsi="宋体" w:cs="宋体" w:eastAsia="宋体" w:hint="default"/>
          <w:b w:val="0"/>
          <w:bCs w:val="0"/>
        </w:rPr>
      </w:pPr>
      <w:r>
        <w:rPr>
          <w:rFonts w:ascii="Times New Roman" w:hAnsi="Times New Roman" w:cs="Times New Roman" w:eastAsia="Times New Roman" w:hint="default"/>
        </w:rPr>
        <w:t>42</w:t>
      </w:r>
      <w:r>
        <w:rPr/>
        <w:t>、长期借款</w:t>
      </w:r>
      <w:r>
        <w:rPr>
          <w:w w:val="100"/>
        </w:rPr>
        <w:t> </w:t>
      </w:r>
      <w:r>
        <w:rPr>
          <w:rFonts w:ascii="宋体" w:hAnsi="宋体" w:cs="宋体" w:eastAsia="宋体" w:hint="default"/>
          <w:b w:val="0"/>
          <w:bCs w:val="0"/>
        </w:rPr>
        <w:t>无。</w:t>
      </w:r>
    </w:p>
    <w:p>
      <w:pPr>
        <w:spacing w:after="0" w:line="506" w:lineRule="auto"/>
        <w:jc w:val="left"/>
        <w:rPr>
          <w:rFonts w:ascii="宋体" w:hAnsi="宋体" w:cs="宋体" w:eastAsia="宋体" w:hint="default"/>
        </w:rPr>
        <w:sectPr>
          <w:pgSz w:w="11910" w:h="16840"/>
          <w:pgMar w:header="877" w:footer="1227" w:top="1100" w:bottom="1420" w:left="1660" w:right="1640"/>
        </w:sectPr>
      </w:pPr>
    </w:p>
    <w:p>
      <w:pPr>
        <w:spacing w:line="240" w:lineRule="auto" w:before="11"/>
        <w:rPr>
          <w:rFonts w:ascii="宋体" w:hAnsi="宋体" w:cs="宋体" w:eastAsia="宋体" w:hint="default"/>
          <w:sz w:val="20"/>
          <w:szCs w:val="20"/>
        </w:rPr>
      </w:pPr>
    </w:p>
    <w:p>
      <w:pPr>
        <w:pStyle w:val="Heading3"/>
        <w:spacing w:line="506" w:lineRule="auto" w:before="36"/>
        <w:ind w:left="560" w:right="7182" w:hanging="420"/>
        <w:jc w:val="left"/>
        <w:rPr>
          <w:rFonts w:ascii="宋体" w:hAnsi="宋体" w:cs="宋体" w:eastAsia="宋体" w:hint="default"/>
          <w:b w:val="0"/>
          <w:bCs w:val="0"/>
        </w:rPr>
      </w:pPr>
      <w:r>
        <w:rPr>
          <w:rFonts w:ascii="Times New Roman" w:hAnsi="Times New Roman" w:cs="Times New Roman" w:eastAsia="Times New Roman" w:hint="default"/>
        </w:rPr>
        <w:t>43</w:t>
      </w:r>
      <w:r>
        <w:rPr/>
        <w:t>、应付债券</w:t>
      </w:r>
      <w:r>
        <w:rPr>
          <w:w w:val="100"/>
        </w:rPr>
        <w:t> </w:t>
      </w:r>
      <w:r>
        <w:rPr>
          <w:rFonts w:ascii="宋体" w:hAnsi="宋体" w:cs="宋体" w:eastAsia="宋体" w:hint="default"/>
          <w:b w:val="0"/>
          <w:bCs w:val="0"/>
        </w:rPr>
        <w:t>无。</w:t>
      </w:r>
    </w:p>
    <w:p>
      <w:pPr>
        <w:pStyle w:val="Heading3"/>
        <w:spacing w:line="506" w:lineRule="auto" w:before="101"/>
        <w:ind w:left="560" w:right="6971" w:hanging="420"/>
        <w:jc w:val="left"/>
        <w:rPr>
          <w:rFonts w:ascii="宋体" w:hAnsi="宋体" w:cs="宋体" w:eastAsia="宋体" w:hint="default"/>
          <w:b w:val="0"/>
          <w:bCs w:val="0"/>
        </w:rPr>
      </w:pPr>
      <w:r>
        <w:rPr>
          <w:rFonts w:ascii="Times New Roman" w:hAnsi="Times New Roman" w:cs="Times New Roman" w:eastAsia="Times New Roman" w:hint="default"/>
        </w:rPr>
        <w:t>44</w:t>
      </w:r>
      <w:r>
        <w:rPr/>
        <w:t>、长期应付款</w:t>
      </w:r>
      <w:r>
        <w:rPr>
          <w:w w:val="100"/>
        </w:rPr>
        <w:t> </w:t>
      </w:r>
      <w:r>
        <w:rPr>
          <w:rFonts w:ascii="宋体" w:hAnsi="宋体" w:cs="宋体" w:eastAsia="宋体" w:hint="default"/>
          <w:b w:val="0"/>
          <w:bCs w:val="0"/>
        </w:rPr>
        <w:t>无。</w:t>
      </w:r>
    </w:p>
    <w:p>
      <w:pPr>
        <w:pStyle w:val="Heading3"/>
        <w:spacing w:line="240" w:lineRule="auto" w:before="104"/>
        <w:ind w:right="0"/>
        <w:jc w:val="left"/>
        <w:rPr>
          <w:b w:val="0"/>
          <w:bCs w:val="0"/>
        </w:rPr>
      </w:pPr>
      <w:r>
        <w:rPr>
          <w:rFonts w:ascii="Times New Roman" w:hAnsi="Times New Roman" w:cs="Times New Roman" w:eastAsia="Times New Roman" w:hint="default"/>
        </w:rPr>
        <w:t>45</w:t>
      </w:r>
      <w:r>
        <w:rPr/>
        <w:t>、专项应付款</w:t>
      </w:r>
      <w:r>
        <w:rPr>
          <w:b w:val="0"/>
          <w:bCs w:val="0"/>
        </w:rPr>
      </w:r>
    </w:p>
    <w:p>
      <w:pPr>
        <w:spacing w:line="240" w:lineRule="auto" w:before="12"/>
        <w:rPr>
          <w:rFonts w:ascii="宋体" w:hAnsi="宋体" w:cs="宋体" w:eastAsia="宋体" w:hint="default"/>
          <w:b/>
          <w:bCs/>
          <w:sz w:val="22"/>
          <w:szCs w:val="22"/>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093"/>
        <w:gridCol w:w="1159"/>
        <w:gridCol w:w="1030"/>
        <w:gridCol w:w="850"/>
        <w:gridCol w:w="1490"/>
        <w:gridCol w:w="1743"/>
      </w:tblGrid>
      <w:tr>
        <w:trPr>
          <w:trHeight w:val="403" w:hRule="exact"/>
        </w:trPr>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7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备注说明</w:t>
            </w:r>
          </w:p>
        </w:tc>
      </w:tr>
      <w:tr>
        <w:trPr>
          <w:trHeight w:val="1025"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4"/>
              <w:jc w:val="left"/>
              <w:rPr>
                <w:rFonts w:ascii="宋体" w:hAnsi="宋体" w:cs="宋体" w:eastAsia="宋体" w:hint="default"/>
                <w:sz w:val="18"/>
                <w:szCs w:val="18"/>
              </w:rPr>
            </w:pPr>
            <w:r>
              <w:rPr>
                <w:rFonts w:ascii="宋体" w:hAnsi="宋体" w:cs="宋体" w:eastAsia="宋体" w:hint="default"/>
                <w:sz w:val="18"/>
                <w:szCs w:val="18"/>
              </w:rPr>
              <w:t>厦门市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年（第二批） 重点技术创新及产学研项 目资金计划</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300,000.00</w:t>
            </w:r>
          </w:p>
        </w:tc>
        <w:tc>
          <w:tcPr>
            <w:tcW w:w="103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7"/>
              <w:jc w:val="left"/>
              <w:rPr>
                <w:rFonts w:ascii="宋体" w:hAnsi="宋体" w:cs="宋体" w:eastAsia="宋体" w:hint="default"/>
                <w:sz w:val="18"/>
                <w:szCs w:val="18"/>
              </w:rPr>
            </w:pPr>
            <w:r>
              <w:rPr>
                <w:rFonts w:ascii="宋体" w:hAnsi="宋体" w:cs="宋体" w:eastAsia="宋体" w:hint="default"/>
                <w:sz w:val="18"/>
                <w:szCs w:val="18"/>
              </w:rPr>
              <w:t>厦门市经济发展局、 厦门市财政局厦经技</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宋体" w:hAnsi="宋体" w:cs="宋体" w:eastAsia="宋体" w:hint="default"/>
                <w:sz w:val="18"/>
                <w:szCs w:val="18"/>
              </w:rPr>
              <w:t>】</w:t>
            </w:r>
            <w:r>
              <w:rPr>
                <w:rFonts w:ascii="Times New Roman" w:hAnsi="Times New Roman" w:cs="Times New Roman" w:eastAsia="Times New Roman" w:hint="default"/>
                <w:sz w:val="18"/>
                <w:szCs w:val="18"/>
              </w:rPr>
              <w:t>510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1027"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多路并行取证系统的研究</w:t>
            </w:r>
          </w:p>
        </w:tc>
        <w:tc>
          <w:tcPr>
            <w:tcW w:w="1159"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250,000.00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7"/>
              <w:jc w:val="left"/>
              <w:rPr>
                <w:rFonts w:ascii="宋体" w:hAnsi="宋体" w:cs="宋体" w:eastAsia="宋体" w:hint="default"/>
                <w:sz w:val="18"/>
                <w:szCs w:val="18"/>
              </w:rPr>
            </w:pPr>
            <w:r>
              <w:rPr>
                <w:rFonts w:ascii="宋体" w:hAnsi="宋体" w:cs="宋体" w:eastAsia="宋体" w:hint="default"/>
                <w:sz w:val="18"/>
                <w:szCs w:val="18"/>
              </w:rPr>
              <w:t>厦门市经济发展局、 厦门市财政局厦经技</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271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300,000.00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 w:right="0"/>
              <w:jc w:val="left"/>
              <w:rPr>
                <w:rFonts w:ascii="Times New Roman" w:hAnsi="Times New Roman" w:cs="Times New Roman" w:eastAsia="Times New Roman" w:hint="default"/>
                <w:sz w:val="18"/>
                <w:szCs w:val="18"/>
              </w:rPr>
            </w:pPr>
            <w:r>
              <w:rPr>
                <w:rFonts w:ascii="Times New Roman"/>
                <w:sz w:val="18"/>
              </w:rPr>
              <w:t>250,000.00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550,000.00</w:t>
            </w:r>
          </w:p>
        </w:tc>
        <w:tc>
          <w:tcPr>
            <w:tcW w:w="17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40" w:right="0" w:firstLine="0"/>
        <w:jc w:val="left"/>
        <w:rPr>
          <w:rFonts w:ascii="宋体" w:hAnsi="宋体" w:cs="宋体" w:eastAsia="宋体" w:hint="default"/>
          <w:sz w:val="18"/>
          <w:szCs w:val="18"/>
        </w:rPr>
      </w:pPr>
      <w:r>
        <w:rPr>
          <w:rFonts w:ascii="宋体" w:hAnsi="宋体" w:cs="宋体" w:eastAsia="宋体" w:hint="default"/>
          <w:sz w:val="18"/>
          <w:szCs w:val="18"/>
        </w:rPr>
        <w:t>专项应付款说明：无。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46</w:t>
      </w:r>
      <w:r>
        <w:rPr/>
        <w:t>、其他非流动负债</w:t>
      </w:r>
      <w:r>
        <w:rPr>
          <w:b w:val="0"/>
          <w:bCs w:val="0"/>
        </w:rPr>
      </w:r>
    </w:p>
    <w:p>
      <w:pPr>
        <w:spacing w:line="240" w:lineRule="auto" w:before="12"/>
        <w:rPr>
          <w:rFonts w:ascii="宋体" w:hAnsi="宋体" w:cs="宋体" w:eastAsia="宋体" w:hint="default"/>
          <w:b/>
          <w:bCs/>
          <w:sz w:val="22"/>
          <w:szCs w:val="22"/>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3255"/>
        <w:gridCol w:w="2439"/>
        <w:gridCol w:w="2672"/>
      </w:tblGrid>
      <w:tr>
        <w:trPr>
          <w:trHeight w:val="403" w:hRule="exact"/>
        </w:trPr>
        <w:tc>
          <w:tcPr>
            <w:tcW w:w="3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电子数据取证综合平台产业化项目</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1,179,442.41</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1,759,304.17</w:t>
            </w:r>
          </w:p>
        </w:tc>
      </w:tr>
      <w:tr>
        <w:trPr>
          <w:trHeight w:val="403"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网络信息调查取证系统</w:t>
            </w:r>
          </w:p>
        </w:tc>
        <w:tc>
          <w:tcPr>
            <w:tcW w:w="2439"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401"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厦门超级计算（云计算）中心</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14,883,333.33</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16,400,000.00</w:t>
            </w:r>
          </w:p>
        </w:tc>
      </w:tr>
      <w:tr>
        <w:trPr>
          <w:trHeight w:val="403"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基于云取证模式架构的产业化</w:t>
            </w:r>
          </w:p>
        </w:tc>
        <w:tc>
          <w:tcPr>
            <w:tcW w:w="2439"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401"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下一代互联网信息识别技术的研究</w:t>
            </w:r>
          </w:p>
        </w:tc>
        <w:tc>
          <w:tcPr>
            <w:tcW w:w="2439"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715"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2011-2013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年继续对重点制造业企业 技术改造实施财政扶持</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756,205.09</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面向新型信息技术和应用环境的网络管 控技术研究</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电子取证关键技术研究</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190,000.00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十一五科技支撑项目</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960,000.00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18,268,980.83</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20,059,304.17</w:t>
            </w:r>
          </w:p>
        </w:tc>
      </w:tr>
    </w:tbl>
    <w:p>
      <w:pPr>
        <w:pStyle w:val="BodyText"/>
        <w:spacing w:line="408" w:lineRule="auto" w:before="64"/>
        <w:ind w:right="0" w:firstLine="419"/>
        <w:jc w:val="left"/>
      </w:pPr>
      <w:r>
        <w:rPr>
          <w:spacing w:val="-4"/>
        </w:rPr>
        <w:t>其他非流动负债说明，包括本报告期取得的各类与资产相关、与收益相关的政府补助及</w:t>
      </w:r>
      <w:r>
        <w:rPr>
          <w:w w:val="100"/>
        </w:rPr>
        <w:t> </w:t>
      </w:r>
      <w:r>
        <w:rPr/>
        <w:t>其期末金额：</w:t>
      </w:r>
    </w:p>
    <w:p>
      <w:pPr>
        <w:spacing w:after="0" w:line="408" w:lineRule="auto"/>
        <w:jc w:val="left"/>
        <w:sectPr>
          <w:footerReference w:type="default" r:id="rId72"/>
          <w:pgSz w:w="11910" w:h="16840"/>
          <w:pgMar w:footer="1227" w:header="877" w:top="1100" w:bottom="1420" w:left="1660" w:right="1640"/>
          <w:pgNumType w:start="139"/>
        </w:sectPr>
      </w:pPr>
    </w:p>
    <w:p>
      <w:pPr>
        <w:spacing w:line="240" w:lineRule="auto" w:before="9"/>
        <w:rPr>
          <w:rFonts w:ascii="宋体" w:hAnsi="宋体" w:cs="宋体" w:eastAsia="宋体" w:hint="default"/>
          <w:sz w:val="26"/>
          <w:szCs w:val="26"/>
        </w:rPr>
      </w:pPr>
    </w:p>
    <w:p>
      <w:pPr>
        <w:pStyle w:val="BodyText"/>
        <w:spacing w:line="386" w:lineRule="auto" w:before="36"/>
        <w:ind w:right="193" w:firstLine="419"/>
        <w:jc w:val="both"/>
      </w:pPr>
      <w:r>
        <w:rPr>
          <w:rFonts w:ascii="Times New Roman" w:hAnsi="Times New Roman" w:cs="Times New Roman" w:eastAsia="Times New Roman" w:hint="default"/>
          <w:spacing w:val="-2"/>
        </w:rPr>
        <w:t>1</w:t>
      </w:r>
      <w:r>
        <w:rPr>
          <w:spacing w:val="-2"/>
        </w:rPr>
        <w:t>：系本公司申请厦门市制造业企业技术改造项目财政扶持资金，本公司于</w:t>
      </w:r>
      <w:r>
        <w:rPr>
          <w:rFonts w:ascii="Times New Roman" w:hAnsi="Times New Roman" w:cs="Times New Roman" w:eastAsia="Times New Roman" w:hint="default"/>
          <w:spacing w:val="-2"/>
        </w:rPr>
        <w:t>2010</w:t>
      </w:r>
      <w:r>
        <w:rPr>
          <w:spacing w:val="-2"/>
        </w:rPr>
        <w:t>年技改</w:t>
      </w:r>
      <w:r>
        <w:rPr>
          <w:w w:val="100"/>
        </w:rPr>
        <w:t> </w:t>
      </w:r>
      <w:r>
        <w:rPr>
          <w:spacing w:val="-2"/>
        </w:rPr>
        <w:t>投入</w:t>
      </w:r>
      <w:r>
        <w:rPr>
          <w:rFonts w:ascii="Times New Roman" w:hAnsi="Times New Roman" w:cs="Times New Roman" w:eastAsia="Times New Roman" w:hint="default"/>
          <w:spacing w:val="-2"/>
        </w:rPr>
        <w:t>401.14</w:t>
      </w:r>
      <w:r>
        <w:rPr>
          <w:spacing w:val="-2"/>
        </w:rPr>
        <w:t>万元用于购置设备，根据厦财预（</w:t>
      </w:r>
      <w:r>
        <w:rPr>
          <w:rFonts w:ascii="Times New Roman" w:hAnsi="Times New Roman" w:cs="Times New Roman" w:eastAsia="Times New Roman" w:hint="default"/>
          <w:spacing w:val="-2"/>
        </w:rPr>
        <w:t>2011</w:t>
      </w:r>
      <w:r>
        <w:rPr>
          <w:spacing w:val="-2"/>
        </w:rPr>
        <w:t>）</w:t>
      </w:r>
      <w:r>
        <w:rPr>
          <w:rFonts w:ascii="Times New Roman" w:hAnsi="Times New Roman" w:cs="Times New Roman" w:eastAsia="Times New Roman" w:hint="default"/>
          <w:spacing w:val="-2"/>
        </w:rPr>
        <w:t>54</w:t>
      </w:r>
      <w:r>
        <w:rPr>
          <w:spacing w:val="-2"/>
        </w:rPr>
        <w:t>号文件，按当年设备投资额</w:t>
      </w:r>
      <w:r>
        <w:rPr>
          <w:rFonts w:ascii="Times New Roman" w:hAnsi="Times New Roman" w:cs="Times New Roman" w:eastAsia="Times New Roman" w:hint="default"/>
          <w:spacing w:val="-2"/>
        </w:rPr>
        <w:t>20%</w:t>
      </w:r>
      <w:r>
        <w:rPr>
          <w:spacing w:val="-2"/>
        </w:rPr>
        <w:t>予以</w:t>
      </w:r>
      <w:r>
        <w:rPr>
          <w:spacing w:val="-26"/>
        </w:rPr>
        <w:t> </w:t>
      </w:r>
      <w:r>
        <w:rPr/>
        <w:t>补助故予以补助</w:t>
      </w:r>
      <w:r>
        <w:rPr>
          <w:rFonts w:ascii="Times New Roman" w:hAnsi="Times New Roman" w:cs="Times New Roman" w:eastAsia="Times New Roman" w:hint="default"/>
        </w:rPr>
        <w:t>80.23</w:t>
      </w:r>
      <w:r>
        <w:rPr/>
        <w:t>万元，截至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日已收到该补助款；因该补助款系与资产相</w:t>
      </w:r>
      <w:r>
        <w:rPr>
          <w:w w:val="100"/>
        </w:rPr>
        <w:t> </w:t>
      </w:r>
      <w:r>
        <w:rPr/>
        <w:t>关，故按照资产使用年限摊销并确认收益，本年共计确认收益</w:t>
      </w:r>
      <w:r>
        <w:rPr>
          <w:rFonts w:ascii="Times New Roman" w:hAnsi="Times New Roman" w:cs="Times New Roman" w:eastAsia="Times New Roman" w:hint="default"/>
        </w:rPr>
        <w:t>165,814.12</w:t>
      </w:r>
      <w:r>
        <w:rPr/>
        <w:t>元。</w:t>
      </w:r>
    </w:p>
    <w:p>
      <w:pPr>
        <w:pStyle w:val="BodyText"/>
        <w:spacing w:line="386" w:lineRule="auto" w:before="35"/>
        <w:ind w:right="120" w:firstLine="419"/>
        <w:jc w:val="left"/>
      </w:pPr>
      <w:r>
        <w:rPr>
          <w:rFonts w:ascii="Times New Roman" w:hAnsi="Times New Roman" w:cs="Times New Roman" w:eastAsia="Times New Roman" w:hint="default"/>
          <w:spacing w:val="-2"/>
        </w:rPr>
        <w:t>2</w:t>
      </w:r>
      <w:r>
        <w:rPr>
          <w:spacing w:val="-2"/>
        </w:rPr>
        <w:t>：系厦门市发改委对本公司关于电子数据取证综合平台产业化项目的补助金</w:t>
      </w:r>
      <w:r>
        <w:rPr>
          <w:rFonts w:ascii="Times New Roman" w:hAnsi="Times New Roman" w:cs="Times New Roman" w:eastAsia="Times New Roman" w:hint="default"/>
          <w:spacing w:val="-2"/>
        </w:rPr>
        <w:t>450</w:t>
      </w:r>
      <w:r>
        <w:rPr>
          <w:spacing w:val="-2"/>
        </w:rPr>
        <w:t>万元，</w:t>
      </w:r>
      <w:r>
        <w:rPr>
          <w:w w:val="100"/>
        </w:rPr>
        <w:t> </w:t>
      </w:r>
      <w:r>
        <w:rPr/>
        <w:t>截止</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日已收到该补助款；根据文件相关规定该项补助款必须专款专用：其中</w:t>
      </w:r>
      <w:r>
        <w:rPr>
          <w:w w:val="100"/>
        </w:rPr>
        <w:t> </w:t>
      </w:r>
      <w:r>
        <w:rPr>
          <w:rFonts w:ascii="Times New Roman" w:hAnsi="Times New Roman" w:cs="Times New Roman" w:eastAsia="Times New Roman" w:hint="default"/>
          <w:spacing w:val="-3"/>
        </w:rPr>
        <w:t>252.61</w:t>
      </w:r>
      <w:r>
        <w:rPr>
          <w:spacing w:val="-3"/>
        </w:rPr>
        <w:t>万元用于购置仪器设备，因该补助款系与资产相关故按照资产使用年限摊销并确认收</w:t>
      </w:r>
      <w:r>
        <w:rPr>
          <w:spacing w:val="-24"/>
        </w:rPr>
        <w:t> </w:t>
      </w:r>
      <w:r>
        <w:rPr>
          <w:spacing w:val="-24"/>
        </w:rPr>
      </w:r>
      <w:r>
        <w:rPr/>
        <w:t>益，本年共计确认收益</w:t>
      </w:r>
      <w:r>
        <w:rPr>
          <w:rFonts w:ascii="Times New Roman" w:hAnsi="Times New Roman" w:cs="Times New Roman" w:eastAsia="Times New Roman" w:hint="default"/>
        </w:rPr>
        <w:t>414,047.64</w:t>
      </w:r>
      <w:r>
        <w:rPr/>
        <w:t>元。</w:t>
      </w:r>
    </w:p>
    <w:p>
      <w:pPr>
        <w:pStyle w:val="BodyText"/>
        <w:spacing w:line="240" w:lineRule="auto" w:before="36"/>
        <w:ind w:left="560" w:right="120"/>
        <w:jc w:val="left"/>
      </w:pPr>
      <w:r>
        <w:rPr>
          <w:rFonts w:ascii="Times New Roman" w:hAnsi="Times New Roman" w:cs="Times New Roman" w:eastAsia="Times New Roman" w:hint="default"/>
        </w:rPr>
        <w:t>2</w:t>
      </w:r>
      <w:r>
        <w:rPr/>
        <w:t>：系由福建省财政厅及福建省信息化局拨付的</w:t>
      </w:r>
      <w:r>
        <w:rPr>
          <w:rFonts w:ascii="Times New Roman" w:hAnsi="Times New Roman" w:cs="Times New Roman" w:eastAsia="Times New Roman" w:hint="default"/>
        </w:rPr>
        <w:t>2010</w:t>
      </w:r>
      <w:r>
        <w:rPr/>
        <w:t>年度第二批软件产业发展专项资金</w:t>
      </w:r>
    </w:p>
    <w:p>
      <w:pPr>
        <w:pStyle w:val="BodyText"/>
        <w:spacing w:line="240" w:lineRule="auto" w:before="177"/>
        <w:ind w:right="120"/>
        <w:jc w:val="left"/>
        <w:rPr>
          <w:rFonts w:ascii="Times New Roman" w:hAnsi="Times New Roman" w:cs="Times New Roman" w:eastAsia="Times New Roman" w:hint="default"/>
        </w:rPr>
      </w:pPr>
      <w:r>
        <w:rPr>
          <w:rFonts w:ascii="Times New Roman" w:hAnsi="Times New Roman" w:cs="Times New Roman" w:eastAsia="Times New Roman" w:hint="default"/>
          <w:spacing w:val="-3"/>
        </w:rPr>
        <w:t>80</w:t>
      </w:r>
      <w:r>
        <w:rPr>
          <w:spacing w:val="-3"/>
        </w:rPr>
        <w:t>万元，文件规定用于产业化项目</w:t>
      </w:r>
      <w:r>
        <w:rPr>
          <w:rFonts w:ascii="Times New Roman" w:hAnsi="Times New Roman" w:cs="Times New Roman" w:eastAsia="Times New Roman" w:hint="default"/>
          <w:spacing w:val="-3"/>
        </w:rPr>
        <w:t>“</w:t>
      </w:r>
      <w:r>
        <w:rPr>
          <w:spacing w:val="-3"/>
        </w:rPr>
        <w:t>网络信息调查取证系统</w:t>
      </w:r>
      <w:r>
        <w:rPr>
          <w:rFonts w:ascii="Times New Roman" w:hAnsi="Times New Roman" w:cs="Times New Roman" w:eastAsia="Times New Roman" w:hint="default"/>
          <w:spacing w:val="-3"/>
        </w:rPr>
        <w:t>”</w:t>
      </w:r>
      <w:r>
        <w:rPr>
          <w:spacing w:val="-3"/>
        </w:rPr>
        <w:t>的费用支出，该项目于本年度</w:t>
      </w:r>
      <w:r>
        <w:rPr>
          <w:rFonts w:ascii="Times New Roman" w:hAnsi="Times New Roman" w:cs="Times New Roman" w:eastAsia="Times New Roman" w:hint="default"/>
          <w:spacing w:val="-3"/>
        </w:rPr>
        <w:t>12</w:t>
      </w:r>
    </w:p>
    <w:p>
      <w:pPr>
        <w:pStyle w:val="BodyText"/>
        <w:spacing w:line="240" w:lineRule="auto" w:before="177"/>
        <w:ind w:right="120"/>
        <w:jc w:val="left"/>
      </w:pPr>
      <w:r>
        <w:rPr/>
        <w:t>月通过验收，故本年确认收益</w:t>
      </w:r>
      <w:r>
        <w:rPr>
          <w:rFonts w:ascii="Times New Roman" w:hAnsi="Times New Roman" w:cs="Times New Roman" w:eastAsia="Times New Roman" w:hint="default"/>
        </w:rPr>
        <w:t>80</w:t>
      </w:r>
      <w:r>
        <w:rPr/>
        <w:t>万元。</w:t>
      </w:r>
    </w:p>
    <w:p>
      <w:pPr>
        <w:pStyle w:val="BodyText"/>
        <w:spacing w:line="393" w:lineRule="auto" w:before="177"/>
        <w:ind w:right="191" w:firstLine="419"/>
        <w:jc w:val="both"/>
      </w:pPr>
      <w:r>
        <w:rPr>
          <w:rFonts w:ascii="Times New Roman" w:hAnsi="Times New Roman" w:cs="Times New Roman" w:eastAsia="Times New Roman" w:hint="default"/>
          <w:spacing w:val="-4"/>
        </w:rPr>
        <w:t>3</w:t>
      </w:r>
      <w:r>
        <w:rPr>
          <w:spacing w:val="-4"/>
        </w:rPr>
        <w:t>：根据厦门市财政局厦科联【</w:t>
      </w:r>
      <w:r>
        <w:rPr>
          <w:rFonts w:ascii="Times New Roman" w:hAnsi="Times New Roman" w:cs="Times New Roman" w:eastAsia="Times New Roman" w:hint="default"/>
          <w:spacing w:val="-4"/>
        </w:rPr>
        <w:t>2010</w:t>
      </w:r>
      <w:r>
        <w:rPr>
          <w:spacing w:val="-4"/>
        </w:rPr>
        <w:t>】</w:t>
      </w:r>
      <w:r>
        <w:rPr>
          <w:rFonts w:ascii="Times New Roman" w:hAnsi="Times New Roman" w:cs="Times New Roman" w:eastAsia="Times New Roman" w:hint="default"/>
          <w:spacing w:val="-4"/>
        </w:rPr>
        <w:t>69</w:t>
      </w:r>
      <w:r>
        <w:rPr>
          <w:spacing w:val="-4"/>
        </w:rPr>
        <w:t>号文，厦门市科技局及财政局对本公司</w:t>
      </w:r>
      <w:r>
        <w:rPr>
          <w:rFonts w:ascii="Times New Roman" w:hAnsi="Times New Roman" w:cs="Times New Roman" w:eastAsia="Times New Roman" w:hint="default"/>
          <w:spacing w:val="-4"/>
        </w:rPr>
        <w:t>“</w:t>
      </w:r>
      <w:r>
        <w:rPr>
          <w:spacing w:val="-4"/>
        </w:rPr>
        <w:t>厦门超</w:t>
      </w:r>
      <w:r>
        <w:rPr>
          <w:w w:val="100"/>
        </w:rPr>
        <w:t> </w:t>
      </w:r>
      <w:r>
        <w:rPr>
          <w:spacing w:val="-5"/>
        </w:rPr>
        <w:t>级计算中心（厦门云计算中心）</w:t>
      </w:r>
      <w:r>
        <w:rPr>
          <w:rFonts w:ascii="Times New Roman" w:hAnsi="Times New Roman" w:cs="Times New Roman" w:eastAsia="Times New Roman" w:hint="default"/>
          <w:spacing w:val="-5"/>
        </w:rPr>
        <w:t>“</w:t>
      </w:r>
      <w:r>
        <w:rPr>
          <w:spacing w:val="-5"/>
        </w:rPr>
        <w:t>项目补助金</w:t>
      </w:r>
      <w:r>
        <w:rPr>
          <w:spacing w:val="68"/>
        </w:rPr>
        <w:t> </w:t>
      </w:r>
      <w:r>
        <w:rPr>
          <w:rFonts w:ascii="Times New Roman" w:hAnsi="Times New Roman" w:cs="Times New Roman" w:eastAsia="Times New Roman" w:hint="default"/>
          <w:spacing w:val="-3"/>
        </w:rPr>
        <w:t>1300</w:t>
      </w:r>
      <w:r>
        <w:rPr>
          <w:spacing w:val="-3"/>
        </w:rPr>
        <w:t>万元，截止</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日已收到全部补</w:t>
      </w:r>
      <w:r>
        <w:rPr>
          <w:spacing w:val="-90"/>
        </w:rPr>
        <w:t> </w:t>
      </w:r>
      <w:r>
        <w:rPr>
          <w:spacing w:val="-90"/>
        </w:rPr>
      </w:r>
      <w:r>
        <w:rPr>
          <w:spacing w:val="-4"/>
        </w:rPr>
        <w:t>助款；该文件规定补助款用于购置设备，因该补助款属与资产相关，故按照资产使用年限摊</w:t>
      </w:r>
      <w:r>
        <w:rPr>
          <w:spacing w:val="-47"/>
        </w:rPr>
        <w:t> </w:t>
      </w:r>
      <w:r>
        <w:rPr>
          <w:spacing w:val="-47"/>
        </w:rPr>
      </w:r>
      <w:r>
        <w:rPr/>
        <w:t>销并确认收益，故本年共计确认收益</w:t>
      </w:r>
      <w:r>
        <w:rPr>
          <w:rFonts w:ascii="Times New Roman" w:hAnsi="Times New Roman" w:cs="Times New Roman" w:eastAsia="Times New Roman" w:hint="default"/>
        </w:rPr>
        <w:t>1,516,666.67</w:t>
      </w:r>
      <w:r>
        <w:rPr/>
        <w:t>元。</w:t>
      </w:r>
    </w:p>
    <w:p>
      <w:pPr>
        <w:pStyle w:val="BodyText"/>
        <w:spacing w:line="386" w:lineRule="auto" w:before="28"/>
        <w:ind w:right="191" w:firstLine="419"/>
        <w:jc w:val="both"/>
      </w:pPr>
      <w:r>
        <w:rPr>
          <w:rFonts w:ascii="Times New Roman" w:hAnsi="Times New Roman" w:cs="Times New Roman" w:eastAsia="Times New Roman" w:hint="default"/>
          <w:spacing w:val="-2"/>
        </w:rPr>
        <w:t>4</w:t>
      </w:r>
      <w:r>
        <w:rPr>
          <w:spacing w:val="-2"/>
        </w:rPr>
        <w:t>：系福建省信息化局对本公司承担的软件产业化项目</w:t>
      </w:r>
      <w:r>
        <w:rPr>
          <w:rFonts w:ascii="Times New Roman" w:hAnsi="Times New Roman" w:cs="Times New Roman" w:eastAsia="Times New Roman" w:hint="default"/>
          <w:spacing w:val="-2"/>
        </w:rPr>
        <w:t>“</w:t>
      </w:r>
      <w:r>
        <w:rPr>
          <w:spacing w:val="-2"/>
        </w:rPr>
        <w:t>基于云取证模式架构的产业化</w:t>
      </w:r>
      <w:r>
        <w:rPr>
          <w:rFonts w:ascii="Times New Roman" w:hAnsi="Times New Roman" w:cs="Times New Roman" w:eastAsia="Times New Roman" w:hint="default"/>
          <w:spacing w:val="-2"/>
        </w:rPr>
        <w:t>”</w:t>
      </w:r>
      <w:r>
        <w:rPr>
          <w:rFonts w:ascii="Times New Roman" w:hAnsi="Times New Roman" w:cs="Times New Roman" w:eastAsia="Times New Roman" w:hint="default"/>
          <w:w w:val="100"/>
        </w:rPr>
        <w:t> </w:t>
      </w:r>
      <w:r>
        <w:rPr>
          <w:spacing w:val="-4"/>
        </w:rPr>
        <w:t>补助资金</w:t>
      </w:r>
      <w:r>
        <w:rPr>
          <w:rFonts w:ascii="Times New Roman" w:hAnsi="Times New Roman" w:cs="Times New Roman" w:eastAsia="Times New Roman" w:hint="default"/>
          <w:spacing w:val="-4"/>
        </w:rPr>
        <w:t>80</w:t>
      </w:r>
      <w:r>
        <w:rPr>
          <w:spacing w:val="-4"/>
        </w:rPr>
        <w:t>万元，文件规定补助资金用于项目的软件开发、测试、开发工具购置、产业化推</w:t>
      </w:r>
      <w:r>
        <w:rPr>
          <w:spacing w:val="-43"/>
        </w:rPr>
        <w:t> </w:t>
      </w:r>
      <w:r>
        <w:rPr>
          <w:spacing w:val="-43"/>
        </w:rPr>
      </w:r>
      <w:r>
        <w:rPr/>
        <w:t>广等费用支出，该项目于本年度</w:t>
      </w:r>
      <w:r>
        <w:rPr>
          <w:rFonts w:ascii="Times New Roman" w:hAnsi="Times New Roman" w:cs="Times New Roman" w:eastAsia="Times New Roman" w:hint="default"/>
        </w:rPr>
        <w:t>12</w:t>
      </w:r>
      <w:r>
        <w:rPr/>
        <w:t>月通过验收，故本年共计确认收益</w:t>
      </w:r>
      <w:r>
        <w:rPr>
          <w:rFonts w:ascii="Times New Roman" w:hAnsi="Times New Roman" w:cs="Times New Roman" w:eastAsia="Times New Roman" w:hint="default"/>
        </w:rPr>
        <w:t>80</w:t>
      </w:r>
      <w:r>
        <w:rPr/>
        <w:t>万元。</w:t>
      </w:r>
    </w:p>
    <w:p>
      <w:pPr>
        <w:pStyle w:val="BodyText"/>
        <w:spacing w:line="386" w:lineRule="auto" w:before="35"/>
        <w:ind w:right="191" w:firstLine="419"/>
        <w:jc w:val="both"/>
      </w:pPr>
      <w:r>
        <w:rPr>
          <w:rFonts w:ascii="Times New Roman" w:hAnsi="Times New Roman" w:cs="Times New Roman" w:eastAsia="Times New Roman" w:hint="default"/>
          <w:spacing w:val="-8"/>
        </w:rPr>
        <w:t>5</w:t>
      </w:r>
      <w:r>
        <w:rPr>
          <w:spacing w:val="-8"/>
        </w:rPr>
        <w:t>：根据厦科联（</w:t>
      </w:r>
      <w:r>
        <w:rPr>
          <w:rFonts w:ascii="Times New Roman" w:hAnsi="Times New Roman" w:cs="Times New Roman" w:eastAsia="Times New Roman" w:hint="default"/>
          <w:spacing w:val="-8"/>
        </w:rPr>
        <w:t>2011</w:t>
      </w:r>
      <w:r>
        <w:rPr>
          <w:spacing w:val="-8"/>
        </w:rPr>
        <w:t>）</w:t>
      </w:r>
      <w:r>
        <w:rPr>
          <w:rFonts w:ascii="Times New Roman" w:hAnsi="Times New Roman" w:cs="Times New Roman" w:eastAsia="Times New Roman" w:hint="default"/>
          <w:spacing w:val="-8"/>
        </w:rPr>
        <w:t>65</w:t>
      </w:r>
      <w:r>
        <w:rPr>
          <w:spacing w:val="-8"/>
        </w:rPr>
        <w:t>号，本公司承担的项目</w:t>
      </w:r>
      <w:r>
        <w:rPr>
          <w:rFonts w:ascii="Times New Roman" w:hAnsi="Times New Roman" w:cs="Times New Roman" w:eastAsia="Times New Roman" w:hint="default"/>
          <w:spacing w:val="-8"/>
        </w:rPr>
        <w:t>“</w:t>
      </w:r>
      <w:r>
        <w:rPr>
          <w:spacing w:val="-8"/>
        </w:rPr>
        <w:t>下一代互联网信息识别技术的研究</w:t>
      </w:r>
      <w:r>
        <w:rPr>
          <w:rFonts w:ascii="Times New Roman" w:hAnsi="Times New Roman" w:cs="Times New Roman" w:eastAsia="Times New Roman" w:hint="default"/>
          <w:spacing w:val="-8"/>
        </w:rPr>
        <w:t>”</w:t>
      </w:r>
      <w:r>
        <w:rPr>
          <w:rFonts w:ascii="Times New Roman" w:hAnsi="Times New Roman" w:cs="Times New Roman" w:eastAsia="Times New Roman" w:hint="default"/>
        </w:rPr>
        <w:t> </w:t>
      </w:r>
      <w:r>
        <w:rPr/>
        <w:t>被</w:t>
      </w:r>
      <w:r>
        <w:rPr>
          <w:w w:val="100"/>
        </w:rPr>
        <w:t> </w:t>
      </w:r>
      <w:r>
        <w:rPr>
          <w:spacing w:val="-4"/>
        </w:rPr>
        <w:t>列为福建省自然科学资金杰青项目，故获补助资金</w:t>
      </w:r>
      <w:r>
        <w:rPr>
          <w:rFonts w:ascii="Times New Roman" w:hAnsi="Times New Roman" w:cs="Times New Roman" w:eastAsia="Times New Roman" w:hint="default"/>
          <w:spacing w:val="-4"/>
        </w:rPr>
        <w:t>30</w:t>
      </w:r>
      <w:r>
        <w:rPr>
          <w:spacing w:val="-4"/>
        </w:rPr>
        <w:t>万元，文件规定补助资金用于项目的费</w:t>
      </w:r>
      <w:r>
        <w:rPr>
          <w:spacing w:val="-40"/>
        </w:rPr>
        <w:t> </w:t>
      </w:r>
      <w:r>
        <w:rPr>
          <w:spacing w:val="-40"/>
        </w:rPr>
      </w:r>
      <w:r>
        <w:rPr/>
        <w:t>用支出，本年度该项目通过厦门市科学技术局的验收，故本期确认收益</w:t>
      </w:r>
      <w:r>
        <w:rPr>
          <w:rFonts w:ascii="Times New Roman" w:hAnsi="Times New Roman" w:cs="Times New Roman" w:eastAsia="Times New Roman" w:hint="default"/>
        </w:rPr>
        <w:t>30</w:t>
      </w:r>
      <w:r>
        <w:rPr/>
        <w:t>万元。</w:t>
      </w:r>
    </w:p>
    <w:p>
      <w:pPr>
        <w:pStyle w:val="BodyText"/>
        <w:spacing w:line="386" w:lineRule="auto" w:before="35"/>
        <w:ind w:right="191" w:firstLine="419"/>
        <w:jc w:val="both"/>
      </w:pPr>
      <w:r>
        <w:rPr>
          <w:rFonts w:ascii="Times New Roman" w:hAnsi="Times New Roman" w:cs="Times New Roman" w:eastAsia="Times New Roman" w:hint="default"/>
          <w:spacing w:val="-3"/>
        </w:rPr>
        <w:t>6</w:t>
      </w:r>
      <w:r>
        <w:rPr>
          <w:spacing w:val="-3"/>
        </w:rPr>
        <w:t>：根据《厦门市财政局、厦门市经济发展局关于</w:t>
      </w:r>
      <w:r>
        <w:rPr>
          <w:rFonts w:ascii="Times New Roman" w:hAnsi="Times New Roman" w:cs="Times New Roman" w:eastAsia="Times New Roman" w:hint="default"/>
          <w:spacing w:val="-3"/>
        </w:rPr>
        <w:t>2011-2013</w:t>
      </w:r>
      <w:r>
        <w:rPr>
          <w:spacing w:val="-3"/>
        </w:rPr>
        <w:t>年继续对重点制造业企业技</w:t>
      </w:r>
      <w:r>
        <w:rPr>
          <w:w w:val="100"/>
        </w:rPr>
        <w:t> </w:t>
      </w:r>
      <w:r>
        <w:rPr>
          <w:spacing w:val="-2"/>
        </w:rPr>
        <w:t>术改造实施财政扶持的通知》（厦财预〔</w:t>
      </w:r>
      <w:r>
        <w:rPr>
          <w:rFonts w:ascii="Times New Roman" w:hAnsi="Times New Roman" w:cs="Times New Roman" w:eastAsia="Times New Roman" w:hint="default"/>
          <w:spacing w:val="-2"/>
        </w:rPr>
        <w:t>2011</w:t>
      </w:r>
      <w:r>
        <w:rPr>
          <w:spacing w:val="-2"/>
        </w:rPr>
        <w:t>〕</w:t>
      </w:r>
      <w:r>
        <w:rPr>
          <w:rFonts w:ascii="Times New Roman" w:hAnsi="Times New Roman" w:cs="Times New Roman" w:eastAsia="Times New Roman" w:hint="default"/>
          <w:spacing w:val="-2"/>
        </w:rPr>
        <w:t>89</w:t>
      </w:r>
      <w:r>
        <w:rPr>
          <w:spacing w:val="-2"/>
        </w:rPr>
        <w:t>号），对本公司承担的项目</w:t>
      </w:r>
      <w:r>
        <w:rPr>
          <w:rFonts w:ascii="Times New Roman" w:hAnsi="Times New Roman" w:cs="Times New Roman" w:eastAsia="Times New Roman" w:hint="default"/>
          <w:spacing w:val="-2"/>
        </w:rPr>
        <w:t>“</w:t>
      </w:r>
      <w:r>
        <w:rPr>
          <w:spacing w:val="-2"/>
        </w:rPr>
        <w:t>电子数据公</w:t>
      </w:r>
      <w:r>
        <w:rPr>
          <w:spacing w:val="-23"/>
        </w:rPr>
        <w:t> </w:t>
      </w:r>
      <w:r>
        <w:rPr>
          <w:spacing w:val="-23"/>
        </w:rPr>
      </w:r>
      <w:r>
        <w:rPr>
          <w:spacing w:val="-3"/>
        </w:rPr>
        <w:t>证云</w:t>
      </w:r>
      <w:r>
        <w:rPr>
          <w:rFonts w:ascii="Times New Roman" w:hAnsi="Times New Roman" w:cs="Times New Roman" w:eastAsia="Times New Roman" w:hint="default"/>
          <w:spacing w:val="-3"/>
        </w:rPr>
        <w:t>”</w:t>
      </w:r>
      <w:r>
        <w:rPr>
          <w:spacing w:val="-3"/>
        </w:rPr>
        <w:t>予以补助，按当年设备投资额</w:t>
      </w:r>
      <w:r>
        <w:rPr>
          <w:rFonts w:ascii="Times New Roman" w:hAnsi="Times New Roman" w:cs="Times New Roman" w:eastAsia="Times New Roman" w:hint="default"/>
          <w:spacing w:val="-3"/>
        </w:rPr>
        <w:t>20%</w:t>
      </w:r>
      <w:r>
        <w:rPr>
          <w:spacing w:val="-3"/>
        </w:rPr>
        <w:t>予以补助故予以补助</w:t>
      </w:r>
      <w:r>
        <w:rPr>
          <w:rFonts w:ascii="Times New Roman" w:hAnsi="Times New Roman" w:cs="Times New Roman" w:eastAsia="Times New Roman" w:hint="default"/>
          <w:spacing w:val="-3"/>
        </w:rPr>
        <w:t>100</w:t>
      </w:r>
      <w:r>
        <w:rPr>
          <w:spacing w:val="-3"/>
        </w:rPr>
        <w:t>万元；因该补助款属与资产</w:t>
      </w:r>
      <w:r>
        <w:rPr>
          <w:spacing w:val="-29"/>
        </w:rPr>
        <w:t> </w:t>
      </w:r>
      <w:r>
        <w:rPr>
          <w:spacing w:val="-29"/>
        </w:rPr>
      </w:r>
      <w:r>
        <w:rPr/>
        <w:t>相关，故按照资产使用年限摊销并确认收益，本年共计确认收益</w:t>
      </w:r>
      <w:r>
        <w:rPr>
          <w:rFonts w:ascii="Times New Roman" w:hAnsi="Times New Roman" w:cs="Times New Roman" w:eastAsia="Times New Roman" w:hint="default"/>
        </w:rPr>
        <w:t>243,794.91</w:t>
      </w:r>
      <w:r>
        <w:rPr/>
        <w:t>元。</w:t>
      </w:r>
    </w:p>
    <w:p>
      <w:pPr>
        <w:pStyle w:val="BodyText"/>
        <w:spacing w:line="386" w:lineRule="auto" w:before="35"/>
        <w:ind w:right="193" w:firstLine="419"/>
        <w:jc w:val="both"/>
      </w:pPr>
      <w:r>
        <w:rPr>
          <w:rFonts w:ascii="Times New Roman" w:hAnsi="Times New Roman" w:cs="Times New Roman" w:eastAsia="Times New Roman" w:hint="default"/>
          <w:spacing w:val="-2"/>
        </w:rPr>
        <w:t>7</w:t>
      </w:r>
      <w:r>
        <w:rPr>
          <w:spacing w:val="-2"/>
        </w:rPr>
        <w:t>：系本公司与公安部第三研究所签订科研项目合作合同书，由本公司承担国家科技支</w:t>
      </w:r>
      <w:r>
        <w:rPr>
          <w:w w:val="100"/>
        </w:rPr>
        <w:t> </w:t>
      </w:r>
      <w:r>
        <w:rPr>
          <w:spacing w:val="-6"/>
        </w:rPr>
        <w:t>撑计划合同约定项目经费</w:t>
      </w:r>
      <w:r>
        <w:rPr>
          <w:rFonts w:ascii="Times New Roman" w:hAnsi="Times New Roman" w:cs="Times New Roman" w:eastAsia="Times New Roman" w:hint="default"/>
          <w:spacing w:val="-6"/>
        </w:rPr>
        <w:t>282</w:t>
      </w:r>
      <w:r>
        <w:rPr>
          <w:spacing w:val="-6"/>
        </w:rPr>
        <w:t>万元：其中，第三研究所支付国拨经费</w:t>
      </w:r>
      <w:r>
        <w:rPr>
          <w:rFonts w:ascii="Times New Roman" w:hAnsi="Times New Roman" w:cs="Times New Roman" w:eastAsia="Times New Roman" w:hint="default"/>
          <w:spacing w:val="-6"/>
        </w:rPr>
        <w:t>132</w:t>
      </w:r>
      <w:r>
        <w:rPr>
          <w:spacing w:val="-6"/>
        </w:rPr>
        <w:t>万元，本公司自筹</w:t>
      </w:r>
      <w:r>
        <w:rPr>
          <w:rFonts w:ascii="Times New Roman" w:hAnsi="Times New Roman" w:cs="Times New Roman" w:eastAsia="Times New Roman" w:hint="default"/>
          <w:spacing w:val="-6"/>
        </w:rPr>
        <w:t>150</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t>万元；截止本年度期末，本公司收到拨入的经费</w:t>
      </w:r>
      <w:r>
        <w:rPr>
          <w:rFonts w:ascii="Times New Roman" w:hAnsi="Times New Roman" w:cs="Times New Roman" w:eastAsia="Times New Roman" w:hint="default"/>
        </w:rPr>
        <w:t>30</w:t>
      </w:r>
      <w:r>
        <w:rPr/>
        <w:t>万元。</w:t>
      </w:r>
    </w:p>
    <w:p>
      <w:pPr>
        <w:pStyle w:val="BodyText"/>
        <w:spacing w:line="240" w:lineRule="auto" w:before="35"/>
        <w:ind w:left="560" w:right="120"/>
        <w:jc w:val="left"/>
      </w:pPr>
      <w:r>
        <w:rPr>
          <w:rFonts w:ascii="Times New Roman" w:hAnsi="Times New Roman" w:cs="Times New Roman" w:eastAsia="Times New Roman" w:hint="default"/>
        </w:rPr>
        <w:t>8</w:t>
      </w:r>
      <w:r>
        <w:rPr/>
        <w:t>：系本公司与公安部第三研究所签订科研项目合作合同书，由本公司承担国家科技支</w:t>
      </w:r>
    </w:p>
    <w:p>
      <w:pPr>
        <w:spacing w:after="0" w:line="240" w:lineRule="auto"/>
        <w:jc w:val="left"/>
        <w:sectPr>
          <w:pgSz w:w="11910" w:h="16840"/>
          <w:pgMar w:header="877" w:footer="1227" w:top="1100" w:bottom="1420" w:left="1660" w:right="1600"/>
        </w:sectPr>
      </w:pPr>
    </w:p>
    <w:p>
      <w:pPr>
        <w:spacing w:line="240" w:lineRule="auto" w:before="9"/>
        <w:rPr>
          <w:rFonts w:ascii="宋体" w:hAnsi="宋体" w:cs="宋体" w:eastAsia="宋体" w:hint="default"/>
          <w:sz w:val="26"/>
          <w:szCs w:val="26"/>
        </w:rPr>
      </w:pPr>
    </w:p>
    <w:p>
      <w:pPr>
        <w:pStyle w:val="BodyText"/>
        <w:spacing w:line="386" w:lineRule="auto" w:before="36"/>
        <w:ind w:right="120"/>
        <w:jc w:val="left"/>
      </w:pPr>
      <w:r>
        <w:rPr>
          <w:spacing w:val="-2"/>
        </w:rPr>
        <w:t>撑计划</w:t>
      </w:r>
      <w:r>
        <w:rPr>
          <w:rFonts w:ascii="Times New Roman" w:hAnsi="Times New Roman" w:cs="Times New Roman" w:eastAsia="Times New Roman" w:hint="default"/>
          <w:spacing w:val="-2"/>
        </w:rPr>
        <w:t>“</w:t>
      </w:r>
      <w:r>
        <w:rPr>
          <w:spacing w:val="-2"/>
        </w:rPr>
        <w:t>电子取证关键技术研究</w:t>
      </w:r>
      <w:r>
        <w:rPr>
          <w:rFonts w:ascii="Times New Roman" w:hAnsi="Times New Roman" w:cs="Times New Roman" w:eastAsia="Times New Roman" w:hint="default"/>
          <w:spacing w:val="-2"/>
        </w:rPr>
        <w:t>”</w:t>
      </w:r>
      <w:r>
        <w:rPr>
          <w:spacing w:val="-2"/>
        </w:rPr>
        <w:t>，合同约定项目经费</w:t>
      </w:r>
      <w:r>
        <w:rPr>
          <w:rFonts w:ascii="Times New Roman" w:hAnsi="Times New Roman" w:cs="Times New Roman" w:eastAsia="Times New Roman" w:hint="default"/>
          <w:spacing w:val="-2"/>
        </w:rPr>
        <w:t>296</w:t>
      </w:r>
      <w:r>
        <w:rPr>
          <w:spacing w:val="-2"/>
        </w:rPr>
        <w:t>万元：其中，第三研究所支付国拨</w:t>
      </w:r>
      <w:r>
        <w:rPr>
          <w:spacing w:val="-32"/>
        </w:rPr>
        <w:t> </w:t>
      </w:r>
      <w:r>
        <w:rPr>
          <w:spacing w:val="-32"/>
        </w:rPr>
      </w:r>
      <w:r>
        <w:rPr/>
        <w:t>经费</w:t>
      </w:r>
      <w:r>
        <w:rPr>
          <w:rFonts w:ascii="Times New Roman" w:hAnsi="Times New Roman" w:cs="Times New Roman" w:eastAsia="Times New Roman" w:hint="default"/>
        </w:rPr>
        <w:t>96</w:t>
      </w:r>
      <w:r>
        <w:rPr/>
        <w:t>万元，本公司自筹</w:t>
      </w:r>
      <w:r>
        <w:rPr>
          <w:rFonts w:ascii="Times New Roman" w:hAnsi="Times New Roman" w:cs="Times New Roman" w:eastAsia="Times New Roman" w:hint="default"/>
        </w:rPr>
        <w:t>200</w:t>
      </w:r>
      <w:r>
        <w:rPr/>
        <w:t>万元；截止本年度期末，本公司收到拨入的经费</w:t>
      </w:r>
      <w:r>
        <w:rPr>
          <w:rFonts w:ascii="Times New Roman" w:hAnsi="Times New Roman" w:cs="Times New Roman" w:eastAsia="Times New Roman" w:hint="default"/>
        </w:rPr>
        <w:t>19</w:t>
      </w:r>
      <w:r>
        <w:rPr/>
        <w:t>万元。</w:t>
      </w:r>
    </w:p>
    <w:p>
      <w:pPr>
        <w:pStyle w:val="BodyText"/>
        <w:spacing w:line="386" w:lineRule="auto" w:before="35"/>
        <w:ind w:right="120" w:firstLine="419"/>
        <w:jc w:val="left"/>
      </w:pPr>
      <w:r>
        <w:rPr>
          <w:rFonts w:ascii="Times New Roman" w:hAnsi="Times New Roman" w:cs="Times New Roman" w:eastAsia="Times New Roman" w:hint="default"/>
          <w:spacing w:val="-2"/>
        </w:rPr>
        <w:t>9</w:t>
      </w:r>
      <w:r>
        <w:rPr>
          <w:spacing w:val="-2"/>
        </w:rPr>
        <w:t>：系由本公司承担国家科技支撑计划，合同约定下拨经费</w:t>
      </w:r>
      <w:r>
        <w:rPr>
          <w:rFonts w:ascii="Times New Roman" w:hAnsi="Times New Roman" w:cs="Times New Roman" w:eastAsia="Times New Roman" w:hint="default"/>
          <w:spacing w:val="-2"/>
        </w:rPr>
        <w:t>96</w:t>
      </w:r>
      <w:r>
        <w:rPr>
          <w:spacing w:val="-2"/>
        </w:rPr>
        <w:t>万元，截止本年度期末，</w:t>
      </w:r>
      <w:r>
        <w:rPr>
          <w:w w:val="100"/>
        </w:rPr>
        <w:t> </w:t>
      </w:r>
      <w:r>
        <w:rPr/>
        <w:t>本公司共计收到其拨入经费</w:t>
      </w:r>
      <w:r>
        <w:rPr>
          <w:rFonts w:ascii="Times New Roman" w:hAnsi="Times New Roman" w:cs="Times New Roman" w:eastAsia="Times New Roman" w:hint="default"/>
        </w:rPr>
        <w:t>96</w:t>
      </w:r>
      <w:r>
        <w:rPr/>
        <w:t>万元。</w:t>
      </w:r>
    </w:p>
    <w:p>
      <w:pPr>
        <w:spacing w:line="240" w:lineRule="auto" w:before="10"/>
        <w:rPr>
          <w:rFonts w:ascii="宋体" w:hAnsi="宋体" w:cs="宋体" w:eastAsia="宋体" w:hint="default"/>
          <w:sz w:val="19"/>
          <w:szCs w:val="19"/>
        </w:rPr>
      </w:pPr>
    </w:p>
    <w:p>
      <w:pPr>
        <w:pStyle w:val="Heading3"/>
        <w:spacing w:line="240" w:lineRule="auto"/>
        <w:ind w:right="120"/>
        <w:jc w:val="left"/>
        <w:rPr>
          <w:b w:val="0"/>
          <w:bCs w:val="0"/>
        </w:rPr>
      </w:pPr>
      <w:r>
        <w:rPr>
          <w:rFonts w:ascii="Times New Roman" w:hAnsi="Times New Roman" w:cs="Times New Roman" w:eastAsia="Times New Roman" w:hint="default"/>
        </w:rPr>
        <w:t>47</w:t>
      </w:r>
      <w:r>
        <w:rPr/>
        <w:t>、股本</w:t>
      </w:r>
      <w:r>
        <w:rPr>
          <w:b w:val="0"/>
          <w:bCs w:val="0"/>
        </w:rPr>
      </w:r>
    </w:p>
    <w:p>
      <w:pPr>
        <w:spacing w:line="240" w:lineRule="auto" w:before="4"/>
        <w:rPr>
          <w:rFonts w:ascii="宋体" w:hAnsi="宋体" w:cs="宋体" w:eastAsia="宋体" w:hint="default"/>
          <w:b/>
          <w:bCs/>
          <w:sz w:val="26"/>
          <w:szCs w:val="26"/>
        </w:rPr>
      </w:pPr>
    </w:p>
    <w:p>
      <w:pPr>
        <w:spacing w:before="0"/>
        <w:ind w:left="0" w:right="19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960"/>
        <w:gridCol w:w="1090"/>
        <w:gridCol w:w="972"/>
        <w:gridCol w:w="972"/>
        <w:gridCol w:w="1090"/>
        <w:gridCol w:w="1001"/>
        <w:gridCol w:w="1081"/>
        <w:gridCol w:w="1188"/>
      </w:tblGrid>
      <w:tr>
        <w:trPr>
          <w:trHeight w:val="206" w:hRule="exact"/>
        </w:trPr>
        <w:tc>
          <w:tcPr>
            <w:tcW w:w="9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115"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569" w:right="0"/>
              <w:jc w:val="left"/>
              <w:rPr>
                <w:rFonts w:ascii="宋体" w:hAnsi="宋体" w:cs="宋体" w:eastAsia="宋体" w:hint="default"/>
                <w:sz w:val="18"/>
                <w:szCs w:val="18"/>
              </w:rPr>
            </w:pPr>
            <w:r>
              <w:rPr>
                <w:rFonts w:ascii="宋体" w:hAnsi="宋体" w:cs="宋体" w:eastAsia="宋体" w:hint="default"/>
                <w:sz w:val="18"/>
                <w:szCs w:val="18"/>
              </w:rPr>
              <w:t>本期变动增减（＋、－）</w:t>
            </w:r>
          </w:p>
        </w:tc>
        <w:tc>
          <w:tcPr>
            <w:tcW w:w="118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960" w:type="dxa"/>
            <w:vMerge w:val="restart"/>
            <w:tcBorders>
              <w:top w:val="nil" w:sz="6" w:space="0" w:color="auto"/>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115" w:type="dxa"/>
            <w:gridSpan w:val="5"/>
            <w:vMerge/>
            <w:tcBorders>
              <w:left w:val="single" w:sz="4" w:space="0" w:color="000000"/>
              <w:bottom w:val="single" w:sz="4" w:space="0" w:color="000000"/>
              <w:right w:val="single" w:sz="4" w:space="0" w:color="000000"/>
            </w:tcBorders>
            <w:shd w:val="clear" w:color="auto" w:fill="D2D2D2"/>
          </w:tcPr>
          <w:p>
            <w:pPr/>
          </w:p>
        </w:tc>
        <w:tc>
          <w:tcPr>
            <w:tcW w:w="11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99" w:hRule="exact"/>
        </w:trPr>
        <w:tc>
          <w:tcPr>
            <w:tcW w:w="960"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9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9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99"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8"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6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88"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9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72" w:type="dxa"/>
            <w:vMerge/>
            <w:tcBorders>
              <w:left w:val="single" w:sz="4" w:space="0" w:color="000000"/>
              <w:bottom w:val="single" w:sz="4" w:space="0" w:color="000000"/>
              <w:right w:val="single" w:sz="4" w:space="0" w:color="000000"/>
            </w:tcBorders>
            <w:shd w:val="clear" w:color="auto" w:fill="D2D2D2"/>
          </w:tcPr>
          <w:p>
            <w:pPr/>
          </w:p>
        </w:tc>
        <w:tc>
          <w:tcPr>
            <w:tcW w:w="972"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1081" w:type="dxa"/>
            <w:vMerge/>
            <w:tcBorders>
              <w:left w:val="single" w:sz="4" w:space="0" w:color="000000"/>
              <w:bottom w:val="single" w:sz="4" w:space="0" w:color="000000"/>
              <w:right w:val="single" w:sz="4" w:space="0" w:color="000000"/>
            </w:tcBorders>
            <w:shd w:val="clear" w:color="auto" w:fill="D2D2D2"/>
          </w:tcPr>
          <w:p>
            <w:pPr/>
          </w:p>
        </w:tc>
        <w:tc>
          <w:tcPr>
            <w:tcW w:w="118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0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 w:right="0"/>
              <w:jc w:val="left"/>
              <w:rPr>
                <w:rFonts w:ascii="Times New Roman" w:hAnsi="Times New Roman" w:cs="Times New Roman" w:eastAsia="Times New Roman" w:hint="default"/>
                <w:sz w:val="18"/>
                <w:szCs w:val="18"/>
              </w:rPr>
            </w:pPr>
            <w:r>
              <w:rPr>
                <w:rFonts w:ascii="Times New Roman"/>
                <w:sz w:val="18"/>
              </w:rPr>
              <w:t>53,500,000.00</w:t>
            </w:r>
          </w:p>
        </w:tc>
        <w:tc>
          <w:tcPr>
            <w:tcW w:w="972"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53,500,000.00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3,906,600.00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57,406,600.00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110,906,600.00</w:t>
            </w:r>
          </w:p>
        </w:tc>
      </w:tr>
    </w:tbl>
    <w:p>
      <w:pPr>
        <w:spacing w:line="309" w:lineRule="auto" w:before="49"/>
        <w:ind w:left="140" w:right="224" w:firstLine="0"/>
        <w:jc w:val="both"/>
        <w:rPr>
          <w:rFonts w:ascii="宋体" w:hAnsi="宋体" w:cs="宋体" w:eastAsia="宋体" w:hint="default"/>
          <w:sz w:val="18"/>
          <w:szCs w:val="18"/>
        </w:rPr>
      </w:pPr>
      <w:r>
        <w:rPr>
          <w:rFonts w:ascii="宋体" w:hAnsi="宋体" w:cs="宋体" w:eastAsia="宋体" w:hint="default"/>
          <w:sz w:val="18"/>
          <w:szCs w:val="18"/>
        </w:rPr>
        <w:t>股本变动情况说明，本报告期内有增资或减资行为的，应披露执行验资的会计师事务所名称和验资报告文 号；运行不足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年的股份有限公司，设立前的年份只需说明净资产情况；有限责任公司整体变更为股份公 司应说明公司设立时的验资情况：</w:t>
      </w:r>
    </w:p>
    <w:p>
      <w:pPr>
        <w:spacing w:before="62"/>
        <w:ind w:left="140" w:right="0" w:firstLine="0"/>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年度股东大会审议通过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年度利润分配方案，以</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5,350 </w:t>
      </w:r>
      <w:r>
        <w:rPr>
          <w:rFonts w:ascii="宋体" w:hAnsi="宋体" w:cs="宋体" w:eastAsia="宋体" w:hint="default"/>
          <w:sz w:val="18"/>
          <w:szCs w:val="18"/>
        </w:rPr>
        <w:t>万股为</w:t>
      </w:r>
    </w:p>
    <w:p>
      <w:pPr>
        <w:spacing w:before="63"/>
        <w:ind w:left="140" w:right="0" w:firstLine="0"/>
        <w:jc w:val="both"/>
        <w:rPr>
          <w:rFonts w:ascii="宋体" w:hAnsi="宋体" w:cs="宋体" w:eastAsia="宋体" w:hint="default"/>
          <w:sz w:val="18"/>
          <w:szCs w:val="18"/>
        </w:rPr>
      </w:pPr>
      <w:r>
        <w:rPr>
          <w:rFonts w:ascii="宋体" w:hAnsi="宋体" w:cs="宋体" w:eastAsia="宋体" w:hint="default"/>
          <w:spacing w:val="-6"/>
          <w:sz w:val="18"/>
          <w:szCs w:val="18"/>
        </w:rPr>
        <w:t>基数，以资本公积金每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pacing w:val="-9"/>
          <w:sz w:val="18"/>
          <w:szCs w:val="18"/>
        </w:rPr>
        <w:t>股，共计转增</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5,350</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万股。根据公司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年第一次临时股东大会决议、</w:t>
      </w:r>
    </w:p>
    <w:p>
      <w:pPr>
        <w:spacing w:line="300" w:lineRule="auto" w:before="63"/>
        <w:ind w:left="140" w:right="196" w:firstLine="0"/>
        <w:jc w:val="both"/>
        <w:rPr>
          <w:rFonts w:ascii="宋体" w:hAnsi="宋体" w:cs="宋体" w:eastAsia="宋体" w:hint="default"/>
          <w:sz w:val="18"/>
          <w:szCs w:val="18"/>
        </w:rPr>
      </w:pPr>
      <w:r>
        <w:rPr>
          <w:rFonts w:ascii="宋体" w:hAnsi="宋体" w:cs="宋体" w:eastAsia="宋体" w:hint="default"/>
          <w:spacing w:val="-5"/>
          <w:sz w:val="18"/>
          <w:szCs w:val="18"/>
        </w:rPr>
        <w:t>第一届董事会第二十一次会议决议和《限制性股票激励计划（草案修订稿）》，以定向增发方式向</w:t>
      </w:r>
      <w:r>
        <w:rPr>
          <w:rFonts w:ascii="宋体" w:hAnsi="宋体" w:cs="宋体" w:eastAsia="宋体" w:hint="default"/>
          <w:spacing w:val="-31"/>
          <w:sz w:val="18"/>
          <w:szCs w:val="18"/>
        </w:rPr>
        <w:t> </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名激</w:t>
      </w:r>
      <w:r>
        <w:rPr>
          <w:rFonts w:ascii="宋体" w:hAnsi="宋体" w:cs="宋体" w:eastAsia="宋体" w:hint="default"/>
          <w:spacing w:val="-81"/>
          <w:sz w:val="18"/>
          <w:szCs w:val="18"/>
        </w:rPr>
        <w:t> </w:t>
      </w:r>
      <w:r>
        <w:rPr>
          <w:rFonts w:ascii="宋体" w:hAnsi="宋体" w:cs="宋体" w:eastAsia="宋体" w:hint="default"/>
          <w:sz w:val="18"/>
          <w:szCs w:val="18"/>
        </w:rPr>
        <w:t>励对象授予限制性人民币普通股（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390.66</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万股，每股面值</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元，授予价格每股</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8.58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股，共计增加 注册资本（股本）</w:t>
      </w:r>
      <w:r>
        <w:rPr>
          <w:rFonts w:ascii="Times New Roman" w:hAnsi="Times New Roman" w:cs="Times New Roman" w:eastAsia="Times New Roman" w:hint="default"/>
          <w:sz w:val="18"/>
          <w:szCs w:val="18"/>
        </w:rPr>
        <w:t>5740.66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before="53"/>
        <w:ind w:left="140" w:right="0" w:firstLine="0"/>
        <w:jc w:val="both"/>
        <w:rPr>
          <w:rFonts w:ascii="宋体" w:hAnsi="宋体" w:cs="宋体" w:eastAsia="宋体" w:hint="default"/>
          <w:sz w:val="18"/>
          <w:szCs w:val="18"/>
        </w:rPr>
      </w:pPr>
      <w:r>
        <w:rPr>
          <w:rFonts w:ascii="宋体" w:hAnsi="宋体" w:cs="宋体" w:eastAsia="宋体" w:hint="default"/>
          <w:sz w:val="18"/>
          <w:szCs w:val="18"/>
        </w:rPr>
        <w:t>上述增资业经天健正信会计师事务所有限公司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天健正信验（</w:t>
      </w:r>
      <w:r>
        <w:rPr>
          <w:rFonts w:ascii="Times New Roman" w:hAnsi="Times New Roman" w:cs="Times New Roman" w:eastAsia="Times New Roman" w:hint="default"/>
          <w:sz w:val="18"/>
          <w:szCs w:val="18"/>
        </w:rPr>
        <w:t>2012</w:t>
      </w:r>
      <w:r>
        <w:rPr>
          <w:rFonts w:ascii="宋体" w:hAnsi="宋体" w:cs="宋体" w:eastAsia="宋体" w:hint="default"/>
          <w:sz w:val="18"/>
          <w:szCs w:val="18"/>
        </w:rPr>
        <w:t>）综字第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020095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验资报告验证。</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48</w:t>
      </w:r>
      <w:r>
        <w:rPr/>
        <w:t>、库存股</w:t>
      </w:r>
      <w:r>
        <w:rPr>
          <w:b w:val="0"/>
          <w:bCs w:val="0"/>
        </w:rPr>
      </w:r>
    </w:p>
    <w:p>
      <w:pPr>
        <w:spacing w:line="240" w:lineRule="auto" w:before="7"/>
        <w:rPr>
          <w:rFonts w:ascii="宋体" w:hAnsi="宋体" w:cs="宋体" w:eastAsia="宋体" w:hint="default"/>
          <w:b/>
          <w:bCs/>
          <w:sz w:val="24"/>
          <w:szCs w:val="24"/>
        </w:rPr>
      </w:pPr>
    </w:p>
    <w:p>
      <w:pPr>
        <w:spacing w:line="525" w:lineRule="auto" w:before="0"/>
        <w:ind w:left="140" w:right="7239" w:hanging="3"/>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w w:val="100"/>
          <w:sz w:val="21"/>
          <w:szCs w:val="21"/>
        </w:rPr>
        <w:t> </w:t>
      </w:r>
      <w:r>
        <w:rPr>
          <w:rFonts w:ascii="Times New Roman" w:hAnsi="Times New Roman" w:cs="Times New Roman" w:eastAsia="Times New Roman" w:hint="default"/>
          <w:b/>
          <w:bCs/>
          <w:spacing w:val="-1"/>
          <w:sz w:val="21"/>
          <w:szCs w:val="21"/>
        </w:rPr>
        <w:t>49</w:t>
      </w:r>
      <w:r>
        <w:rPr>
          <w:rFonts w:ascii="宋体" w:hAnsi="宋体" w:cs="宋体" w:eastAsia="宋体" w:hint="default"/>
          <w:b/>
          <w:bCs/>
          <w:spacing w:val="-1"/>
          <w:sz w:val="21"/>
          <w:szCs w:val="21"/>
        </w:rPr>
        <w:t>、专项储备</w:t>
      </w:r>
      <w:r>
        <w:rPr>
          <w:rFonts w:ascii="宋体" w:hAnsi="宋体" w:cs="宋体" w:eastAsia="宋体" w:hint="default"/>
          <w:b/>
          <w:bCs/>
          <w:w w:val="100"/>
          <w:sz w:val="21"/>
          <w:szCs w:val="21"/>
        </w:rPr>
        <w:t> </w:t>
      </w:r>
      <w:r>
        <w:rPr>
          <w:rFonts w:ascii="宋体" w:hAnsi="宋体" w:cs="宋体" w:eastAsia="宋体" w:hint="default"/>
          <w:sz w:val="21"/>
          <w:szCs w:val="21"/>
        </w:rPr>
        <w:t>无。</w:t>
      </w:r>
      <w:r>
        <w:rPr>
          <w:rFonts w:ascii="宋体" w:hAnsi="宋体" w:cs="宋体" w:eastAsia="宋体" w:hint="default"/>
          <w:w w:val="100"/>
          <w:sz w:val="21"/>
          <w:szCs w:val="21"/>
        </w:rPr>
        <w:t> </w:t>
      </w:r>
      <w:r>
        <w:rPr>
          <w:rFonts w:ascii="Times New Roman" w:hAnsi="Times New Roman" w:cs="Times New Roman" w:eastAsia="Times New Roman" w:hint="default"/>
          <w:b/>
          <w:bCs/>
          <w:spacing w:val="-1"/>
          <w:sz w:val="21"/>
          <w:szCs w:val="21"/>
        </w:rPr>
        <w:t>50</w:t>
      </w:r>
      <w:r>
        <w:rPr>
          <w:rFonts w:ascii="宋体" w:hAnsi="宋体" w:cs="宋体" w:eastAsia="宋体" w:hint="default"/>
          <w:b/>
          <w:bCs/>
          <w:spacing w:val="-1"/>
          <w:sz w:val="21"/>
          <w:szCs w:val="21"/>
        </w:rPr>
        <w:t>、资本公积</w:t>
      </w:r>
      <w:r>
        <w:rPr>
          <w:rFonts w:ascii="宋体" w:hAnsi="宋体" w:cs="宋体" w:eastAsia="宋体" w:hint="default"/>
          <w:spacing w:val="-1"/>
          <w:sz w:val="21"/>
          <w:szCs w:val="21"/>
        </w:rPr>
      </w:r>
    </w:p>
    <w:p>
      <w:pPr>
        <w:spacing w:before="65"/>
        <w:ind w:left="0" w:right="19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069"/>
        <w:gridCol w:w="1637"/>
        <w:gridCol w:w="1743"/>
        <w:gridCol w:w="1510"/>
        <w:gridCol w:w="1395"/>
      </w:tblGrid>
      <w:tr>
        <w:trPr>
          <w:trHeight w:val="404" w:hRule="exact"/>
        </w:trPr>
        <w:tc>
          <w:tcPr>
            <w:tcW w:w="2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7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503,182,020.13</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29,612,028.00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1" w:right="0"/>
              <w:jc w:val="left"/>
              <w:rPr>
                <w:rFonts w:ascii="Times New Roman" w:hAnsi="Times New Roman" w:cs="Times New Roman" w:eastAsia="Times New Roman" w:hint="default"/>
                <w:sz w:val="18"/>
                <w:szCs w:val="18"/>
              </w:rPr>
            </w:pPr>
            <w:r>
              <w:rPr>
                <w:rFonts w:ascii="Times New Roman"/>
                <w:sz w:val="18"/>
              </w:rPr>
              <w:t>53,500,000.00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479,294,048.13</w:t>
            </w:r>
          </w:p>
        </w:tc>
      </w:tr>
      <w:tr>
        <w:trPr>
          <w:trHeight w:val="403" w:hRule="exact"/>
        </w:trPr>
        <w:tc>
          <w:tcPr>
            <w:tcW w:w="2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637" w:type="dxa"/>
            <w:tcBorders>
              <w:top w:val="single" w:sz="4" w:space="0" w:color="000000"/>
              <w:left w:val="single" w:sz="13" w:space="0" w:color="D2D2D2"/>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3,995,219.96</w:t>
            </w:r>
          </w:p>
        </w:tc>
        <w:tc>
          <w:tcPr>
            <w:tcW w:w="151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3,995,219.96</w:t>
            </w:r>
          </w:p>
        </w:tc>
      </w:tr>
      <w:tr>
        <w:trPr>
          <w:trHeight w:val="401" w:hRule="exact"/>
        </w:trPr>
        <w:tc>
          <w:tcPr>
            <w:tcW w:w="2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503,182,020.13</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33,607,247.96</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1" w:right="0"/>
              <w:jc w:val="left"/>
              <w:rPr>
                <w:rFonts w:ascii="Times New Roman" w:hAnsi="Times New Roman" w:cs="Times New Roman" w:eastAsia="Times New Roman" w:hint="default"/>
                <w:sz w:val="18"/>
                <w:szCs w:val="18"/>
              </w:rPr>
            </w:pPr>
            <w:r>
              <w:rPr>
                <w:rFonts w:ascii="Times New Roman"/>
                <w:sz w:val="18"/>
              </w:rPr>
              <w:t>53,500,000.00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483,289,268.09</w:t>
            </w:r>
          </w:p>
        </w:tc>
      </w:tr>
    </w:tbl>
    <w:p>
      <w:pPr>
        <w:spacing w:before="49"/>
        <w:ind w:left="140" w:right="120" w:firstLine="0"/>
        <w:jc w:val="left"/>
        <w:rPr>
          <w:rFonts w:ascii="宋体" w:hAnsi="宋体" w:cs="宋体" w:eastAsia="宋体" w:hint="default"/>
          <w:sz w:val="18"/>
          <w:szCs w:val="18"/>
        </w:rPr>
      </w:pPr>
      <w:r>
        <w:rPr>
          <w:rFonts w:ascii="宋体" w:hAnsi="宋体" w:cs="宋体" w:eastAsia="宋体" w:hint="default"/>
          <w:sz w:val="18"/>
          <w:szCs w:val="18"/>
        </w:rPr>
        <w:t>资本公积说明：</w:t>
      </w:r>
    </w:p>
    <w:p>
      <w:pPr>
        <w:spacing w:line="300" w:lineRule="auto" w:before="117"/>
        <w:ind w:left="140" w:right="21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）本期股本溢价增加系以定向增发方式向 </w:t>
      </w:r>
      <w:r>
        <w:rPr>
          <w:rFonts w:ascii="Times New Roman" w:hAnsi="Times New Roman" w:cs="Times New Roman" w:eastAsia="Times New Roman" w:hint="default"/>
          <w:sz w:val="18"/>
          <w:szCs w:val="18"/>
        </w:rPr>
        <w:t>201 </w:t>
      </w:r>
      <w:r>
        <w:rPr>
          <w:rFonts w:ascii="宋体" w:hAnsi="宋体" w:cs="宋体" w:eastAsia="宋体" w:hint="default"/>
          <w:sz w:val="18"/>
          <w:szCs w:val="18"/>
        </w:rPr>
        <w:t>名激励对象授予限制性人民币普通股（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w:t>
      </w:r>
      <w:r>
        <w:rPr>
          <w:rFonts w:ascii="Times New Roman" w:hAnsi="Times New Roman" w:cs="Times New Roman" w:eastAsia="Times New Roman" w:hint="default"/>
          <w:sz w:val="18"/>
          <w:szCs w:val="18"/>
        </w:rPr>
        <w:t>390.66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 股，每股面值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元，发行价格</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8.58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股，相应增加股本溢价</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29,612,028.00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元。本期股本溢价减少系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p>
    <w:p>
      <w:pPr>
        <w:spacing w:before="13"/>
        <w:ind w:left="140" w:right="120" w:firstLine="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年度股东大会审议通过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年度利润分配方案，以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日总股本</w:t>
      </w:r>
    </w:p>
    <w:p>
      <w:pPr>
        <w:spacing w:after="0"/>
        <w:jc w:val="left"/>
        <w:rPr>
          <w:rFonts w:ascii="宋体" w:hAnsi="宋体" w:cs="宋体" w:eastAsia="宋体" w:hint="default"/>
          <w:sz w:val="18"/>
          <w:szCs w:val="18"/>
        </w:rPr>
        <w:sectPr>
          <w:pgSz w:w="11910" w:h="16840"/>
          <w:pgMar w:header="877" w:footer="1227" w:top="1100" w:bottom="1420" w:left="1660" w:right="1600"/>
        </w:sectPr>
      </w:pPr>
    </w:p>
    <w:p>
      <w:pPr>
        <w:spacing w:line="240" w:lineRule="auto" w:before="11"/>
        <w:rPr>
          <w:rFonts w:ascii="宋体" w:hAnsi="宋体" w:cs="宋体" w:eastAsia="宋体" w:hint="default"/>
          <w:sz w:val="21"/>
          <w:szCs w:val="21"/>
        </w:rPr>
      </w:pPr>
    </w:p>
    <w:p>
      <w:pPr>
        <w:spacing w:before="44"/>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5,350 </w:t>
      </w:r>
      <w:r>
        <w:rPr>
          <w:rFonts w:ascii="宋体" w:hAnsi="宋体" w:cs="宋体" w:eastAsia="宋体" w:hint="default"/>
          <w:sz w:val="18"/>
          <w:szCs w:val="18"/>
        </w:rPr>
        <w:t>万股为基数，以资本公积金每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股，共计转增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5,350 </w:t>
      </w:r>
      <w:r>
        <w:rPr>
          <w:rFonts w:ascii="宋体" w:hAnsi="宋体" w:cs="宋体" w:eastAsia="宋体" w:hint="default"/>
          <w:sz w:val="18"/>
          <w:szCs w:val="18"/>
        </w:rPr>
        <w:t>万股。</w:t>
      </w:r>
    </w:p>
    <w:p>
      <w:pPr>
        <w:spacing w:line="300" w:lineRule="auto" w:before="104"/>
        <w:ind w:left="140" w:right="0" w:firstLine="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）其他资本公积增加系本公司实施以权益结算的股份支付，本期以股份支付换取的职工服务按权益工具</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授予日的公允价值计算的金额为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3,995,219.96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元，相应增加其他资本公积</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3,995,219.96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51</w:t>
      </w:r>
      <w:r>
        <w:rPr/>
        <w:t>、盈余公积</w:t>
      </w:r>
      <w:r>
        <w:rPr>
          <w:b w:val="0"/>
          <w:bCs w:val="0"/>
        </w:rPr>
      </w:r>
    </w:p>
    <w:p>
      <w:pPr>
        <w:spacing w:line="240" w:lineRule="auto" w:before="4"/>
        <w:rPr>
          <w:rFonts w:ascii="宋体" w:hAnsi="宋体" w:cs="宋体" w:eastAsia="宋体" w:hint="default"/>
          <w:b/>
          <w:bCs/>
          <w:sz w:val="26"/>
          <w:szCs w:val="26"/>
        </w:rPr>
      </w:pPr>
    </w:p>
    <w:p>
      <w:pPr>
        <w:spacing w:before="0"/>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069"/>
        <w:gridCol w:w="1637"/>
        <w:gridCol w:w="1743"/>
        <w:gridCol w:w="1510"/>
        <w:gridCol w:w="1395"/>
      </w:tblGrid>
      <w:tr>
        <w:trPr>
          <w:trHeight w:val="401" w:hRule="exact"/>
        </w:trPr>
        <w:tc>
          <w:tcPr>
            <w:tcW w:w="2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7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556" w:right="0"/>
              <w:jc w:val="left"/>
              <w:rPr>
                <w:rFonts w:ascii="Times New Roman" w:hAnsi="Times New Roman" w:cs="Times New Roman" w:eastAsia="Times New Roman" w:hint="default"/>
                <w:sz w:val="18"/>
                <w:szCs w:val="18"/>
              </w:rPr>
            </w:pPr>
            <w:r>
              <w:rPr>
                <w:rFonts w:ascii="Times New Roman"/>
                <w:sz w:val="18"/>
              </w:rPr>
              <w:t>12,338,591.73</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7,822,886.13</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20,161,477.86</w:t>
            </w:r>
          </w:p>
        </w:tc>
      </w:tr>
      <w:tr>
        <w:trPr>
          <w:trHeight w:val="403" w:hRule="exact"/>
        </w:trPr>
        <w:tc>
          <w:tcPr>
            <w:tcW w:w="2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56" w:right="0"/>
              <w:jc w:val="left"/>
              <w:rPr>
                <w:rFonts w:ascii="Times New Roman" w:hAnsi="Times New Roman" w:cs="Times New Roman" w:eastAsia="Times New Roman" w:hint="default"/>
                <w:sz w:val="18"/>
                <w:szCs w:val="18"/>
              </w:rPr>
            </w:pPr>
            <w:r>
              <w:rPr>
                <w:rFonts w:ascii="Times New Roman"/>
                <w:sz w:val="18"/>
              </w:rPr>
              <w:t>12,338,591.73</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7,822,886.13</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20,161,477.86</w:t>
            </w:r>
          </w:p>
        </w:tc>
      </w:tr>
    </w:tbl>
    <w:p>
      <w:pPr>
        <w:spacing w:line="357" w:lineRule="auto" w:before="49"/>
        <w:ind w:left="140" w:right="1738" w:firstLine="0"/>
        <w:jc w:val="left"/>
        <w:rPr>
          <w:rFonts w:ascii="宋体" w:hAnsi="宋体" w:cs="宋体" w:eastAsia="宋体" w:hint="default"/>
          <w:sz w:val="18"/>
          <w:szCs w:val="18"/>
        </w:rPr>
      </w:pPr>
      <w:r>
        <w:rPr>
          <w:rFonts w:ascii="宋体" w:hAnsi="宋体" w:cs="宋体" w:eastAsia="宋体" w:hint="default"/>
          <w:sz w:val="18"/>
          <w:szCs w:val="18"/>
        </w:rPr>
        <w:t>盈余公积说明，用盈余公积转增股本、弥补亏损、分派股利的，应说明有关决议： 本年度盈余公积增加数系母公司根据本年度实现的净利润的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％提取法定盈余公积。</w:t>
      </w:r>
    </w:p>
    <w:p>
      <w:pPr>
        <w:spacing w:line="240" w:lineRule="auto" w:before="9"/>
        <w:rPr>
          <w:rFonts w:ascii="宋体" w:hAnsi="宋体" w:cs="宋体" w:eastAsia="宋体" w:hint="default"/>
          <w:sz w:val="18"/>
          <w:szCs w:val="18"/>
        </w:rPr>
      </w:pPr>
    </w:p>
    <w:p>
      <w:pPr>
        <w:spacing w:line="568" w:lineRule="auto" w:before="0"/>
        <w:ind w:left="560" w:right="4846"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、一般风险准备</w:t>
      </w:r>
      <w:r>
        <w:rPr>
          <w:rFonts w:ascii="宋体" w:hAnsi="宋体" w:cs="宋体" w:eastAsia="宋体" w:hint="default"/>
          <w:b/>
          <w:bCs/>
          <w:w w:val="100"/>
          <w:sz w:val="21"/>
          <w:szCs w:val="21"/>
        </w:rPr>
        <w:t> </w:t>
      </w:r>
      <w:r>
        <w:rPr>
          <w:rFonts w:ascii="宋体" w:hAnsi="宋体" w:cs="宋体" w:eastAsia="宋体" w:hint="default"/>
          <w:spacing w:val="-2"/>
          <w:sz w:val="21"/>
          <w:szCs w:val="21"/>
        </w:rPr>
        <w:t>一般风险准备情况说明：无。</w:t>
      </w:r>
    </w:p>
    <w:p>
      <w:pPr>
        <w:pStyle w:val="Heading3"/>
        <w:spacing w:line="240" w:lineRule="auto" w:before="128"/>
        <w:ind w:right="0"/>
        <w:jc w:val="left"/>
        <w:rPr>
          <w:b w:val="0"/>
          <w:bCs w:val="0"/>
        </w:rPr>
      </w:pPr>
      <w:r>
        <w:rPr>
          <w:rFonts w:ascii="Times New Roman" w:hAnsi="Times New Roman" w:cs="Times New Roman" w:eastAsia="Times New Roman" w:hint="default"/>
        </w:rPr>
        <w:t>53</w:t>
      </w:r>
      <w:r>
        <w:rPr/>
        <w:t>、未分配利润</w:t>
      </w:r>
      <w:r>
        <w:rPr>
          <w:b w:val="0"/>
          <w:bCs w:val="0"/>
        </w:rPr>
      </w:r>
    </w:p>
    <w:p>
      <w:pPr>
        <w:spacing w:line="240" w:lineRule="auto" w:before="12"/>
        <w:rPr>
          <w:rFonts w:ascii="宋体" w:hAnsi="宋体" w:cs="宋体" w:eastAsia="宋体" w:hint="default"/>
          <w:b/>
          <w:bCs/>
          <w:sz w:val="22"/>
          <w:szCs w:val="22"/>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225"/>
        <w:gridCol w:w="3273"/>
        <w:gridCol w:w="1856"/>
      </w:tblGrid>
      <w:tr>
        <w:trPr>
          <w:trHeight w:val="401" w:hRule="exact"/>
        </w:trPr>
        <w:tc>
          <w:tcPr>
            <w:tcW w:w="3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4" w:hRule="exact"/>
        </w:trPr>
        <w:tc>
          <w:tcPr>
            <w:tcW w:w="3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273" w:type="dxa"/>
            <w:tcBorders>
              <w:top w:val="single" w:sz="4" w:space="0" w:color="000000"/>
              <w:left w:val="single" w:sz="9" w:space="0" w:color="D2D2D2"/>
              <w:bottom w:val="single" w:sz="4" w:space="0" w:color="000000"/>
              <w:right w:val="single" w:sz="12"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104,668,122.97</w:t>
            </w: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273" w:type="dxa"/>
            <w:tcBorders>
              <w:top w:val="single" w:sz="4" w:space="0" w:color="000000"/>
              <w:left w:val="single" w:sz="9" w:space="0" w:color="D2D2D2"/>
              <w:bottom w:val="single" w:sz="4" w:space="0" w:color="000000"/>
              <w:right w:val="single" w:sz="12"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104,668,122.97</w:t>
            </w: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273" w:type="dxa"/>
            <w:tcBorders>
              <w:top w:val="single" w:sz="4" w:space="0" w:color="000000"/>
              <w:left w:val="single" w:sz="9" w:space="0" w:color="D2D2D2"/>
              <w:bottom w:val="single" w:sz="4" w:space="0" w:color="000000"/>
              <w:right w:val="single" w:sz="12"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78,431,616.50</w:t>
            </w: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2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7,822,886.13</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3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2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10,700,000.00</w:t>
            </w:r>
          </w:p>
        </w:tc>
        <w:tc>
          <w:tcPr>
            <w:tcW w:w="185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273" w:type="dxa"/>
            <w:tcBorders>
              <w:top w:val="single" w:sz="4" w:space="0" w:color="000000"/>
              <w:left w:val="single" w:sz="9" w:space="0" w:color="D2D2D2"/>
              <w:bottom w:val="single" w:sz="4" w:space="0" w:color="000000"/>
              <w:right w:val="single" w:sz="12"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164,576,853.34</w:t>
            </w: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40" w:right="0" w:firstLine="0"/>
        <w:jc w:val="left"/>
        <w:rPr>
          <w:rFonts w:ascii="宋体" w:hAnsi="宋体" w:cs="宋体" w:eastAsia="宋体" w:hint="default"/>
          <w:sz w:val="18"/>
          <w:szCs w:val="18"/>
        </w:rPr>
      </w:pPr>
      <w:r>
        <w:rPr>
          <w:rFonts w:ascii="宋体" w:hAnsi="宋体" w:cs="宋体" w:eastAsia="宋体" w:hint="default"/>
          <w:sz w:val="18"/>
          <w:szCs w:val="18"/>
        </w:rPr>
        <w:t>调整年初未分配利润明细：</w:t>
      </w:r>
    </w:p>
    <w:p>
      <w:pPr>
        <w:spacing w:before="117"/>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、由于《企业会计准则》及其相关新规定进行追溯调整，影响年初未分配利润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1"/>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、由于会计政策变更，影响年初未分配利润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、由于重大会计差错更正，影响年初未分配利润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4"/>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、由于同一控制导致的合并范围变更，影响年初未分配利润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326" w:lineRule="auto" w:before="101"/>
        <w:ind w:left="140" w:right="16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、其他调整合计影响年初未分配利润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w w:val="99"/>
          <w:sz w:val="18"/>
          <w:szCs w:val="18"/>
        </w:rPr>
        <w:t> </w:t>
      </w:r>
      <w:r>
        <w:rPr>
          <w:rFonts w:ascii="宋体" w:hAnsi="宋体" w:cs="宋体" w:eastAsia="宋体" w:hint="default"/>
          <w:sz w:val="18"/>
          <w:szCs w:val="18"/>
        </w:rPr>
        <w:t>未分配利润说明，对于首次公开发行证券的公司，如果发行前的滚存利润经股东大会决议由新老股东共同</w:t>
      </w:r>
      <w:r>
        <w:rPr>
          <w:rFonts w:ascii="宋体" w:hAnsi="宋体" w:cs="宋体" w:eastAsia="宋体" w:hint="default"/>
          <w:w w:val="99"/>
          <w:sz w:val="18"/>
          <w:szCs w:val="18"/>
        </w:rPr>
        <w:t> </w:t>
      </w:r>
      <w:r>
        <w:rPr>
          <w:rFonts w:ascii="宋体" w:hAnsi="宋体" w:cs="宋体" w:eastAsia="宋体" w:hint="default"/>
          <w:sz w:val="18"/>
          <w:szCs w:val="18"/>
        </w:rPr>
        <w:t>享有，应明确予以说明；如果发行前的滚存利润经股东大会决议在发行前进行分配并由老股东享有，公司</w:t>
      </w:r>
      <w:r>
        <w:rPr>
          <w:rFonts w:ascii="宋体" w:hAnsi="宋体" w:cs="宋体" w:eastAsia="宋体" w:hint="default"/>
          <w:w w:val="99"/>
          <w:sz w:val="18"/>
          <w:szCs w:val="18"/>
        </w:rPr>
        <w:t> </w:t>
      </w:r>
      <w:r>
        <w:rPr>
          <w:rFonts w:ascii="宋体" w:hAnsi="宋体" w:cs="宋体" w:eastAsia="宋体" w:hint="default"/>
          <w:sz w:val="18"/>
          <w:szCs w:val="18"/>
        </w:rPr>
        <w:t>应明确披露应付股利中老股东享有的经审计的利润数。</w:t>
      </w:r>
    </w:p>
    <w:p>
      <w:pPr>
        <w:spacing w:after="0" w:line="326" w:lineRule="auto"/>
        <w:jc w:val="left"/>
        <w:rPr>
          <w:rFonts w:ascii="宋体" w:hAnsi="宋体" w:cs="宋体" w:eastAsia="宋体" w:hint="default"/>
          <w:sz w:val="18"/>
          <w:szCs w:val="18"/>
        </w:rPr>
        <w:sectPr>
          <w:pgSz w:w="11910" w:h="16840"/>
          <w:pgMar w:header="877" w:footer="1227" w:top="1100" w:bottom="1420" w:left="1660" w:right="164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54</w:t>
      </w:r>
      <w:r>
        <w:rPr/>
        <w:t>、营业收入、营业成本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10"/>
        <w:rPr>
          <w:rFonts w:ascii="宋体" w:hAnsi="宋体" w:cs="宋体" w:eastAsia="宋体" w:hint="default"/>
          <w:b/>
          <w:bCs/>
          <w:sz w:val="22"/>
          <w:szCs w:val="22"/>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881"/>
        <w:gridCol w:w="2684"/>
        <w:gridCol w:w="2789"/>
      </w:tblGrid>
      <w:tr>
        <w:trPr>
          <w:trHeight w:val="401"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6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349,997,542.03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268,515,584.75</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6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140,105,791.84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98,071,682.24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3"/>
        <w:rPr>
          <w:rFonts w:ascii="宋体" w:hAnsi="宋体" w:cs="宋体" w:eastAsia="宋体" w:hint="default"/>
          <w:b/>
          <w:bCs/>
          <w:sz w:val="22"/>
          <w:szCs w:val="22"/>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211"/>
        <w:gridCol w:w="1510"/>
        <w:gridCol w:w="1625"/>
        <w:gridCol w:w="1512"/>
        <w:gridCol w:w="1508"/>
      </w:tblGrid>
      <w:tr>
        <w:trPr>
          <w:trHeight w:val="401" w:hRule="exact"/>
        </w:trPr>
        <w:tc>
          <w:tcPr>
            <w:tcW w:w="22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1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0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211" w:type="dxa"/>
            <w:vMerge/>
            <w:tcBorders>
              <w:left w:val="single" w:sz="4" w:space="0" w:color="000000"/>
              <w:bottom w:val="single" w:sz="4" w:space="0" w:color="000000"/>
              <w:right w:val="single" w:sz="4" w:space="0" w:color="000000"/>
            </w:tcBorders>
            <w:shd w:val="clear" w:color="auto" w:fill="D2D2D2"/>
          </w:tcPr>
          <w:p>
            <w:pPr/>
          </w:p>
        </w:tc>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电子信息行业</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8" w:right="0"/>
              <w:jc w:val="left"/>
              <w:rPr>
                <w:rFonts w:ascii="Times New Roman" w:hAnsi="Times New Roman" w:cs="Times New Roman" w:eastAsia="Times New Roman" w:hint="default"/>
                <w:sz w:val="18"/>
                <w:szCs w:val="18"/>
              </w:rPr>
            </w:pPr>
            <w:r>
              <w:rPr>
                <w:rFonts w:ascii="Times New Roman"/>
                <w:sz w:val="18"/>
              </w:rPr>
              <w:t>349,997,542.03</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7" w:right="0"/>
              <w:jc w:val="left"/>
              <w:rPr>
                <w:rFonts w:ascii="Times New Roman" w:hAnsi="Times New Roman" w:cs="Times New Roman" w:eastAsia="Times New Roman" w:hint="default"/>
                <w:sz w:val="18"/>
                <w:szCs w:val="18"/>
              </w:rPr>
            </w:pPr>
            <w:r>
              <w:rPr>
                <w:rFonts w:ascii="Times New Roman"/>
                <w:sz w:val="18"/>
              </w:rPr>
              <w:t>140,105,791.84</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268,515,584.75</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9" w:right="0"/>
              <w:jc w:val="left"/>
              <w:rPr>
                <w:rFonts w:ascii="Times New Roman" w:hAnsi="Times New Roman" w:cs="Times New Roman" w:eastAsia="Times New Roman" w:hint="default"/>
                <w:sz w:val="18"/>
                <w:szCs w:val="18"/>
              </w:rPr>
            </w:pPr>
            <w:r>
              <w:rPr>
                <w:rFonts w:ascii="Times New Roman"/>
                <w:sz w:val="18"/>
              </w:rPr>
              <w:t>98,071,682.24</w:t>
            </w:r>
          </w:p>
        </w:tc>
      </w:tr>
      <w:tr>
        <w:trPr>
          <w:trHeight w:val="403" w:hRule="exact"/>
        </w:trPr>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36" w:right="0"/>
              <w:jc w:val="left"/>
              <w:rPr>
                <w:rFonts w:ascii="Times New Roman" w:hAnsi="Times New Roman" w:cs="Times New Roman" w:eastAsia="Times New Roman" w:hint="default"/>
                <w:sz w:val="18"/>
                <w:szCs w:val="18"/>
              </w:rPr>
            </w:pPr>
            <w:r>
              <w:rPr>
                <w:rFonts w:ascii="Times New Roman"/>
                <w:sz w:val="18"/>
              </w:rPr>
              <w:t>349,997,542.03</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7" w:right="0"/>
              <w:jc w:val="left"/>
              <w:rPr>
                <w:rFonts w:ascii="Times New Roman" w:hAnsi="Times New Roman" w:cs="Times New Roman" w:eastAsia="Times New Roman" w:hint="default"/>
                <w:sz w:val="18"/>
                <w:szCs w:val="18"/>
              </w:rPr>
            </w:pPr>
            <w:r>
              <w:rPr>
                <w:rFonts w:ascii="Times New Roman"/>
                <w:sz w:val="18"/>
              </w:rPr>
              <w:t>140,105,791.84</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268,515,584.75</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9" w:right="0"/>
              <w:jc w:val="left"/>
              <w:rPr>
                <w:rFonts w:ascii="Times New Roman" w:hAnsi="Times New Roman" w:cs="Times New Roman" w:eastAsia="Times New Roman" w:hint="default"/>
                <w:sz w:val="18"/>
                <w:szCs w:val="18"/>
              </w:rPr>
            </w:pPr>
            <w:r>
              <w:rPr>
                <w:rFonts w:ascii="Times New Roman"/>
                <w:sz w:val="18"/>
              </w:rPr>
              <w:t>98,071,682.24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0"/>
        <w:rPr>
          <w:rFonts w:ascii="宋体" w:hAnsi="宋体" w:cs="宋体" w:eastAsia="宋体" w:hint="default"/>
          <w:b/>
          <w:bCs/>
          <w:sz w:val="22"/>
          <w:szCs w:val="22"/>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211"/>
        <w:gridCol w:w="1510"/>
        <w:gridCol w:w="1625"/>
        <w:gridCol w:w="1512"/>
        <w:gridCol w:w="1508"/>
      </w:tblGrid>
      <w:tr>
        <w:trPr>
          <w:trHeight w:val="402" w:hRule="exact"/>
        </w:trPr>
        <w:tc>
          <w:tcPr>
            <w:tcW w:w="22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1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0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11" w:type="dxa"/>
            <w:vMerge/>
            <w:tcBorders>
              <w:left w:val="single" w:sz="4" w:space="0" w:color="000000"/>
              <w:bottom w:val="single" w:sz="4" w:space="0" w:color="000000"/>
              <w:right w:val="single" w:sz="4" w:space="0" w:color="000000"/>
            </w:tcBorders>
            <w:shd w:val="clear" w:color="auto" w:fill="D2D2D2"/>
          </w:tcPr>
          <w:p>
            <w:pPr/>
          </w:p>
        </w:tc>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4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6"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电子数据取证产品</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268,592,124.38</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110,667,171.05</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203,324,976.17</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74,313,782.79</w:t>
            </w:r>
          </w:p>
        </w:tc>
      </w:tr>
      <w:tr>
        <w:trPr>
          <w:trHeight w:val="403"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网络信息安全产品</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52,749,633.61</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21,911,181.05</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41,832,076.49</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16,934,702.14</w:t>
            </w:r>
          </w:p>
        </w:tc>
      </w:tr>
      <w:tr>
        <w:trPr>
          <w:trHeight w:val="713"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5"/>
              <w:jc w:val="left"/>
              <w:rPr>
                <w:rFonts w:ascii="宋体" w:hAnsi="宋体" w:cs="宋体" w:eastAsia="宋体" w:hint="default"/>
                <w:sz w:val="18"/>
                <w:szCs w:val="18"/>
              </w:rPr>
            </w:pPr>
            <w:r>
              <w:rPr>
                <w:rFonts w:ascii="宋体" w:hAnsi="宋体" w:cs="宋体" w:eastAsia="宋体" w:hint="default"/>
                <w:sz w:val="18"/>
                <w:szCs w:val="18"/>
              </w:rPr>
              <w:t>电子数据鉴定及互联网知 识产权保护等服务</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28,548,117.34</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7,470,499.54</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23,358,532.09</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6,823,197.31</w:t>
            </w:r>
          </w:p>
        </w:tc>
      </w:tr>
      <w:tr>
        <w:trPr>
          <w:trHeight w:val="403"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其他产品收入</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107,666.70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56,940.20</w:t>
            </w:r>
          </w:p>
        </w:tc>
        <w:tc>
          <w:tcPr>
            <w:tcW w:w="1512"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349,997,542.03</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140,105,791.84</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268,515,584.75</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98,071,682.24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0"/>
        <w:rPr>
          <w:rFonts w:ascii="宋体" w:hAnsi="宋体" w:cs="宋体" w:eastAsia="宋体" w:hint="default"/>
          <w:b/>
          <w:bCs/>
          <w:sz w:val="22"/>
          <w:szCs w:val="22"/>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211"/>
        <w:gridCol w:w="1510"/>
        <w:gridCol w:w="1625"/>
        <w:gridCol w:w="1512"/>
        <w:gridCol w:w="1508"/>
      </w:tblGrid>
      <w:tr>
        <w:trPr>
          <w:trHeight w:val="402" w:hRule="exact"/>
        </w:trPr>
        <w:tc>
          <w:tcPr>
            <w:tcW w:w="22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1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0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11" w:type="dxa"/>
            <w:vMerge/>
            <w:tcBorders>
              <w:left w:val="single" w:sz="4" w:space="0" w:color="000000"/>
              <w:bottom w:val="single" w:sz="4" w:space="0" w:color="000000"/>
              <w:right w:val="single" w:sz="4" w:space="0" w:color="000000"/>
            </w:tcBorders>
            <w:shd w:val="clear" w:color="auto" w:fill="D2D2D2"/>
          </w:tcPr>
          <w:p>
            <w:pPr/>
          </w:p>
        </w:tc>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4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6"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114,741,135.54</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41,365,761.38</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77,695,461.98</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31,343,748.34</w:t>
            </w:r>
          </w:p>
        </w:tc>
      </w:tr>
      <w:tr>
        <w:trPr>
          <w:trHeight w:val="403"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28,893,296.51</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9,315,835.60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25,567,156.61</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10,519,908.02</w:t>
            </w:r>
          </w:p>
        </w:tc>
      </w:tr>
      <w:tr>
        <w:trPr>
          <w:trHeight w:val="401"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17,546,600.98</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7,378,461.34</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14,463,730.85</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6,607,629.96</w:t>
            </w:r>
          </w:p>
        </w:tc>
      </w:tr>
      <w:tr>
        <w:trPr>
          <w:trHeight w:val="403"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65,543,941.06</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26,169,289.73</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58,798,784.31</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21,831,474.55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1660" w:right="1640"/>
        </w:sectPr>
      </w:pPr>
    </w:p>
    <w:p>
      <w:pPr>
        <w:spacing w:line="240" w:lineRule="auto" w:before="8"/>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2211"/>
        <w:gridCol w:w="1510"/>
        <w:gridCol w:w="1625"/>
        <w:gridCol w:w="1512"/>
        <w:gridCol w:w="1508"/>
      </w:tblGrid>
      <w:tr>
        <w:trPr>
          <w:trHeight w:val="401"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28,023,128.08</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11,529,820.14</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12,107,521.51</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4,705,574.83</w:t>
            </w:r>
          </w:p>
        </w:tc>
      </w:tr>
      <w:tr>
        <w:trPr>
          <w:trHeight w:val="403"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62,170,058.62</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30,310,237.56</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52,995,246.32</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13,818,195.80</w:t>
            </w:r>
          </w:p>
        </w:tc>
      </w:tr>
      <w:tr>
        <w:trPr>
          <w:trHeight w:val="401"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30,929,816.69</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13,905,401.11</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26,887,683.17</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9,245,150.74</w:t>
            </w:r>
          </w:p>
        </w:tc>
      </w:tr>
      <w:tr>
        <w:trPr>
          <w:trHeight w:val="403"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2,149,564.55</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130,984.98</w:t>
            </w:r>
          </w:p>
        </w:tc>
        <w:tc>
          <w:tcPr>
            <w:tcW w:w="1512"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349,997,542.03</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140,105,791.84</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268,515,584.75</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98,071,682.24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0"/>
        <w:rPr>
          <w:rFonts w:ascii="宋体" w:hAnsi="宋体" w:cs="宋体" w:eastAsia="宋体" w:hint="default"/>
          <w:b/>
          <w:bCs/>
          <w:sz w:val="22"/>
          <w:szCs w:val="22"/>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3085"/>
        <w:gridCol w:w="2566"/>
        <w:gridCol w:w="2715"/>
      </w:tblGrid>
      <w:tr>
        <w:trPr>
          <w:trHeight w:val="401" w:hRule="exact"/>
        </w:trPr>
        <w:tc>
          <w:tcPr>
            <w:tcW w:w="3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6"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江西优码创达软件技术有限公司</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11,472,649.56</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3.28%</w:t>
            </w:r>
          </w:p>
        </w:tc>
      </w:tr>
      <w:tr>
        <w:trPr>
          <w:trHeight w:val="40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山西省公安厅</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7,616,153.86</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2.18%</w:t>
            </w:r>
          </w:p>
        </w:tc>
      </w:tr>
      <w:tr>
        <w:trPr>
          <w:trHeight w:val="40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厦门佳思科技有限公司</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6,416,756.65</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1.83%</w:t>
            </w:r>
          </w:p>
        </w:tc>
      </w:tr>
      <w:tr>
        <w:trPr>
          <w:trHeight w:val="40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天津市滨海新区公安局</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5,420,616.22</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1.55%</w:t>
            </w:r>
          </w:p>
        </w:tc>
      </w:tr>
      <w:tr>
        <w:trPr>
          <w:trHeight w:val="40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重庆市公安局</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5,282,035.04</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1.51%</w:t>
            </w:r>
          </w:p>
        </w:tc>
      </w:tr>
      <w:tr>
        <w:trPr>
          <w:trHeight w:val="403" w:hRule="exact"/>
        </w:trPr>
        <w:tc>
          <w:tcPr>
            <w:tcW w:w="3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36,208,211.33</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10.35%</w:t>
            </w:r>
          </w:p>
        </w:tc>
      </w:tr>
    </w:tbl>
    <w:p>
      <w:pPr>
        <w:spacing w:before="49"/>
        <w:ind w:left="140" w:right="0" w:firstLine="0"/>
        <w:jc w:val="left"/>
        <w:rPr>
          <w:rFonts w:ascii="宋体" w:hAnsi="宋体" w:cs="宋体" w:eastAsia="宋体" w:hint="default"/>
          <w:sz w:val="18"/>
          <w:szCs w:val="18"/>
        </w:rPr>
      </w:pPr>
      <w:r>
        <w:rPr>
          <w:rFonts w:ascii="宋体" w:hAnsi="宋体" w:cs="宋体" w:eastAsia="宋体" w:hint="default"/>
          <w:sz w:val="18"/>
          <w:szCs w:val="18"/>
        </w:rPr>
        <w:t>营业收入的说明：</w:t>
      </w:r>
    </w:p>
    <w:p>
      <w:pPr>
        <w:spacing w:line="300" w:lineRule="auto" w:before="115"/>
        <w:ind w:left="140" w:right="14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pacing w:val="-1"/>
          <w:sz w:val="18"/>
          <w:szCs w:val="18"/>
        </w:rPr>
        <w:t>年度公司主营业务收入较去年同期增长</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30.35%</w:t>
      </w:r>
      <w:r>
        <w:rPr>
          <w:rFonts w:ascii="宋体" w:hAnsi="宋体" w:cs="宋体" w:eastAsia="宋体" w:hint="default"/>
          <w:spacing w:val="-3"/>
          <w:sz w:val="18"/>
          <w:szCs w:val="18"/>
        </w:rPr>
        <w:t>；公司的主营业务增长主要是由于公司持续加大研发和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市场开拓力度，研发符合市场需求的产品</w:t>
      </w:r>
      <w:r>
        <w:rPr>
          <w:rFonts w:ascii="Times New Roman" w:hAnsi="Times New Roman" w:cs="Times New Roman" w:eastAsia="Times New Roman" w:hint="default"/>
          <w:sz w:val="18"/>
          <w:szCs w:val="18"/>
        </w:rPr>
        <w:t>,</w:t>
      </w:r>
      <w:r>
        <w:rPr>
          <w:rFonts w:ascii="宋体" w:hAnsi="宋体" w:cs="宋体" w:eastAsia="宋体" w:hint="default"/>
          <w:sz w:val="18"/>
          <w:szCs w:val="18"/>
        </w:rPr>
        <w:t>促进了销售收入增长。</w:t>
      </w:r>
    </w:p>
    <w:p>
      <w:pPr>
        <w:spacing w:line="240" w:lineRule="auto" w:before="5"/>
        <w:rPr>
          <w:rFonts w:ascii="宋体" w:hAnsi="宋体" w:cs="宋体" w:eastAsia="宋体" w:hint="default"/>
          <w:sz w:val="22"/>
          <w:szCs w:val="22"/>
        </w:rPr>
      </w:pPr>
    </w:p>
    <w:p>
      <w:pPr>
        <w:pStyle w:val="Heading3"/>
        <w:spacing w:line="506" w:lineRule="auto"/>
        <w:ind w:left="560" w:right="6760" w:hanging="420"/>
        <w:jc w:val="left"/>
        <w:rPr>
          <w:rFonts w:ascii="宋体" w:hAnsi="宋体" w:cs="宋体" w:eastAsia="宋体" w:hint="default"/>
          <w:b w:val="0"/>
          <w:bCs w:val="0"/>
        </w:rPr>
      </w:pPr>
      <w:r>
        <w:rPr>
          <w:rFonts w:ascii="Times New Roman" w:hAnsi="Times New Roman" w:cs="Times New Roman" w:eastAsia="Times New Roman" w:hint="default"/>
        </w:rPr>
        <w:t>55</w:t>
      </w:r>
      <w:r>
        <w:rPr/>
        <w:t>、合同项目收入</w:t>
      </w:r>
      <w:r>
        <w:rPr>
          <w:w w:val="100"/>
        </w:rPr>
        <w:t> </w:t>
      </w:r>
      <w:r>
        <w:rPr>
          <w:rFonts w:ascii="宋体" w:hAnsi="宋体" w:cs="宋体" w:eastAsia="宋体" w:hint="default"/>
          <w:b w:val="0"/>
          <w:bCs w:val="0"/>
        </w:rPr>
        <w:t>无。</w:t>
      </w:r>
    </w:p>
    <w:p>
      <w:pPr>
        <w:pStyle w:val="Heading3"/>
        <w:spacing w:line="240" w:lineRule="auto" w:before="104"/>
        <w:ind w:right="0"/>
        <w:jc w:val="left"/>
        <w:rPr>
          <w:b w:val="0"/>
          <w:bCs w:val="0"/>
        </w:rPr>
      </w:pPr>
      <w:r>
        <w:rPr>
          <w:rFonts w:ascii="Times New Roman" w:hAnsi="Times New Roman" w:cs="Times New Roman" w:eastAsia="Times New Roman" w:hint="default"/>
        </w:rPr>
        <w:t>56</w:t>
      </w:r>
      <w:r>
        <w:rPr/>
        <w:t>、营业税金及附加</w:t>
      </w:r>
      <w:r>
        <w:rPr>
          <w:b w:val="0"/>
          <w:bCs w:val="0"/>
        </w:rPr>
      </w:r>
    </w:p>
    <w:p>
      <w:pPr>
        <w:spacing w:line="240" w:lineRule="auto" w:before="4"/>
        <w:rPr>
          <w:rFonts w:ascii="宋体" w:hAnsi="宋体" w:cs="宋体" w:eastAsia="宋体" w:hint="default"/>
          <w:b/>
          <w:bCs/>
          <w:sz w:val="26"/>
          <w:szCs w:val="26"/>
        </w:rPr>
      </w:pPr>
    </w:p>
    <w:p>
      <w:pPr>
        <w:spacing w:before="0"/>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420"/>
        <w:gridCol w:w="1752"/>
        <w:gridCol w:w="1628"/>
        <w:gridCol w:w="2554"/>
      </w:tblGrid>
      <w:tr>
        <w:trPr>
          <w:trHeight w:val="401" w:hRule="exact"/>
        </w:trPr>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3" w:hRule="exact"/>
        </w:trPr>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75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688,442.56</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791,048.62</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应税收入</w:t>
            </w:r>
            <w:r>
              <w:rPr>
                <w:rFonts w:ascii="Times New Roman" w:hAnsi="Times New Roman" w:cs="Times New Roman" w:eastAsia="Times New Roman" w:hint="default"/>
                <w:sz w:val="18"/>
                <w:szCs w:val="18"/>
              </w:rPr>
              <w:t>*3%</w:t>
            </w:r>
            <w:r>
              <w:rPr>
                <w:rFonts w:ascii="宋体" w:hAnsi="宋体" w:cs="宋体" w:eastAsia="宋体" w:hint="default"/>
                <w:sz w:val="18"/>
                <w:szCs w:val="18"/>
              </w:rPr>
              <w:t>或</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r>
      <w:tr>
        <w:trPr>
          <w:trHeight w:val="401" w:hRule="exact"/>
        </w:trPr>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75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2,207,997.70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1,720,556.35</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应纳流转税额</w:t>
            </w:r>
            <w:r>
              <w:rPr>
                <w:rFonts w:ascii="Times New Roman" w:hAnsi="Times New Roman" w:cs="Times New Roman" w:eastAsia="Times New Roman" w:hint="default"/>
                <w:sz w:val="18"/>
                <w:szCs w:val="18"/>
              </w:rPr>
              <w:t>*7%</w:t>
            </w:r>
          </w:p>
        </w:tc>
      </w:tr>
      <w:tr>
        <w:trPr>
          <w:trHeight w:val="404" w:hRule="exact"/>
        </w:trPr>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75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946,087.21</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743,044.18</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应纳流转税额</w:t>
            </w:r>
            <w:r>
              <w:rPr>
                <w:rFonts w:ascii="Times New Roman" w:hAnsi="Times New Roman" w:cs="Times New Roman" w:eastAsia="Times New Roman" w:hint="default"/>
                <w:sz w:val="18"/>
                <w:szCs w:val="18"/>
              </w:rPr>
              <w:t>*3%</w:t>
            </w:r>
          </w:p>
        </w:tc>
      </w:tr>
      <w:tr>
        <w:trPr>
          <w:trHeight w:val="401"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631,054.05</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485,924.66</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应纳流转税额</w:t>
            </w:r>
            <w:r>
              <w:rPr>
                <w:rFonts w:ascii="Times New Roman" w:hAnsi="Times New Roman" w:cs="Times New Roman" w:eastAsia="Times New Roman" w:hint="default"/>
                <w:sz w:val="18"/>
                <w:szCs w:val="18"/>
              </w:rPr>
              <w:t>*2%</w:t>
            </w:r>
          </w:p>
        </w:tc>
      </w:tr>
      <w:tr>
        <w:trPr>
          <w:trHeight w:val="403" w:hRule="exact"/>
        </w:trPr>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5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4,473,581.52</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3,740,573.81</w:t>
            </w:r>
          </w:p>
        </w:tc>
        <w:tc>
          <w:tcPr>
            <w:tcW w:w="2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40" w:right="0" w:firstLine="0"/>
        <w:jc w:val="left"/>
        <w:rPr>
          <w:rFonts w:ascii="宋体" w:hAnsi="宋体" w:cs="宋体" w:eastAsia="宋体" w:hint="default"/>
          <w:sz w:val="18"/>
          <w:szCs w:val="18"/>
        </w:rPr>
      </w:pPr>
      <w:r>
        <w:rPr>
          <w:rFonts w:ascii="宋体" w:hAnsi="宋体" w:cs="宋体" w:eastAsia="宋体" w:hint="default"/>
          <w:sz w:val="18"/>
          <w:szCs w:val="18"/>
        </w:rPr>
        <w:t>营业税金及附加的说明：无。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57</w:t>
      </w:r>
      <w:r>
        <w:rPr/>
        <w:t>、销售费用</w:t>
      </w:r>
      <w:r>
        <w:rPr>
          <w:b w:val="0"/>
          <w:bCs w:val="0"/>
        </w:rPr>
      </w:r>
    </w:p>
    <w:p>
      <w:pPr>
        <w:spacing w:line="240" w:lineRule="auto" w:before="12"/>
        <w:rPr>
          <w:rFonts w:ascii="宋体" w:hAnsi="宋体" w:cs="宋体" w:eastAsia="宋体" w:hint="default"/>
          <w:b/>
          <w:bCs/>
          <w:sz w:val="22"/>
          <w:szCs w:val="22"/>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1227" w:top="1100" w:bottom="1420" w:left="1660" w:right="1640"/>
        </w:sectPr>
      </w:pPr>
    </w:p>
    <w:p>
      <w:pPr>
        <w:spacing w:line="240" w:lineRule="auto" w:before="8"/>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2787"/>
        <w:gridCol w:w="2789"/>
        <w:gridCol w:w="2789"/>
      </w:tblGrid>
      <w:tr>
        <w:trPr>
          <w:trHeight w:val="401"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30,029,255.81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25,571,667.78</w:t>
            </w:r>
          </w:p>
        </w:tc>
      </w:tr>
      <w:tr>
        <w:trPr>
          <w:trHeight w:val="401"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10,856,138.80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8,967,370.40</w:t>
            </w:r>
          </w:p>
        </w:tc>
      </w:tr>
      <w:tr>
        <w:trPr>
          <w:trHeight w:val="403"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6,009,031.91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7,493,214.17</w:t>
            </w:r>
          </w:p>
        </w:tc>
      </w:tr>
      <w:tr>
        <w:trPr>
          <w:trHeight w:val="401"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3,963,339.39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3,079,025.26</w:t>
            </w:r>
          </w:p>
        </w:tc>
      </w:tr>
      <w:tr>
        <w:trPr>
          <w:trHeight w:val="403"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电讯费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2,821,300.90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2,466,236.86</w:t>
            </w:r>
          </w:p>
        </w:tc>
      </w:tr>
      <w:tr>
        <w:trPr>
          <w:trHeight w:val="401"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2,362,820.72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1,770,454.48</w:t>
            </w:r>
          </w:p>
        </w:tc>
      </w:tr>
      <w:tr>
        <w:trPr>
          <w:trHeight w:val="403"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邮寄费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1,915,622.30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1,550,237.32</w:t>
            </w:r>
          </w:p>
        </w:tc>
      </w:tr>
      <w:tr>
        <w:trPr>
          <w:trHeight w:val="401"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1,012,467.25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934,946.15</w:t>
            </w:r>
          </w:p>
        </w:tc>
      </w:tr>
      <w:tr>
        <w:trPr>
          <w:trHeight w:val="404"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1,036,421.09</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企业年金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777,196.26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128,923.38</w:t>
            </w:r>
          </w:p>
        </w:tc>
      </w:tr>
      <w:tr>
        <w:trPr>
          <w:trHeight w:val="403"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665,994.05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628,045.42</w:t>
            </w:r>
          </w:p>
        </w:tc>
      </w:tr>
      <w:tr>
        <w:trPr>
          <w:trHeight w:val="401"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624,855.40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350,173.81</w:t>
            </w:r>
          </w:p>
        </w:tc>
      </w:tr>
      <w:tr>
        <w:trPr>
          <w:trHeight w:val="403"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投标费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412,062.80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331,096.90</w:t>
            </w:r>
          </w:p>
        </w:tc>
      </w:tr>
      <w:tr>
        <w:trPr>
          <w:trHeight w:val="401"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203,350.00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180,658.10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运杂费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158,281.27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230,518.95</w:t>
            </w:r>
          </w:p>
        </w:tc>
      </w:tr>
      <w:tr>
        <w:trPr>
          <w:trHeight w:val="403"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23,878.86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16,325.69</w:t>
            </w:r>
          </w:p>
        </w:tc>
      </w:tr>
      <w:tr>
        <w:trPr>
          <w:trHeight w:val="401"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42,114.86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2,454.33</w:t>
            </w:r>
          </w:p>
        </w:tc>
      </w:tr>
      <w:tr>
        <w:trPr>
          <w:trHeight w:val="403"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63,094,789.77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53,520,690.90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58</w:t>
      </w:r>
      <w:r>
        <w:rPr/>
        <w:t>、管理费用</w:t>
      </w:r>
      <w:r>
        <w:rPr>
          <w:b w:val="0"/>
          <w:bCs w:val="0"/>
        </w:rPr>
      </w:r>
    </w:p>
    <w:p>
      <w:pPr>
        <w:spacing w:line="240" w:lineRule="auto" w:before="12"/>
        <w:rPr>
          <w:rFonts w:ascii="宋体" w:hAnsi="宋体" w:cs="宋体" w:eastAsia="宋体" w:hint="default"/>
          <w:b/>
          <w:bCs/>
          <w:sz w:val="22"/>
          <w:szCs w:val="22"/>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787"/>
        <w:gridCol w:w="2789"/>
        <w:gridCol w:w="2789"/>
      </w:tblGrid>
      <w:tr>
        <w:trPr>
          <w:trHeight w:val="402"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35,012,915.16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22,855,707.98</w:t>
            </w:r>
          </w:p>
        </w:tc>
      </w:tr>
      <w:tr>
        <w:trPr>
          <w:trHeight w:val="403"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业务接待费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14,893,871.09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14,783,394.72</w:t>
            </w:r>
          </w:p>
        </w:tc>
      </w:tr>
      <w:tr>
        <w:trPr>
          <w:trHeight w:val="401"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11,533,131.23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8,247,787.09</w:t>
            </w:r>
          </w:p>
        </w:tc>
      </w:tr>
      <w:tr>
        <w:trPr>
          <w:trHeight w:val="404"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8,975,500.55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4"/>
              <w:jc w:val="right"/>
              <w:rPr>
                <w:rFonts w:ascii="Times New Roman" w:hAnsi="Times New Roman" w:cs="Times New Roman" w:eastAsia="Times New Roman" w:hint="default"/>
                <w:sz w:val="18"/>
                <w:szCs w:val="18"/>
              </w:rPr>
            </w:pPr>
            <w:r>
              <w:rPr>
                <w:rFonts w:ascii="Times New Roman"/>
                <w:spacing w:val="-1"/>
                <w:sz w:val="18"/>
              </w:rPr>
              <w:t>3,902,896.83</w:t>
            </w:r>
          </w:p>
        </w:tc>
      </w:tr>
      <w:tr>
        <w:trPr>
          <w:trHeight w:val="401"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行政办公费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3,776,572.04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3,415,669.63</w:t>
            </w:r>
          </w:p>
        </w:tc>
      </w:tr>
      <w:tr>
        <w:trPr>
          <w:trHeight w:val="403"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房租费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2,933,649.36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1,588,825.78</w:t>
            </w:r>
          </w:p>
        </w:tc>
      </w:tr>
      <w:tr>
        <w:trPr>
          <w:trHeight w:val="401"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2,240,090.50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855,146.95</w:t>
            </w:r>
          </w:p>
        </w:tc>
      </w:tr>
      <w:tr>
        <w:trPr>
          <w:trHeight w:val="403"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会议会务费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1,866,800.80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3,573,960.32</w:t>
            </w:r>
          </w:p>
        </w:tc>
      </w:tr>
      <w:tr>
        <w:trPr>
          <w:trHeight w:val="401"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1,782,963.06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1,253,928.42</w:t>
            </w:r>
          </w:p>
        </w:tc>
      </w:tr>
      <w:tr>
        <w:trPr>
          <w:trHeight w:val="403"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1,328,646.33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702,101.80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1660" w:right="1640"/>
        </w:sectPr>
      </w:pPr>
    </w:p>
    <w:p>
      <w:pPr>
        <w:spacing w:line="240" w:lineRule="auto" w:before="8"/>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2787"/>
        <w:gridCol w:w="2789"/>
        <w:gridCol w:w="2789"/>
      </w:tblGrid>
      <w:tr>
        <w:trPr>
          <w:trHeight w:val="401"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1,295,269.98</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工会经费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1,199,354.97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21,810.32</w:t>
            </w:r>
          </w:p>
        </w:tc>
      </w:tr>
      <w:tr>
        <w:trPr>
          <w:trHeight w:val="401"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各种税费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1,046,523.80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484,515.60</w:t>
            </w:r>
          </w:p>
        </w:tc>
      </w:tr>
      <w:tr>
        <w:trPr>
          <w:trHeight w:val="403"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889,344.19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1,387,578.04</w:t>
            </w:r>
          </w:p>
        </w:tc>
      </w:tr>
      <w:tr>
        <w:trPr>
          <w:trHeight w:val="401"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顾问费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515,400.00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1,171,524.75</w:t>
            </w:r>
          </w:p>
        </w:tc>
      </w:tr>
      <w:tr>
        <w:trPr>
          <w:trHeight w:val="403"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董事会费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540,000.00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517,500.00</w:t>
            </w:r>
          </w:p>
        </w:tc>
      </w:tr>
      <w:tr>
        <w:trPr>
          <w:trHeight w:val="401"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维修</w:t>
            </w:r>
            <w:r>
              <w:rPr>
                <w:rFonts w:ascii="Times New Roman" w:hAnsi="Times New Roman" w:cs="Times New Roman" w:eastAsia="Times New Roman" w:hint="default"/>
                <w:sz w:val="18"/>
                <w:szCs w:val="18"/>
              </w:rPr>
              <w:t>(</w:t>
            </w:r>
            <w:r>
              <w:rPr>
                <w:rFonts w:ascii="宋体" w:hAnsi="宋体" w:cs="宋体" w:eastAsia="宋体" w:hint="default"/>
                <w:sz w:val="18"/>
                <w:szCs w:val="18"/>
              </w:rPr>
              <w:t>护</w:t>
            </w:r>
            <w:r>
              <w:rPr>
                <w:rFonts w:ascii="Times New Roman" w:hAnsi="Times New Roman" w:cs="Times New Roman" w:eastAsia="Times New Roman" w:hint="default"/>
                <w:sz w:val="18"/>
                <w:szCs w:val="18"/>
              </w:rPr>
              <w:t>)</w:t>
            </w:r>
            <w:r>
              <w:rPr>
                <w:rFonts w:ascii="宋体" w:hAnsi="宋体" w:cs="宋体" w:eastAsia="宋体" w:hint="default"/>
                <w:sz w:val="18"/>
                <w:szCs w:val="18"/>
              </w:rPr>
              <w:t>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862,066.23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492,410.84</w:t>
            </w:r>
          </w:p>
        </w:tc>
      </w:tr>
      <w:tr>
        <w:trPr>
          <w:trHeight w:val="403"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875,275.44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455,971.74</w:t>
            </w:r>
          </w:p>
        </w:tc>
      </w:tr>
      <w:tr>
        <w:trPr>
          <w:trHeight w:val="401"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物业费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741,299.05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406,621.29</w:t>
            </w:r>
          </w:p>
        </w:tc>
      </w:tr>
      <w:tr>
        <w:trPr>
          <w:trHeight w:val="404"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企业年金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390,303.78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43,405.67</w:t>
            </w:r>
          </w:p>
        </w:tc>
      </w:tr>
      <w:tr>
        <w:trPr>
          <w:trHeight w:val="401"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教育经费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372,907.69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386,808.35</w:t>
            </w:r>
          </w:p>
        </w:tc>
      </w:tr>
      <w:tr>
        <w:trPr>
          <w:trHeight w:val="403"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审计费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359,000.00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319,600.00</w:t>
            </w:r>
          </w:p>
        </w:tc>
      </w:tr>
      <w:tr>
        <w:trPr>
          <w:trHeight w:val="401"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会员年费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101,315.00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135,110.00</w:t>
            </w:r>
          </w:p>
        </w:tc>
      </w:tr>
      <w:tr>
        <w:trPr>
          <w:trHeight w:val="403"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残疾人补助金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68,877.03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71,106.08</w:t>
            </w:r>
          </w:p>
        </w:tc>
      </w:tr>
      <w:tr>
        <w:trPr>
          <w:trHeight w:val="401"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198,264.71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54,055.82</w:t>
            </w:r>
          </w:p>
        </w:tc>
      </w:tr>
      <w:tr>
        <w:trPr>
          <w:trHeight w:val="403"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93,799,341.99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67,127,438.02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59</w:t>
      </w:r>
      <w:r>
        <w:rPr/>
        <w:t>、财务费用</w:t>
      </w:r>
      <w:r>
        <w:rPr>
          <w:b w:val="0"/>
          <w:bCs w:val="0"/>
        </w:rPr>
      </w:r>
    </w:p>
    <w:p>
      <w:pPr>
        <w:spacing w:line="240" w:lineRule="auto" w:before="12"/>
        <w:rPr>
          <w:rFonts w:ascii="宋体" w:hAnsi="宋体" w:cs="宋体" w:eastAsia="宋体" w:hint="default"/>
          <w:b/>
          <w:bCs/>
          <w:sz w:val="22"/>
          <w:szCs w:val="22"/>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787"/>
        <w:gridCol w:w="2789"/>
        <w:gridCol w:w="2789"/>
      </w:tblGrid>
      <w:tr>
        <w:trPr>
          <w:trHeight w:val="402"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789" w:type="dxa"/>
            <w:tcBorders>
              <w:top w:val="single" w:sz="4" w:space="0" w:color="000000"/>
              <w:left w:val="single" w:sz="4" w:space="0" w:color="000000"/>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410,659.20</w:t>
            </w:r>
          </w:p>
        </w:tc>
      </w:tr>
      <w:tr>
        <w:trPr>
          <w:trHeight w:val="403"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9,490,110.54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10,518,073.79</w:t>
            </w:r>
          </w:p>
        </w:tc>
      </w:tr>
      <w:tr>
        <w:trPr>
          <w:trHeight w:val="401"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-57,818.44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-73,262.54</w:t>
            </w:r>
          </w:p>
        </w:tc>
      </w:tr>
      <w:tr>
        <w:trPr>
          <w:trHeight w:val="403"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53,634.96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62,549.73</w:t>
            </w:r>
          </w:p>
        </w:tc>
      </w:tr>
      <w:tr>
        <w:trPr>
          <w:trHeight w:val="403"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-9,494,294.02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-10,118,127.40</w:t>
            </w:r>
          </w:p>
        </w:tc>
      </w:tr>
    </w:tbl>
    <w:p>
      <w:pPr>
        <w:spacing w:line="240" w:lineRule="auto" w:before="3"/>
        <w:rPr>
          <w:rFonts w:ascii="宋体" w:hAnsi="宋体" w:cs="宋体" w:eastAsia="宋体" w:hint="default"/>
          <w:sz w:val="19"/>
          <w:szCs w:val="19"/>
        </w:rPr>
      </w:pPr>
    </w:p>
    <w:p>
      <w:pPr>
        <w:pStyle w:val="Heading3"/>
        <w:spacing w:line="506" w:lineRule="auto" w:before="36"/>
        <w:ind w:left="560" w:right="6339" w:hanging="420"/>
        <w:jc w:val="left"/>
        <w:rPr>
          <w:rFonts w:ascii="宋体" w:hAnsi="宋体" w:cs="宋体" w:eastAsia="宋体" w:hint="default"/>
          <w:b w:val="0"/>
          <w:bCs w:val="0"/>
        </w:rPr>
      </w:pPr>
      <w:r>
        <w:rPr>
          <w:rFonts w:ascii="Times New Roman" w:hAnsi="Times New Roman" w:cs="Times New Roman" w:eastAsia="Times New Roman" w:hint="default"/>
        </w:rPr>
        <w:t>60</w:t>
      </w:r>
      <w:r>
        <w:rPr/>
        <w:t>、公允价值变动收益</w:t>
      </w:r>
      <w:r>
        <w:rPr>
          <w:w w:val="100"/>
        </w:rPr>
        <w:t> </w:t>
      </w:r>
      <w:r>
        <w:rPr>
          <w:rFonts w:ascii="宋体" w:hAnsi="宋体" w:cs="宋体" w:eastAsia="宋体" w:hint="default"/>
          <w:b w:val="0"/>
          <w:bCs w:val="0"/>
        </w:rPr>
        <w:t>无。</w:t>
      </w:r>
    </w:p>
    <w:p>
      <w:pPr>
        <w:pStyle w:val="Heading3"/>
        <w:spacing w:line="506" w:lineRule="auto" w:before="104"/>
        <w:ind w:left="560" w:right="7182" w:hanging="420"/>
        <w:jc w:val="left"/>
        <w:rPr>
          <w:rFonts w:ascii="宋体" w:hAnsi="宋体" w:cs="宋体" w:eastAsia="宋体" w:hint="default"/>
          <w:b w:val="0"/>
          <w:bCs w:val="0"/>
        </w:rPr>
      </w:pPr>
      <w:r>
        <w:rPr>
          <w:rFonts w:ascii="Times New Roman" w:hAnsi="Times New Roman" w:cs="Times New Roman" w:eastAsia="Times New Roman" w:hint="default"/>
        </w:rPr>
        <w:t>61</w:t>
      </w:r>
      <w:r>
        <w:rPr/>
        <w:t>、投资收益</w:t>
      </w:r>
      <w:r>
        <w:rPr>
          <w:w w:val="100"/>
        </w:rPr>
        <w:t> </w:t>
      </w:r>
      <w:r>
        <w:rPr>
          <w:rFonts w:ascii="宋体" w:hAnsi="宋体" w:cs="宋体" w:eastAsia="宋体" w:hint="default"/>
          <w:b w:val="0"/>
          <w:bCs w:val="0"/>
        </w:rPr>
        <w:t>无。</w:t>
      </w:r>
    </w:p>
    <w:p>
      <w:pPr>
        <w:pStyle w:val="Heading3"/>
        <w:spacing w:line="240" w:lineRule="auto" w:before="101"/>
        <w:ind w:right="0"/>
        <w:jc w:val="left"/>
        <w:rPr>
          <w:b w:val="0"/>
          <w:bCs w:val="0"/>
        </w:rPr>
      </w:pPr>
      <w:r>
        <w:rPr>
          <w:rFonts w:ascii="Times New Roman" w:hAnsi="Times New Roman" w:cs="Times New Roman" w:eastAsia="Times New Roman" w:hint="default"/>
        </w:rPr>
        <w:t>62</w:t>
      </w:r>
      <w:r>
        <w:rPr/>
        <w:t>、资产减值损失</w:t>
      </w:r>
      <w:r>
        <w:rPr>
          <w:b w:val="0"/>
          <w:bCs w:val="0"/>
        </w:rPr>
      </w:r>
    </w:p>
    <w:p>
      <w:pPr>
        <w:spacing w:line="240" w:lineRule="auto" w:before="12"/>
        <w:rPr>
          <w:rFonts w:ascii="宋体" w:hAnsi="宋体" w:cs="宋体" w:eastAsia="宋体" w:hint="default"/>
          <w:b/>
          <w:bCs/>
          <w:sz w:val="22"/>
          <w:szCs w:val="22"/>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1227" w:top="1100" w:bottom="1420" w:left="1660" w:right="1640"/>
        </w:sectPr>
      </w:pPr>
    </w:p>
    <w:p>
      <w:pPr>
        <w:spacing w:line="240" w:lineRule="auto" w:before="8"/>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3694"/>
        <w:gridCol w:w="2220"/>
        <w:gridCol w:w="2439"/>
      </w:tblGrid>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4,468,798.15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3,983,191.58</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215,674.41</w:t>
            </w: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4,684,472.56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3,983,191.58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10"/>
        <w:rPr>
          <w:rFonts w:ascii="宋体" w:hAnsi="宋体" w:cs="宋体" w:eastAsia="宋体" w:hint="default"/>
          <w:b/>
          <w:bCs/>
          <w:sz w:val="22"/>
          <w:szCs w:val="22"/>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881"/>
        <w:gridCol w:w="1709"/>
        <w:gridCol w:w="1889"/>
        <w:gridCol w:w="1887"/>
      </w:tblGrid>
      <w:tr>
        <w:trPr>
          <w:trHeight w:val="161" w:hRule="exact"/>
        </w:trPr>
        <w:tc>
          <w:tcPr>
            <w:tcW w:w="28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8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667" w:right="39" w:hanging="632"/>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2" w:hRule="exact"/>
        </w:trPr>
        <w:tc>
          <w:tcPr>
            <w:tcW w:w="28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887" w:type="dxa"/>
            <w:vMerge/>
            <w:tcBorders>
              <w:left w:val="single" w:sz="4" w:space="0" w:color="000000"/>
              <w:right w:val="single" w:sz="4" w:space="0" w:color="000000"/>
            </w:tcBorders>
            <w:shd w:val="clear" w:color="auto" w:fill="D2D2D2"/>
          </w:tcPr>
          <w:p>
            <w:pPr/>
          </w:p>
        </w:tc>
      </w:tr>
      <w:tr>
        <w:trPr>
          <w:trHeight w:val="161" w:hRule="exact"/>
        </w:trPr>
        <w:tc>
          <w:tcPr>
            <w:tcW w:w="28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88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7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30,572,980.07</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17,985,699.43</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12,108,066.34</w:t>
            </w:r>
          </w:p>
        </w:tc>
      </w:tr>
      <w:tr>
        <w:trPr>
          <w:trHeight w:val="1025"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4"/>
              <w:jc w:val="both"/>
              <w:rPr>
                <w:rFonts w:ascii="宋体" w:hAnsi="宋体" w:cs="宋体" w:eastAsia="宋体" w:hint="default"/>
                <w:sz w:val="18"/>
                <w:szCs w:val="18"/>
              </w:rPr>
            </w:pPr>
            <w:r>
              <w:rPr>
                <w:rFonts w:ascii="宋体" w:hAnsi="宋体" w:cs="宋体" w:eastAsia="宋体" w:hint="default"/>
                <w:sz w:val="18"/>
                <w:szCs w:val="18"/>
              </w:rPr>
              <w:t>取得的投资成本小于取得投资时应 享有被投资单位可辨认净资产公允 价值产生的收益</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156,825.00</w:t>
            </w:r>
          </w:p>
        </w:tc>
        <w:tc>
          <w:tcPr>
            <w:tcW w:w="1889"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156,825.00</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136,757.63</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270,638.37</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136,757.63</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30,866,562.70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18,256,337.80</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12,401,648.97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10"/>
        <w:rPr>
          <w:rFonts w:ascii="宋体" w:hAnsi="宋体" w:cs="宋体" w:eastAsia="宋体" w:hint="default"/>
          <w:b/>
          <w:bCs/>
          <w:sz w:val="22"/>
          <w:szCs w:val="22"/>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4849"/>
        <w:gridCol w:w="1277"/>
        <w:gridCol w:w="1275"/>
        <w:gridCol w:w="965"/>
      </w:tblGrid>
      <w:tr>
        <w:trPr>
          <w:trHeight w:val="401" w:hRule="exact"/>
        </w:trPr>
        <w:tc>
          <w:tcPr>
            <w:tcW w:w="4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7" w:right="0"/>
              <w:jc w:val="left"/>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软件产品增值税返还</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18,464,913.73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10,160,512.70</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第二批高新技术企业财政扶持资金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2,407,000.00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软件骨干企业财政扶持资金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1,573,500.00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957,600.00</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厦门超级计算（云计算）中心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1,516,666.67</w:t>
            </w:r>
          </w:p>
        </w:tc>
        <w:tc>
          <w:tcPr>
            <w:tcW w:w="127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网络信息调查取证系统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基于云取证模式架构的产业化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电子数据取证综合平台产业化项目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579,861.76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2,713,266.59</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厦门市</w:t>
            </w:r>
            <w:r>
              <w:rPr>
                <w:rFonts w:ascii="Times New Roman" w:hAnsi="Times New Roman" w:cs="Times New Roman" w:eastAsia="Times New Roman" w:hint="default"/>
                <w:sz w:val="18"/>
                <w:szCs w:val="18"/>
              </w:rPr>
              <w:t>"</w:t>
            </w:r>
            <w:r>
              <w:rPr>
                <w:rFonts w:ascii="宋体" w:hAnsi="宋体" w:cs="宋体" w:eastAsia="宋体" w:hint="default"/>
                <w:sz w:val="18"/>
                <w:szCs w:val="18"/>
              </w:rPr>
              <w:t>双百计划</w:t>
            </w:r>
            <w:r>
              <w:rPr>
                <w:rFonts w:ascii="Times New Roman" w:hAnsi="Times New Roman" w:cs="Times New Roman" w:eastAsia="Times New Roman" w:hint="default"/>
                <w:sz w:val="18"/>
                <w:szCs w:val="18"/>
              </w:rPr>
              <w:t>"</w:t>
            </w:r>
            <w:r>
              <w:rPr>
                <w:rFonts w:ascii="宋体" w:hAnsi="宋体" w:cs="宋体" w:eastAsia="宋体" w:hint="default"/>
                <w:sz w:val="18"/>
                <w:szCs w:val="18"/>
              </w:rPr>
              <w:t>创新人才补助资金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海西创业英才专项奖励资金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新一代电子数据取证技术研究及应用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福建省第二批引进高层次创业人才工作生活补助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年第二批科学仪器设备资源共享优惠补贴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364,240.00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年度厦门科技重大贡献奖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下一代互联网信息识别技术的研究</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27" w:top="1100" w:bottom="1420" w:left="1660" w:right="1640"/>
        </w:sectPr>
      </w:pPr>
    </w:p>
    <w:p>
      <w:pPr>
        <w:spacing w:line="240" w:lineRule="auto" w:before="8"/>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4849"/>
        <w:gridCol w:w="1277"/>
        <w:gridCol w:w="1275"/>
        <w:gridCol w:w="965"/>
      </w:tblGrid>
      <w:tr>
        <w:trPr>
          <w:trHeight w:val="401" w:hRule="exact"/>
        </w:trPr>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资助聘请专家经费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科技创新研发资金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年第二批软件产业发展专项资金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“电子数据公证云”的购置设备补助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243,794.91</w:t>
            </w:r>
          </w:p>
        </w:tc>
        <w:tc>
          <w:tcPr>
            <w:tcW w:w="127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专利申请费用资助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154,600.00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7,000.00</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信息网络安全监测系统项目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年优秀新产品二等奖</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互联网交互式信息管理平台</w:t>
            </w:r>
            <w:r>
              <w:rPr>
                <w:rFonts w:ascii="Times New Roman" w:hAnsi="Times New Roman" w:cs="Times New Roman" w:eastAsia="Times New Roman"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纳税大户企业奖励金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年度知识产权示范企业资助资金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海沧科技创业中心项目场地租金补贴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51,660.00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年度厦门市知识产权示范企业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年福建省专利奖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厦门火炬高技术产业开发区管委会财政扶持资金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1,436,500.00</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厦门火炬高技术产业开发区管理委员会鼓励改制上市奖励金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厦门市政府入选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年度国家规划布局内重点软件企业奖励</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互联网舆情综合平台研发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300,000.00</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3"/>
              <w:jc w:val="left"/>
              <w:rPr>
                <w:rFonts w:ascii="宋体" w:hAnsi="宋体" w:cs="宋体" w:eastAsia="宋体" w:hint="default"/>
                <w:sz w:val="18"/>
                <w:szCs w:val="18"/>
              </w:rPr>
            </w:pPr>
            <w:r>
              <w:rPr>
                <w:rFonts w:ascii="宋体" w:hAnsi="宋体" w:cs="宋体" w:eastAsia="宋体" w:hint="default"/>
                <w:sz w:val="18"/>
                <w:szCs w:val="18"/>
              </w:rPr>
              <w:t>厦门市信息化局首次获得国家规划布局内重点软件企业认定 奖励</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福建省知识产权优势企业培育资金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网络信息调查取证系统优秀新产品奖励</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厦门市财政局科技进步奖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厦门火炬高技术产业开发区管理委员会纳税大户奖励</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厦门火炬高技术产业开发区企业专利申请资助</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68,000.00</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厦门外国专家局聘请外国专家经费资助</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55,000.00</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16,743.00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7,820.14</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30,572,980.07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17,985,699.43</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40" w:right="0" w:firstLine="0"/>
        <w:jc w:val="left"/>
        <w:rPr>
          <w:rFonts w:ascii="宋体" w:hAnsi="宋体" w:cs="宋体" w:eastAsia="宋体" w:hint="default"/>
          <w:sz w:val="18"/>
          <w:szCs w:val="18"/>
        </w:rPr>
      </w:pPr>
      <w:r>
        <w:rPr>
          <w:rFonts w:ascii="宋体" w:hAnsi="宋体" w:cs="宋体" w:eastAsia="宋体" w:hint="default"/>
          <w:sz w:val="18"/>
          <w:szCs w:val="18"/>
        </w:rPr>
        <w:t>营业外收入说明：无。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12"/>
        <w:rPr>
          <w:rFonts w:ascii="宋体" w:hAnsi="宋体" w:cs="宋体" w:eastAsia="宋体" w:hint="default"/>
          <w:b/>
          <w:bCs/>
          <w:sz w:val="22"/>
          <w:szCs w:val="22"/>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3253"/>
        <w:gridCol w:w="1767"/>
        <w:gridCol w:w="1673"/>
        <w:gridCol w:w="1673"/>
      </w:tblGrid>
      <w:tr>
        <w:trPr>
          <w:trHeight w:val="161" w:hRule="exact"/>
        </w:trPr>
        <w:tc>
          <w:tcPr>
            <w:tcW w:w="3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7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6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7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82" w:right="111" w:hanging="272"/>
              <w:jc w:val="left"/>
              <w:rPr>
                <w:rFonts w:ascii="宋体" w:hAnsi="宋体" w:cs="宋体" w:eastAsia="宋体" w:hint="default"/>
                <w:sz w:val="18"/>
                <w:szCs w:val="18"/>
              </w:rPr>
            </w:pPr>
            <w:r>
              <w:rPr>
                <w:rFonts w:ascii="宋体" w:hAnsi="宋体" w:cs="宋体" w:eastAsia="宋体" w:hint="default"/>
                <w:sz w:val="18"/>
                <w:szCs w:val="18"/>
              </w:rPr>
              <w:t>计入当期非经常性 损益的金额</w:t>
            </w:r>
          </w:p>
        </w:tc>
      </w:tr>
      <w:tr>
        <w:trPr>
          <w:trHeight w:val="391" w:hRule="exact"/>
        </w:trPr>
        <w:tc>
          <w:tcPr>
            <w:tcW w:w="3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673" w:type="dxa"/>
            <w:vMerge/>
            <w:tcBorders>
              <w:left w:val="single" w:sz="4" w:space="0" w:color="000000"/>
              <w:right w:val="single" w:sz="4" w:space="0" w:color="000000"/>
            </w:tcBorders>
            <w:shd w:val="clear" w:color="auto" w:fill="D2D2D2"/>
          </w:tcPr>
          <w:p>
            <w:pPr/>
          </w:p>
        </w:tc>
      </w:tr>
      <w:tr>
        <w:trPr>
          <w:trHeight w:val="161" w:hRule="exact"/>
        </w:trPr>
        <w:tc>
          <w:tcPr>
            <w:tcW w:w="32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7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6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7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17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999,795.02</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215,188.00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999,795.02</w:t>
            </w:r>
          </w:p>
        </w:tc>
      </w:tr>
      <w:tr>
        <w:trPr>
          <w:trHeight w:val="40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43,173.71</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22,095.50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43,173.71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1660" w:right="1640"/>
        </w:sectPr>
      </w:pPr>
    </w:p>
    <w:p>
      <w:pPr>
        <w:spacing w:line="240" w:lineRule="auto" w:before="8"/>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3242"/>
        <w:gridCol w:w="1778"/>
        <w:gridCol w:w="1673"/>
        <w:gridCol w:w="1673"/>
      </w:tblGrid>
      <w:tr>
        <w:trPr>
          <w:trHeight w:val="404" w:hRule="exact"/>
        </w:trPr>
        <w:tc>
          <w:tcPr>
            <w:tcW w:w="3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7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794" w:right="0"/>
              <w:jc w:val="left"/>
              <w:rPr>
                <w:rFonts w:ascii="Times New Roman" w:hAnsi="Times New Roman" w:cs="Times New Roman" w:eastAsia="Times New Roman" w:hint="default"/>
                <w:sz w:val="18"/>
                <w:szCs w:val="18"/>
              </w:rPr>
            </w:pPr>
            <w:r>
              <w:rPr>
                <w:rFonts w:ascii="Times New Roman"/>
                <w:sz w:val="18"/>
              </w:rPr>
              <w:t>1,042,968.73</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7" w:right="0"/>
              <w:jc w:val="left"/>
              <w:rPr>
                <w:rFonts w:ascii="Times New Roman" w:hAnsi="Times New Roman" w:cs="Times New Roman" w:eastAsia="Times New Roman" w:hint="default"/>
                <w:sz w:val="18"/>
                <w:szCs w:val="18"/>
              </w:rPr>
            </w:pPr>
            <w:r>
              <w:rPr>
                <w:rFonts w:ascii="Times New Roman"/>
                <w:sz w:val="18"/>
              </w:rPr>
              <w:t>237,283.50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4" w:right="0"/>
              <w:jc w:val="left"/>
              <w:rPr>
                <w:rFonts w:ascii="Times New Roman" w:hAnsi="Times New Roman" w:cs="Times New Roman" w:eastAsia="Times New Roman" w:hint="default"/>
                <w:sz w:val="18"/>
                <w:szCs w:val="18"/>
              </w:rPr>
            </w:pPr>
            <w:r>
              <w:rPr>
                <w:rFonts w:ascii="Times New Roman"/>
                <w:sz w:val="18"/>
              </w:rPr>
              <w:t>1,042,968.73</w:t>
            </w:r>
          </w:p>
        </w:tc>
      </w:tr>
    </w:tbl>
    <w:p>
      <w:pPr>
        <w:spacing w:before="49"/>
        <w:ind w:left="140" w:right="0" w:firstLine="0"/>
        <w:jc w:val="left"/>
        <w:rPr>
          <w:rFonts w:ascii="宋体" w:hAnsi="宋体" w:cs="宋体" w:eastAsia="宋体" w:hint="default"/>
          <w:sz w:val="18"/>
          <w:szCs w:val="18"/>
        </w:rPr>
      </w:pPr>
      <w:r>
        <w:rPr>
          <w:rFonts w:ascii="宋体" w:hAnsi="宋体" w:cs="宋体" w:eastAsia="宋体" w:hint="default"/>
          <w:sz w:val="18"/>
          <w:szCs w:val="18"/>
        </w:rPr>
        <w:t>营业外支出说明：无。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12"/>
        <w:rPr>
          <w:rFonts w:ascii="宋体" w:hAnsi="宋体" w:cs="宋体" w:eastAsia="宋体" w:hint="default"/>
          <w:b/>
          <w:bCs/>
          <w:sz w:val="22"/>
          <w:szCs w:val="22"/>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4059"/>
        <w:gridCol w:w="2216"/>
        <w:gridCol w:w="2091"/>
      </w:tblGrid>
      <w:tr>
        <w:trPr>
          <w:trHeight w:val="401" w:hRule="exact"/>
        </w:trPr>
        <w:tc>
          <w:tcPr>
            <w:tcW w:w="4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2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5,422,184.35</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9,877,569.27</w:t>
            </w:r>
          </w:p>
        </w:tc>
      </w:tr>
      <w:tr>
        <w:trPr>
          <w:trHeight w:val="401" w:hRule="exact"/>
        </w:trPr>
        <w:tc>
          <w:tcPr>
            <w:tcW w:w="4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2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-828,058.81</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-1,173,361.15</w:t>
            </w:r>
          </w:p>
        </w:tc>
      </w:tr>
      <w:tr>
        <w:trPr>
          <w:trHeight w:val="403" w:hRule="exact"/>
        </w:trPr>
        <w:tc>
          <w:tcPr>
            <w:tcW w:w="4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4,594,125.54</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8,704,208.12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66</w:t>
      </w:r>
      <w:r>
        <w:rPr/>
        <w:t>、基本每股收益和稀释每股收益的计算过程</w:t>
      </w:r>
      <w:r>
        <w:rPr>
          <w:b w:val="0"/>
          <w:bCs w:val="0"/>
        </w:rPr>
      </w:r>
    </w:p>
    <w:p>
      <w:pPr>
        <w:spacing w:line="240" w:lineRule="auto" w:before="7"/>
        <w:rPr>
          <w:rFonts w:ascii="宋体" w:hAnsi="宋体" w:cs="宋体" w:eastAsia="宋体" w:hint="default"/>
          <w:b/>
          <w:bCs/>
          <w:sz w:val="25"/>
          <w:szCs w:val="25"/>
        </w:rPr>
      </w:pPr>
    </w:p>
    <w:tbl>
      <w:tblPr>
        <w:tblW w:w="0" w:type="auto"/>
        <w:jc w:val="left"/>
        <w:tblInd w:w="123" w:type="dxa"/>
        <w:tblLayout w:type="fixed"/>
        <w:tblCellMar>
          <w:top w:w="0" w:type="dxa"/>
          <w:left w:w="0" w:type="dxa"/>
          <w:bottom w:w="0" w:type="dxa"/>
          <w:right w:w="0" w:type="dxa"/>
        </w:tblCellMar>
        <w:tblLook w:val="01E0"/>
      </w:tblPr>
      <w:tblGrid>
        <w:gridCol w:w="3387"/>
        <w:gridCol w:w="2616"/>
        <w:gridCol w:w="1162"/>
        <w:gridCol w:w="1162"/>
      </w:tblGrid>
      <w:tr>
        <w:trPr>
          <w:trHeight w:val="350" w:hRule="exact"/>
        </w:trPr>
        <w:tc>
          <w:tcPr>
            <w:tcW w:w="3387" w:type="dxa"/>
            <w:tcBorders>
              <w:top w:val="single" w:sz="6" w:space="0" w:color="000000"/>
              <w:left w:val="single" w:sz="6"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89"/>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616"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代码</w:t>
            </w:r>
            <w:r>
              <w:rPr>
                <w:rFonts w:ascii="宋体" w:hAnsi="宋体" w:cs="宋体" w:eastAsia="宋体" w:hint="default"/>
                <w:sz w:val="18"/>
                <w:szCs w:val="18"/>
              </w:rPr>
            </w:r>
          </w:p>
        </w:tc>
        <w:tc>
          <w:tcPr>
            <w:tcW w:w="1162"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b/>
                <w:bCs/>
                <w:w w:val="95"/>
                <w:sz w:val="18"/>
                <w:szCs w:val="18"/>
              </w:rPr>
              <w:t>本年发生额</w:t>
            </w:r>
            <w:r>
              <w:rPr>
                <w:rFonts w:ascii="宋体" w:hAnsi="宋体" w:cs="宋体" w:eastAsia="宋体" w:hint="default"/>
                <w:sz w:val="18"/>
                <w:szCs w:val="18"/>
              </w:rPr>
            </w:r>
          </w:p>
        </w:tc>
        <w:tc>
          <w:tcPr>
            <w:tcW w:w="1162"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b/>
                <w:bCs/>
                <w:w w:val="95"/>
                <w:sz w:val="18"/>
                <w:szCs w:val="18"/>
              </w:rPr>
              <w:t>上年发生额</w:t>
            </w:r>
            <w:r>
              <w:rPr>
                <w:rFonts w:ascii="宋体" w:hAnsi="宋体" w:cs="宋体" w:eastAsia="宋体" w:hint="default"/>
                <w:sz w:val="18"/>
                <w:szCs w:val="18"/>
              </w:rPr>
            </w:r>
          </w:p>
        </w:tc>
      </w:tr>
      <w:tr>
        <w:trPr>
          <w:trHeight w:val="346" w:hRule="exact"/>
        </w:trPr>
        <w:tc>
          <w:tcPr>
            <w:tcW w:w="3387"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报告期归属于公司普通股股东的净利润</w:t>
            </w:r>
          </w:p>
        </w:tc>
        <w:tc>
          <w:tcPr>
            <w:tcW w:w="2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P1</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78,431,616.50</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61,504,981.78</w:t>
            </w:r>
          </w:p>
        </w:tc>
      </w:tr>
      <w:tr>
        <w:trPr>
          <w:trHeight w:val="660" w:hRule="exact"/>
        </w:trPr>
        <w:tc>
          <w:tcPr>
            <w:tcW w:w="3387" w:type="dxa"/>
            <w:tcBorders>
              <w:top w:val="single" w:sz="8" w:space="0" w:color="000000"/>
              <w:left w:val="single" w:sz="6" w:space="0" w:color="000000"/>
              <w:bottom w:val="single" w:sz="8" w:space="0" w:color="000000"/>
              <w:right w:val="single" w:sz="8" w:space="0" w:color="000000"/>
            </w:tcBorders>
          </w:tcPr>
          <w:p>
            <w:pPr>
              <w:pStyle w:val="TableParagraph"/>
              <w:spacing w:line="316" w:lineRule="auto" w:before="15"/>
              <w:ind w:left="2" w:right="-5"/>
              <w:jc w:val="left"/>
              <w:rPr>
                <w:rFonts w:ascii="宋体" w:hAnsi="宋体" w:cs="宋体" w:eastAsia="宋体" w:hint="default"/>
                <w:sz w:val="18"/>
                <w:szCs w:val="18"/>
              </w:rPr>
            </w:pPr>
            <w:r>
              <w:rPr>
                <w:rFonts w:ascii="宋体" w:hAnsi="宋体" w:cs="宋体" w:eastAsia="宋体" w:hint="default"/>
                <w:spacing w:val="7"/>
                <w:sz w:val="18"/>
                <w:szCs w:val="18"/>
              </w:rPr>
              <w:t>报告期归属于公司普通股股东的非经常性 </w:t>
            </w:r>
            <w:r>
              <w:rPr>
                <w:rFonts w:ascii="宋体" w:hAnsi="宋体" w:cs="宋体" w:eastAsia="宋体" w:hint="default"/>
                <w:sz w:val="18"/>
                <w:szCs w:val="18"/>
              </w:rPr>
              <w:t>损益</w:t>
            </w:r>
          </w:p>
        </w:tc>
        <w:tc>
          <w:tcPr>
            <w:tcW w:w="2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w w:val="99"/>
                <w:sz w:val="18"/>
              </w:rPr>
              <w:t>F</w:t>
            </w:r>
            <w:r>
              <w:rPr>
                <w:rFonts w:ascii="Times New Roman"/>
                <w:sz w:val="18"/>
              </w:rPr>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10,064,393.89</w:t>
            </w:r>
          </w:p>
        </w:tc>
        <w:tc>
          <w:tcPr>
            <w:tcW w:w="1162" w:type="dxa"/>
            <w:tcBorders>
              <w:top w:val="single" w:sz="8" w:space="0" w:color="000000"/>
              <w:left w:val="single" w:sz="8" w:space="0" w:color="000000"/>
              <w:bottom w:val="single" w:sz="6" w:space="0" w:color="000000"/>
              <w:right w:val="single" w:sz="8"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6,108,550.00</w:t>
            </w:r>
          </w:p>
        </w:tc>
      </w:tr>
      <w:tr>
        <w:trPr>
          <w:trHeight w:val="660" w:hRule="exact"/>
        </w:trPr>
        <w:tc>
          <w:tcPr>
            <w:tcW w:w="3387" w:type="dxa"/>
            <w:tcBorders>
              <w:top w:val="single" w:sz="8" w:space="0" w:color="000000"/>
              <w:left w:val="single" w:sz="6" w:space="0" w:color="000000"/>
              <w:bottom w:val="single" w:sz="8" w:space="0" w:color="000000"/>
              <w:right w:val="single" w:sz="8" w:space="0" w:color="000000"/>
            </w:tcBorders>
          </w:tcPr>
          <w:p>
            <w:pPr>
              <w:pStyle w:val="TableParagraph"/>
              <w:spacing w:line="316" w:lineRule="auto" w:before="13"/>
              <w:ind w:left="2" w:right="-5"/>
              <w:jc w:val="left"/>
              <w:rPr>
                <w:rFonts w:ascii="宋体" w:hAnsi="宋体" w:cs="宋体" w:eastAsia="宋体" w:hint="default"/>
                <w:sz w:val="18"/>
                <w:szCs w:val="18"/>
              </w:rPr>
            </w:pPr>
            <w:r>
              <w:rPr>
                <w:rFonts w:ascii="宋体" w:hAnsi="宋体" w:cs="宋体" w:eastAsia="宋体" w:hint="default"/>
                <w:spacing w:val="7"/>
                <w:sz w:val="18"/>
                <w:szCs w:val="18"/>
              </w:rPr>
              <w:t>报告期扣除非经常性损益后归属于公司普 </w:t>
            </w:r>
            <w:r>
              <w:rPr>
                <w:rFonts w:ascii="宋体" w:hAnsi="宋体" w:cs="宋体" w:eastAsia="宋体" w:hint="default"/>
                <w:sz w:val="18"/>
                <w:szCs w:val="18"/>
              </w:rPr>
              <w:t>通股股东的净利润</w:t>
            </w:r>
          </w:p>
        </w:tc>
        <w:tc>
          <w:tcPr>
            <w:tcW w:w="2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P2=P1-F</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68,367,222.61</w:t>
            </w:r>
          </w:p>
        </w:tc>
        <w:tc>
          <w:tcPr>
            <w:tcW w:w="1162" w:type="dxa"/>
            <w:tcBorders>
              <w:top w:val="single" w:sz="6" w:space="0" w:color="000000"/>
              <w:left w:val="single" w:sz="8" w:space="0" w:color="000000"/>
              <w:bottom w:val="single" w:sz="6" w:space="0" w:color="000000"/>
              <w:right w:val="single" w:sz="8"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55,396,431.78</w:t>
            </w:r>
          </w:p>
        </w:tc>
      </w:tr>
      <w:tr>
        <w:trPr>
          <w:trHeight w:val="658" w:hRule="exact"/>
        </w:trPr>
        <w:tc>
          <w:tcPr>
            <w:tcW w:w="3387" w:type="dxa"/>
            <w:tcBorders>
              <w:top w:val="single" w:sz="8" w:space="0" w:color="000000"/>
              <w:left w:val="single" w:sz="6" w:space="0" w:color="000000"/>
              <w:bottom w:val="single" w:sz="8" w:space="0" w:color="000000"/>
              <w:right w:val="single" w:sz="8" w:space="0" w:color="000000"/>
            </w:tcBorders>
          </w:tcPr>
          <w:p>
            <w:pPr>
              <w:pStyle w:val="TableParagraph"/>
              <w:spacing w:line="316" w:lineRule="auto" w:before="13"/>
              <w:ind w:left="2" w:right="-5"/>
              <w:jc w:val="left"/>
              <w:rPr>
                <w:rFonts w:ascii="宋体" w:hAnsi="宋体" w:cs="宋体" w:eastAsia="宋体" w:hint="default"/>
                <w:sz w:val="18"/>
                <w:szCs w:val="18"/>
              </w:rPr>
            </w:pPr>
            <w:r>
              <w:rPr>
                <w:rFonts w:ascii="宋体" w:hAnsi="宋体" w:cs="宋体" w:eastAsia="宋体" w:hint="default"/>
                <w:spacing w:val="7"/>
                <w:sz w:val="18"/>
                <w:szCs w:val="18"/>
              </w:rPr>
              <w:t>稀释事项对归属于公司普通股股东的净利 </w:t>
            </w:r>
            <w:r>
              <w:rPr>
                <w:rFonts w:ascii="宋体" w:hAnsi="宋体" w:cs="宋体" w:eastAsia="宋体" w:hint="default"/>
                <w:sz w:val="18"/>
                <w:szCs w:val="18"/>
              </w:rPr>
              <w:t>润的影响</w:t>
            </w:r>
          </w:p>
        </w:tc>
        <w:tc>
          <w:tcPr>
            <w:tcW w:w="2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P3</w:t>
            </w:r>
          </w:p>
        </w:tc>
        <w:tc>
          <w:tcPr>
            <w:tcW w:w="1162" w:type="dxa"/>
            <w:tcBorders>
              <w:top w:val="single" w:sz="8" w:space="0" w:color="000000"/>
              <w:left w:val="single" w:sz="8" w:space="0" w:color="000000"/>
              <w:bottom w:val="single" w:sz="8" w:space="0" w:color="000000"/>
              <w:right w:val="single" w:sz="8" w:space="0" w:color="000000"/>
            </w:tcBorders>
          </w:tcPr>
          <w:p>
            <w:pPr/>
          </w:p>
        </w:tc>
        <w:tc>
          <w:tcPr>
            <w:tcW w:w="1162" w:type="dxa"/>
            <w:tcBorders>
              <w:top w:val="single" w:sz="6" w:space="0" w:color="000000"/>
              <w:left w:val="single" w:sz="8" w:space="0" w:color="000000"/>
              <w:bottom w:val="single" w:sz="8" w:space="0" w:color="000000"/>
              <w:right w:val="single" w:sz="8" w:space="0" w:color="000000"/>
            </w:tcBorders>
          </w:tcPr>
          <w:p>
            <w:pPr/>
          </w:p>
        </w:tc>
      </w:tr>
      <w:tr>
        <w:trPr>
          <w:trHeight w:val="660" w:hRule="exact"/>
        </w:trPr>
        <w:tc>
          <w:tcPr>
            <w:tcW w:w="3387" w:type="dxa"/>
            <w:tcBorders>
              <w:top w:val="single" w:sz="8" w:space="0" w:color="000000"/>
              <w:left w:val="single" w:sz="6" w:space="0" w:color="000000"/>
              <w:bottom w:val="single" w:sz="8" w:space="0" w:color="000000"/>
              <w:right w:val="single" w:sz="8" w:space="0" w:color="000000"/>
            </w:tcBorders>
          </w:tcPr>
          <w:p>
            <w:pPr>
              <w:pStyle w:val="TableParagraph"/>
              <w:spacing w:line="316" w:lineRule="auto" w:before="15"/>
              <w:ind w:left="2" w:right="-5"/>
              <w:jc w:val="left"/>
              <w:rPr>
                <w:rFonts w:ascii="宋体" w:hAnsi="宋体" w:cs="宋体" w:eastAsia="宋体" w:hint="default"/>
                <w:sz w:val="18"/>
                <w:szCs w:val="18"/>
              </w:rPr>
            </w:pPr>
            <w:r>
              <w:rPr>
                <w:rFonts w:ascii="宋体" w:hAnsi="宋体" w:cs="宋体" w:eastAsia="宋体" w:hint="default"/>
                <w:spacing w:val="7"/>
                <w:sz w:val="18"/>
                <w:szCs w:val="18"/>
              </w:rPr>
              <w:t>稀释事项对扣除非经常性损益后归属于公 </w:t>
            </w:r>
            <w:r>
              <w:rPr>
                <w:rFonts w:ascii="宋体" w:hAnsi="宋体" w:cs="宋体" w:eastAsia="宋体" w:hint="default"/>
                <w:sz w:val="18"/>
                <w:szCs w:val="18"/>
              </w:rPr>
              <w:t>司普通股股东的净利润的影响</w:t>
            </w:r>
          </w:p>
        </w:tc>
        <w:tc>
          <w:tcPr>
            <w:tcW w:w="2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Times New Roman"/>
                <w:sz w:val="18"/>
              </w:rPr>
              <w:t>P4</w:t>
            </w:r>
          </w:p>
        </w:tc>
        <w:tc>
          <w:tcPr>
            <w:tcW w:w="1162" w:type="dxa"/>
            <w:tcBorders>
              <w:top w:val="single" w:sz="8" w:space="0" w:color="000000"/>
              <w:left w:val="single" w:sz="8" w:space="0" w:color="000000"/>
              <w:bottom w:val="single" w:sz="8" w:space="0" w:color="000000"/>
              <w:right w:val="single" w:sz="8" w:space="0" w:color="000000"/>
            </w:tcBorders>
          </w:tcPr>
          <w:p>
            <w:pPr/>
          </w:p>
        </w:tc>
        <w:tc>
          <w:tcPr>
            <w:tcW w:w="1162" w:type="dxa"/>
            <w:tcBorders>
              <w:top w:val="single" w:sz="8" w:space="0" w:color="000000"/>
              <w:left w:val="single" w:sz="8" w:space="0" w:color="000000"/>
              <w:bottom w:val="single" w:sz="8" w:space="0" w:color="000000"/>
              <w:right w:val="single" w:sz="8" w:space="0" w:color="000000"/>
            </w:tcBorders>
          </w:tcPr>
          <w:p>
            <w:pPr/>
          </w:p>
        </w:tc>
      </w:tr>
      <w:tr>
        <w:trPr>
          <w:trHeight w:val="346" w:hRule="exact"/>
        </w:trPr>
        <w:tc>
          <w:tcPr>
            <w:tcW w:w="3387"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2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S0</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53,500,000.00</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660" w:hRule="exact"/>
        </w:trPr>
        <w:tc>
          <w:tcPr>
            <w:tcW w:w="3387" w:type="dxa"/>
            <w:tcBorders>
              <w:top w:val="single" w:sz="8" w:space="0" w:color="000000"/>
              <w:left w:val="single" w:sz="6" w:space="0" w:color="000000"/>
              <w:bottom w:val="single" w:sz="8" w:space="0" w:color="000000"/>
              <w:right w:val="single" w:sz="8" w:space="0" w:color="000000"/>
            </w:tcBorders>
          </w:tcPr>
          <w:p>
            <w:pPr>
              <w:pStyle w:val="TableParagraph"/>
              <w:spacing w:line="316" w:lineRule="auto" w:before="15"/>
              <w:ind w:left="2" w:right="-5"/>
              <w:jc w:val="left"/>
              <w:rPr>
                <w:rFonts w:ascii="宋体" w:hAnsi="宋体" w:cs="宋体" w:eastAsia="宋体" w:hint="default"/>
                <w:sz w:val="18"/>
                <w:szCs w:val="18"/>
              </w:rPr>
            </w:pPr>
            <w:r>
              <w:rPr>
                <w:rFonts w:ascii="宋体" w:hAnsi="宋体" w:cs="宋体" w:eastAsia="宋体" w:hint="default"/>
                <w:spacing w:val="7"/>
                <w:sz w:val="18"/>
                <w:szCs w:val="18"/>
              </w:rPr>
              <w:t>报告期因公积金转增股本或股票股利分配 </w:t>
            </w:r>
            <w:r>
              <w:rPr>
                <w:rFonts w:ascii="宋体" w:hAnsi="宋体" w:cs="宋体" w:eastAsia="宋体" w:hint="default"/>
                <w:sz w:val="18"/>
                <w:szCs w:val="18"/>
              </w:rPr>
              <w:t>等增加股份数</w:t>
            </w:r>
          </w:p>
        </w:tc>
        <w:tc>
          <w:tcPr>
            <w:tcW w:w="2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S1</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53,500,000.00</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346" w:hRule="exact"/>
        </w:trPr>
        <w:tc>
          <w:tcPr>
            <w:tcW w:w="3387"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报告期因发行新股或债转股等增加股份数</w:t>
            </w:r>
          </w:p>
        </w:tc>
        <w:tc>
          <w:tcPr>
            <w:tcW w:w="2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Si</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3,906,600.00</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27,000,000.00</w:t>
            </w:r>
          </w:p>
        </w:tc>
      </w:tr>
      <w:tr>
        <w:trPr>
          <w:trHeight w:val="660" w:hRule="exact"/>
        </w:trPr>
        <w:tc>
          <w:tcPr>
            <w:tcW w:w="3387" w:type="dxa"/>
            <w:tcBorders>
              <w:top w:val="single" w:sz="8" w:space="0" w:color="000000"/>
              <w:left w:val="single" w:sz="6" w:space="0" w:color="000000"/>
              <w:bottom w:val="single" w:sz="8" w:space="0" w:color="000000"/>
              <w:right w:val="single" w:sz="8" w:space="0" w:color="000000"/>
            </w:tcBorders>
          </w:tcPr>
          <w:p>
            <w:pPr>
              <w:pStyle w:val="TableParagraph"/>
              <w:spacing w:line="316" w:lineRule="auto" w:before="15"/>
              <w:ind w:left="2" w:right="-5"/>
              <w:jc w:val="left"/>
              <w:rPr>
                <w:rFonts w:ascii="宋体" w:hAnsi="宋体" w:cs="宋体" w:eastAsia="宋体" w:hint="default"/>
                <w:sz w:val="18"/>
                <w:szCs w:val="18"/>
              </w:rPr>
            </w:pPr>
            <w:r>
              <w:rPr>
                <w:rFonts w:ascii="宋体" w:hAnsi="宋体" w:cs="宋体" w:eastAsia="宋体" w:hint="default"/>
                <w:spacing w:val="7"/>
                <w:sz w:val="18"/>
                <w:szCs w:val="18"/>
              </w:rPr>
              <w:t>增加股份下一月份起至报告期期末的月份 </w:t>
            </w:r>
            <w:r>
              <w:rPr>
                <w:rFonts w:ascii="宋体" w:hAnsi="宋体" w:cs="宋体" w:eastAsia="宋体" w:hint="default"/>
                <w:sz w:val="18"/>
                <w:szCs w:val="18"/>
              </w:rPr>
              <w:t>数</w:t>
            </w:r>
          </w:p>
        </w:tc>
        <w:tc>
          <w:tcPr>
            <w:tcW w:w="2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Mi</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5</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9</w:t>
            </w:r>
          </w:p>
        </w:tc>
      </w:tr>
      <w:tr>
        <w:trPr>
          <w:trHeight w:val="348" w:hRule="exact"/>
        </w:trPr>
        <w:tc>
          <w:tcPr>
            <w:tcW w:w="3387"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2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Sj</w:t>
            </w:r>
          </w:p>
        </w:tc>
        <w:tc>
          <w:tcPr>
            <w:tcW w:w="1162" w:type="dxa"/>
            <w:tcBorders>
              <w:top w:val="single" w:sz="8" w:space="0" w:color="000000"/>
              <w:left w:val="single" w:sz="8" w:space="0" w:color="000000"/>
              <w:bottom w:val="single" w:sz="8" w:space="0" w:color="000000"/>
              <w:right w:val="single" w:sz="8" w:space="0" w:color="000000"/>
            </w:tcBorders>
          </w:tcPr>
          <w:p>
            <w:pPr/>
          </w:p>
        </w:tc>
        <w:tc>
          <w:tcPr>
            <w:tcW w:w="1162" w:type="dxa"/>
            <w:tcBorders>
              <w:top w:val="single" w:sz="8" w:space="0" w:color="000000"/>
              <w:left w:val="single" w:sz="8" w:space="0" w:color="000000"/>
              <w:bottom w:val="single" w:sz="8" w:space="0" w:color="000000"/>
              <w:right w:val="single" w:sz="8" w:space="0" w:color="000000"/>
            </w:tcBorders>
          </w:tcPr>
          <w:p>
            <w:pPr/>
          </w:p>
        </w:tc>
      </w:tr>
      <w:tr>
        <w:trPr>
          <w:trHeight w:val="658" w:hRule="exact"/>
        </w:trPr>
        <w:tc>
          <w:tcPr>
            <w:tcW w:w="3387" w:type="dxa"/>
            <w:tcBorders>
              <w:top w:val="single" w:sz="8" w:space="0" w:color="000000"/>
              <w:left w:val="single" w:sz="6" w:space="0" w:color="000000"/>
              <w:bottom w:val="single" w:sz="8" w:space="0" w:color="000000"/>
              <w:right w:val="single" w:sz="8" w:space="0" w:color="000000"/>
            </w:tcBorders>
          </w:tcPr>
          <w:p>
            <w:pPr>
              <w:pStyle w:val="TableParagraph"/>
              <w:spacing w:line="316" w:lineRule="auto" w:before="13"/>
              <w:ind w:left="2" w:right="-5"/>
              <w:jc w:val="left"/>
              <w:rPr>
                <w:rFonts w:ascii="宋体" w:hAnsi="宋体" w:cs="宋体" w:eastAsia="宋体" w:hint="default"/>
                <w:sz w:val="18"/>
                <w:szCs w:val="18"/>
              </w:rPr>
            </w:pPr>
            <w:r>
              <w:rPr>
                <w:rFonts w:ascii="宋体" w:hAnsi="宋体" w:cs="宋体" w:eastAsia="宋体" w:hint="default"/>
                <w:spacing w:val="7"/>
                <w:sz w:val="18"/>
                <w:szCs w:val="18"/>
              </w:rPr>
              <w:t>减少股份下一月份起至报告期期末的月份 </w:t>
            </w:r>
            <w:r>
              <w:rPr>
                <w:rFonts w:ascii="宋体" w:hAnsi="宋体" w:cs="宋体" w:eastAsia="宋体" w:hint="default"/>
                <w:sz w:val="18"/>
                <w:szCs w:val="18"/>
              </w:rPr>
              <w:t>数</w:t>
            </w:r>
          </w:p>
        </w:tc>
        <w:tc>
          <w:tcPr>
            <w:tcW w:w="2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Mj</w:t>
            </w:r>
          </w:p>
        </w:tc>
        <w:tc>
          <w:tcPr>
            <w:tcW w:w="1162" w:type="dxa"/>
            <w:tcBorders>
              <w:top w:val="single" w:sz="8" w:space="0" w:color="000000"/>
              <w:left w:val="single" w:sz="8" w:space="0" w:color="000000"/>
              <w:bottom w:val="single" w:sz="8" w:space="0" w:color="000000"/>
              <w:right w:val="single" w:sz="8" w:space="0" w:color="000000"/>
            </w:tcBorders>
          </w:tcPr>
          <w:p>
            <w:pPr/>
          </w:p>
        </w:tc>
        <w:tc>
          <w:tcPr>
            <w:tcW w:w="1162" w:type="dxa"/>
            <w:tcBorders>
              <w:top w:val="single" w:sz="8" w:space="0" w:color="000000"/>
              <w:left w:val="single" w:sz="8" w:space="0" w:color="000000"/>
              <w:bottom w:val="single" w:sz="8" w:space="0" w:color="000000"/>
              <w:right w:val="single" w:sz="8" w:space="0" w:color="000000"/>
            </w:tcBorders>
          </w:tcPr>
          <w:p>
            <w:pPr/>
          </w:p>
        </w:tc>
      </w:tr>
      <w:tr>
        <w:trPr>
          <w:trHeight w:val="349" w:hRule="exact"/>
        </w:trPr>
        <w:tc>
          <w:tcPr>
            <w:tcW w:w="3387"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2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Times New Roman"/>
                <w:sz w:val="18"/>
              </w:rPr>
              <w:t>Sk</w:t>
            </w:r>
          </w:p>
        </w:tc>
        <w:tc>
          <w:tcPr>
            <w:tcW w:w="1162" w:type="dxa"/>
            <w:tcBorders>
              <w:top w:val="single" w:sz="8" w:space="0" w:color="000000"/>
              <w:left w:val="single" w:sz="8" w:space="0" w:color="000000"/>
              <w:bottom w:val="single" w:sz="8" w:space="0" w:color="000000"/>
              <w:right w:val="single" w:sz="8" w:space="0" w:color="000000"/>
            </w:tcBorders>
          </w:tcPr>
          <w:p>
            <w:pPr/>
          </w:p>
        </w:tc>
        <w:tc>
          <w:tcPr>
            <w:tcW w:w="1162" w:type="dxa"/>
            <w:tcBorders>
              <w:top w:val="single" w:sz="8" w:space="0" w:color="000000"/>
              <w:left w:val="single" w:sz="8" w:space="0" w:color="000000"/>
              <w:bottom w:val="single" w:sz="8" w:space="0" w:color="000000"/>
              <w:right w:val="single" w:sz="8" w:space="0" w:color="000000"/>
            </w:tcBorders>
          </w:tcPr>
          <w:p>
            <w:pPr/>
          </w:p>
        </w:tc>
      </w:tr>
      <w:tr>
        <w:trPr>
          <w:trHeight w:val="346" w:hRule="exact"/>
        </w:trPr>
        <w:tc>
          <w:tcPr>
            <w:tcW w:w="3387"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2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sz w:val="18"/>
              </w:rPr>
              <w:t>M0</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z w:val="18"/>
              </w:rPr>
              <w:t>12</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12</w:t>
            </w:r>
          </w:p>
        </w:tc>
      </w:tr>
      <w:tr>
        <w:trPr>
          <w:trHeight w:val="348" w:hRule="exact"/>
        </w:trPr>
        <w:tc>
          <w:tcPr>
            <w:tcW w:w="3387"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2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S=S0+S1+Si*Mi/M0-Sj*Mj/M0-Sk</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108,627,750.00</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100,250,000.00</w:t>
            </w:r>
          </w:p>
        </w:tc>
      </w:tr>
      <w:tr>
        <w:trPr>
          <w:trHeight w:val="660" w:hRule="exact"/>
        </w:trPr>
        <w:tc>
          <w:tcPr>
            <w:tcW w:w="3387" w:type="dxa"/>
            <w:tcBorders>
              <w:top w:val="single" w:sz="8" w:space="0" w:color="000000"/>
              <w:left w:val="single" w:sz="6" w:space="0" w:color="000000"/>
              <w:bottom w:val="single" w:sz="8" w:space="0" w:color="000000"/>
              <w:right w:val="single" w:sz="8" w:space="0" w:color="000000"/>
            </w:tcBorders>
          </w:tcPr>
          <w:p>
            <w:pPr>
              <w:pStyle w:val="TableParagraph"/>
              <w:spacing w:line="316" w:lineRule="auto" w:before="13"/>
              <w:ind w:left="2" w:right="0"/>
              <w:jc w:val="left"/>
              <w:rPr>
                <w:rFonts w:ascii="宋体" w:hAnsi="宋体" w:cs="宋体" w:eastAsia="宋体" w:hint="default"/>
                <w:sz w:val="18"/>
                <w:szCs w:val="18"/>
              </w:rPr>
            </w:pPr>
            <w:r>
              <w:rPr>
                <w:rFonts w:ascii="宋体" w:hAnsi="宋体" w:cs="宋体" w:eastAsia="宋体" w:hint="default"/>
                <w:spacing w:val="-3"/>
                <w:sz w:val="18"/>
                <w:szCs w:val="18"/>
              </w:rPr>
              <w:t>加：假定稀释性潜在普通股转换为已发行普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通股而增加的普通股加权平均数</w:t>
            </w:r>
          </w:p>
        </w:tc>
        <w:tc>
          <w:tcPr>
            <w:tcW w:w="2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sz w:val="18"/>
              </w:rPr>
              <w:t>X1</w:t>
            </w:r>
          </w:p>
        </w:tc>
        <w:tc>
          <w:tcPr>
            <w:tcW w:w="1162" w:type="dxa"/>
            <w:tcBorders>
              <w:top w:val="single" w:sz="8" w:space="0" w:color="000000"/>
              <w:left w:val="single" w:sz="8" w:space="0" w:color="000000"/>
              <w:bottom w:val="single" w:sz="8" w:space="0" w:color="000000"/>
              <w:right w:val="single" w:sz="8" w:space="0" w:color="000000"/>
            </w:tcBorders>
          </w:tcPr>
          <w:p>
            <w:pPr/>
          </w:p>
        </w:tc>
        <w:tc>
          <w:tcPr>
            <w:tcW w:w="1162" w:type="dxa"/>
            <w:tcBorders>
              <w:top w:val="single" w:sz="8" w:space="0" w:color="000000"/>
              <w:left w:val="single" w:sz="8" w:space="0" w:color="000000"/>
              <w:bottom w:val="single" w:sz="8" w:space="0" w:color="000000"/>
              <w:right w:val="single" w:sz="8" w:space="0" w:color="000000"/>
            </w:tcBorders>
          </w:tcPr>
          <w:p>
            <w:pPr/>
          </w:p>
        </w:tc>
      </w:tr>
      <w:tr>
        <w:trPr>
          <w:trHeight w:val="346" w:hRule="exact"/>
        </w:trPr>
        <w:tc>
          <w:tcPr>
            <w:tcW w:w="3387"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计算稀释每股收益的普通股加权平均数</w:t>
            </w:r>
          </w:p>
        </w:tc>
        <w:tc>
          <w:tcPr>
            <w:tcW w:w="2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X2=S+X1</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108,627,750.00</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100,250,000.00</w:t>
            </w:r>
          </w:p>
        </w:tc>
      </w:tr>
      <w:tr>
        <w:trPr>
          <w:trHeight w:val="660" w:hRule="exact"/>
        </w:trPr>
        <w:tc>
          <w:tcPr>
            <w:tcW w:w="3387" w:type="dxa"/>
            <w:tcBorders>
              <w:top w:val="single" w:sz="8" w:space="0" w:color="000000"/>
              <w:left w:val="single" w:sz="6" w:space="0" w:color="000000"/>
              <w:bottom w:val="single" w:sz="8" w:space="0" w:color="000000"/>
              <w:right w:val="single" w:sz="8" w:space="0" w:color="000000"/>
            </w:tcBorders>
          </w:tcPr>
          <w:p>
            <w:pPr>
              <w:pStyle w:val="TableParagraph"/>
              <w:spacing w:line="316" w:lineRule="auto" w:before="15"/>
              <w:ind w:left="182" w:right="0"/>
              <w:jc w:val="left"/>
              <w:rPr>
                <w:rFonts w:ascii="宋体" w:hAnsi="宋体" w:cs="宋体" w:eastAsia="宋体" w:hint="default"/>
                <w:sz w:val="18"/>
                <w:szCs w:val="18"/>
              </w:rPr>
            </w:pPr>
            <w:r>
              <w:rPr>
                <w:rFonts w:ascii="宋体" w:hAnsi="宋体" w:cs="宋体" w:eastAsia="宋体" w:hint="default"/>
                <w:spacing w:val="-4"/>
                <w:sz w:val="18"/>
                <w:szCs w:val="18"/>
              </w:rPr>
              <w:t>其中：可转换公司债转换而增加的普通股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加权数</w:t>
            </w:r>
          </w:p>
        </w:tc>
        <w:tc>
          <w:tcPr>
            <w:tcW w:w="2616" w:type="dxa"/>
            <w:tcBorders>
              <w:top w:val="single" w:sz="8" w:space="0" w:color="000000"/>
              <w:left w:val="single" w:sz="8" w:space="0" w:color="000000"/>
              <w:bottom w:val="single" w:sz="8" w:space="0" w:color="000000"/>
              <w:right w:val="single" w:sz="8" w:space="0" w:color="000000"/>
            </w:tcBorders>
          </w:tcPr>
          <w:p>
            <w:pPr/>
          </w:p>
        </w:tc>
        <w:tc>
          <w:tcPr>
            <w:tcW w:w="1162" w:type="dxa"/>
            <w:tcBorders>
              <w:top w:val="single" w:sz="8" w:space="0" w:color="000000"/>
              <w:left w:val="single" w:sz="8" w:space="0" w:color="000000"/>
              <w:bottom w:val="single" w:sz="8" w:space="0" w:color="000000"/>
              <w:right w:val="single" w:sz="8" w:space="0" w:color="000000"/>
            </w:tcBorders>
          </w:tcPr>
          <w:p>
            <w:pPr/>
          </w:p>
        </w:tc>
        <w:tc>
          <w:tcPr>
            <w:tcW w:w="1162" w:type="dxa"/>
            <w:tcBorders>
              <w:top w:val="single" w:sz="8" w:space="0" w:color="000000"/>
              <w:left w:val="single" w:sz="8" w:space="0" w:color="000000"/>
              <w:bottom w:val="single" w:sz="8" w:space="0" w:color="000000"/>
              <w:right w:val="single" w:sz="8" w:space="0" w:color="000000"/>
            </w:tcBorders>
          </w:tcPr>
          <w:p>
            <w:pPr/>
          </w:p>
        </w:tc>
      </w:tr>
    </w:tbl>
    <w:p>
      <w:pPr>
        <w:spacing w:after="0"/>
        <w:sectPr>
          <w:pgSz w:w="11910" w:h="16840"/>
          <w:pgMar w:header="877" w:footer="1227" w:top="1100" w:bottom="1420" w:left="1660" w:right="1640"/>
        </w:sectPr>
      </w:pPr>
    </w:p>
    <w:p>
      <w:pPr>
        <w:spacing w:line="240" w:lineRule="auto" w:before="8"/>
        <w:rPr>
          <w:rFonts w:ascii="宋体" w:hAnsi="宋体" w:cs="宋体" w:eastAsia="宋体" w:hint="default"/>
          <w:b/>
          <w:bCs/>
          <w:sz w:val="24"/>
          <w:szCs w:val="24"/>
        </w:rPr>
      </w:pPr>
    </w:p>
    <w:tbl>
      <w:tblPr>
        <w:tblW w:w="0" w:type="auto"/>
        <w:jc w:val="left"/>
        <w:tblInd w:w="123" w:type="dxa"/>
        <w:tblLayout w:type="fixed"/>
        <w:tblCellMar>
          <w:top w:w="0" w:type="dxa"/>
          <w:left w:w="0" w:type="dxa"/>
          <w:bottom w:w="0" w:type="dxa"/>
          <w:right w:w="0" w:type="dxa"/>
        </w:tblCellMar>
        <w:tblLook w:val="01E0"/>
      </w:tblPr>
      <w:tblGrid>
        <w:gridCol w:w="3387"/>
        <w:gridCol w:w="2616"/>
        <w:gridCol w:w="1162"/>
        <w:gridCol w:w="1162"/>
      </w:tblGrid>
      <w:tr>
        <w:trPr>
          <w:trHeight w:val="663" w:hRule="exact"/>
        </w:trPr>
        <w:tc>
          <w:tcPr>
            <w:tcW w:w="3387" w:type="dxa"/>
            <w:tcBorders>
              <w:top w:val="single" w:sz="6" w:space="0" w:color="000000"/>
              <w:left w:val="single" w:sz="6" w:space="0" w:color="000000"/>
              <w:bottom w:val="single" w:sz="8" w:space="0" w:color="000000"/>
              <w:right w:val="single" w:sz="8" w:space="0" w:color="000000"/>
            </w:tcBorders>
          </w:tcPr>
          <w:p>
            <w:pPr>
              <w:pStyle w:val="TableParagraph"/>
              <w:spacing w:line="300" w:lineRule="auto" w:before="17"/>
              <w:ind w:left="182" w:right="0"/>
              <w:jc w:val="left"/>
              <w:rPr>
                <w:rFonts w:ascii="宋体" w:hAnsi="宋体" w:cs="宋体" w:eastAsia="宋体" w:hint="default"/>
                <w:sz w:val="18"/>
                <w:szCs w:val="18"/>
              </w:rPr>
            </w:pPr>
            <w:r>
              <w:rPr>
                <w:rFonts w:ascii="宋体" w:hAnsi="宋体" w:cs="宋体" w:eastAsia="宋体" w:hint="default"/>
                <w:spacing w:val="3"/>
                <w:sz w:val="18"/>
                <w:szCs w:val="18"/>
              </w:rPr>
              <w:t>认股权证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股份期权行权而增加的普通股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加权数</w:t>
            </w:r>
          </w:p>
        </w:tc>
        <w:tc>
          <w:tcPr>
            <w:tcW w:w="2616" w:type="dxa"/>
            <w:tcBorders>
              <w:top w:val="single" w:sz="6" w:space="0" w:color="000000"/>
              <w:left w:val="single" w:sz="8" w:space="0" w:color="000000"/>
              <w:bottom w:val="single" w:sz="8" w:space="0" w:color="000000"/>
              <w:right w:val="single" w:sz="8" w:space="0" w:color="000000"/>
            </w:tcBorders>
          </w:tcPr>
          <w:p>
            <w:pPr/>
          </w:p>
        </w:tc>
        <w:tc>
          <w:tcPr>
            <w:tcW w:w="1162" w:type="dxa"/>
            <w:tcBorders>
              <w:top w:val="single" w:sz="6" w:space="0" w:color="000000"/>
              <w:left w:val="single" w:sz="8" w:space="0" w:color="000000"/>
              <w:bottom w:val="single" w:sz="8" w:space="0" w:color="000000"/>
              <w:right w:val="single" w:sz="8" w:space="0" w:color="000000"/>
            </w:tcBorders>
          </w:tcPr>
          <w:p>
            <w:pPr/>
          </w:p>
        </w:tc>
        <w:tc>
          <w:tcPr>
            <w:tcW w:w="1162" w:type="dxa"/>
            <w:tcBorders>
              <w:top w:val="single" w:sz="6" w:space="0" w:color="000000"/>
              <w:left w:val="single" w:sz="8" w:space="0" w:color="000000"/>
              <w:bottom w:val="single" w:sz="8" w:space="0" w:color="000000"/>
              <w:right w:val="single" w:sz="8" w:space="0" w:color="000000"/>
            </w:tcBorders>
          </w:tcPr>
          <w:p>
            <w:pPr/>
          </w:p>
        </w:tc>
      </w:tr>
      <w:tr>
        <w:trPr>
          <w:trHeight w:val="346" w:hRule="exact"/>
        </w:trPr>
        <w:tc>
          <w:tcPr>
            <w:tcW w:w="3387"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3"/>
              <w:ind w:right="305"/>
              <w:jc w:val="right"/>
              <w:rPr>
                <w:rFonts w:ascii="宋体" w:hAnsi="宋体" w:cs="宋体" w:eastAsia="宋体" w:hint="default"/>
                <w:sz w:val="18"/>
                <w:szCs w:val="18"/>
              </w:rPr>
            </w:pPr>
            <w:r>
              <w:rPr>
                <w:rFonts w:ascii="宋体" w:hAnsi="宋体" w:cs="宋体" w:eastAsia="宋体" w:hint="default"/>
                <w:sz w:val="18"/>
                <w:szCs w:val="18"/>
              </w:rPr>
              <w:t>回购承诺履行而增加的普通股加权数</w:t>
            </w:r>
          </w:p>
        </w:tc>
        <w:tc>
          <w:tcPr>
            <w:tcW w:w="2616" w:type="dxa"/>
            <w:tcBorders>
              <w:top w:val="single" w:sz="8" w:space="0" w:color="000000"/>
              <w:left w:val="single" w:sz="8" w:space="0" w:color="000000"/>
              <w:bottom w:val="single" w:sz="8" w:space="0" w:color="000000"/>
              <w:right w:val="single" w:sz="8" w:space="0" w:color="000000"/>
            </w:tcBorders>
          </w:tcPr>
          <w:p>
            <w:pPr/>
          </w:p>
        </w:tc>
        <w:tc>
          <w:tcPr>
            <w:tcW w:w="1162" w:type="dxa"/>
            <w:tcBorders>
              <w:top w:val="single" w:sz="8" w:space="0" w:color="000000"/>
              <w:left w:val="single" w:sz="8" w:space="0" w:color="000000"/>
              <w:bottom w:val="single" w:sz="8" w:space="0" w:color="000000"/>
              <w:right w:val="single" w:sz="8" w:space="0" w:color="000000"/>
            </w:tcBorders>
          </w:tcPr>
          <w:p>
            <w:pPr/>
          </w:p>
        </w:tc>
        <w:tc>
          <w:tcPr>
            <w:tcW w:w="1162" w:type="dxa"/>
            <w:tcBorders>
              <w:top w:val="single" w:sz="8" w:space="0" w:color="000000"/>
              <w:left w:val="single" w:sz="8" w:space="0" w:color="000000"/>
              <w:bottom w:val="single" w:sz="8" w:space="0" w:color="000000"/>
              <w:right w:val="single" w:sz="8" w:space="0" w:color="000000"/>
            </w:tcBorders>
          </w:tcPr>
          <w:p>
            <w:pPr/>
          </w:p>
        </w:tc>
      </w:tr>
      <w:tr>
        <w:trPr>
          <w:trHeight w:val="348" w:hRule="exact"/>
        </w:trPr>
        <w:tc>
          <w:tcPr>
            <w:tcW w:w="3387"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5"/>
              <w:ind w:right="305"/>
              <w:jc w:val="right"/>
              <w:rPr>
                <w:rFonts w:ascii="宋体" w:hAnsi="宋体" w:cs="宋体" w:eastAsia="宋体" w:hint="default"/>
                <w:sz w:val="18"/>
                <w:szCs w:val="18"/>
              </w:rPr>
            </w:pPr>
            <w:r>
              <w:rPr>
                <w:rFonts w:ascii="宋体" w:hAnsi="宋体" w:cs="宋体" w:eastAsia="宋体" w:hint="default"/>
                <w:sz w:val="18"/>
                <w:szCs w:val="18"/>
              </w:rPr>
              <w:t>归属于公司普通股股东的基本每股收益</w:t>
            </w:r>
          </w:p>
        </w:tc>
        <w:tc>
          <w:tcPr>
            <w:tcW w:w="2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Y1=P1/S</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0.72</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0.61</w:t>
            </w:r>
          </w:p>
        </w:tc>
      </w:tr>
      <w:tr>
        <w:trPr>
          <w:trHeight w:val="658" w:hRule="exact"/>
        </w:trPr>
        <w:tc>
          <w:tcPr>
            <w:tcW w:w="3387" w:type="dxa"/>
            <w:tcBorders>
              <w:top w:val="single" w:sz="8" w:space="0" w:color="000000"/>
              <w:left w:val="single" w:sz="6" w:space="0" w:color="000000"/>
              <w:bottom w:val="single" w:sz="8" w:space="0" w:color="000000"/>
              <w:right w:val="single" w:sz="8" w:space="0" w:color="000000"/>
            </w:tcBorders>
          </w:tcPr>
          <w:p>
            <w:pPr>
              <w:pStyle w:val="TableParagraph"/>
              <w:spacing w:line="316" w:lineRule="auto" w:before="13"/>
              <w:ind w:left="2" w:right="-5"/>
              <w:jc w:val="left"/>
              <w:rPr>
                <w:rFonts w:ascii="宋体" w:hAnsi="宋体" w:cs="宋体" w:eastAsia="宋体" w:hint="default"/>
                <w:sz w:val="18"/>
                <w:szCs w:val="18"/>
              </w:rPr>
            </w:pPr>
            <w:r>
              <w:rPr>
                <w:rFonts w:ascii="宋体" w:hAnsi="宋体" w:cs="宋体" w:eastAsia="宋体" w:hint="default"/>
                <w:spacing w:val="7"/>
                <w:sz w:val="18"/>
                <w:szCs w:val="18"/>
              </w:rPr>
              <w:t>扣除非经常性损益后归属于公司普通股股 </w:t>
            </w:r>
            <w:r>
              <w:rPr>
                <w:rFonts w:ascii="宋体" w:hAnsi="宋体" w:cs="宋体" w:eastAsia="宋体" w:hint="default"/>
                <w:sz w:val="18"/>
                <w:szCs w:val="18"/>
              </w:rPr>
              <w:t>东的基本每股收益</w:t>
            </w:r>
          </w:p>
        </w:tc>
        <w:tc>
          <w:tcPr>
            <w:tcW w:w="2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Y2=P2/S</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z w:val="18"/>
              </w:rPr>
              <w:t>0.63</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0.55</w:t>
            </w:r>
          </w:p>
        </w:tc>
      </w:tr>
      <w:tr>
        <w:trPr>
          <w:trHeight w:val="348" w:hRule="exact"/>
        </w:trPr>
        <w:tc>
          <w:tcPr>
            <w:tcW w:w="3387"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5"/>
              <w:ind w:right="305"/>
              <w:jc w:val="right"/>
              <w:rPr>
                <w:rFonts w:ascii="宋体" w:hAnsi="宋体" w:cs="宋体" w:eastAsia="宋体" w:hint="default"/>
                <w:sz w:val="18"/>
                <w:szCs w:val="18"/>
              </w:rPr>
            </w:pPr>
            <w:r>
              <w:rPr>
                <w:rFonts w:ascii="宋体" w:hAnsi="宋体" w:cs="宋体" w:eastAsia="宋体" w:hint="default"/>
                <w:sz w:val="18"/>
                <w:szCs w:val="18"/>
              </w:rPr>
              <w:t>归属于公司普通股股东的稀释每股收益</w:t>
            </w:r>
          </w:p>
        </w:tc>
        <w:tc>
          <w:tcPr>
            <w:tcW w:w="2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Y3=</w:t>
            </w:r>
            <w:r>
              <w:rPr>
                <w:rFonts w:ascii="宋体" w:hAnsi="宋体" w:cs="宋体" w:eastAsia="宋体" w:hint="default"/>
                <w:sz w:val="18"/>
                <w:szCs w:val="18"/>
              </w:rPr>
              <w:t>（</w:t>
            </w:r>
            <w:r>
              <w:rPr>
                <w:rFonts w:ascii="Times New Roman" w:hAnsi="Times New Roman" w:cs="Times New Roman" w:eastAsia="Times New Roman" w:hint="default"/>
                <w:sz w:val="18"/>
                <w:szCs w:val="18"/>
              </w:rPr>
              <w:t>P1</w:t>
            </w:r>
            <w:r>
              <w:rPr>
                <w:rFonts w:ascii="宋体" w:hAnsi="宋体" w:cs="宋体" w:eastAsia="宋体" w:hint="default"/>
                <w:sz w:val="18"/>
                <w:szCs w:val="18"/>
              </w:rPr>
              <w:t>＋</w:t>
            </w:r>
            <w:r>
              <w:rPr>
                <w:rFonts w:ascii="Times New Roman" w:hAnsi="Times New Roman" w:cs="Times New Roman" w:eastAsia="Times New Roman" w:hint="default"/>
                <w:sz w:val="18"/>
                <w:szCs w:val="18"/>
              </w:rPr>
              <w:t>P3</w:t>
            </w:r>
            <w:r>
              <w:rPr>
                <w:rFonts w:ascii="宋体" w:hAnsi="宋体" w:cs="宋体" w:eastAsia="宋体" w:hint="default"/>
                <w:sz w:val="18"/>
                <w:szCs w:val="18"/>
              </w:rPr>
              <w:t>）</w:t>
            </w:r>
            <w:r>
              <w:rPr>
                <w:rFonts w:ascii="Times New Roman" w:hAnsi="Times New Roman" w:cs="Times New Roman" w:eastAsia="Times New Roman" w:hint="default"/>
                <w:sz w:val="18"/>
                <w:szCs w:val="18"/>
              </w:rPr>
              <w:t>/X2</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0.72</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0.61</w:t>
            </w:r>
          </w:p>
        </w:tc>
      </w:tr>
      <w:tr>
        <w:trPr>
          <w:trHeight w:val="660" w:hRule="exact"/>
        </w:trPr>
        <w:tc>
          <w:tcPr>
            <w:tcW w:w="3387" w:type="dxa"/>
            <w:tcBorders>
              <w:top w:val="single" w:sz="8" w:space="0" w:color="000000"/>
              <w:left w:val="single" w:sz="6" w:space="0" w:color="000000"/>
              <w:bottom w:val="single" w:sz="8" w:space="0" w:color="000000"/>
              <w:right w:val="single" w:sz="8" w:space="0" w:color="000000"/>
            </w:tcBorders>
          </w:tcPr>
          <w:p>
            <w:pPr>
              <w:pStyle w:val="TableParagraph"/>
              <w:spacing w:line="316" w:lineRule="auto" w:before="13"/>
              <w:ind w:left="2" w:right="-5"/>
              <w:jc w:val="left"/>
              <w:rPr>
                <w:rFonts w:ascii="宋体" w:hAnsi="宋体" w:cs="宋体" w:eastAsia="宋体" w:hint="default"/>
                <w:sz w:val="18"/>
                <w:szCs w:val="18"/>
              </w:rPr>
            </w:pPr>
            <w:r>
              <w:rPr>
                <w:rFonts w:ascii="宋体" w:hAnsi="宋体" w:cs="宋体" w:eastAsia="宋体" w:hint="default"/>
                <w:spacing w:val="7"/>
                <w:sz w:val="18"/>
                <w:szCs w:val="18"/>
              </w:rPr>
              <w:t>扣除非经常性损益后归属于公司普通股股 </w:t>
            </w:r>
            <w:r>
              <w:rPr>
                <w:rFonts w:ascii="宋体" w:hAnsi="宋体" w:cs="宋体" w:eastAsia="宋体" w:hint="default"/>
                <w:sz w:val="18"/>
                <w:szCs w:val="18"/>
              </w:rPr>
              <w:t>东的稀释每股收益</w:t>
            </w:r>
          </w:p>
        </w:tc>
        <w:tc>
          <w:tcPr>
            <w:tcW w:w="2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Y4=</w:t>
            </w:r>
            <w:r>
              <w:rPr>
                <w:rFonts w:ascii="宋体" w:hAnsi="宋体" w:cs="宋体" w:eastAsia="宋体" w:hint="default"/>
                <w:sz w:val="18"/>
                <w:szCs w:val="18"/>
              </w:rPr>
              <w:t>（</w:t>
            </w:r>
            <w:r>
              <w:rPr>
                <w:rFonts w:ascii="Times New Roman" w:hAnsi="Times New Roman" w:cs="Times New Roman" w:eastAsia="Times New Roman" w:hint="default"/>
                <w:sz w:val="18"/>
                <w:szCs w:val="18"/>
              </w:rPr>
              <w:t>P2</w:t>
            </w:r>
            <w:r>
              <w:rPr>
                <w:rFonts w:ascii="宋体" w:hAnsi="宋体" w:cs="宋体" w:eastAsia="宋体" w:hint="default"/>
                <w:sz w:val="18"/>
                <w:szCs w:val="18"/>
              </w:rPr>
              <w:t>＋</w:t>
            </w:r>
            <w:r>
              <w:rPr>
                <w:rFonts w:ascii="Times New Roman" w:hAnsi="Times New Roman" w:cs="Times New Roman" w:eastAsia="Times New Roman" w:hint="default"/>
                <w:sz w:val="18"/>
                <w:szCs w:val="18"/>
              </w:rPr>
              <w:t>P4</w:t>
            </w:r>
            <w:r>
              <w:rPr>
                <w:rFonts w:ascii="宋体" w:hAnsi="宋体" w:cs="宋体" w:eastAsia="宋体" w:hint="default"/>
                <w:sz w:val="18"/>
                <w:szCs w:val="18"/>
              </w:rPr>
              <w:t>）</w:t>
            </w:r>
            <w:r>
              <w:rPr>
                <w:rFonts w:ascii="Times New Roman" w:hAnsi="Times New Roman" w:cs="Times New Roman" w:eastAsia="Times New Roman" w:hint="default"/>
                <w:sz w:val="18"/>
                <w:szCs w:val="18"/>
              </w:rPr>
              <w:t>/X2</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z w:val="18"/>
              </w:rPr>
              <w:t>0.63</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0.55</w:t>
            </w:r>
          </w:p>
        </w:tc>
      </w:tr>
    </w:tbl>
    <w:p>
      <w:pPr>
        <w:spacing w:line="240" w:lineRule="auto" w:before="5"/>
        <w:rPr>
          <w:rFonts w:ascii="宋体" w:hAnsi="宋体" w:cs="宋体" w:eastAsia="宋体" w:hint="default"/>
          <w:b/>
          <w:bCs/>
          <w:sz w:val="6"/>
          <w:szCs w:val="6"/>
        </w:rPr>
      </w:pPr>
    </w:p>
    <w:p>
      <w:pPr>
        <w:spacing w:line="300" w:lineRule="auto" w:before="44"/>
        <w:ind w:left="140" w:right="0" w:firstLine="0"/>
        <w:jc w:val="left"/>
        <w:rPr>
          <w:rFonts w:ascii="宋体" w:hAnsi="宋体" w:cs="宋体" w:eastAsia="宋体" w:hint="default"/>
          <w:sz w:val="18"/>
          <w:szCs w:val="18"/>
        </w:rPr>
      </w:pPr>
      <w:r>
        <w:rPr>
          <w:rFonts w:ascii="宋体" w:hAnsi="宋体" w:cs="宋体" w:eastAsia="宋体" w:hint="default"/>
          <w:spacing w:val="-2"/>
          <w:sz w:val="18"/>
          <w:szCs w:val="18"/>
        </w:rPr>
        <w:t>注：</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月，本公司实施了资本公积转增股本方案（每</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股转增</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股），根据可比性原则，对</w:t>
      </w: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年度</w:t>
      </w:r>
      <w:r>
        <w:rPr>
          <w:rFonts w:ascii="宋体" w:hAnsi="宋体" w:cs="宋体" w:eastAsia="宋体" w:hint="default"/>
          <w:spacing w:val="-52"/>
          <w:sz w:val="18"/>
          <w:szCs w:val="18"/>
        </w:rPr>
        <w:t> </w:t>
      </w:r>
      <w:r>
        <w:rPr>
          <w:rFonts w:ascii="宋体" w:hAnsi="宋体" w:cs="宋体" w:eastAsia="宋体" w:hint="default"/>
          <w:sz w:val="18"/>
          <w:szCs w:val="18"/>
        </w:rPr>
        <w:t>基本每股收益进行追溯调整。</w:t>
      </w:r>
    </w:p>
    <w:p>
      <w:pPr>
        <w:spacing w:line="240" w:lineRule="auto" w:before="10"/>
        <w:rPr>
          <w:rFonts w:ascii="宋体" w:hAnsi="宋体" w:cs="宋体" w:eastAsia="宋体" w:hint="default"/>
          <w:sz w:val="23"/>
          <w:szCs w:val="23"/>
        </w:rPr>
      </w:pPr>
    </w:p>
    <w:p>
      <w:pPr>
        <w:pStyle w:val="Heading3"/>
        <w:spacing w:line="506" w:lineRule="auto"/>
        <w:ind w:left="560" w:right="6760" w:hanging="420"/>
        <w:jc w:val="left"/>
        <w:rPr>
          <w:rFonts w:ascii="宋体" w:hAnsi="宋体" w:cs="宋体" w:eastAsia="宋体" w:hint="default"/>
          <w:b w:val="0"/>
          <w:bCs w:val="0"/>
        </w:rPr>
      </w:pPr>
      <w:r>
        <w:rPr>
          <w:rFonts w:ascii="Times New Roman" w:hAnsi="Times New Roman" w:cs="Times New Roman" w:eastAsia="Times New Roman" w:hint="default"/>
        </w:rPr>
        <w:t>67</w:t>
      </w:r>
      <w:r>
        <w:rPr/>
        <w:t>、其他综合收益</w:t>
      </w:r>
      <w:r>
        <w:rPr>
          <w:w w:val="100"/>
        </w:rPr>
        <w:t> </w:t>
      </w:r>
      <w:r>
        <w:rPr>
          <w:rFonts w:ascii="宋体" w:hAnsi="宋体" w:cs="宋体" w:eastAsia="宋体" w:hint="default"/>
          <w:b w:val="0"/>
          <w:bCs w:val="0"/>
        </w:rPr>
        <w:t>无。</w:t>
      </w:r>
    </w:p>
    <w:p>
      <w:pPr>
        <w:pStyle w:val="Heading3"/>
        <w:spacing w:line="240" w:lineRule="auto" w:before="104"/>
        <w:ind w:right="0"/>
        <w:jc w:val="left"/>
        <w:rPr>
          <w:b w:val="0"/>
          <w:bCs w:val="0"/>
        </w:rPr>
      </w:pPr>
      <w:r>
        <w:rPr>
          <w:rFonts w:ascii="Times New Roman" w:hAnsi="Times New Roman" w:cs="Times New Roman" w:eastAsia="Times New Roman" w:hint="default"/>
        </w:rPr>
        <w:t>68</w:t>
      </w:r>
      <w:r>
        <w:rPr/>
        <w:t>、现金流量表附注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2"/>
        <w:rPr>
          <w:rFonts w:ascii="宋体" w:hAnsi="宋体" w:cs="宋体" w:eastAsia="宋体" w:hint="default"/>
          <w:b/>
          <w:bCs/>
          <w:sz w:val="26"/>
          <w:szCs w:val="26"/>
        </w:rPr>
      </w:pPr>
    </w:p>
    <w:p>
      <w:pPr>
        <w:spacing w:before="0"/>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4883"/>
        <w:gridCol w:w="3483"/>
      </w:tblGrid>
      <w:tr>
        <w:trPr>
          <w:trHeight w:val="403" w:hRule="exact"/>
        </w:trPr>
        <w:tc>
          <w:tcPr>
            <w:tcW w:w="4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收政府补助专项资金</w:t>
            </w:r>
          </w:p>
        </w:tc>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10,567,743.00</w:t>
            </w:r>
          </w:p>
        </w:tc>
      </w:tr>
      <w:tr>
        <w:trPr>
          <w:trHeight w:val="403" w:hRule="exact"/>
        </w:trPr>
        <w:tc>
          <w:tcPr>
            <w:tcW w:w="4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收到利息收入</w:t>
            </w:r>
          </w:p>
        </w:tc>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2,497,519.49</w:t>
            </w:r>
          </w:p>
        </w:tc>
      </w:tr>
      <w:tr>
        <w:trPr>
          <w:trHeight w:val="401" w:hRule="exact"/>
        </w:trPr>
        <w:tc>
          <w:tcPr>
            <w:tcW w:w="4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收到的保证金、押金及其他往来款等</w:t>
            </w:r>
          </w:p>
        </w:tc>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2,641,653.05</w:t>
            </w:r>
          </w:p>
        </w:tc>
      </w:tr>
      <w:tr>
        <w:trPr>
          <w:trHeight w:val="403" w:hRule="exact"/>
        </w:trPr>
        <w:tc>
          <w:tcPr>
            <w:tcW w:w="4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15,706,915.54</w:t>
            </w:r>
          </w:p>
        </w:tc>
      </w:tr>
    </w:tbl>
    <w:p>
      <w:pPr>
        <w:spacing w:before="49"/>
        <w:ind w:left="140"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4883"/>
        <w:gridCol w:w="3483"/>
      </w:tblGrid>
      <w:tr>
        <w:trPr>
          <w:trHeight w:val="401" w:hRule="exact"/>
        </w:trPr>
        <w:tc>
          <w:tcPr>
            <w:tcW w:w="4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4" w:hRule="exact"/>
        </w:trPr>
        <w:tc>
          <w:tcPr>
            <w:tcW w:w="4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支付期间费用</w:t>
            </w:r>
          </w:p>
        </w:tc>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43,760,526.26</w:t>
            </w:r>
            <w:r>
              <w:rPr>
                <w:rFonts w:ascii="Times New Roman"/>
                <w:sz w:val="18"/>
              </w:rPr>
            </w:r>
          </w:p>
        </w:tc>
      </w:tr>
      <w:tr>
        <w:trPr>
          <w:trHeight w:val="401" w:hRule="exact"/>
        </w:trPr>
        <w:tc>
          <w:tcPr>
            <w:tcW w:w="4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支付保证金、押金及其他往来款等</w:t>
            </w:r>
          </w:p>
        </w:tc>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7,597,456.54</w:t>
            </w:r>
          </w:p>
        </w:tc>
      </w:tr>
      <w:tr>
        <w:trPr>
          <w:trHeight w:val="403" w:hRule="exact"/>
        </w:trPr>
        <w:tc>
          <w:tcPr>
            <w:tcW w:w="4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999,795.02</w:t>
            </w:r>
          </w:p>
        </w:tc>
      </w:tr>
      <w:tr>
        <w:trPr>
          <w:trHeight w:val="401" w:hRule="exact"/>
        </w:trPr>
        <w:tc>
          <w:tcPr>
            <w:tcW w:w="4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52,357,777.82</w:t>
            </w:r>
          </w:p>
        </w:tc>
      </w:tr>
    </w:tbl>
    <w:p>
      <w:pPr>
        <w:spacing w:before="49"/>
        <w:ind w:left="140"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300" w:lineRule="auto" w:before="117"/>
        <w:ind w:left="140" w:right="211" w:firstLine="0"/>
        <w:jc w:val="left"/>
        <w:rPr>
          <w:rFonts w:ascii="宋体" w:hAnsi="宋体" w:cs="宋体" w:eastAsia="宋体" w:hint="default"/>
          <w:sz w:val="18"/>
          <w:szCs w:val="18"/>
        </w:rPr>
      </w:pPr>
      <w:r>
        <w:rPr>
          <w:rFonts w:ascii="宋体" w:hAnsi="宋体" w:cs="宋体" w:eastAsia="宋体" w:hint="default"/>
          <w:sz w:val="18"/>
          <w:szCs w:val="18"/>
        </w:rPr>
        <w:t>付其他与经营活动有关的现金本年发生额</w:t>
      </w:r>
      <w:r>
        <w:rPr>
          <w:rFonts w:ascii="Times New Roman" w:hAnsi="Times New Roman" w:cs="Times New Roman" w:eastAsia="Times New Roman" w:hint="default"/>
          <w:sz w:val="18"/>
          <w:szCs w:val="18"/>
        </w:rPr>
        <w:t>52,357,777.82</w:t>
      </w:r>
      <w:r>
        <w:rPr>
          <w:rFonts w:ascii="宋体" w:hAnsi="宋体" w:cs="宋体" w:eastAsia="宋体" w:hint="default"/>
          <w:sz w:val="18"/>
          <w:szCs w:val="18"/>
        </w:rPr>
        <w:t>元，主要系直接付现的期间费用（不含职工薪酬支 出及税金支出）及其他经营性往来净支出。</w:t>
      </w:r>
    </w:p>
    <w:p>
      <w:pPr>
        <w:spacing w:after="0" w:line="300" w:lineRule="auto"/>
        <w:jc w:val="left"/>
        <w:rPr>
          <w:rFonts w:ascii="宋体" w:hAnsi="宋体" w:cs="宋体" w:eastAsia="宋体" w:hint="default"/>
          <w:sz w:val="18"/>
          <w:szCs w:val="18"/>
        </w:rPr>
        <w:sectPr>
          <w:pgSz w:w="11910" w:h="16840"/>
          <w:pgMar w:header="877" w:footer="1227" w:top="1100" w:bottom="1420" w:left="1660" w:right="164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9"/>
          <w:szCs w:val="29"/>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4883"/>
        <w:gridCol w:w="3483"/>
      </w:tblGrid>
      <w:tr>
        <w:trPr>
          <w:trHeight w:val="401" w:hRule="exact"/>
        </w:trPr>
        <w:tc>
          <w:tcPr>
            <w:tcW w:w="4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收到厦门火炬集团有限公司东海科技园</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楼购房意向金</w:t>
            </w:r>
          </w:p>
        </w:tc>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1" w:hRule="exact"/>
        </w:trPr>
        <w:tc>
          <w:tcPr>
            <w:tcW w:w="4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取得子公司及其他营业单位收到的现金</w:t>
            </w:r>
          </w:p>
        </w:tc>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661,524.51</w:t>
            </w:r>
          </w:p>
        </w:tc>
      </w:tr>
      <w:tr>
        <w:trPr>
          <w:trHeight w:val="403" w:hRule="exact"/>
        </w:trPr>
        <w:tc>
          <w:tcPr>
            <w:tcW w:w="4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30,661,524.51</w:t>
            </w:r>
          </w:p>
        </w:tc>
      </w:tr>
    </w:tbl>
    <w:p>
      <w:pPr>
        <w:spacing w:before="49"/>
        <w:ind w:left="140"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3"/>
        <w:rPr>
          <w:rFonts w:ascii="宋体" w:hAnsi="宋体" w:cs="宋体" w:eastAsia="宋体" w:hint="default"/>
          <w:b/>
          <w:bCs/>
          <w:sz w:val="22"/>
          <w:szCs w:val="22"/>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4883"/>
        <w:gridCol w:w="3483"/>
      </w:tblGrid>
      <w:tr>
        <w:trPr>
          <w:trHeight w:val="401" w:hRule="exact"/>
        </w:trPr>
        <w:tc>
          <w:tcPr>
            <w:tcW w:w="4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支付厦门火炬集团有限公司东海科技园</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楼购房意向金</w:t>
            </w:r>
          </w:p>
        </w:tc>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4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r>
    </w:tbl>
    <w:p>
      <w:pPr>
        <w:spacing w:before="49"/>
        <w:ind w:left="140"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支付的其他与投资活动有关的现金说明：无。</w:t>
      </w:r>
    </w:p>
    <w:p>
      <w:pPr>
        <w:spacing w:line="240" w:lineRule="auto" w:before="0"/>
        <w:rPr>
          <w:rFonts w:ascii="宋体" w:hAnsi="宋体" w:cs="宋体" w:eastAsia="宋体" w:hint="default"/>
          <w:sz w:val="18"/>
          <w:szCs w:val="18"/>
        </w:rPr>
      </w:pPr>
    </w:p>
    <w:p>
      <w:pPr>
        <w:pStyle w:val="Heading3"/>
        <w:spacing w:line="506" w:lineRule="auto" w:before="118"/>
        <w:ind w:left="560" w:right="4666" w:hanging="420"/>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5</w:t>
      </w:r>
      <w:r>
        <w:rPr>
          <w:spacing w:val="-1"/>
        </w:rPr>
        <w:t>）收到的其他与筹资活动有关的现金</w:t>
      </w:r>
      <w:r>
        <w:rPr>
          <w:spacing w:val="-88"/>
        </w:rPr>
        <w:t> </w:t>
      </w:r>
      <w:r>
        <w:rPr>
          <w:spacing w:val="-88"/>
        </w:rPr>
      </w:r>
      <w:r>
        <w:rPr>
          <w:rFonts w:ascii="宋体" w:hAnsi="宋体" w:cs="宋体" w:eastAsia="宋体" w:hint="default"/>
          <w:b w:val="0"/>
          <w:bCs w:val="0"/>
        </w:rPr>
        <w:t>无。</w:t>
      </w:r>
    </w:p>
    <w:p>
      <w:pPr>
        <w:pStyle w:val="Heading3"/>
        <w:spacing w:line="506" w:lineRule="auto" w:before="102"/>
        <w:ind w:left="560" w:right="4666" w:hanging="420"/>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6</w:t>
      </w:r>
      <w:r>
        <w:rPr>
          <w:spacing w:val="-1"/>
        </w:rPr>
        <w:t>）支付的其他与筹资活动有关的现金</w:t>
      </w:r>
      <w:r>
        <w:rPr>
          <w:spacing w:val="-88"/>
        </w:rPr>
        <w:t> </w:t>
      </w:r>
      <w:r>
        <w:rPr>
          <w:spacing w:val="-88"/>
        </w:rPr>
      </w:r>
      <w:r>
        <w:rPr>
          <w:rFonts w:ascii="宋体" w:hAnsi="宋体" w:cs="宋体" w:eastAsia="宋体" w:hint="default"/>
          <w:b w:val="0"/>
          <w:bCs w:val="0"/>
        </w:rPr>
        <w:t>无。</w:t>
      </w:r>
    </w:p>
    <w:p>
      <w:pPr>
        <w:pStyle w:val="Heading3"/>
        <w:spacing w:line="240" w:lineRule="auto" w:before="104"/>
        <w:ind w:right="0"/>
        <w:jc w:val="left"/>
        <w:rPr>
          <w:b w:val="0"/>
          <w:bCs w:val="0"/>
        </w:rPr>
      </w:pPr>
      <w:r>
        <w:rPr>
          <w:rFonts w:ascii="Times New Roman" w:hAnsi="Times New Roman" w:cs="Times New Roman" w:eastAsia="Times New Roman" w:hint="default"/>
        </w:rPr>
        <w:t>69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814"/>
        <w:gridCol w:w="2216"/>
        <w:gridCol w:w="2324"/>
      </w:tblGrid>
      <w:tr>
        <w:trPr>
          <w:trHeight w:val="403" w:hRule="exact"/>
        </w:trPr>
        <w:tc>
          <w:tcPr>
            <w:tcW w:w="3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78,563,326.80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61,504,981.78</w:t>
            </w:r>
          </w:p>
        </w:tc>
      </w:tr>
      <w:tr>
        <w:trPr>
          <w:trHeight w:val="401" w:hRule="exact"/>
        </w:trPr>
        <w:tc>
          <w:tcPr>
            <w:tcW w:w="3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4,684,472.56</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3,983,191.58</w:t>
            </w:r>
          </w:p>
        </w:tc>
      </w:tr>
      <w:tr>
        <w:trPr>
          <w:trHeight w:val="715" w:hRule="exact"/>
        </w:trPr>
        <w:tc>
          <w:tcPr>
            <w:tcW w:w="3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 折旧</w:t>
            </w:r>
          </w:p>
        </w:tc>
        <w:tc>
          <w:tcPr>
            <w:tcW w:w="22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10,173,903.86</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4,602,419.93</w:t>
            </w:r>
          </w:p>
        </w:tc>
      </w:tr>
      <w:tr>
        <w:trPr>
          <w:trHeight w:val="401" w:hRule="exact"/>
        </w:trPr>
        <w:tc>
          <w:tcPr>
            <w:tcW w:w="3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1,579,028.68</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92,435.20</w:t>
            </w:r>
          </w:p>
        </w:tc>
      </w:tr>
      <w:tr>
        <w:trPr>
          <w:trHeight w:val="403" w:hRule="exact"/>
        </w:trPr>
        <w:tc>
          <w:tcPr>
            <w:tcW w:w="3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1,513,485.54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661,201.95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1660" w:right="1640"/>
        </w:sectPr>
      </w:pPr>
    </w:p>
    <w:p>
      <w:pPr>
        <w:spacing w:line="240" w:lineRule="auto" w:before="8"/>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3814"/>
        <w:gridCol w:w="2216"/>
        <w:gridCol w:w="2324"/>
      </w:tblGrid>
      <w:tr>
        <w:trPr>
          <w:trHeight w:val="402" w:hRule="exact"/>
        </w:trPr>
        <w:tc>
          <w:tcPr>
            <w:tcW w:w="3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-7,063,658.14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-6,328,068.97</w:t>
            </w:r>
          </w:p>
        </w:tc>
      </w:tr>
      <w:tr>
        <w:trPr>
          <w:trHeight w:val="402" w:hRule="exact"/>
        </w:trPr>
        <w:tc>
          <w:tcPr>
            <w:tcW w:w="3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-828,058.81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-1,173,361.15</w:t>
            </w:r>
          </w:p>
        </w:tc>
      </w:tr>
      <w:tr>
        <w:trPr>
          <w:trHeight w:val="402" w:hRule="exact"/>
        </w:trPr>
        <w:tc>
          <w:tcPr>
            <w:tcW w:w="3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-3,498,093.37</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-56,431,203.89</w:t>
            </w:r>
          </w:p>
        </w:tc>
      </w:tr>
      <w:tr>
        <w:trPr>
          <w:trHeight w:val="402" w:hRule="exact"/>
        </w:trPr>
        <w:tc>
          <w:tcPr>
            <w:tcW w:w="3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-75,747,780.59</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-57,230,509.21</w:t>
            </w:r>
          </w:p>
        </w:tc>
      </w:tr>
      <w:tr>
        <w:trPr>
          <w:trHeight w:val="402" w:hRule="exact"/>
        </w:trPr>
        <w:tc>
          <w:tcPr>
            <w:tcW w:w="3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13,728,425.80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54,267,216.78</w:t>
            </w:r>
          </w:p>
        </w:tc>
      </w:tr>
      <w:tr>
        <w:trPr>
          <w:trHeight w:val="402" w:hRule="exact"/>
        </w:trPr>
        <w:tc>
          <w:tcPr>
            <w:tcW w:w="3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3,838,394.96</w:t>
            </w:r>
          </w:p>
        </w:tc>
        <w:tc>
          <w:tcPr>
            <w:tcW w:w="23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26,943,447.29</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3,948,304.00</w:t>
            </w:r>
          </w:p>
        </w:tc>
      </w:tr>
      <w:tr>
        <w:trPr>
          <w:trHeight w:val="402" w:hRule="exact"/>
        </w:trPr>
        <w:tc>
          <w:tcPr>
            <w:tcW w:w="3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49" w:right="0"/>
              <w:jc w:val="left"/>
              <w:rPr>
                <w:rFonts w:ascii="Times New Roman" w:hAnsi="Times New Roman" w:cs="Times New Roman" w:eastAsia="Times New Roman" w:hint="default"/>
                <w:sz w:val="18"/>
                <w:szCs w:val="18"/>
              </w:rPr>
            </w:pPr>
            <w:r>
              <w:rPr>
                <w:rFonts w:ascii="Times New Roman"/>
                <w:sz w:val="18"/>
              </w:rPr>
              <w:t>--</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9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49" w:right="0"/>
              <w:jc w:val="left"/>
              <w:rPr>
                <w:rFonts w:ascii="Times New Roman" w:hAnsi="Times New Roman" w:cs="Times New Roman" w:eastAsia="Times New Roman" w:hint="default"/>
                <w:sz w:val="18"/>
                <w:szCs w:val="18"/>
              </w:rPr>
            </w:pPr>
            <w:r>
              <w:rPr>
                <w:rFonts w:ascii="Times New Roman"/>
                <w:sz w:val="18"/>
              </w:rPr>
              <w:t>--</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97"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196,011,196.36</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277,476,214.43</w:t>
            </w:r>
          </w:p>
        </w:tc>
      </w:tr>
      <w:tr>
        <w:trPr>
          <w:trHeight w:val="402" w:hRule="exact"/>
        </w:trPr>
        <w:tc>
          <w:tcPr>
            <w:tcW w:w="3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277,476,214.43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99,615,900.63</w:t>
            </w:r>
          </w:p>
        </w:tc>
      </w:tr>
      <w:tr>
        <w:trPr>
          <w:trHeight w:val="402" w:hRule="exact"/>
        </w:trPr>
        <w:tc>
          <w:tcPr>
            <w:tcW w:w="3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-81,465,018.07</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177,860,313.80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12"/>
        <w:rPr>
          <w:rFonts w:ascii="宋体" w:hAnsi="宋体" w:cs="宋体" w:eastAsia="宋体" w:hint="default"/>
          <w:b/>
          <w:bCs/>
          <w:sz w:val="22"/>
          <w:szCs w:val="22"/>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814"/>
        <w:gridCol w:w="2216"/>
        <w:gridCol w:w="2324"/>
      </w:tblGrid>
      <w:tr>
        <w:trPr>
          <w:trHeight w:val="403" w:hRule="exact"/>
        </w:trPr>
        <w:tc>
          <w:tcPr>
            <w:tcW w:w="3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6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．取得子公司及其他营业单位的价格</w:t>
            </w:r>
          </w:p>
        </w:tc>
        <w:tc>
          <w:tcPr>
            <w:tcW w:w="22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4,470,000.00</w:t>
            </w:r>
          </w:p>
        </w:tc>
        <w:tc>
          <w:tcPr>
            <w:tcW w:w="232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 w:right="1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．取得子公司及其他营业单位支付的现金和现金</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等价物</w:t>
            </w:r>
          </w:p>
        </w:tc>
        <w:tc>
          <w:tcPr>
            <w:tcW w:w="22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4,470,000.00</w:t>
            </w:r>
          </w:p>
        </w:tc>
        <w:tc>
          <w:tcPr>
            <w:tcW w:w="232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1" w:right="10" w:firstLine="359"/>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 金等价物</w:t>
            </w:r>
          </w:p>
        </w:tc>
        <w:tc>
          <w:tcPr>
            <w:tcW w:w="22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5,131,524.51</w:t>
            </w:r>
          </w:p>
        </w:tc>
        <w:tc>
          <w:tcPr>
            <w:tcW w:w="23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22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-661,524.51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．取得子公司的净资产</w:t>
            </w:r>
          </w:p>
        </w:tc>
        <w:tc>
          <w:tcPr>
            <w:tcW w:w="22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6,831,278.60</w:t>
            </w:r>
          </w:p>
        </w:tc>
        <w:tc>
          <w:tcPr>
            <w:tcW w:w="23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2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7,091,640.51</w:t>
            </w:r>
          </w:p>
        </w:tc>
        <w:tc>
          <w:tcPr>
            <w:tcW w:w="23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2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w w:val="95"/>
                <w:sz w:val="18"/>
              </w:rPr>
              <w:t>80,113.12</w:t>
            </w:r>
          </w:p>
        </w:tc>
        <w:tc>
          <w:tcPr>
            <w:tcW w:w="23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2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340,475.03</w:t>
            </w:r>
          </w:p>
        </w:tc>
        <w:tc>
          <w:tcPr>
            <w:tcW w:w="23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2"/>
        <w:rPr>
          <w:rFonts w:ascii="宋体" w:hAnsi="宋体" w:cs="宋体" w:eastAsia="宋体" w:hint="default"/>
          <w:b/>
          <w:bCs/>
          <w:sz w:val="22"/>
          <w:szCs w:val="22"/>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813"/>
        <w:gridCol w:w="2217"/>
        <w:gridCol w:w="2324"/>
      </w:tblGrid>
      <w:tr>
        <w:trPr>
          <w:trHeight w:val="403" w:hRule="exact"/>
        </w:trPr>
        <w:tc>
          <w:tcPr>
            <w:tcW w:w="3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21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196,011,196.36</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277,476,214.43</w:t>
            </w:r>
          </w:p>
        </w:tc>
      </w:tr>
      <w:tr>
        <w:trPr>
          <w:trHeight w:val="403" w:hRule="exact"/>
        </w:trPr>
        <w:tc>
          <w:tcPr>
            <w:tcW w:w="3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21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11,221.22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22,387.55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1660" w:right="1640"/>
        </w:sectPr>
      </w:pPr>
    </w:p>
    <w:p>
      <w:pPr>
        <w:spacing w:line="240" w:lineRule="auto" w:before="8"/>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3825"/>
        <w:gridCol w:w="2217"/>
        <w:gridCol w:w="2324"/>
      </w:tblGrid>
      <w:tr>
        <w:trPr>
          <w:trHeight w:val="401" w:hRule="exact"/>
        </w:trPr>
        <w:tc>
          <w:tcPr>
            <w:tcW w:w="3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69"/>
              <w:jc w:val="righ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21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195,999,975.14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277,453,826.88</w:t>
            </w:r>
          </w:p>
        </w:tc>
      </w:tr>
      <w:tr>
        <w:trPr>
          <w:trHeight w:val="403" w:hRule="exact"/>
        </w:trPr>
        <w:tc>
          <w:tcPr>
            <w:tcW w:w="3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69"/>
              <w:jc w:val="righ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21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196,011,196.36</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277,476,214.43</w:t>
            </w:r>
          </w:p>
        </w:tc>
      </w:tr>
    </w:tbl>
    <w:p>
      <w:pPr>
        <w:spacing w:before="49"/>
        <w:ind w:left="140" w:right="0" w:firstLine="0"/>
        <w:jc w:val="left"/>
        <w:rPr>
          <w:rFonts w:ascii="宋体" w:hAnsi="宋体" w:cs="宋体" w:eastAsia="宋体" w:hint="default"/>
          <w:sz w:val="18"/>
          <w:szCs w:val="18"/>
        </w:rPr>
      </w:pPr>
      <w:r>
        <w:rPr>
          <w:rFonts w:ascii="宋体" w:hAnsi="宋体" w:cs="宋体" w:eastAsia="宋体" w:hint="default"/>
          <w:sz w:val="18"/>
          <w:szCs w:val="18"/>
        </w:rPr>
        <w:t>现金流量表补充资料的说明：无。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70</w:t>
      </w:r>
      <w:r>
        <w:rPr/>
        <w:t>、所有者权益变动表项目注释</w:t>
      </w:r>
      <w:r>
        <w:rPr>
          <w:b w:val="0"/>
          <w:bCs w:val="0"/>
        </w:rPr>
      </w:r>
    </w:p>
    <w:p>
      <w:pPr>
        <w:spacing w:line="240" w:lineRule="auto" w:before="4"/>
        <w:rPr>
          <w:rFonts w:ascii="宋体" w:hAnsi="宋体" w:cs="宋体" w:eastAsia="宋体" w:hint="default"/>
          <w:b/>
          <w:bCs/>
          <w:sz w:val="26"/>
          <w:szCs w:val="26"/>
        </w:rPr>
      </w:pPr>
    </w:p>
    <w:p>
      <w:pPr>
        <w:spacing w:line="300" w:lineRule="auto" w:before="0"/>
        <w:ind w:left="140" w:right="186" w:firstLine="0"/>
        <w:jc w:val="left"/>
        <w:rPr>
          <w:rFonts w:ascii="宋体" w:hAnsi="宋体" w:cs="宋体" w:eastAsia="宋体" w:hint="default"/>
          <w:sz w:val="18"/>
          <w:szCs w:val="18"/>
        </w:rPr>
      </w:pPr>
      <w:r>
        <w:rPr>
          <w:rFonts w:ascii="宋体" w:hAnsi="宋体" w:cs="宋体" w:eastAsia="宋体" w:hint="default"/>
          <w:sz w:val="18"/>
          <w:szCs w:val="18"/>
        </w:rPr>
        <w:t>说明对上年年末余额进行调整的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项目名称及调整金额、由同一控制下企业合并产生的追溯调整等事 项：无。</w:t>
      </w:r>
    </w:p>
    <w:p>
      <w:pPr>
        <w:spacing w:line="240" w:lineRule="auto" w:before="11"/>
        <w:rPr>
          <w:rFonts w:ascii="宋体" w:hAnsi="宋体" w:cs="宋体" w:eastAsia="宋体" w:hint="default"/>
          <w:sz w:val="21"/>
          <w:szCs w:val="21"/>
        </w:rPr>
      </w:pPr>
    </w:p>
    <w:p>
      <w:pPr>
        <w:pStyle w:val="Heading2"/>
        <w:spacing w:line="240" w:lineRule="auto"/>
        <w:ind w:left="140" w:right="0"/>
        <w:jc w:val="left"/>
        <w:rPr>
          <w:b w:val="0"/>
          <w:bCs w:val="0"/>
        </w:rPr>
      </w:pPr>
      <w:r>
        <w:rPr/>
        <w:t>八、资产证券化业务的会计处理</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、说明资产证券化业务的主要交易安排及其会计处理、破产隔离条款</w:t>
      </w:r>
      <w:r>
        <w:rPr>
          <w:b w:val="0"/>
          <w:bCs w:val="0"/>
        </w:rPr>
      </w:r>
    </w:p>
    <w:p>
      <w:pPr>
        <w:spacing w:line="240" w:lineRule="auto" w:before="8"/>
        <w:rPr>
          <w:rFonts w:ascii="宋体" w:hAnsi="宋体" w:cs="宋体" w:eastAsia="宋体" w:hint="default"/>
          <w:b/>
          <w:bCs/>
          <w:sz w:val="24"/>
          <w:szCs w:val="24"/>
        </w:rPr>
      </w:pPr>
    </w:p>
    <w:p>
      <w:pPr>
        <w:pStyle w:val="Heading3"/>
        <w:spacing w:line="506" w:lineRule="auto"/>
        <w:ind w:left="560" w:right="2297" w:hanging="420"/>
        <w:jc w:val="left"/>
        <w:rPr>
          <w:rFonts w:ascii="宋体" w:hAnsi="宋体" w:cs="宋体" w:eastAsia="宋体" w:hint="default"/>
          <w:b w:val="0"/>
          <w:bCs w:val="0"/>
        </w:rPr>
      </w:pPr>
      <w:r>
        <w:rPr>
          <w:rFonts w:ascii="Times New Roman" w:hAnsi="Times New Roman" w:cs="Times New Roman" w:eastAsia="Times New Roman" w:hint="default"/>
          <w:spacing w:val="-1"/>
        </w:rPr>
        <w:t>2</w:t>
      </w:r>
      <w:r>
        <w:rPr>
          <w:spacing w:val="-1"/>
        </w:rPr>
        <w:t>、公司不具有控制权但实质上承担其风险的特殊目的主体情况</w:t>
      </w:r>
      <w:r>
        <w:rPr>
          <w:spacing w:val="-79"/>
        </w:rPr>
        <w:t> </w:t>
      </w:r>
      <w:r>
        <w:rPr>
          <w:spacing w:val="-79"/>
        </w:rPr>
      </w:r>
      <w:r>
        <w:rPr>
          <w:rFonts w:ascii="宋体" w:hAnsi="宋体" w:cs="宋体" w:eastAsia="宋体" w:hint="default"/>
          <w:b w:val="0"/>
          <w:bCs w:val="0"/>
        </w:rPr>
        <w:t>无。</w:t>
      </w:r>
    </w:p>
    <w:p>
      <w:pPr>
        <w:pStyle w:val="Heading2"/>
        <w:spacing w:line="240" w:lineRule="auto" w:before="78"/>
        <w:ind w:left="140" w:right="0"/>
        <w:jc w:val="left"/>
        <w:rPr>
          <w:b w:val="0"/>
          <w:bCs w:val="0"/>
        </w:rPr>
      </w:pPr>
      <w:r>
        <w:rPr/>
        <w:t>九、关联方及关联交易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506" w:lineRule="auto"/>
        <w:ind w:left="560" w:right="6233" w:hanging="420"/>
        <w:jc w:val="left"/>
        <w:rPr>
          <w:rFonts w:ascii="宋体" w:hAnsi="宋体" w:cs="宋体" w:eastAsia="宋体" w:hint="default"/>
          <w:b w:val="0"/>
          <w:bCs w:val="0"/>
        </w:rPr>
      </w:pPr>
      <w:r>
        <w:rPr>
          <w:rFonts w:ascii="Times New Roman" w:hAnsi="Times New Roman" w:cs="Times New Roman" w:eastAsia="Times New Roman" w:hint="default"/>
        </w:rPr>
        <w:t>1</w:t>
      </w:r>
      <w:r>
        <w:rPr/>
        <w:t>、本企业的母公司情况</w:t>
      </w:r>
      <w:r>
        <w:rPr>
          <w:w w:val="100"/>
        </w:rPr>
        <w:t> </w:t>
      </w:r>
      <w:r>
        <w:rPr>
          <w:rFonts w:ascii="宋体" w:hAnsi="宋体" w:cs="宋体" w:eastAsia="宋体" w:hint="default"/>
          <w:b w:val="0"/>
          <w:bCs w:val="0"/>
        </w:rPr>
        <w:t>无。</w:t>
      </w:r>
    </w:p>
    <w:p>
      <w:pPr>
        <w:pStyle w:val="Heading3"/>
        <w:spacing w:line="240" w:lineRule="auto" w:before="104"/>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6"/>
          <w:szCs w:val="26"/>
        </w:rPr>
      </w:pPr>
    </w:p>
    <w:p>
      <w:pPr>
        <w:spacing w:before="0"/>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020"/>
        <w:gridCol w:w="994"/>
        <w:gridCol w:w="710"/>
        <w:gridCol w:w="566"/>
        <w:gridCol w:w="650"/>
        <w:gridCol w:w="788"/>
        <w:gridCol w:w="1092"/>
        <w:gridCol w:w="787"/>
        <w:gridCol w:w="790"/>
        <w:gridCol w:w="967"/>
      </w:tblGrid>
      <w:tr>
        <w:trPr>
          <w:trHeight w:val="715" w:hRule="exact"/>
        </w:trPr>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9" w:hanging="180"/>
              <w:jc w:val="left"/>
              <w:rPr>
                <w:rFonts w:ascii="宋体" w:hAnsi="宋体" w:cs="宋体" w:eastAsia="宋体" w:hint="default"/>
                <w:sz w:val="18"/>
                <w:szCs w:val="18"/>
              </w:rPr>
            </w:pPr>
            <w:r>
              <w:rPr>
                <w:rFonts w:ascii="宋体" w:hAnsi="宋体" w:cs="宋体" w:eastAsia="宋体" w:hint="default"/>
                <w:sz w:val="18"/>
                <w:szCs w:val="18"/>
              </w:rPr>
              <w:t>企业类 型</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7" w:right="98" w:hanging="92"/>
              <w:jc w:val="left"/>
              <w:rPr>
                <w:rFonts w:ascii="宋体" w:hAnsi="宋体" w:cs="宋体" w:eastAsia="宋体" w:hint="default"/>
                <w:sz w:val="18"/>
                <w:szCs w:val="18"/>
              </w:rPr>
            </w:pPr>
            <w:r>
              <w:rPr>
                <w:rFonts w:ascii="宋体" w:hAnsi="宋体" w:cs="宋体" w:eastAsia="宋体" w:hint="default"/>
                <w:sz w:val="18"/>
                <w:szCs w:val="18"/>
              </w:rPr>
              <w:t>注册 地</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9" w:right="50" w:hanging="92"/>
              <w:jc w:val="left"/>
              <w:rPr>
                <w:rFonts w:ascii="宋体" w:hAnsi="宋体" w:cs="宋体" w:eastAsia="宋体" w:hint="default"/>
                <w:sz w:val="18"/>
                <w:szCs w:val="18"/>
              </w:rPr>
            </w:pPr>
            <w:r>
              <w:rPr>
                <w:rFonts w:ascii="宋体" w:hAnsi="宋体" w:cs="宋体" w:eastAsia="宋体" w:hint="default"/>
                <w:sz w:val="18"/>
                <w:szCs w:val="18"/>
              </w:rPr>
              <w:t>法定代 表人</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5" w:right="29"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表决权比 例</w:t>
            </w:r>
            <w:r>
              <w:rPr>
                <w:rFonts w:ascii="Times New Roman" w:hAnsi="Times New Roman" w:cs="Times New Roman" w:eastAsia="Times New Roman" w:hint="default"/>
                <w:sz w:val="18"/>
                <w:szCs w:val="18"/>
              </w:rPr>
              <w:t>(%)</w:t>
            </w:r>
          </w:p>
        </w:tc>
        <w:tc>
          <w:tcPr>
            <w:tcW w:w="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6" w:right="29"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337"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4"/>
              <w:jc w:val="both"/>
              <w:rPr>
                <w:rFonts w:ascii="宋体" w:hAnsi="宋体" w:cs="宋体" w:eastAsia="宋体" w:hint="default"/>
                <w:sz w:val="18"/>
                <w:szCs w:val="18"/>
              </w:rPr>
            </w:pPr>
            <w:r>
              <w:rPr>
                <w:rFonts w:ascii="宋体" w:hAnsi="宋体" w:cs="宋体" w:eastAsia="宋体" w:hint="default"/>
                <w:sz w:val="18"/>
                <w:szCs w:val="18"/>
              </w:rPr>
              <w:t>厦门市美亚 柏科信息安 全研究所有 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4"/>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34"/>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刘祥南</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76929158-0</w:t>
            </w:r>
          </w:p>
        </w:tc>
      </w:tr>
      <w:tr>
        <w:trPr>
          <w:trHeight w:val="715"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4"/>
              <w:jc w:val="left"/>
              <w:rPr>
                <w:rFonts w:ascii="宋体" w:hAnsi="宋体" w:cs="宋体" w:eastAsia="宋体" w:hint="default"/>
                <w:sz w:val="18"/>
                <w:szCs w:val="18"/>
              </w:rPr>
            </w:pPr>
            <w:r>
              <w:rPr>
                <w:rFonts w:ascii="宋体" w:hAnsi="宋体" w:cs="宋体" w:eastAsia="宋体" w:hint="default"/>
                <w:sz w:val="18"/>
                <w:szCs w:val="18"/>
              </w:rPr>
              <w:t>杭州创聚科 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白鹭斌</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67397208-2</w:t>
            </w:r>
          </w:p>
        </w:tc>
      </w:tr>
      <w:tr>
        <w:trPr>
          <w:trHeight w:val="1025"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4"/>
              <w:jc w:val="both"/>
              <w:rPr>
                <w:rFonts w:ascii="宋体" w:hAnsi="宋体" w:cs="宋体" w:eastAsia="宋体" w:hint="default"/>
                <w:sz w:val="18"/>
                <w:szCs w:val="18"/>
              </w:rPr>
            </w:pPr>
            <w:r>
              <w:rPr>
                <w:rFonts w:ascii="宋体" w:hAnsi="宋体" w:cs="宋体" w:eastAsia="宋体" w:hint="default"/>
                <w:sz w:val="18"/>
                <w:szCs w:val="18"/>
              </w:rPr>
              <w:t>厦门美亚中 敏电子科技 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34"/>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魏鹏</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6,600,000.00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67.73%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67.73%</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57503894-X</w:t>
            </w:r>
          </w:p>
        </w:tc>
      </w:tr>
    </w:tbl>
    <w:p>
      <w:pPr>
        <w:spacing w:line="240" w:lineRule="auto" w:before="3"/>
        <w:rPr>
          <w:rFonts w:ascii="宋体" w:hAnsi="宋体" w:cs="宋体" w:eastAsia="宋体" w:hint="default"/>
          <w:sz w:val="19"/>
          <w:szCs w:val="19"/>
        </w:rPr>
      </w:pPr>
    </w:p>
    <w:p>
      <w:pPr>
        <w:pStyle w:val="Heading3"/>
        <w:spacing w:line="506" w:lineRule="auto" w:before="36"/>
        <w:ind w:left="560" w:right="5404" w:hanging="420"/>
        <w:jc w:val="left"/>
        <w:rPr>
          <w:rFonts w:ascii="宋体" w:hAnsi="宋体" w:cs="宋体" w:eastAsia="宋体" w:hint="default"/>
          <w:b w:val="0"/>
          <w:bCs w:val="0"/>
        </w:rPr>
      </w:pPr>
      <w:r>
        <w:rPr>
          <w:rFonts w:ascii="Times New Roman" w:hAnsi="Times New Roman" w:cs="Times New Roman" w:eastAsia="Times New Roman" w:hint="default"/>
          <w:spacing w:val="-1"/>
        </w:rPr>
        <w:t>3</w:t>
      </w:r>
      <w:r>
        <w:rPr>
          <w:spacing w:val="-1"/>
        </w:rPr>
        <w:t>、本企业的合营和联营企业情况</w:t>
      </w:r>
      <w:r>
        <w:rPr>
          <w:spacing w:val="-91"/>
        </w:rPr>
        <w:t> </w:t>
      </w:r>
      <w:r>
        <w:rPr>
          <w:spacing w:val="-91"/>
        </w:rPr>
      </w:r>
      <w:r>
        <w:rPr>
          <w:rFonts w:ascii="宋体" w:hAnsi="宋体" w:cs="宋体" w:eastAsia="宋体" w:hint="default"/>
          <w:b w:val="0"/>
          <w:bCs w:val="0"/>
        </w:rPr>
        <w:t>无。</w:t>
      </w:r>
    </w:p>
    <w:p>
      <w:pPr>
        <w:spacing w:after="0" w:line="506" w:lineRule="auto"/>
        <w:jc w:val="left"/>
        <w:rPr>
          <w:rFonts w:ascii="宋体" w:hAnsi="宋体" w:cs="宋体" w:eastAsia="宋体" w:hint="default"/>
        </w:rPr>
        <w:sectPr>
          <w:pgSz w:w="11910" w:h="16840"/>
          <w:pgMar w:header="877" w:footer="1227" w:top="1100" w:bottom="1420" w:left="1660" w:right="1640"/>
        </w:sectPr>
      </w:pPr>
    </w:p>
    <w:p>
      <w:pPr>
        <w:spacing w:line="240" w:lineRule="auto" w:before="11"/>
        <w:rPr>
          <w:rFonts w:ascii="宋体" w:hAnsi="宋体" w:cs="宋体" w:eastAsia="宋体" w:hint="default"/>
          <w:sz w:val="20"/>
          <w:szCs w:val="20"/>
        </w:rPr>
      </w:pPr>
    </w:p>
    <w:p>
      <w:pPr>
        <w:pStyle w:val="Heading3"/>
        <w:spacing w:line="240" w:lineRule="auto" w:before="36"/>
        <w:ind w:left="220" w:right="186"/>
        <w:jc w:val="left"/>
        <w:rPr>
          <w:b w:val="0"/>
          <w:bCs w:val="0"/>
        </w:rPr>
      </w:pPr>
      <w:r>
        <w:rPr>
          <w:rFonts w:ascii="Times New Roman" w:hAnsi="Times New Roman" w:cs="Times New Roman" w:eastAsia="Times New Roman" w:hint="default"/>
        </w:rPr>
        <w:t>4</w:t>
      </w:r>
      <w:r>
        <w:rPr/>
        <w:t>、本企业的其他关联方情况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86" w:type="dxa"/>
        <w:tblLayout w:type="fixed"/>
        <w:tblCellMar>
          <w:top w:w="0" w:type="dxa"/>
          <w:left w:w="0" w:type="dxa"/>
          <w:bottom w:w="0" w:type="dxa"/>
          <w:right w:w="0" w:type="dxa"/>
        </w:tblCellMar>
        <w:tblLook w:val="01E0"/>
      </w:tblPr>
      <w:tblGrid>
        <w:gridCol w:w="2787"/>
        <w:gridCol w:w="2789"/>
        <w:gridCol w:w="2789"/>
      </w:tblGrid>
      <w:tr>
        <w:trPr>
          <w:trHeight w:val="401"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8"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3"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香港柏科有限公司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与本公司实际控制人存在关联关系</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杭州攀克网络技术有限公司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10.71%</w:t>
            </w:r>
            <w:r>
              <w:rPr>
                <w:rFonts w:ascii="宋体" w:hAnsi="宋体" w:cs="宋体" w:eastAsia="宋体" w:hint="default"/>
                <w:sz w:val="18"/>
                <w:szCs w:val="18"/>
              </w:rPr>
              <w:t>股权</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66802902-2</w:t>
            </w:r>
          </w:p>
        </w:tc>
      </w:tr>
    </w:tbl>
    <w:p>
      <w:pPr>
        <w:spacing w:before="49"/>
        <w:ind w:left="220" w:right="186" w:firstLine="0"/>
        <w:jc w:val="left"/>
        <w:rPr>
          <w:rFonts w:ascii="宋体" w:hAnsi="宋体" w:cs="宋体" w:eastAsia="宋体" w:hint="default"/>
          <w:sz w:val="18"/>
          <w:szCs w:val="18"/>
        </w:rPr>
      </w:pPr>
      <w:r>
        <w:rPr>
          <w:rFonts w:ascii="宋体" w:hAnsi="宋体" w:cs="宋体" w:eastAsia="宋体" w:hint="default"/>
          <w:sz w:val="18"/>
          <w:szCs w:val="18"/>
        </w:rPr>
        <w:t>本企业的其他关联方情况的说明：无。</w:t>
      </w:r>
    </w:p>
    <w:p>
      <w:pPr>
        <w:spacing w:line="240" w:lineRule="auto" w:before="0"/>
        <w:rPr>
          <w:rFonts w:ascii="宋体" w:hAnsi="宋体" w:cs="宋体" w:eastAsia="宋体" w:hint="default"/>
          <w:sz w:val="18"/>
          <w:szCs w:val="18"/>
        </w:rPr>
      </w:pPr>
    </w:p>
    <w:p>
      <w:pPr>
        <w:pStyle w:val="Heading3"/>
        <w:spacing w:line="240" w:lineRule="auto" w:before="120"/>
        <w:ind w:left="220" w:right="186"/>
        <w:jc w:val="left"/>
        <w:rPr>
          <w:b w:val="0"/>
          <w:bCs w:val="0"/>
        </w:rPr>
      </w:pPr>
      <w:r>
        <w:rPr>
          <w:rFonts w:ascii="Times New Roman" w:hAnsi="Times New Roman" w:cs="Times New Roman" w:eastAsia="Times New Roman" w:hint="default"/>
        </w:rPr>
        <w:t>5</w:t>
      </w:r>
      <w:r>
        <w:rPr/>
        <w:t>、关联方交易</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220" w:right="186"/>
        <w:jc w:val="left"/>
        <w:rPr>
          <w:b w:val="0"/>
          <w:bCs w:val="0"/>
        </w:rPr>
      </w:pPr>
      <w:r>
        <w:rPr/>
        <w:t>（</w:t>
      </w:r>
      <w:r>
        <w:rPr>
          <w:rFonts w:ascii="Times New Roman" w:hAnsi="Times New Roman" w:cs="Times New Roman" w:eastAsia="Times New Roman" w:hint="default"/>
        </w:rPr>
        <w:t>1</w:t>
      </w:r>
      <w:r>
        <w:rPr/>
        <w:t>）采购商品、接受劳务情况表</w:t>
      </w:r>
      <w:r>
        <w:rPr>
          <w:b w:val="0"/>
          <w:bCs w:val="0"/>
        </w:rPr>
      </w:r>
    </w:p>
    <w:p>
      <w:pPr>
        <w:spacing w:line="240" w:lineRule="auto" w:before="13"/>
        <w:rPr>
          <w:rFonts w:ascii="宋体" w:hAnsi="宋体" w:cs="宋体" w:eastAsia="宋体" w:hint="default"/>
          <w:b/>
          <w:bCs/>
          <w:sz w:val="22"/>
          <w:szCs w:val="22"/>
        </w:rPr>
      </w:pPr>
    </w:p>
    <w:p>
      <w:pPr>
        <w:spacing w:before="44"/>
        <w:ind w:left="0" w:right="216" w:firstLine="0"/>
        <w:jc w:val="right"/>
        <w:rPr>
          <w:rFonts w:ascii="宋体" w:hAnsi="宋体" w:cs="宋体" w:eastAsia="宋体" w:hint="default"/>
          <w:sz w:val="18"/>
          <w:szCs w:val="18"/>
        </w:rPr>
      </w:pPr>
      <w:r>
        <w:rPr/>
        <w:pict>
          <v:shape style="position:absolute;margin-left:396.429993pt;margin-top:47.751705pt;width:46.75pt;height:22.05pt;mso-position-horizontal-relative:page;mso-position-vertical-relative:paragraph;z-index:-803152" type="#_x0000_t202" filled="false" stroked="false">
            <v:textbox inset="0,0,0,0">
              <w:txbxContent>
                <w:p>
                  <w:pPr>
                    <w:spacing w:line="240" w:lineRule="auto" w:before="9"/>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6" w:type="dxa"/>
        <w:tblLayout w:type="fixed"/>
        <w:tblCellMar>
          <w:top w:w="0" w:type="dxa"/>
          <w:left w:w="0" w:type="dxa"/>
          <w:bottom w:w="0" w:type="dxa"/>
          <w:right w:w="0" w:type="dxa"/>
        </w:tblCellMar>
        <w:tblLook w:val="01E0"/>
      </w:tblPr>
      <w:tblGrid>
        <w:gridCol w:w="1397"/>
        <w:gridCol w:w="1328"/>
        <w:gridCol w:w="1462"/>
        <w:gridCol w:w="946"/>
        <w:gridCol w:w="1145"/>
        <w:gridCol w:w="150"/>
        <w:gridCol w:w="691"/>
        <w:gridCol w:w="1248"/>
      </w:tblGrid>
      <w:tr>
        <w:trPr>
          <w:trHeight w:val="401" w:hRule="exact"/>
        </w:trPr>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3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84" w:right="96" w:hanging="92"/>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0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397" w:type="dxa"/>
            <w:vMerge/>
            <w:tcBorders>
              <w:left w:val="single" w:sz="4" w:space="0" w:color="000000"/>
              <w:bottom w:val="single" w:sz="4" w:space="0" w:color="000000"/>
              <w:right w:val="single" w:sz="4" w:space="0" w:color="000000"/>
            </w:tcBorders>
            <w:shd w:val="clear" w:color="auto" w:fill="D2D2D2"/>
          </w:tcPr>
          <w:p>
            <w:pPr/>
          </w:p>
        </w:tc>
        <w:tc>
          <w:tcPr>
            <w:tcW w:w="1328"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6" w:firstLine="2"/>
              <w:jc w:val="left"/>
              <w:rPr>
                <w:rFonts w:ascii="Times New Roman" w:hAnsi="Times New Roman" w:cs="Times New Roman" w:eastAsia="Times New Roman" w:hint="default"/>
                <w:sz w:val="18"/>
                <w:szCs w:val="18"/>
              </w:rPr>
            </w:pPr>
            <w:r>
              <w:rPr>
                <w:rFonts w:ascii="宋体" w:hAnsi="宋体" w:cs="宋体" w:eastAsia="宋体" w:hint="default"/>
                <w:sz w:val="18"/>
                <w:szCs w:val="18"/>
              </w:rPr>
              <w:t>占同类交易金 </w:t>
            </w:r>
            <w:r>
              <w:rPr>
                <w:rFonts w:ascii="宋体" w:hAnsi="宋体" w:cs="宋体" w:eastAsia="宋体" w:hint="default"/>
                <w:spacing w:val="-9"/>
                <w:sz w:val="18"/>
                <w:szCs w:val="18"/>
              </w:rPr>
              <w:t>额的比例（</w:t>
            </w:r>
            <w:r>
              <w:rPr>
                <w:rFonts w:ascii="Times New Roman" w:hAnsi="Times New Roman" w:cs="Times New Roman" w:eastAsia="Times New Roman" w:hint="default"/>
                <w:spacing w:val="-9"/>
                <w:sz w:val="18"/>
                <w:szCs w:val="18"/>
              </w:rPr>
              <w:t>%</w:t>
            </w:r>
          </w:p>
        </w:tc>
        <w:tc>
          <w:tcPr>
            <w:tcW w:w="150" w:type="dxa"/>
            <w:tcBorders>
              <w:top w:val="single" w:sz="4" w:space="0" w:color="000000"/>
              <w:left w:val="single" w:sz="4" w:space="0" w:color="000000"/>
              <w:bottom w:val="single" w:sz="4" w:space="0" w:color="000000"/>
              <w:right w:val="nil" w:sz="6" w:space="0" w:color="auto"/>
            </w:tcBorders>
            <w:shd w:val="clear" w:color="auto" w:fill="D2D2D2"/>
          </w:tcPr>
          <w:p>
            <w:pPr/>
          </w:p>
        </w:tc>
        <w:tc>
          <w:tcPr>
            <w:tcW w:w="6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5" w:firstLine="55"/>
              <w:jc w:val="left"/>
              <w:rPr>
                <w:rFonts w:ascii="宋体" w:hAnsi="宋体" w:cs="宋体" w:eastAsia="宋体" w:hint="default"/>
                <w:sz w:val="18"/>
                <w:szCs w:val="18"/>
              </w:rPr>
            </w:pPr>
            <w:r>
              <w:rPr>
                <w:rFonts w:ascii="宋体" w:hAnsi="宋体" w:cs="宋体" w:eastAsia="宋体" w:hint="default"/>
                <w:sz w:val="18"/>
                <w:szCs w:val="18"/>
              </w:rPr>
              <w:t>占同类交易金 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13"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01"/>
              <w:jc w:val="left"/>
              <w:rPr>
                <w:rFonts w:ascii="宋体" w:hAnsi="宋体" w:cs="宋体" w:eastAsia="宋体" w:hint="default"/>
                <w:sz w:val="18"/>
                <w:szCs w:val="18"/>
              </w:rPr>
            </w:pPr>
            <w:r>
              <w:rPr>
                <w:rFonts w:ascii="宋体" w:hAnsi="宋体" w:cs="宋体" w:eastAsia="宋体" w:hint="default"/>
                <w:sz w:val="18"/>
                <w:szCs w:val="18"/>
              </w:rPr>
              <w:t>杭州攀克网络技 术有限公司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82,008.51</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0.05%</w:t>
            </w:r>
          </w:p>
        </w:tc>
        <w:tc>
          <w:tcPr>
            <w:tcW w:w="841" w:type="dxa"/>
            <w:gridSpan w:val="2"/>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香港柏科公司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代租宽带费用</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4,794.34</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0.17%</w:t>
            </w:r>
          </w:p>
        </w:tc>
        <w:tc>
          <w:tcPr>
            <w:tcW w:w="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51" w:right="0"/>
              <w:jc w:val="left"/>
              <w:rPr>
                <w:rFonts w:ascii="Arial Narrow" w:hAnsi="Arial Narrow" w:cs="Arial Narrow" w:eastAsia="Arial Narrow" w:hint="default"/>
                <w:sz w:val="18"/>
                <w:szCs w:val="18"/>
              </w:rPr>
            </w:pPr>
            <w:r>
              <w:rPr>
                <w:rFonts w:ascii="Arial Narrow"/>
                <w:sz w:val="18"/>
              </w:rPr>
              <w:t>58,856.63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8" w:right="0"/>
              <w:jc w:val="left"/>
              <w:rPr>
                <w:rFonts w:ascii="Times New Roman" w:hAnsi="Times New Roman" w:cs="Times New Roman" w:eastAsia="Times New Roman" w:hint="default"/>
                <w:sz w:val="18"/>
                <w:szCs w:val="18"/>
              </w:rPr>
            </w:pPr>
            <w:r>
              <w:rPr>
                <w:rFonts w:ascii="Times New Roman"/>
                <w:sz w:val="18"/>
              </w:rPr>
              <w:t>2.39%</w:t>
            </w:r>
          </w:p>
        </w:tc>
      </w:tr>
    </w:tbl>
    <w:p>
      <w:pPr>
        <w:spacing w:before="49"/>
        <w:ind w:left="580" w:right="186" w:firstLine="0"/>
        <w:jc w:val="left"/>
        <w:rPr>
          <w:rFonts w:ascii="宋体" w:hAnsi="宋体" w:cs="宋体" w:eastAsia="宋体" w:hint="default"/>
          <w:sz w:val="18"/>
          <w:szCs w:val="18"/>
        </w:rPr>
      </w:pPr>
      <w:r>
        <w:rPr>
          <w:rFonts w:ascii="宋体" w:hAnsi="宋体" w:cs="宋体" w:eastAsia="宋体" w:hint="default"/>
          <w:sz w:val="18"/>
          <w:szCs w:val="18"/>
        </w:rPr>
        <w:t>出售商品、提供劳务情况表：</w:t>
      </w:r>
    </w:p>
    <w:p>
      <w:pPr>
        <w:spacing w:before="115"/>
        <w:ind w:left="0" w:right="21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6" w:type="dxa"/>
        <w:tblLayout w:type="fixed"/>
        <w:tblCellMar>
          <w:top w:w="0" w:type="dxa"/>
          <w:left w:w="0" w:type="dxa"/>
          <w:bottom w:w="0" w:type="dxa"/>
          <w:right w:w="0" w:type="dxa"/>
        </w:tblCellMar>
        <w:tblLook w:val="01E0"/>
      </w:tblPr>
      <w:tblGrid>
        <w:gridCol w:w="1397"/>
        <w:gridCol w:w="901"/>
        <w:gridCol w:w="1277"/>
        <w:gridCol w:w="1133"/>
        <w:gridCol w:w="1570"/>
        <w:gridCol w:w="841"/>
        <w:gridCol w:w="1236"/>
      </w:tblGrid>
      <w:tr>
        <w:trPr>
          <w:trHeight w:val="401" w:hRule="exact"/>
        </w:trPr>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63" w:right="86"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93" w:right="91"/>
              <w:jc w:val="center"/>
              <w:rPr>
                <w:rFonts w:ascii="宋体" w:hAnsi="宋体" w:cs="宋体" w:eastAsia="宋体" w:hint="default"/>
                <w:sz w:val="18"/>
                <w:szCs w:val="18"/>
              </w:rPr>
            </w:pPr>
            <w:r>
              <w:rPr>
                <w:rFonts w:ascii="宋体" w:hAnsi="宋体" w:cs="宋体" w:eastAsia="宋体" w:hint="default"/>
                <w:sz w:val="18"/>
                <w:szCs w:val="18"/>
              </w:rPr>
              <w:t>关联交易定价 方式及决策程 序</w:t>
            </w:r>
          </w:p>
        </w:tc>
        <w:tc>
          <w:tcPr>
            <w:tcW w:w="27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6" w:hRule="exact"/>
        </w:trPr>
        <w:tc>
          <w:tcPr>
            <w:tcW w:w="1397" w:type="dxa"/>
            <w:vMerge/>
            <w:tcBorders>
              <w:left w:val="single" w:sz="4" w:space="0" w:color="000000"/>
              <w:bottom w:val="single" w:sz="4" w:space="0" w:color="000000"/>
              <w:right w:val="single" w:sz="4" w:space="0" w:color="000000"/>
            </w:tcBorders>
            <w:shd w:val="clear" w:color="auto" w:fill="D2D2D2"/>
          </w:tcPr>
          <w:p>
            <w:pPr/>
          </w:p>
        </w:tc>
        <w:tc>
          <w:tcPr>
            <w:tcW w:w="901"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60" w:hanging="286"/>
              <w:jc w:val="left"/>
              <w:rPr>
                <w:rFonts w:ascii="宋体" w:hAnsi="宋体" w:cs="宋体" w:eastAsia="宋体" w:hint="default"/>
                <w:sz w:val="18"/>
                <w:szCs w:val="18"/>
              </w:rPr>
            </w:pPr>
            <w:r>
              <w:rPr>
                <w:rFonts w:ascii="宋体" w:hAnsi="宋体" w:cs="宋体" w:eastAsia="宋体" w:hint="default"/>
                <w:sz w:val="18"/>
                <w:szCs w:val="18"/>
              </w:rPr>
              <w:t>占同类交易金额的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7" w:firstLine="55"/>
              <w:jc w:val="left"/>
              <w:rPr>
                <w:rFonts w:ascii="宋体" w:hAnsi="宋体" w:cs="宋体" w:eastAsia="宋体" w:hint="default"/>
                <w:sz w:val="18"/>
                <w:szCs w:val="18"/>
              </w:rPr>
            </w:pPr>
            <w:r>
              <w:rPr>
                <w:rFonts w:ascii="宋体" w:hAnsi="宋体" w:cs="宋体" w:eastAsia="宋体" w:hint="default"/>
                <w:sz w:val="18"/>
                <w:szCs w:val="18"/>
              </w:rPr>
              <w:t>占同类交易金 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香港柏科公司</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3" w:right="0"/>
              <w:jc w:val="left"/>
              <w:rPr>
                <w:rFonts w:ascii="Times New Roman" w:hAnsi="Times New Roman" w:cs="Times New Roman" w:eastAsia="Times New Roman" w:hint="default"/>
                <w:sz w:val="18"/>
                <w:szCs w:val="18"/>
              </w:rPr>
            </w:pPr>
            <w:r>
              <w:rPr>
                <w:rFonts w:ascii="Times New Roman"/>
                <w:sz w:val="18"/>
              </w:rPr>
              <w:t>1,349,984.42</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0.39%</w:t>
            </w:r>
          </w:p>
        </w:tc>
        <w:tc>
          <w:tcPr>
            <w:tcW w:w="841"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bl>
    <w:p>
      <w:pPr>
        <w:spacing w:before="49"/>
        <w:ind w:left="580" w:right="186" w:firstLine="0"/>
        <w:jc w:val="left"/>
        <w:rPr>
          <w:rFonts w:ascii="宋体" w:hAnsi="宋体" w:cs="宋体" w:eastAsia="宋体" w:hint="default"/>
          <w:sz w:val="18"/>
          <w:szCs w:val="18"/>
        </w:rPr>
      </w:pPr>
      <w:r>
        <w:rPr>
          <w:rFonts w:ascii="宋体" w:hAnsi="宋体" w:cs="宋体" w:eastAsia="宋体" w:hint="default"/>
          <w:sz w:val="18"/>
          <w:szCs w:val="18"/>
        </w:rPr>
        <w:t>支付关键管理人员薪酬：</w:t>
      </w:r>
    </w:p>
    <w:p>
      <w:pPr>
        <w:spacing w:before="117"/>
        <w:ind w:left="0" w:right="216"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421"/>
        <w:gridCol w:w="1712"/>
        <w:gridCol w:w="1128"/>
        <w:gridCol w:w="1421"/>
        <w:gridCol w:w="1421"/>
        <w:gridCol w:w="1421"/>
      </w:tblGrid>
      <w:tr>
        <w:trPr>
          <w:trHeight w:val="415" w:hRule="exact"/>
        </w:trPr>
        <w:tc>
          <w:tcPr>
            <w:tcW w:w="142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71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2" w:lineRule="exact"/>
              <w:ind w:left="103" w:right="103"/>
              <w:jc w:val="left"/>
              <w:rPr>
                <w:rFonts w:ascii="宋体" w:hAnsi="宋体" w:cs="宋体" w:eastAsia="宋体" w:hint="default"/>
                <w:sz w:val="18"/>
                <w:szCs w:val="18"/>
              </w:rPr>
            </w:pPr>
            <w:r>
              <w:rPr>
                <w:rFonts w:ascii="宋体" w:hAnsi="宋体" w:cs="宋体" w:eastAsia="宋体" w:hint="default"/>
                <w:b/>
                <w:bCs/>
                <w:spacing w:val="6"/>
                <w:sz w:val="18"/>
                <w:szCs w:val="18"/>
              </w:rPr>
              <w:t>支付关键管理人员</w:t>
            </w:r>
            <w:r>
              <w:rPr>
                <w:rFonts w:ascii="宋体" w:hAnsi="宋体" w:cs="宋体" w:eastAsia="宋体" w:hint="default"/>
                <w:b/>
                <w:bCs/>
                <w:w w:val="99"/>
                <w:sz w:val="18"/>
                <w:szCs w:val="18"/>
              </w:rPr>
              <w:t> </w:t>
            </w:r>
            <w:r>
              <w:rPr>
                <w:rFonts w:ascii="宋体" w:hAnsi="宋体" w:cs="宋体" w:eastAsia="宋体" w:hint="default"/>
                <w:b/>
                <w:bCs/>
                <w:sz w:val="18"/>
                <w:szCs w:val="18"/>
              </w:rPr>
              <w:t>薪酬决策程序</w:t>
            </w:r>
            <w:r>
              <w:rPr>
                <w:rFonts w:ascii="宋体" w:hAnsi="宋体" w:cs="宋体" w:eastAsia="宋体" w:hint="default"/>
                <w:sz w:val="18"/>
                <w:szCs w:val="18"/>
              </w:rPr>
            </w:r>
          </w:p>
        </w:tc>
        <w:tc>
          <w:tcPr>
            <w:tcW w:w="25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18"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557" w:hRule="exact"/>
        </w:trPr>
        <w:tc>
          <w:tcPr>
            <w:tcW w:w="1421" w:type="dxa"/>
            <w:vMerge/>
            <w:tcBorders>
              <w:left w:val="single" w:sz="4" w:space="0" w:color="000000"/>
              <w:bottom w:val="single" w:sz="4" w:space="0" w:color="000000"/>
              <w:right w:val="single" w:sz="4" w:space="0" w:color="000000"/>
            </w:tcBorders>
          </w:tcPr>
          <w:p>
            <w:pPr/>
          </w:p>
        </w:tc>
        <w:tc>
          <w:tcPr>
            <w:tcW w:w="1712" w:type="dxa"/>
            <w:vMerge/>
            <w:tcBorders>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
              <w:jc w:val="right"/>
              <w:rPr>
                <w:rFonts w:ascii="宋体" w:hAnsi="宋体" w:cs="宋体" w:eastAsia="宋体" w:hint="default"/>
                <w:sz w:val="18"/>
                <w:szCs w:val="18"/>
              </w:rPr>
            </w:pPr>
            <w:r>
              <w:rPr>
                <w:rFonts w:ascii="宋体" w:hAnsi="宋体" w:cs="宋体" w:eastAsia="宋体" w:hint="default"/>
                <w:b/>
                <w:bCs/>
                <w:spacing w:val="2"/>
                <w:w w:val="99"/>
                <w:sz w:val="18"/>
                <w:szCs w:val="18"/>
              </w:rPr>
              <w:t>金</w:t>
            </w:r>
            <w:r>
              <w:rPr>
                <w:rFonts w:ascii="宋体" w:hAnsi="宋体" w:cs="宋体" w:eastAsia="宋体" w:hint="default"/>
                <w:b/>
                <w:bCs/>
                <w:spacing w:val="-82"/>
                <w:w w:val="99"/>
                <w:sz w:val="18"/>
                <w:szCs w:val="18"/>
              </w:rPr>
              <w:t>额</w:t>
            </w:r>
            <w:r>
              <w:rPr>
                <w:rFonts w:ascii="宋体" w:hAnsi="宋体" w:cs="宋体" w:eastAsia="宋体" w:hint="default"/>
                <w:b/>
                <w:bCs/>
                <w:w w:val="99"/>
                <w:sz w:val="18"/>
                <w:szCs w:val="18"/>
              </w:rPr>
              <w:t>（</w:t>
            </w:r>
            <w:r>
              <w:rPr>
                <w:rFonts w:ascii="宋体" w:hAnsi="宋体" w:cs="宋体" w:eastAsia="宋体" w:hint="default"/>
                <w:b/>
                <w:bCs/>
                <w:spacing w:val="2"/>
                <w:w w:val="99"/>
                <w:sz w:val="18"/>
                <w:szCs w:val="18"/>
              </w:rPr>
              <w:t>万</w:t>
            </w:r>
            <w:r>
              <w:rPr>
                <w:rFonts w:ascii="宋体" w:hAnsi="宋体" w:cs="宋体" w:eastAsia="宋体" w:hint="default"/>
                <w:b/>
                <w:bCs/>
                <w:w w:val="99"/>
                <w:sz w:val="18"/>
                <w:szCs w:val="18"/>
              </w:rPr>
              <w:t>元）</w:t>
            </w:r>
            <w:r>
              <w:rPr>
                <w:rFonts w:ascii="宋体" w:hAnsi="宋体" w:cs="宋体" w:eastAsia="宋体" w:hint="default"/>
                <w:sz w:val="18"/>
                <w:szCs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6"/>
              <w:ind w:left="405" w:right="101" w:hanging="183"/>
              <w:jc w:val="left"/>
              <w:rPr>
                <w:rFonts w:ascii="宋体" w:hAnsi="宋体" w:cs="宋体" w:eastAsia="宋体" w:hint="default"/>
                <w:sz w:val="18"/>
                <w:szCs w:val="18"/>
              </w:rPr>
            </w:pPr>
            <w:r>
              <w:rPr>
                <w:rFonts w:ascii="宋体" w:hAnsi="宋体" w:cs="宋体" w:eastAsia="宋体" w:hint="default"/>
                <w:b/>
                <w:bCs/>
                <w:sz w:val="18"/>
                <w:szCs w:val="18"/>
              </w:rPr>
              <w:t>占同类交易金</w:t>
            </w:r>
            <w:r>
              <w:rPr>
                <w:rFonts w:ascii="宋体" w:hAnsi="宋体" w:cs="宋体" w:eastAsia="宋体" w:hint="default"/>
                <w:b/>
                <w:bCs/>
                <w:w w:val="99"/>
                <w:sz w:val="18"/>
                <w:szCs w:val="18"/>
              </w:rPr>
              <w:t> </w:t>
            </w:r>
            <w:r>
              <w:rPr>
                <w:rFonts w:ascii="宋体" w:hAnsi="宋体" w:cs="宋体" w:eastAsia="宋体" w:hint="default"/>
                <w:b/>
                <w:bCs/>
                <w:sz w:val="18"/>
                <w:szCs w:val="18"/>
              </w:rPr>
              <w:t>额的比例％</w:t>
            </w:r>
            <w:r>
              <w:rPr>
                <w:rFonts w:ascii="宋体" w:hAnsi="宋体" w:cs="宋体" w:eastAsia="宋体" w:hint="default"/>
                <w:sz w:val="18"/>
                <w:szCs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hAnsi="宋体" w:cs="宋体" w:eastAsia="宋体" w:hint="default"/>
                <w:b/>
                <w:bCs/>
                <w:w w:val="95"/>
                <w:sz w:val="18"/>
                <w:szCs w:val="18"/>
              </w:rPr>
              <w:t>金额（万元）</w:t>
            </w:r>
            <w:r>
              <w:rPr>
                <w:rFonts w:ascii="宋体" w:hAnsi="宋体" w:cs="宋体" w:eastAsia="宋体" w:hint="default"/>
                <w:sz w:val="18"/>
                <w:szCs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6"/>
              <w:ind w:left="406" w:right="101" w:hanging="183"/>
              <w:jc w:val="left"/>
              <w:rPr>
                <w:rFonts w:ascii="宋体" w:hAnsi="宋体" w:cs="宋体" w:eastAsia="宋体" w:hint="default"/>
                <w:sz w:val="18"/>
                <w:szCs w:val="18"/>
              </w:rPr>
            </w:pPr>
            <w:r>
              <w:rPr>
                <w:rFonts w:ascii="宋体" w:hAnsi="宋体" w:cs="宋体" w:eastAsia="宋体" w:hint="default"/>
                <w:b/>
                <w:bCs/>
                <w:sz w:val="18"/>
                <w:szCs w:val="18"/>
              </w:rPr>
              <w:t>占同类交易金</w:t>
            </w:r>
            <w:r>
              <w:rPr>
                <w:rFonts w:ascii="宋体" w:hAnsi="宋体" w:cs="宋体" w:eastAsia="宋体" w:hint="default"/>
                <w:b/>
                <w:bCs/>
                <w:w w:val="99"/>
                <w:sz w:val="18"/>
                <w:szCs w:val="18"/>
              </w:rPr>
              <w:t> </w:t>
            </w:r>
            <w:r>
              <w:rPr>
                <w:rFonts w:ascii="宋体" w:hAnsi="宋体" w:cs="宋体" w:eastAsia="宋体" w:hint="default"/>
                <w:b/>
                <w:bCs/>
                <w:sz w:val="18"/>
                <w:szCs w:val="18"/>
              </w:rPr>
              <w:t>额的比例％</w:t>
            </w:r>
            <w:r>
              <w:rPr>
                <w:rFonts w:ascii="宋体" w:hAnsi="宋体" w:cs="宋体" w:eastAsia="宋体" w:hint="default"/>
                <w:sz w:val="18"/>
                <w:szCs w:val="18"/>
              </w:rPr>
            </w:r>
          </w:p>
        </w:tc>
      </w:tr>
      <w:tr>
        <w:trPr>
          <w:trHeight w:val="408"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薪酬委员会决策</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473.00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4.46</w:t>
            </w:r>
            <w:r>
              <w:rPr>
                <w:rFonts w:ascii="Times New Roman"/>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635.12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9.01</w:t>
            </w:r>
          </w:p>
        </w:tc>
      </w:tr>
    </w:tbl>
    <w:p>
      <w:pPr>
        <w:spacing w:line="240" w:lineRule="auto" w:before="3"/>
        <w:rPr>
          <w:rFonts w:ascii="宋体" w:hAnsi="宋体" w:cs="宋体" w:eastAsia="宋体" w:hint="default"/>
          <w:sz w:val="19"/>
          <w:szCs w:val="19"/>
        </w:rPr>
      </w:pPr>
    </w:p>
    <w:p>
      <w:pPr>
        <w:pStyle w:val="Heading3"/>
        <w:spacing w:line="506" w:lineRule="auto" w:before="36"/>
        <w:ind w:left="640" w:right="6246" w:hanging="420"/>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2</w:t>
      </w:r>
      <w:r>
        <w:rPr>
          <w:spacing w:val="-1"/>
        </w:rPr>
        <w:t>）关联托管</w:t>
      </w:r>
      <w:r>
        <w:rPr>
          <w:rFonts w:ascii="Times New Roman" w:hAnsi="Times New Roman" w:cs="Times New Roman" w:eastAsia="Times New Roman" w:hint="default"/>
          <w:spacing w:val="-1"/>
        </w:rPr>
        <w:t>/</w:t>
      </w:r>
      <w:r>
        <w:rPr>
          <w:spacing w:val="-1"/>
        </w:rPr>
        <w:t>承包情况</w:t>
      </w:r>
      <w:r>
        <w:rPr>
          <w:spacing w:val="-95"/>
        </w:rPr>
        <w:t> </w:t>
      </w:r>
      <w:r>
        <w:rPr>
          <w:rFonts w:ascii="宋体" w:hAnsi="宋体" w:cs="宋体" w:eastAsia="宋体" w:hint="default"/>
          <w:b w:val="0"/>
          <w:bCs w:val="0"/>
        </w:rPr>
        <w:t>无。</w:t>
      </w:r>
    </w:p>
    <w:p>
      <w:pPr>
        <w:pStyle w:val="Heading3"/>
        <w:spacing w:line="506" w:lineRule="auto" w:before="101"/>
        <w:ind w:left="640" w:right="6714" w:hanging="420"/>
        <w:jc w:val="left"/>
        <w:rPr>
          <w:rFonts w:ascii="宋体" w:hAnsi="宋体" w:cs="宋体" w:eastAsia="宋体" w:hint="default"/>
          <w:b w:val="0"/>
          <w:bCs w:val="0"/>
        </w:rPr>
      </w:pPr>
      <w:r>
        <w:rPr/>
        <w:t>（</w:t>
      </w:r>
      <w:r>
        <w:rPr>
          <w:rFonts w:ascii="Times New Roman" w:hAnsi="Times New Roman" w:cs="Times New Roman" w:eastAsia="Times New Roman" w:hint="default"/>
        </w:rPr>
        <w:t>3</w:t>
      </w:r>
      <w:r>
        <w:rPr/>
        <w:t>）关联租赁情况</w:t>
      </w:r>
      <w:r>
        <w:rPr>
          <w:spacing w:val="-104"/>
        </w:rPr>
        <w:t> </w:t>
      </w:r>
      <w:r>
        <w:rPr>
          <w:rFonts w:ascii="宋体" w:hAnsi="宋体" w:cs="宋体" w:eastAsia="宋体" w:hint="default"/>
          <w:b w:val="0"/>
          <w:bCs w:val="0"/>
        </w:rPr>
        <w:t>无。</w:t>
      </w:r>
    </w:p>
    <w:p>
      <w:pPr>
        <w:spacing w:after="0" w:line="506" w:lineRule="auto"/>
        <w:jc w:val="left"/>
        <w:rPr>
          <w:rFonts w:ascii="宋体" w:hAnsi="宋体" w:cs="宋体" w:eastAsia="宋体" w:hint="default"/>
        </w:rPr>
        <w:sectPr>
          <w:pgSz w:w="11910" w:h="16840"/>
          <w:pgMar w:header="877" w:footer="1227" w:top="1100" w:bottom="1420" w:left="1580" w:right="1580"/>
        </w:sectPr>
      </w:pPr>
    </w:p>
    <w:p>
      <w:pPr>
        <w:spacing w:line="240" w:lineRule="auto" w:before="11"/>
        <w:rPr>
          <w:rFonts w:ascii="宋体" w:hAnsi="宋体" w:cs="宋体" w:eastAsia="宋体" w:hint="default"/>
          <w:sz w:val="20"/>
          <w:szCs w:val="20"/>
        </w:rPr>
      </w:pPr>
    </w:p>
    <w:p>
      <w:pPr>
        <w:pStyle w:val="Heading3"/>
        <w:spacing w:line="506" w:lineRule="auto" w:before="36"/>
        <w:ind w:left="560" w:right="6714" w:hanging="420"/>
        <w:jc w:val="left"/>
        <w:rPr>
          <w:rFonts w:ascii="宋体" w:hAnsi="宋体" w:cs="宋体" w:eastAsia="宋体" w:hint="default"/>
          <w:b w:val="0"/>
          <w:bCs w:val="0"/>
        </w:rPr>
      </w:pPr>
      <w:r>
        <w:rPr/>
        <w:t>（</w:t>
      </w:r>
      <w:r>
        <w:rPr>
          <w:rFonts w:ascii="Times New Roman" w:hAnsi="Times New Roman" w:cs="Times New Roman" w:eastAsia="Times New Roman" w:hint="default"/>
        </w:rPr>
        <w:t>4</w:t>
      </w:r>
      <w:r>
        <w:rPr/>
        <w:t>）关联担保情况</w:t>
      </w:r>
      <w:r>
        <w:rPr>
          <w:spacing w:val="-104"/>
        </w:rPr>
        <w:t> </w:t>
      </w:r>
      <w:r>
        <w:rPr>
          <w:rFonts w:ascii="宋体" w:hAnsi="宋体" w:cs="宋体" w:eastAsia="宋体" w:hint="default"/>
          <w:b w:val="0"/>
          <w:bCs w:val="0"/>
        </w:rPr>
        <w:t>无。</w:t>
      </w:r>
    </w:p>
    <w:p>
      <w:pPr>
        <w:pStyle w:val="Heading3"/>
        <w:spacing w:line="506" w:lineRule="auto" w:before="101"/>
        <w:ind w:left="560" w:right="6504" w:hanging="420"/>
        <w:jc w:val="left"/>
        <w:rPr>
          <w:rFonts w:ascii="宋体" w:hAnsi="宋体" w:cs="宋体" w:eastAsia="宋体" w:hint="default"/>
          <w:b w:val="0"/>
          <w:bCs w:val="0"/>
        </w:rPr>
      </w:pPr>
      <w:r>
        <w:rPr/>
        <w:t>（</w:t>
      </w:r>
      <w:r>
        <w:rPr>
          <w:rFonts w:ascii="Times New Roman" w:hAnsi="Times New Roman" w:cs="Times New Roman" w:eastAsia="Times New Roman" w:hint="default"/>
        </w:rPr>
        <w:t>5</w:t>
      </w:r>
      <w:r>
        <w:rPr/>
        <w:t>）关联方资金拆借</w:t>
      </w:r>
      <w:r>
        <w:rPr>
          <w:w w:val="100"/>
        </w:rPr>
        <w:t> </w:t>
      </w:r>
      <w:r>
        <w:rPr>
          <w:rFonts w:ascii="宋体" w:hAnsi="宋体" w:cs="宋体" w:eastAsia="宋体" w:hint="default"/>
          <w:b w:val="0"/>
          <w:bCs w:val="0"/>
        </w:rPr>
        <w:t>无。</w:t>
      </w:r>
    </w:p>
    <w:p>
      <w:pPr>
        <w:pStyle w:val="Heading3"/>
        <w:spacing w:line="506" w:lineRule="auto" w:before="104"/>
        <w:ind w:left="560" w:right="4665" w:hanging="420"/>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6</w:t>
      </w:r>
      <w:r>
        <w:rPr>
          <w:spacing w:val="-1"/>
        </w:rPr>
        <w:t>）关联方资产转让、债务重组情况</w:t>
      </w:r>
      <w:r>
        <w:rPr>
          <w:spacing w:val="-90"/>
        </w:rPr>
        <w:t> </w:t>
      </w:r>
      <w:r>
        <w:rPr>
          <w:spacing w:val="-90"/>
        </w:rPr>
      </w:r>
      <w:r>
        <w:rPr>
          <w:rFonts w:ascii="宋体" w:hAnsi="宋体" w:cs="宋体" w:eastAsia="宋体" w:hint="default"/>
          <w:b w:val="0"/>
          <w:bCs w:val="0"/>
        </w:rPr>
        <w:t>无。</w:t>
      </w:r>
    </w:p>
    <w:p>
      <w:pPr>
        <w:pStyle w:val="Heading3"/>
        <w:spacing w:line="506" w:lineRule="auto" w:before="102"/>
        <w:ind w:left="560" w:right="6714" w:hanging="420"/>
        <w:jc w:val="left"/>
        <w:rPr>
          <w:rFonts w:ascii="宋体" w:hAnsi="宋体" w:cs="宋体" w:eastAsia="宋体" w:hint="default"/>
          <w:b w:val="0"/>
          <w:bCs w:val="0"/>
        </w:rPr>
      </w:pPr>
      <w:r>
        <w:rPr/>
        <w:t>（</w:t>
      </w:r>
      <w:r>
        <w:rPr>
          <w:rFonts w:ascii="Times New Roman" w:hAnsi="Times New Roman" w:cs="Times New Roman" w:eastAsia="Times New Roman" w:hint="default"/>
        </w:rPr>
        <w:t>7</w:t>
      </w:r>
      <w:r>
        <w:rPr/>
        <w:t>）其他关联交易</w:t>
      </w:r>
      <w:r>
        <w:rPr>
          <w:spacing w:val="-104"/>
        </w:rPr>
        <w:t> </w:t>
      </w:r>
      <w:r>
        <w:rPr>
          <w:rFonts w:ascii="宋体" w:hAnsi="宋体" w:cs="宋体" w:eastAsia="宋体" w:hint="default"/>
          <w:b w:val="0"/>
          <w:bCs w:val="0"/>
        </w:rPr>
        <w:t>无。</w:t>
      </w:r>
    </w:p>
    <w:p>
      <w:pPr>
        <w:pStyle w:val="Heading3"/>
        <w:spacing w:line="506" w:lineRule="auto" w:before="104"/>
        <w:ind w:left="560" w:right="6293" w:hanging="420"/>
        <w:jc w:val="left"/>
        <w:rPr>
          <w:rFonts w:ascii="宋体" w:hAnsi="宋体" w:cs="宋体" w:eastAsia="宋体" w:hint="default"/>
          <w:b w:val="0"/>
          <w:bCs w:val="0"/>
        </w:rPr>
      </w:pPr>
      <w:r>
        <w:rPr>
          <w:rFonts w:ascii="Times New Roman" w:hAnsi="Times New Roman" w:cs="Times New Roman" w:eastAsia="Times New Roman" w:hint="default"/>
        </w:rPr>
        <w:t>6</w:t>
      </w:r>
      <w:r>
        <w:rPr/>
        <w:t>、关联方应收应付款项</w:t>
      </w:r>
      <w:r>
        <w:rPr>
          <w:w w:val="100"/>
        </w:rPr>
        <w:t> </w:t>
      </w:r>
      <w:r>
        <w:rPr>
          <w:rFonts w:ascii="宋体" w:hAnsi="宋体" w:cs="宋体" w:eastAsia="宋体" w:hint="default"/>
          <w:b w:val="0"/>
          <w:bCs w:val="0"/>
        </w:rPr>
        <w:t>无。</w:t>
      </w:r>
    </w:p>
    <w:p>
      <w:pPr>
        <w:pStyle w:val="Heading2"/>
        <w:spacing w:line="240" w:lineRule="auto" w:before="76"/>
        <w:ind w:left="140" w:right="0"/>
        <w:jc w:val="left"/>
        <w:rPr>
          <w:b w:val="0"/>
          <w:bCs w:val="0"/>
        </w:rPr>
      </w:pPr>
      <w:r>
        <w:rPr/>
        <w:t>十、股份支付</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2"/>
        <w:rPr>
          <w:rFonts w:ascii="宋体" w:hAnsi="宋体" w:cs="宋体" w:eastAsia="宋体" w:hint="default"/>
          <w:b/>
          <w:bCs/>
          <w:sz w:val="22"/>
          <w:szCs w:val="22"/>
        </w:rPr>
      </w:pPr>
    </w:p>
    <w:p>
      <w:pPr>
        <w:spacing w:before="44"/>
        <w:ind w:left="0" w:right="21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853"/>
        <w:gridCol w:w="5513"/>
      </w:tblGrid>
      <w:tr>
        <w:trPr>
          <w:trHeight w:val="403" w:hRule="exact"/>
        </w:trPr>
        <w:tc>
          <w:tcPr>
            <w:tcW w:w="2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55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4,009,589.04</w:t>
            </w:r>
          </w:p>
        </w:tc>
      </w:tr>
      <w:tr>
        <w:trPr>
          <w:trHeight w:val="401" w:hRule="exact"/>
        </w:trPr>
        <w:tc>
          <w:tcPr>
            <w:tcW w:w="2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55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3,995,219.96</w:t>
            </w:r>
          </w:p>
        </w:tc>
      </w:tr>
      <w:tr>
        <w:trPr>
          <w:trHeight w:val="403" w:hRule="exact"/>
        </w:trPr>
        <w:tc>
          <w:tcPr>
            <w:tcW w:w="2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55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14,369.08</w:t>
            </w:r>
          </w:p>
        </w:tc>
      </w:tr>
      <w:tr>
        <w:trPr>
          <w:trHeight w:val="715" w:hRule="exact"/>
        </w:trPr>
        <w:tc>
          <w:tcPr>
            <w:tcW w:w="2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17"/>
              <w:jc w:val="left"/>
              <w:rPr>
                <w:rFonts w:ascii="宋体" w:hAnsi="宋体" w:cs="宋体" w:eastAsia="宋体" w:hint="default"/>
                <w:sz w:val="18"/>
                <w:szCs w:val="18"/>
              </w:rPr>
            </w:pPr>
            <w:r>
              <w:rPr>
                <w:rFonts w:ascii="宋体" w:hAnsi="宋体" w:cs="宋体" w:eastAsia="宋体" w:hint="default"/>
                <w:sz w:val="18"/>
                <w:szCs w:val="18"/>
              </w:rPr>
              <w:t>公司期末其他权益工具行权价格的 范围和合同剩余期限</w:t>
            </w:r>
          </w:p>
        </w:tc>
        <w:tc>
          <w:tcPr>
            <w:tcW w:w="5513" w:type="dxa"/>
            <w:tcBorders>
              <w:top w:val="single" w:sz="4" w:space="0" w:color="000000"/>
              <w:left w:val="single" w:sz="9" w:space="0" w:color="D2D2D2"/>
              <w:bottom w:val="single" w:sz="4" w:space="0" w:color="000000"/>
              <w:right w:val="single" w:sz="4" w:space="0" w:color="000000"/>
            </w:tcBorders>
          </w:tcPr>
          <w:p>
            <w:pPr>
              <w:pStyle w:val="TableParagraph"/>
              <w:spacing w:line="300" w:lineRule="auto" w:before="49"/>
              <w:ind w:left="28" w:right="110"/>
              <w:jc w:val="left"/>
              <w:rPr>
                <w:rFonts w:ascii="宋体" w:hAnsi="宋体" w:cs="宋体" w:eastAsia="宋体" w:hint="default"/>
                <w:sz w:val="18"/>
                <w:szCs w:val="18"/>
              </w:rPr>
            </w:pPr>
            <w:r>
              <w:rPr>
                <w:rFonts w:ascii="宋体" w:hAnsi="宋体" w:cs="宋体" w:eastAsia="宋体" w:hint="default"/>
                <w:sz w:val="18"/>
                <w:szCs w:val="18"/>
              </w:rPr>
              <w:t>授予价格每股</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8.58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日至</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日为解锁 期</w:t>
            </w:r>
          </w:p>
        </w:tc>
      </w:tr>
    </w:tbl>
    <w:p>
      <w:pPr>
        <w:pStyle w:val="BodyText"/>
        <w:spacing w:line="240" w:lineRule="auto" w:before="64"/>
        <w:ind w:left="560" w:right="0"/>
        <w:jc w:val="left"/>
      </w:pPr>
      <w:r>
        <w:rPr/>
        <w:t>股份支付情况的说明：</w:t>
      </w:r>
    </w:p>
    <w:p>
      <w:pPr>
        <w:spacing w:line="240" w:lineRule="auto" w:before="10"/>
        <w:rPr>
          <w:rFonts w:ascii="宋体" w:hAnsi="宋体" w:cs="宋体" w:eastAsia="宋体" w:hint="default"/>
          <w:sz w:val="14"/>
          <w:szCs w:val="14"/>
        </w:rPr>
      </w:pPr>
    </w:p>
    <w:p>
      <w:pPr>
        <w:pStyle w:val="BodyText"/>
        <w:spacing w:line="386" w:lineRule="auto"/>
        <w:ind w:right="223" w:firstLine="419"/>
        <w:jc w:val="both"/>
      </w:pPr>
      <w:r>
        <w:rPr/>
        <w:t>（</w:t>
      </w:r>
      <w:r>
        <w:rPr>
          <w:rFonts w:ascii="Times New Roman" w:hAnsi="Times New Roman" w:cs="Times New Roman" w:eastAsia="Times New Roman" w:hint="default"/>
        </w:rPr>
        <w:t>1</w:t>
      </w:r>
      <w:r>
        <w:rPr/>
        <w:t>）根据本公司</w:t>
      </w:r>
      <w:r>
        <w:rPr>
          <w:rFonts w:ascii="Times New Roman" w:hAnsi="Times New Roman" w:cs="Times New Roman" w:eastAsia="Times New Roman" w:hint="default"/>
        </w:rPr>
        <w:t>2012</w:t>
      </w:r>
      <w:r>
        <w:rPr>
          <w:rFonts w:ascii="Times New Roman" w:hAnsi="Times New Roman" w:cs="Times New Roman" w:eastAsia="Times New Roman" w:hint="default"/>
          <w:spacing w:val="47"/>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日的第一次临时股东大会、</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日的第一届董事</w:t>
      </w:r>
      <w:r>
        <w:rPr>
          <w:w w:val="100"/>
        </w:rPr>
        <w:t> </w:t>
      </w:r>
      <w:r>
        <w:rPr>
          <w:spacing w:val="-2"/>
        </w:rPr>
        <w:t>会第二十一次会议和和修改后的章程规定，本公司以定向增发的方式向</w:t>
      </w:r>
      <w:r>
        <w:rPr>
          <w:rFonts w:ascii="Times New Roman" w:hAnsi="Times New Roman" w:cs="Times New Roman" w:eastAsia="Times New Roman" w:hint="default"/>
          <w:spacing w:val="-2"/>
        </w:rPr>
        <w:t>201</w:t>
      </w:r>
      <w:r>
        <w:rPr>
          <w:spacing w:val="-2"/>
        </w:rPr>
        <w:t>名激励对象授予</w:t>
      </w:r>
      <w:r>
        <w:rPr>
          <w:spacing w:val="-30"/>
        </w:rPr>
        <w:t> </w:t>
      </w:r>
      <w:r>
        <w:rPr>
          <w:spacing w:val="-30"/>
        </w:rPr>
      </w:r>
      <w:r>
        <w:rPr/>
        <w:t>限制性人民币普通股（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46"/>
        </w:rPr>
        <w:t> </w:t>
      </w:r>
      <w:r>
        <w:rPr/>
        <w:t>股）</w:t>
      </w:r>
      <w:r>
        <w:rPr>
          <w:rFonts w:ascii="Times New Roman" w:hAnsi="Times New Roman" w:cs="Times New Roman" w:eastAsia="Times New Roman" w:hint="default"/>
        </w:rPr>
        <w:t>390.66</w:t>
      </w:r>
      <w:r>
        <w:rPr/>
        <w:t>万股（每股面值</w:t>
      </w:r>
      <w:r>
        <w:rPr>
          <w:rFonts w:ascii="Times New Roman" w:hAnsi="Times New Roman" w:cs="Times New Roman" w:eastAsia="Times New Roman" w:hint="default"/>
        </w:rPr>
        <w:t>1</w:t>
      </w:r>
      <w:r>
        <w:rPr/>
        <w:t>元），授予价格每股</w:t>
      </w:r>
      <w:r>
        <w:rPr>
          <w:rFonts w:ascii="Times New Roman" w:hAnsi="Times New Roman" w:cs="Times New Roman" w:eastAsia="Times New Roman" w:hint="default"/>
        </w:rPr>
        <w:t>8.58</w:t>
      </w:r>
      <w:r>
        <w:rPr/>
        <w:t>元，授予日</w:t>
      </w:r>
      <w:r>
        <w:rPr>
          <w:w w:val="100"/>
        </w:rPr>
        <w:t> </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6 </w:t>
      </w:r>
      <w:r>
        <w:rPr>
          <w:rFonts w:ascii="Times New Roman" w:hAnsi="Times New Roman" w:cs="Times New Roman" w:eastAsia="Times New Roman" w:hint="default"/>
          <w:spacing w:val="2"/>
        </w:rPr>
        <w:t> </w:t>
      </w:r>
      <w:r>
        <w:rPr>
          <w:spacing w:val="-3"/>
        </w:rPr>
        <w:t>日。</w:t>
      </w:r>
      <w:r>
        <w:rPr/>
      </w:r>
    </w:p>
    <w:p>
      <w:pPr>
        <w:pStyle w:val="BodyText"/>
        <w:spacing w:line="393" w:lineRule="auto" w:before="35"/>
        <w:ind w:right="0" w:firstLine="419"/>
        <w:jc w:val="left"/>
      </w:pPr>
      <w:r>
        <w:rPr/>
        <w:t>（</w:t>
      </w:r>
      <w:r>
        <w:rPr>
          <w:rFonts w:ascii="Times New Roman" w:hAnsi="Times New Roman" w:cs="Times New Roman" w:eastAsia="Times New Roman" w:hint="default"/>
        </w:rPr>
        <w:t>2</w:t>
      </w:r>
      <w:r>
        <w:rPr/>
        <w:t>）根据公司股权激励计划，限制性股票自授予日起</w:t>
      </w:r>
      <w:r>
        <w:rPr>
          <w:rFonts w:ascii="Times New Roman" w:hAnsi="Times New Roman" w:cs="Times New Roman" w:eastAsia="Times New Roman" w:hint="default"/>
        </w:rPr>
        <w:t>12</w:t>
      </w:r>
      <w:r>
        <w:rPr/>
        <w:t>个月为禁售期，禁售期后</w:t>
      </w:r>
      <w:r>
        <w:rPr>
          <w:rFonts w:ascii="Times New Roman" w:hAnsi="Times New Roman" w:cs="Times New Roman" w:eastAsia="Times New Roman" w:hint="default"/>
        </w:rPr>
        <w:t>24</w:t>
      </w:r>
      <w:r>
        <w:rPr/>
        <w:t>个</w:t>
      </w:r>
      <w:r>
        <w:rPr>
          <w:w w:val="100"/>
        </w:rPr>
        <w:t> </w:t>
      </w:r>
      <w:r>
        <w:rPr>
          <w:spacing w:val="-2"/>
        </w:rPr>
        <w:t>月为解锁期，在满足激励计划规定的解锁条件时，激励对象可分三期申请限制性股票解锁，</w:t>
      </w:r>
      <w:r>
        <w:rPr>
          <w:spacing w:val="-31"/>
        </w:rPr>
        <w:t> </w:t>
      </w:r>
      <w:r>
        <w:rPr>
          <w:spacing w:val="-31"/>
        </w:rPr>
      </w:r>
      <w:r>
        <w:rPr/>
        <w:t>分别自授予日起 </w:t>
      </w:r>
      <w:r>
        <w:rPr>
          <w:rFonts w:ascii="Times New Roman" w:hAnsi="Times New Roman" w:cs="Times New Roman" w:eastAsia="Times New Roman" w:hint="default"/>
        </w:rPr>
        <w:t>12 </w:t>
      </w:r>
      <w:r>
        <w:rPr/>
        <w:t>个月后、</w:t>
      </w:r>
      <w:r>
        <w:rPr>
          <w:rFonts w:ascii="Times New Roman" w:hAnsi="Times New Roman" w:cs="Times New Roman" w:eastAsia="Times New Roman" w:hint="default"/>
        </w:rPr>
        <w:t>24 </w:t>
      </w:r>
      <w:r>
        <w:rPr/>
        <w:t>个月后及</w:t>
      </w:r>
      <w:r>
        <w:rPr>
          <w:rFonts w:ascii="Times New Roman" w:hAnsi="Times New Roman" w:cs="Times New Roman" w:eastAsia="Times New Roman" w:hint="default"/>
        </w:rPr>
        <w:t>36</w:t>
      </w:r>
      <w:r>
        <w:rPr/>
        <w:t>个月后申请所授予的限制性股票总量的</w:t>
      </w:r>
      <w:r>
        <w:rPr>
          <w:spacing w:val="-5"/>
        </w:rPr>
        <w:t> </w:t>
      </w:r>
      <w:r>
        <w:rPr>
          <w:rFonts w:ascii="Times New Roman" w:hAnsi="Times New Roman" w:cs="Times New Roman" w:eastAsia="Times New Roman" w:hint="default"/>
        </w:rPr>
        <w:t>40%</w:t>
      </w:r>
      <w:r>
        <w:rPr/>
        <w:t>、</w:t>
      </w:r>
      <w:r>
        <w:rPr>
          <w:w w:val="100"/>
        </w:rPr>
        <w:t> </w:t>
      </w:r>
      <w:r>
        <w:rPr>
          <w:rFonts w:ascii="Times New Roman" w:hAnsi="Times New Roman" w:cs="Times New Roman" w:eastAsia="Times New Roman" w:hint="default"/>
        </w:rPr>
        <w:t>30%</w:t>
      </w:r>
      <w:r>
        <w:rPr/>
        <w:t>、</w:t>
      </w:r>
      <w:r>
        <w:rPr>
          <w:rFonts w:ascii="Times New Roman" w:hAnsi="Times New Roman" w:cs="Times New Roman" w:eastAsia="Times New Roman" w:hint="default"/>
        </w:rPr>
        <w:t>30%</w:t>
      </w:r>
      <w:r>
        <w:rPr/>
        <w:t>。</w:t>
      </w:r>
    </w:p>
    <w:p>
      <w:pPr>
        <w:spacing w:after="0" w:line="393" w:lineRule="auto"/>
        <w:jc w:val="left"/>
        <w:sectPr>
          <w:pgSz w:w="11910" w:h="16840"/>
          <w:pgMar w:header="877" w:footer="1227" w:top="1100" w:bottom="1420" w:left="1660" w:right="1580"/>
        </w:sectPr>
      </w:pPr>
    </w:p>
    <w:p>
      <w:pPr>
        <w:spacing w:line="240" w:lineRule="auto" w:before="9"/>
        <w:rPr>
          <w:rFonts w:ascii="宋体" w:hAnsi="宋体" w:cs="宋体" w:eastAsia="宋体" w:hint="default"/>
          <w:sz w:val="26"/>
          <w:szCs w:val="26"/>
        </w:rPr>
      </w:pPr>
    </w:p>
    <w:p>
      <w:pPr>
        <w:pStyle w:val="BodyText"/>
        <w:spacing w:line="393" w:lineRule="auto" w:before="36"/>
        <w:ind w:right="151" w:firstLine="419"/>
        <w:jc w:val="both"/>
      </w:pPr>
      <w:r>
        <w:rPr>
          <w:spacing w:val="-2"/>
        </w:rPr>
        <w:t>（</w:t>
      </w:r>
      <w:r>
        <w:rPr>
          <w:rFonts w:ascii="Times New Roman" w:hAnsi="Times New Roman" w:cs="Times New Roman" w:eastAsia="Times New Roman" w:hint="default"/>
          <w:spacing w:val="-2"/>
        </w:rPr>
        <w:t>3</w:t>
      </w:r>
      <w:r>
        <w:rPr>
          <w:spacing w:val="-2"/>
        </w:rPr>
        <w:t>）根据本公司</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11</w:t>
      </w:r>
      <w:r>
        <w:rPr>
          <w:spacing w:val="-2"/>
        </w:rPr>
        <w:t>日的第二届董事会第三次（临时）会议审议通过《关于</w:t>
      </w:r>
      <w:r>
        <w:rPr>
          <w:w w:val="100"/>
        </w:rPr>
        <w:t> </w:t>
      </w:r>
      <w:r>
        <w:rPr>
          <w:spacing w:val="-4"/>
        </w:rPr>
        <w:t>回购注销已不符合激励条件的原激励对象已获授的限制性股票的议案》，原激励对象胡荣因</w:t>
      </w:r>
      <w:r>
        <w:rPr>
          <w:spacing w:val="-44"/>
        </w:rPr>
        <w:t> </w:t>
      </w:r>
      <w:r>
        <w:rPr>
          <w:spacing w:val="-44"/>
        </w:rPr>
      </w:r>
      <w:r>
        <w:rPr>
          <w:spacing w:val="-3"/>
        </w:rPr>
        <w:t>离职已不符合激励条件，公司董事会同意将其已获授但未解锁的全部限制性股票</w:t>
      </w:r>
      <w:r>
        <w:rPr>
          <w:rFonts w:ascii="Times New Roman" w:hAnsi="Times New Roman" w:cs="Times New Roman" w:eastAsia="Times New Roman" w:hint="default"/>
          <w:spacing w:val="-3"/>
        </w:rPr>
        <w:t>14,000</w:t>
      </w:r>
      <w:r>
        <w:rPr>
          <w:spacing w:val="-3"/>
        </w:rPr>
        <w:t>股进</w:t>
      </w:r>
      <w:r>
        <w:rPr>
          <w:spacing w:val="-24"/>
        </w:rPr>
        <w:t> </w:t>
      </w:r>
      <w:r>
        <w:rPr/>
        <w:t>行回购注销，回购价格为授予价格</w:t>
      </w:r>
      <w:r>
        <w:rPr>
          <w:rFonts w:ascii="Times New Roman" w:hAnsi="Times New Roman" w:cs="Times New Roman" w:eastAsia="Times New Roman" w:hint="default"/>
        </w:rPr>
        <w:t>8.58</w:t>
      </w:r>
      <w:r>
        <w:rPr/>
        <w:t>元</w:t>
      </w:r>
      <w:r>
        <w:rPr>
          <w:rFonts w:ascii="Times New Roman" w:hAnsi="Times New Roman" w:cs="Times New Roman" w:eastAsia="Times New Roman" w:hint="default"/>
        </w:rPr>
        <w:t>/</w:t>
      </w:r>
      <w:r>
        <w:rPr/>
        <w:t>股。</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6"/>
          <w:szCs w:val="26"/>
        </w:rPr>
      </w:pPr>
    </w:p>
    <w:p>
      <w:pPr>
        <w:spacing w:before="0"/>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4181"/>
        <w:gridCol w:w="4184"/>
      </w:tblGrid>
      <w:tr>
        <w:trPr>
          <w:trHeight w:val="1028" w:hRule="exact"/>
        </w:trPr>
        <w:tc>
          <w:tcPr>
            <w:tcW w:w="4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按照授予日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日的股票收盘价，根据 </w:t>
            </w: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期权定价模型计算限制性股票的公允价 值</w:t>
            </w:r>
          </w:p>
        </w:tc>
      </w:tr>
      <w:tr>
        <w:trPr>
          <w:trHeight w:val="401" w:hRule="exact"/>
        </w:trPr>
        <w:tc>
          <w:tcPr>
            <w:tcW w:w="4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对可行权权益工具数量的最佳估计的确定方法</w:t>
            </w:r>
          </w:p>
        </w:tc>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资产负债表日股权激励股份实际持有数</w:t>
            </w:r>
          </w:p>
        </w:tc>
      </w:tr>
      <w:tr>
        <w:trPr>
          <w:trHeight w:val="403" w:hRule="exact"/>
        </w:trPr>
        <w:tc>
          <w:tcPr>
            <w:tcW w:w="4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4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资本公积中以权益结算的股份支付的累计金额</w:t>
            </w:r>
          </w:p>
        </w:tc>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3,995,219.96</w:t>
            </w:r>
          </w:p>
        </w:tc>
      </w:tr>
      <w:tr>
        <w:trPr>
          <w:trHeight w:val="403" w:hRule="exact"/>
        </w:trPr>
        <w:tc>
          <w:tcPr>
            <w:tcW w:w="4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以权益结算的股份支付确认的费用总额</w:t>
            </w:r>
          </w:p>
        </w:tc>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3,995,219.96</w:t>
            </w:r>
          </w:p>
        </w:tc>
      </w:tr>
    </w:tbl>
    <w:p>
      <w:pPr>
        <w:spacing w:before="49"/>
        <w:ind w:left="140" w:right="0" w:firstLine="0"/>
        <w:jc w:val="left"/>
        <w:rPr>
          <w:rFonts w:ascii="宋体" w:hAnsi="宋体" w:cs="宋体" w:eastAsia="宋体" w:hint="default"/>
          <w:sz w:val="18"/>
          <w:szCs w:val="18"/>
        </w:rPr>
      </w:pPr>
      <w:r>
        <w:rPr>
          <w:rFonts w:ascii="宋体" w:hAnsi="宋体" w:cs="宋体" w:eastAsia="宋体" w:hint="default"/>
          <w:sz w:val="18"/>
          <w:szCs w:val="18"/>
        </w:rPr>
        <w:t>以权益结算的股份支付的说明：无。</w:t>
      </w:r>
    </w:p>
    <w:p>
      <w:pPr>
        <w:spacing w:line="240" w:lineRule="auto" w:before="0"/>
        <w:rPr>
          <w:rFonts w:ascii="宋体" w:hAnsi="宋体" w:cs="宋体" w:eastAsia="宋体" w:hint="default"/>
          <w:sz w:val="18"/>
          <w:szCs w:val="18"/>
        </w:rPr>
      </w:pPr>
    </w:p>
    <w:p>
      <w:pPr>
        <w:pStyle w:val="Heading3"/>
        <w:spacing w:line="506" w:lineRule="auto" w:before="118"/>
        <w:ind w:left="560" w:right="5614" w:hanging="420"/>
        <w:jc w:val="left"/>
        <w:rPr>
          <w:rFonts w:ascii="宋体" w:hAnsi="宋体" w:cs="宋体" w:eastAsia="宋体" w:hint="default"/>
          <w:b w:val="0"/>
          <w:bCs w:val="0"/>
        </w:rPr>
      </w:pPr>
      <w:r>
        <w:rPr>
          <w:rFonts w:ascii="Times New Roman" w:hAnsi="Times New Roman" w:cs="Times New Roman" w:eastAsia="Times New Roman" w:hint="default"/>
          <w:spacing w:val="-1"/>
        </w:rPr>
        <w:t>3</w:t>
      </w:r>
      <w:r>
        <w:rPr>
          <w:spacing w:val="-1"/>
        </w:rPr>
        <w:t>、以现金结算的股份支付情况</w:t>
      </w:r>
      <w:r>
        <w:rPr>
          <w:spacing w:val="-93"/>
        </w:rPr>
        <w:t> </w:t>
      </w:r>
      <w:r>
        <w:rPr>
          <w:spacing w:val="-93"/>
        </w:rPr>
      </w:r>
      <w:r>
        <w:rPr>
          <w:rFonts w:ascii="宋体" w:hAnsi="宋体" w:cs="宋体" w:eastAsia="宋体" w:hint="default"/>
          <w:b w:val="0"/>
          <w:bCs w:val="0"/>
        </w:rPr>
        <w:t>无。</w:t>
      </w:r>
    </w:p>
    <w:p>
      <w:pPr>
        <w:pStyle w:val="Heading3"/>
        <w:spacing w:line="240" w:lineRule="auto" w:before="104"/>
        <w:ind w:right="0"/>
        <w:jc w:val="left"/>
        <w:rPr>
          <w:b w:val="0"/>
          <w:bCs w:val="0"/>
        </w:rPr>
      </w:pPr>
      <w:r>
        <w:rPr>
          <w:rFonts w:ascii="Times New Roman" w:hAnsi="Times New Roman" w:cs="Times New Roman" w:eastAsia="Times New Roman" w:hint="default"/>
        </w:rPr>
        <w:t>4</w:t>
      </w:r>
      <w:r>
        <w:rPr/>
        <w:t>、以股份支付服务情况</w:t>
      </w:r>
      <w:r>
        <w:rPr>
          <w:b w:val="0"/>
          <w:bCs w:val="0"/>
        </w:rPr>
      </w:r>
    </w:p>
    <w:p>
      <w:pPr>
        <w:spacing w:line="240" w:lineRule="auto" w:before="12"/>
        <w:rPr>
          <w:rFonts w:ascii="宋体" w:hAnsi="宋体" w:cs="宋体" w:eastAsia="宋体" w:hint="default"/>
          <w:b/>
          <w:bCs/>
          <w:sz w:val="22"/>
          <w:szCs w:val="22"/>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4170"/>
        <w:gridCol w:w="4195"/>
      </w:tblGrid>
      <w:tr>
        <w:trPr>
          <w:trHeight w:val="403" w:hRule="exact"/>
        </w:trPr>
        <w:tc>
          <w:tcPr>
            <w:tcW w:w="4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以股份支付换取的职工服务总额</w:t>
            </w:r>
          </w:p>
        </w:tc>
        <w:tc>
          <w:tcPr>
            <w:tcW w:w="4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3,995,219.96</w:t>
            </w:r>
          </w:p>
        </w:tc>
      </w:tr>
    </w:tbl>
    <w:p>
      <w:pPr>
        <w:spacing w:line="240" w:lineRule="auto" w:before="3"/>
        <w:rPr>
          <w:rFonts w:ascii="宋体" w:hAnsi="宋体" w:cs="宋体" w:eastAsia="宋体" w:hint="default"/>
          <w:sz w:val="19"/>
          <w:szCs w:val="19"/>
        </w:rPr>
      </w:pPr>
    </w:p>
    <w:p>
      <w:pPr>
        <w:pStyle w:val="Heading3"/>
        <w:spacing w:line="506" w:lineRule="auto" w:before="36"/>
        <w:ind w:left="560" w:right="5614" w:hanging="420"/>
        <w:jc w:val="left"/>
        <w:rPr>
          <w:rFonts w:ascii="宋体" w:hAnsi="宋体" w:cs="宋体" w:eastAsia="宋体" w:hint="default"/>
          <w:b w:val="0"/>
          <w:bCs w:val="0"/>
        </w:rPr>
      </w:pPr>
      <w:r>
        <w:rPr>
          <w:rFonts w:ascii="Times New Roman" w:hAnsi="Times New Roman" w:cs="Times New Roman" w:eastAsia="Times New Roman" w:hint="default"/>
          <w:spacing w:val="-1"/>
        </w:rPr>
        <w:t>5</w:t>
      </w:r>
      <w:r>
        <w:rPr>
          <w:spacing w:val="-1"/>
        </w:rPr>
        <w:t>、股份支付的修改、终止情况</w:t>
      </w:r>
      <w:r>
        <w:rPr>
          <w:spacing w:val="-93"/>
        </w:rPr>
        <w:t> </w:t>
      </w:r>
      <w:r>
        <w:rPr>
          <w:spacing w:val="-93"/>
        </w:rPr>
      </w:r>
      <w:r>
        <w:rPr>
          <w:rFonts w:ascii="宋体" w:hAnsi="宋体" w:cs="宋体" w:eastAsia="宋体" w:hint="default"/>
          <w:b w:val="0"/>
          <w:bCs w:val="0"/>
        </w:rPr>
        <w:t>无。</w:t>
      </w:r>
    </w:p>
    <w:p>
      <w:pPr>
        <w:pStyle w:val="Heading2"/>
        <w:spacing w:line="240" w:lineRule="auto" w:before="78"/>
        <w:ind w:left="140" w:right="0"/>
        <w:jc w:val="left"/>
        <w:rPr>
          <w:b w:val="0"/>
          <w:bCs w:val="0"/>
        </w:rPr>
      </w:pPr>
      <w:r>
        <w:rPr/>
        <w:t>十一、或有事项</w:t>
      </w:r>
      <w:r>
        <w:rPr>
          <w:b w:val="0"/>
          <w:bCs w:val="0"/>
        </w:rPr>
      </w:r>
    </w:p>
    <w:p>
      <w:pPr>
        <w:spacing w:line="240" w:lineRule="auto" w:before="12"/>
        <w:rPr>
          <w:rFonts w:ascii="宋体" w:hAnsi="宋体" w:cs="宋体" w:eastAsia="宋体" w:hint="default"/>
          <w:b/>
          <w:bCs/>
          <w:sz w:val="24"/>
          <w:szCs w:val="24"/>
        </w:rPr>
      </w:pPr>
    </w:p>
    <w:p>
      <w:pPr>
        <w:pStyle w:val="Heading3"/>
        <w:spacing w:line="506" w:lineRule="auto"/>
        <w:ind w:left="560" w:right="3856" w:hanging="420"/>
        <w:jc w:val="left"/>
        <w:rPr>
          <w:rFonts w:ascii="宋体" w:hAnsi="宋体" w:cs="宋体" w:eastAsia="宋体" w:hint="default"/>
          <w:b w:val="0"/>
          <w:bCs w:val="0"/>
        </w:rPr>
      </w:pPr>
      <w:r>
        <w:rPr>
          <w:rFonts w:ascii="Times New Roman" w:hAnsi="Times New Roman" w:cs="Times New Roman" w:eastAsia="Times New Roman" w:hint="default"/>
          <w:spacing w:val="-1"/>
        </w:rPr>
        <w:t>1</w:t>
      </w:r>
      <w:r>
        <w:rPr>
          <w:spacing w:val="-1"/>
        </w:rPr>
        <w:t>、未决诉讼或仲裁形成的或有负债及其财务影响</w:t>
      </w:r>
      <w:r>
        <w:rPr>
          <w:spacing w:val="-85"/>
        </w:rPr>
        <w:t> </w:t>
      </w:r>
      <w:r>
        <w:rPr>
          <w:spacing w:val="-85"/>
        </w:rPr>
      </w:r>
      <w:r>
        <w:rPr>
          <w:rFonts w:ascii="宋体" w:hAnsi="宋体" w:cs="宋体" w:eastAsia="宋体" w:hint="default"/>
          <w:b w:val="0"/>
          <w:bCs w:val="0"/>
        </w:rPr>
        <w:t>无。</w:t>
      </w:r>
    </w:p>
    <w:p>
      <w:pPr>
        <w:pStyle w:val="Heading3"/>
        <w:spacing w:line="240" w:lineRule="auto" w:before="101"/>
        <w:ind w:right="0"/>
        <w:jc w:val="left"/>
        <w:rPr>
          <w:b w:val="0"/>
          <w:bCs w:val="0"/>
        </w:rPr>
      </w:pPr>
      <w:r>
        <w:rPr>
          <w:rFonts w:ascii="Times New Roman" w:hAnsi="Times New Roman" w:cs="Times New Roman" w:eastAsia="Times New Roman" w:hint="default"/>
        </w:rPr>
        <w:t>2</w:t>
      </w:r>
      <w:r>
        <w:rPr/>
        <w:t>、为其他单位提供债务担保形成的或有负债及其财务影响</w:t>
      </w:r>
      <w:r>
        <w:rPr>
          <w:b w:val="0"/>
          <w:bCs w:val="0"/>
        </w:rPr>
      </w:r>
    </w:p>
    <w:p>
      <w:pPr>
        <w:pStyle w:val="BodyText"/>
        <w:spacing w:line="480" w:lineRule="atLeast" w:before="195"/>
        <w:ind w:left="560" w:right="0"/>
        <w:jc w:val="left"/>
      </w:pPr>
      <w:r>
        <w:rPr/>
        <w:t>其他或有负债及其财务影响：</w:t>
      </w:r>
      <w:r>
        <w:rPr>
          <w:w w:val="100"/>
        </w:rPr>
        <w:t> </w:t>
      </w:r>
      <w:r>
        <w:rPr>
          <w:spacing w:val="-2"/>
        </w:rPr>
        <w:t>截止</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日，本公司已开出尚未到期的保函金额为</w:t>
      </w:r>
      <w:r>
        <w:rPr>
          <w:rFonts w:ascii="Times New Roman" w:hAnsi="Times New Roman" w:cs="Times New Roman" w:eastAsia="Times New Roman" w:hint="default"/>
          <w:spacing w:val="-2"/>
        </w:rPr>
        <w:t>357,500.00</w:t>
      </w:r>
      <w:r>
        <w:rPr>
          <w:spacing w:val="-2"/>
        </w:rPr>
        <w:t>元，均向银行提</w:t>
      </w:r>
    </w:p>
    <w:p>
      <w:pPr>
        <w:spacing w:after="0" w:line="480" w:lineRule="atLeast"/>
        <w:jc w:val="left"/>
        <w:sectPr>
          <w:pgSz w:w="11910" w:h="16840"/>
          <w:pgMar w:header="877" w:footer="1227" w:top="1100" w:bottom="1420" w:left="1660" w:right="1640"/>
        </w:sectPr>
      </w:pPr>
    </w:p>
    <w:p>
      <w:pPr>
        <w:spacing w:line="240" w:lineRule="auto" w:before="9"/>
        <w:rPr>
          <w:rFonts w:ascii="宋体" w:hAnsi="宋体" w:cs="宋体" w:eastAsia="宋体" w:hint="default"/>
          <w:sz w:val="26"/>
          <w:szCs w:val="26"/>
        </w:rPr>
      </w:pPr>
    </w:p>
    <w:p>
      <w:pPr>
        <w:pStyle w:val="BodyText"/>
        <w:spacing w:line="386" w:lineRule="auto" w:before="36"/>
        <w:ind w:left="640" w:right="186" w:hanging="420"/>
        <w:jc w:val="left"/>
      </w:pPr>
      <w:r>
        <w:rPr/>
        <w:t>供</w:t>
      </w:r>
      <w:r>
        <w:rPr>
          <w:rFonts w:ascii="Times New Roman" w:hAnsi="Times New Roman" w:cs="Times New Roman" w:eastAsia="Times New Roman" w:hint="default"/>
        </w:rPr>
        <w:t>100%</w:t>
      </w:r>
      <w:r>
        <w:rPr/>
        <w:t>的货币保证金。</w:t>
      </w:r>
      <w:r>
        <w:rPr>
          <w:w w:val="100"/>
        </w:rPr>
        <w:t> </w:t>
      </w:r>
      <w:r>
        <w:rPr>
          <w:spacing w:val="-4"/>
        </w:rPr>
        <w:t>除存在上述或有事项外，截至</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日止，本公司无其他应披露未披露的重大或</w:t>
      </w:r>
    </w:p>
    <w:p>
      <w:pPr>
        <w:pStyle w:val="BodyText"/>
        <w:spacing w:line="240" w:lineRule="auto" w:before="35"/>
        <w:ind w:left="220" w:right="0"/>
        <w:jc w:val="both"/>
      </w:pPr>
      <w:r>
        <w:rPr/>
        <w:t>有事项。</w:t>
      </w:r>
    </w:p>
    <w:p>
      <w:pPr>
        <w:spacing w:line="240" w:lineRule="auto" w:before="11"/>
        <w:rPr>
          <w:rFonts w:ascii="宋体" w:hAnsi="宋体" w:cs="宋体" w:eastAsia="宋体" w:hint="default"/>
          <w:sz w:val="29"/>
          <w:szCs w:val="29"/>
        </w:rPr>
      </w:pPr>
    </w:p>
    <w:p>
      <w:pPr>
        <w:pStyle w:val="Heading2"/>
        <w:spacing w:line="240" w:lineRule="auto"/>
        <w:ind w:left="220" w:right="0"/>
        <w:jc w:val="both"/>
        <w:rPr>
          <w:b w:val="0"/>
          <w:bCs w:val="0"/>
        </w:rPr>
      </w:pPr>
      <w:r>
        <w:rPr/>
        <w:t>十二、承诺事项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220" w:right="0"/>
        <w:jc w:val="both"/>
        <w:rPr>
          <w:b w:val="0"/>
          <w:bCs w:val="0"/>
        </w:rPr>
      </w:pPr>
      <w:r>
        <w:rPr>
          <w:rFonts w:ascii="Times New Roman" w:hAnsi="Times New Roman" w:cs="Times New Roman" w:eastAsia="Times New Roman" w:hint="default"/>
        </w:rPr>
        <w:t>1</w:t>
      </w:r>
      <w:r>
        <w:rPr/>
        <w:t>、重大承诺事项</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left="640" w:right="186"/>
        <w:jc w:val="left"/>
      </w:pPr>
      <w:r>
        <w:rPr/>
        <w:t>（</w:t>
      </w:r>
      <w:r>
        <w:rPr>
          <w:rFonts w:ascii="Times New Roman" w:hAnsi="Times New Roman" w:cs="Times New Roman" w:eastAsia="Times New Roman" w:hint="default"/>
        </w:rPr>
        <w:t>1</w:t>
      </w:r>
      <w:r>
        <w:rPr/>
        <w:t>）对外投资</w:t>
      </w:r>
    </w:p>
    <w:p>
      <w:pPr>
        <w:pStyle w:val="BodyText"/>
        <w:spacing w:line="240" w:lineRule="auto" w:before="177"/>
        <w:ind w:left="640" w:right="186"/>
        <w:jc w:val="left"/>
      </w:pP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11</w:t>
      </w:r>
      <w:r>
        <w:rPr>
          <w:rFonts w:ascii="Times New Roman" w:hAnsi="Times New Roman" w:cs="Times New Roman" w:eastAsia="Times New Roman" w:hint="default"/>
          <w:spacing w:val="46"/>
        </w:rPr>
        <w:t> </w:t>
      </w:r>
      <w:r>
        <w:rPr/>
        <w:t>日，本公司第二届董事会第三次（临时）会议审议通过《关于使用</w:t>
      </w:r>
    </w:p>
    <w:p>
      <w:pPr>
        <w:pStyle w:val="BodyText"/>
        <w:spacing w:line="386" w:lineRule="auto" w:before="178"/>
        <w:ind w:left="220" w:right="211"/>
        <w:jc w:val="both"/>
      </w:pPr>
      <w:r>
        <w:rPr/>
        <w:t>自有资金对巨龙信息进行增资的议案》，本公司以自有资金 </w:t>
      </w:r>
      <w:r>
        <w:rPr>
          <w:rFonts w:ascii="Times New Roman" w:hAnsi="Times New Roman" w:cs="Times New Roman" w:eastAsia="Times New Roman" w:hint="default"/>
        </w:rPr>
        <w:t>480</w:t>
      </w:r>
      <w:r>
        <w:rPr>
          <w:rFonts w:ascii="Times New Roman" w:hAnsi="Times New Roman" w:cs="Times New Roman" w:eastAsia="Times New Roman" w:hint="default"/>
          <w:spacing w:val="46"/>
        </w:rPr>
        <w:t> </w:t>
      </w:r>
      <w:r>
        <w:rPr/>
        <w:t>万元对厦门市巨龙信息科</w:t>
      </w:r>
      <w:r>
        <w:rPr>
          <w:w w:val="100"/>
        </w:rPr>
        <w:t> </w:t>
      </w:r>
      <w:r>
        <w:rPr>
          <w:spacing w:val="-3"/>
        </w:rPr>
        <w:t>技有限公司（以下简称</w:t>
      </w:r>
      <w:r>
        <w:rPr>
          <w:rFonts w:ascii="Times New Roman" w:hAnsi="Times New Roman" w:cs="Times New Roman" w:eastAsia="Times New Roman" w:hint="default"/>
          <w:spacing w:val="-3"/>
        </w:rPr>
        <w:t>“</w:t>
      </w:r>
      <w:r>
        <w:rPr>
          <w:spacing w:val="-3"/>
        </w:rPr>
        <w:t>巨龙信息公司</w:t>
      </w:r>
      <w:r>
        <w:rPr>
          <w:rFonts w:ascii="Times New Roman" w:hAnsi="Times New Roman" w:cs="Times New Roman" w:eastAsia="Times New Roman" w:hint="default"/>
          <w:spacing w:val="-3"/>
        </w:rPr>
        <w:t>”</w:t>
      </w:r>
      <w:r>
        <w:rPr>
          <w:spacing w:val="-3"/>
        </w:rPr>
        <w:t>）进行增资，增资后本公司持有巨龙信息公司</w:t>
      </w:r>
      <w:r>
        <w:rPr>
          <w:spacing w:val="60"/>
        </w:rPr>
        <w:t> </w:t>
      </w:r>
      <w:r>
        <w:rPr>
          <w:rFonts w:ascii="Times New Roman" w:hAnsi="Times New Roman" w:cs="Times New Roman" w:eastAsia="Times New Roman" w:hint="default"/>
        </w:rPr>
        <w:t>8%</w:t>
      </w:r>
      <w:r>
        <w:rPr/>
        <w:t>的</w:t>
      </w:r>
      <w:r>
        <w:rPr>
          <w:spacing w:val="-94"/>
        </w:rPr>
        <w:t> </w:t>
      </w:r>
      <w:r>
        <w:rPr/>
        <w:t>股权。</w:t>
      </w:r>
    </w:p>
    <w:p>
      <w:pPr>
        <w:pStyle w:val="BodyText"/>
        <w:spacing w:line="386" w:lineRule="auto" w:before="65"/>
        <w:ind w:left="640" w:right="186"/>
        <w:jc w:val="left"/>
      </w:pPr>
      <w:r>
        <w:rPr/>
        <w:t>（</w:t>
      </w:r>
      <w:r>
        <w:rPr>
          <w:rFonts w:ascii="Times New Roman" w:hAnsi="Times New Roman" w:cs="Times New Roman" w:eastAsia="Times New Roman" w:hint="default"/>
        </w:rPr>
        <w:t>2</w:t>
      </w:r>
      <w:r>
        <w:rPr/>
        <w:t>）经营租赁承诺</w:t>
      </w:r>
      <w:r>
        <w:rPr>
          <w:w w:val="100"/>
        </w:rPr>
        <w:t> </w:t>
      </w:r>
      <w:r>
        <w:rPr>
          <w:spacing w:val="-2"/>
        </w:rPr>
        <w:t>至资产负债表日止，本公司对外签订的不可撤销的经营租赁合约情况如下：</w:t>
      </w:r>
    </w:p>
    <w:tbl>
      <w:tblPr>
        <w:tblW w:w="0" w:type="auto"/>
        <w:jc w:val="left"/>
        <w:tblInd w:w="107" w:type="dxa"/>
        <w:tblLayout w:type="fixed"/>
        <w:tblCellMar>
          <w:top w:w="0" w:type="dxa"/>
          <w:left w:w="0" w:type="dxa"/>
          <w:bottom w:w="0" w:type="dxa"/>
          <w:right w:w="0" w:type="dxa"/>
        </w:tblCellMar>
        <w:tblLook w:val="01E0"/>
      </w:tblPr>
      <w:tblGrid>
        <w:gridCol w:w="3944"/>
        <w:gridCol w:w="2290"/>
        <w:gridCol w:w="2290"/>
      </w:tblGrid>
      <w:tr>
        <w:trPr>
          <w:trHeight w:val="396"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b/>
                <w:bCs/>
                <w:sz w:val="18"/>
                <w:szCs w:val="18"/>
              </w:rPr>
              <w:t>不可撤销经营租赁的最低租赁付款额</w:t>
            </w:r>
            <w:r>
              <w:rPr>
                <w:rFonts w:ascii="宋体" w:hAnsi="宋体" w:cs="宋体" w:eastAsia="宋体" w:hint="default"/>
                <w:sz w:val="18"/>
                <w:szCs w:val="18"/>
              </w:rPr>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hAnsi="宋体" w:cs="宋体" w:eastAsia="宋体" w:hint="default"/>
                <w:b/>
                <w:bCs/>
                <w:w w:val="95"/>
                <w:sz w:val="18"/>
                <w:szCs w:val="18"/>
              </w:rPr>
              <w:t>年末数</w:t>
            </w:r>
            <w:r>
              <w:rPr>
                <w:rFonts w:ascii="宋体" w:hAnsi="宋体" w:cs="宋体" w:eastAsia="宋体" w:hint="default"/>
                <w:sz w:val="18"/>
                <w:szCs w:val="18"/>
              </w:rPr>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hAnsi="宋体" w:cs="宋体" w:eastAsia="宋体" w:hint="default"/>
                <w:b/>
                <w:bCs/>
                <w:w w:val="95"/>
                <w:sz w:val="18"/>
                <w:szCs w:val="18"/>
              </w:rPr>
              <w:t>年初数</w:t>
            </w:r>
            <w:r>
              <w:rPr>
                <w:rFonts w:ascii="宋体" w:hAnsi="宋体" w:cs="宋体" w:eastAsia="宋体" w:hint="default"/>
                <w:sz w:val="18"/>
                <w:szCs w:val="18"/>
              </w:rPr>
            </w:r>
          </w:p>
        </w:tc>
      </w:tr>
      <w:tr>
        <w:trPr>
          <w:trHeight w:val="511"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1,762,785.18</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pacing w:val="-1"/>
                <w:sz w:val="18"/>
              </w:rPr>
              <w:t>977,465.92</w:t>
            </w:r>
          </w:p>
        </w:tc>
      </w:tr>
      <w:tr>
        <w:trPr>
          <w:trHeight w:val="476"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1,012,012.88</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290,121.92</w:t>
            </w:r>
          </w:p>
        </w:tc>
      </w:tr>
      <w:tr>
        <w:trPr>
          <w:trHeight w:val="454"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679,221.00</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216,421.92</w:t>
            </w:r>
          </w:p>
        </w:tc>
      </w:tr>
      <w:tr>
        <w:trPr>
          <w:trHeight w:val="458"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以后年度</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270,527.40</w:t>
            </w:r>
          </w:p>
        </w:tc>
      </w:tr>
      <w:tr>
        <w:trPr>
          <w:trHeight w:val="466"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3,454,019.06</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1,754,537.16</w:t>
            </w:r>
          </w:p>
        </w:tc>
      </w:tr>
    </w:tbl>
    <w:p>
      <w:pPr>
        <w:spacing w:line="240" w:lineRule="auto" w:before="3"/>
        <w:rPr>
          <w:rFonts w:ascii="宋体" w:hAnsi="宋体" w:cs="宋体" w:eastAsia="宋体" w:hint="default"/>
          <w:sz w:val="19"/>
          <w:szCs w:val="19"/>
        </w:rPr>
      </w:pPr>
    </w:p>
    <w:p>
      <w:pPr>
        <w:spacing w:line="568" w:lineRule="auto" w:before="36"/>
        <w:ind w:left="640" w:right="936"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、前期承诺履行情况</w:t>
      </w:r>
      <w:r>
        <w:rPr>
          <w:rFonts w:ascii="宋体" w:hAnsi="宋体" w:cs="宋体" w:eastAsia="宋体" w:hint="default"/>
          <w:b/>
          <w:bCs/>
          <w:w w:val="100"/>
          <w:sz w:val="21"/>
          <w:szCs w:val="21"/>
        </w:rPr>
        <w:t> </w:t>
      </w:r>
      <w:r>
        <w:rPr>
          <w:rFonts w:ascii="宋体" w:hAnsi="宋体" w:cs="宋体" w:eastAsia="宋体" w:hint="default"/>
          <w:spacing w:val="-2"/>
          <w:sz w:val="21"/>
          <w:szCs w:val="21"/>
        </w:rPr>
        <w:t>截至</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日，本公司不存在其他应披露的承诺事项。</w:t>
      </w:r>
    </w:p>
    <w:p>
      <w:pPr>
        <w:pStyle w:val="Heading2"/>
        <w:spacing w:line="240" w:lineRule="auto" w:before="56"/>
        <w:ind w:left="220" w:right="186"/>
        <w:jc w:val="left"/>
        <w:rPr>
          <w:b w:val="0"/>
          <w:bCs w:val="0"/>
        </w:rPr>
      </w:pPr>
      <w:r>
        <w:rPr/>
        <w:t>十三、资产负债表日后事项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220" w:right="186"/>
        <w:jc w:val="left"/>
        <w:rPr>
          <w:b w:val="0"/>
          <w:bCs w:val="0"/>
        </w:rPr>
      </w:pPr>
      <w:r>
        <w:rPr>
          <w:rFonts w:ascii="Times New Roman" w:hAnsi="Times New Roman" w:cs="Times New Roman" w:eastAsia="Times New Roman" w:hint="default"/>
        </w:rPr>
        <w:t>1</w:t>
      </w:r>
      <w:r>
        <w:rPr/>
        <w:t>、重要的资产负债表日后事项说明</w:t>
      </w:r>
      <w:r>
        <w:rPr>
          <w:b w:val="0"/>
          <w:bCs w:val="0"/>
        </w:rPr>
      </w:r>
    </w:p>
    <w:p>
      <w:pPr>
        <w:spacing w:line="240" w:lineRule="auto" w:before="10"/>
        <w:rPr>
          <w:rFonts w:ascii="宋体" w:hAnsi="宋体" w:cs="宋体" w:eastAsia="宋体" w:hint="default"/>
          <w:b/>
          <w:bCs/>
          <w:sz w:val="22"/>
          <w:szCs w:val="22"/>
        </w:rPr>
      </w:pPr>
    </w:p>
    <w:p>
      <w:pPr>
        <w:spacing w:before="44"/>
        <w:ind w:left="0" w:right="21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6" w:type="dxa"/>
        <w:tblLayout w:type="fixed"/>
        <w:tblCellMar>
          <w:top w:w="0" w:type="dxa"/>
          <w:left w:w="0" w:type="dxa"/>
          <w:bottom w:w="0" w:type="dxa"/>
          <w:right w:w="0" w:type="dxa"/>
        </w:tblCellMar>
        <w:tblLook w:val="01E0"/>
      </w:tblPr>
      <w:tblGrid>
        <w:gridCol w:w="1306"/>
        <w:gridCol w:w="5103"/>
        <w:gridCol w:w="1277"/>
        <w:gridCol w:w="667"/>
      </w:tblGrid>
      <w:tr>
        <w:trPr>
          <w:trHeight w:val="1339"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内容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2"/>
              <w:jc w:val="center"/>
              <w:rPr>
                <w:rFonts w:ascii="宋体" w:hAnsi="宋体" w:cs="宋体" w:eastAsia="宋体" w:hint="default"/>
                <w:sz w:val="18"/>
                <w:szCs w:val="18"/>
              </w:rPr>
            </w:pPr>
            <w:r>
              <w:rPr>
                <w:rFonts w:ascii="宋体" w:hAnsi="宋体" w:cs="宋体" w:eastAsia="宋体" w:hint="default"/>
                <w:sz w:val="18"/>
                <w:szCs w:val="18"/>
              </w:rPr>
              <w:t>对财务状况和 经营成果的影 响数</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3"/>
              <w:jc w:val="center"/>
              <w:rPr>
                <w:rFonts w:ascii="宋体" w:hAnsi="宋体" w:cs="宋体" w:eastAsia="宋体" w:hint="default"/>
                <w:sz w:val="18"/>
                <w:szCs w:val="18"/>
              </w:rPr>
            </w:pPr>
            <w:r>
              <w:rPr>
                <w:rFonts w:ascii="宋体" w:hAnsi="宋体" w:cs="宋体" w:eastAsia="宋体" w:hint="default"/>
                <w:sz w:val="18"/>
                <w:szCs w:val="18"/>
              </w:rPr>
              <w:t>无法估 计影响 数的原 因</w:t>
            </w:r>
          </w:p>
        </w:tc>
      </w:tr>
    </w:tbl>
    <w:p>
      <w:pPr>
        <w:spacing w:after="0" w:line="316" w:lineRule="auto"/>
        <w:jc w:val="center"/>
        <w:rPr>
          <w:rFonts w:ascii="宋体" w:hAnsi="宋体" w:cs="宋体" w:eastAsia="宋体" w:hint="default"/>
          <w:sz w:val="18"/>
          <w:szCs w:val="18"/>
        </w:rPr>
        <w:sectPr>
          <w:pgSz w:w="11910" w:h="16840"/>
          <w:pgMar w:header="877" w:footer="1227" w:top="1100" w:bottom="1420" w:left="1580" w:right="1580"/>
        </w:sectPr>
      </w:pPr>
    </w:p>
    <w:p>
      <w:pPr>
        <w:spacing w:line="240" w:lineRule="auto" w:before="8"/>
        <w:rPr>
          <w:rFonts w:ascii="宋体" w:hAnsi="宋体" w:cs="宋体" w:eastAsia="宋体" w:hint="default"/>
          <w:sz w:val="24"/>
          <w:szCs w:val="24"/>
        </w:rPr>
      </w:pPr>
    </w:p>
    <w:tbl>
      <w:tblPr>
        <w:tblW w:w="0" w:type="auto"/>
        <w:jc w:val="left"/>
        <w:tblInd w:w="184" w:type="dxa"/>
        <w:tblLayout w:type="fixed"/>
        <w:tblCellMar>
          <w:top w:w="0" w:type="dxa"/>
          <w:left w:w="0" w:type="dxa"/>
          <w:bottom w:w="0" w:type="dxa"/>
          <w:right w:w="0" w:type="dxa"/>
        </w:tblCellMar>
        <w:tblLook w:val="01E0"/>
      </w:tblPr>
      <w:tblGrid>
        <w:gridCol w:w="1308"/>
        <w:gridCol w:w="5115"/>
        <w:gridCol w:w="1265"/>
        <w:gridCol w:w="679"/>
      </w:tblGrid>
      <w:tr>
        <w:trPr>
          <w:trHeight w:val="3212"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3" w:right="192"/>
              <w:jc w:val="left"/>
              <w:rPr>
                <w:rFonts w:ascii="宋体" w:hAnsi="宋体" w:cs="宋体" w:eastAsia="宋体" w:hint="default"/>
                <w:sz w:val="18"/>
                <w:szCs w:val="18"/>
              </w:rPr>
            </w:pPr>
            <w:r>
              <w:rPr>
                <w:rFonts w:ascii="宋体" w:hAnsi="宋体" w:cs="宋体" w:eastAsia="宋体" w:hint="default"/>
                <w:sz w:val="18"/>
                <w:szCs w:val="18"/>
              </w:rPr>
              <w:t>实施限制性股 票回购注销</w:t>
            </w:r>
          </w:p>
        </w:tc>
        <w:tc>
          <w:tcPr>
            <w:tcW w:w="5115" w:type="dxa"/>
            <w:tcBorders>
              <w:top w:val="single" w:sz="4" w:space="0" w:color="000000"/>
              <w:left w:val="single" w:sz="4" w:space="0" w:color="000000"/>
              <w:bottom w:val="single" w:sz="4" w:space="0" w:color="000000"/>
              <w:right w:val="single" w:sz="10" w:space="0" w:color="FFFFFF"/>
            </w:tcBorders>
          </w:tcPr>
          <w:p>
            <w:pPr>
              <w:pStyle w:val="TableParagraph"/>
              <w:spacing w:line="314" w:lineRule="auto" w:before="49"/>
              <w:ind w:left="21"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日，本公司第二届董事会第三次（临时）会议审 议通过《关于回购注销已不符合激励条件的原激励对象已获授的 </w:t>
            </w:r>
            <w:r>
              <w:rPr>
                <w:rFonts w:ascii="宋体" w:hAnsi="宋体" w:cs="宋体" w:eastAsia="宋体" w:hint="default"/>
                <w:spacing w:val="-7"/>
                <w:sz w:val="18"/>
                <w:szCs w:val="18"/>
              </w:rPr>
              <w:t>限制性股票的议案》。根据公司《限制性股票激励计划（草案修订</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7"/>
                <w:sz w:val="18"/>
                <w:szCs w:val="18"/>
              </w:rPr>
              <w:t>稿）》第十五章“限制性股票的回购注销”的相关规定：如出现需</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要回购注销或调整的情况， 回购价格为授予价格。公司原激励对象胡荣因离职已不符合激励 条件，公司董事会同意将其已获授但未解锁的全部限制性股票 </w:t>
            </w:r>
            <w:r>
              <w:rPr>
                <w:rFonts w:ascii="Times New Roman" w:hAnsi="Times New Roman" w:cs="Times New Roman" w:eastAsia="Times New Roman" w:hint="default"/>
                <w:sz w:val="18"/>
                <w:szCs w:val="18"/>
              </w:rPr>
              <w:t>14,000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股进行回购注销，回购价格为授予价格</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8.58</w:t>
            </w:r>
            <w:r>
              <w:rPr>
                <w:rFonts w:ascii="Times New Roman" w:hAnsi="Times New Roman" w:cs="Times New Roman" w:eastAsia="Times New Roman" w:hint="default"/>
                <w:spacing w:val="4"/>
                <w:sz w:val="18"/>
                <w:szCs w:val="18"/>
              </w:rPr>
              <w:t> </w:t>
            </w:r>
            <w:r>
              <w:rPr>
                <w:rFonts w:ascii="宋体" w:hAnsi="宋体" w:cs="宋体" w:eastAsia="宋体" w:hint="default"/>
                <w:spacing w:val="-8"/>
                <w:sz w:val="18"/>
                <w:szCs w:val="18"/>
              </w:rPr>
              <w:t>元</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股。实施限</w:t>
            </w:r>
          </w:p>
          <w:p>
            <w:pPr>
              <w:pStyle w:val="TableParagraph"/>
              <w:spacing w:line="240" w:lineRule="auto" w:before="1"/>
              <w:ind w:left="21" w:right="0"/>
              <w:jc w:val="left"/>
              <w:rPr>
                <w:rFonts w:ascii="宋体" w:hAnsi="宋体" w:cs="宋体" w:eastAsia="宋体" w:hint="default"/>
                <w:sz w:val="18"/>
                <w:szCs w:val="18"/>
              </w:rPr>
            </w:pPr>
            <w:r>
              <w:rPr>
                <w:rFonts w:ascii="宋体" w:hAnsi="宋体" w:cs="宋体" w:eastAsia="宋体" w:hint="default"/>
                <w:sz w:val="18"/>
                <w:szCs w:val="18"/>
              </w:rPr>
              <w:t>制性股票回购注销后</w:t>
            </w:r>
            <w:r>
              <w:rPr>
                <w:rFonts w:ascii="宋体" w:hAnsi="宋体" w:cs="宋体" w:eastAsia="宋体" w:hint="default"/>
                <w:spacing w:val="-77"/>
                <w:sz w:val="18"/>
                <w:szCs w:val="18"/>
              </w:rPr>
              <w:t>，</w:t>
            </w:r>
            <w:r>
              <w:rPr>
                <w:rFonts w:ascii="宋体" w:hAnsi="宋体" w:cs="宋体" w:eastAsia="宋体" w:hint="default"/>
                <w:sz w:val="18"/>
                <w:szCs w:val="18"/>
              </w:rPr>
              <w:t>本公司现有注册资本</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06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元人</w:t>
            </w:r>
            <w:r>
              <w:rPr>
                <w:rFonts w:ascii="宋体" w:hAnsi="宋体" w:cs="宋体" w:eastAsia="宋体" w:hint="default"/>
                <w:spacing w:val="-3"/>
                <w:sz w:val="18"/>
                <w:szCs w:val="18"/>
              </w:rPr>
              <w:t>民</w:t>
            </w:r>
            <w:r>
              <w:rPr>
                <w:rFonts w:ascii="宋体" w:hAnsi="宋体" w:cs="宋体" w:eastAsia="宋体" w:hint="default"/>
                <w:sz w:val="18"/>
                <w:szCs w:val="18"/>
              </w:rPr>
              <w:t>币</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减至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110,892,600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元人民币，相关手续尚在办理中。</w:t>
            </w:r>
          </w:p>
        </w:tc>
        <w:tc>
          <w:tcPr>
            <w:tcW w:w="1265"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 w:right="120"/>
              <w:jc w:val="left"/>
              <w:rPr>
                <w:rFonts w:ascii="宋体" w:hAnsi="宋体" w:cs="宋体" w:eastAsia="宋体" w:hint="default"/>
                <w:sz w:val="18"/>
                <w:szCs w:val="18"/>
              </w:rPr>
            </w:pPr>
            <w:r>
              <w:rPr>
                <w:rFonts w:ascii="宋体" w:hAnsi="宋体" w:cs="宋体" w:eastAsia="宋体" w:hint="default"/>
                <w:sz w:val="18"/>
                <w:szCs w:val="18"/>
              </w:rPr>
              <w:t>本公司现有注 册资本 </w:t>
            </w:r>
            <w:r>
              <w:rPr>
                <w:rFonts w:ascii="Times New Roman" w:hAnsi="Times New Roman" w:cs="Times New Roman" w:eastAsia="Times New Roman" w:hint="default"/>
                <w:sz w:val="18"/>
                <w:szCs w:val="18"/>
              </w:rPr>
              <w:t>110,906,600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w:t>
            </w:r>
          </w:p>
          <w:p>
            <w:pPr>
              <w:pStyle w:val="TableParagraph"/>
              <w:spacing w:line="235" w:lineRule="exact"/>
              <w:ind w:left="4" w:right="0"/>
              <w:jc w:val="left"/>
              <w:rPr>
                <w:rFonts w:ascii="宋体" w:hAnsi="宋体" w:cs="宋体" w:eastAsia="宋体" w:hint="default"/>
                <w:sz w:val="18"/>
                <w:szCs w:val="18"/>
              </w:rPr>
            </w:pPr>
            <w:r>
              <w:rPr>
                <w:rFonts w:ascii="宋体" w:hAnsi="宋体" w:cs="宋体" w:eastAsia="宋体" w:hint="default"/>
                <w:sz w:val="18"/>
                <w:szCs w:val="18"/>
              </w:rPr>
              <w:t>人民币减至</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110,892,600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67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left="220" w:right="186"/>
        <w:jc w:val="left"/>
        <w:rPr>
          <w:b w:val="0"/>
          <w:bCs w:val="0"/>
        </w:rPr>
      </w:pPr>
      <w:r>
        <w:rPr/>
        <w:pict>
          <v:shape style="position:absolute;margin-left:258.97702pt;margin-top:-108.696358pt;width:212.5pt;height:15.6pt;mso-position-horizontal-relative:page;mso-position-vertical-relative:paragraph;z-index:-803128"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则公司应回购并注销或调整相应股票，</w:t>
                  </w:r>
                </w:p>
              </w:txbxContent>
            </v:textbox>
            <w10:wrap type="none"/>
          </v:shape>
        </w:pict>
      </w:r>
      <w:r>
        <w:rPr/>
        <w:pict>
          <v:group style="position:absolute;margin-left:410.470001pt;margin-top:-108.696358pt;width:61pt;height:15.6pt;mso-position-horizontal-relative:page;mso-position-vertical-relative:paragraph;z-index:-803104" coordorigin="8209,-2174" coordsize="1220,312">
            <v:shape style="position:absolute;left:8209;top:-2174;width:1220;height:312" coordorigin="8209,-2174" coordsize="1220,312" path="m8209,-1862l9429,-1862,9429,-2174,8209,-2174,8209,-1862xe" filled="true" fillcolor="#ffffff" stroked="false">
              <v:path arrowok="t"/>
              <v:fill type="solid"/>
            </v:shape>
            <w10:wrap type="none"/>
          </v:group>
        </w:pict>
      </w:r>
      <w:r>
        <w:rPr>
          <w:rFonts w:ascii="Times New Roman" w:hAnsi="Times New Roman" w:cs="Times New Roman" w:eastAsia="Times New Roman" w:hint="default"/>
        </w:rPr>
        <w:t>2</w:t>
      </w:r>
      <w:r>
        <w:rPr/>
        <w:t>、资产负债表日后利润分配情况说明</w:t>
      </w:r>
      <w:r>
        <w:rPr>
          <w:b w:val="0"/>
          <w:bCs w:val="0"/>
        </w:rPr>
      </w:r>
    </w:p>
    <w:p>
      <w:pPr>
        <w:spacing w:line="240" w:lineRule="auto" w:before="10"/>
        <w:rPr>
          <w:rFonts w:ascii="宋体" w:hAnsi="宋体" w:cs="宋体" w:eastAsia="宋体" w:hint="default"/>
          <w:b/>
          <w:bCs/>
          <w:sz w:val="22"/>
          <w:szCs w:val="22"/>
        </w:rPr>
      </w:pPr>
    </w:p>
    <w:p>
      <w:pPr>
        <w:spacing w:before="44"/>
        <w:ind w:left="0" w:right="21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4261"/>
        <w:gridCol w:w="4263"/>
      </w:tblGrid>
      <w:tr>
        <w:trPr>
          <w:trHeight w:val="461"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Times New Roman" w:hAnsi="Times New Roman" w:cs="Times New Roman" w:eastAsia="Times New Roman" w:hint="default"/>
                <w:sz w:val="18"/>
                <w:szCs w:val="18"/>
              </w:rPr>
            </w:pPr>
            <w:r>
              <w:rPr>
                <w:rFonts w:ascii="Times New Roman"/>
                <w:sz w:val="18"/>
              </w:rPr>
              <w:t>16,635,990.00</w:t>
            </w:r>
          </w:p>
        </w:tc>
      </w:tr>
      <w:tr>
        <w:trPr>
          <w:trHeight w:val="463"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Times New Roman" w:hAnsi="Times New Roman" w:cs="Times New Roman" w:eastAsia="Times New Roman" w:hint="default"/>
                <w:sz w:val="18"/>
                <w:szCs w:val="18"/>
              </w:rPr>
            </w:pPr>
            <w:r>
              <w:rPr>
                <w:rFonts w:ascii="Times New Roman"/>
                <w:sz w:val="18"/>
              </w:rPr>
              <w:t>16,635,990.00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6"/>
        <w:ind w:left="220" w:right="186"/>
        <w:jc w:val="left"/>
        <w:rPr>
          <w:b w:val="0"/>
          <w:bCs w:val="0"/>
        </w:rPr>
      </w:pPr>
      <w:r>
        <w:rPr>
          <w:rFonts w:ascii="Times New Roman" w:hAnsi="Times New Roman" w:cs="Times New Roman" w:eastAsia="Times New Roman" w:hint="default"/>
        </w:rPr>
        <w:t>3</w:t>
      </w:r>
      <w:r>
        <w:rPr/>
        <w:t>、其他资产负债表日后事项说明</w:t>
      </w:r>
      <w:r>
        <w:rPr>
          <w:b w:val="0"/>
          <w:bCs w:val="0"/>
        </w:rPr>
      </w:r>
    </w:p>
    <w:p>
      <w:pPr>
        <w:spacing w:line="240" w:lineRule="auto" w:before="8"/>
        <w:rPr>
          <w:rFonts w:ascii="宋体" w:hAnsi="宋体" w:cs="宋体" w:eastAsia="宋体" w:hint="default"/>
          <w:b/>
          <w:bCs/>
          <w:sz w:val="30"/>
          <w:szCs w:val="30"/>
        </w:rPr>
      </w:pPr>
    </w:p>
    <w:p>
      <w:pPr>
        <w:pStyle w:val="BodyText"/>
        <w:spacing w:line="386" w:lineRule="auto"/>
        <w:ind w:left="220" w:right="186" w:firstLine="419"/>
        <w:jc w:val="left"/>
      </w:pPr>
      <w:r>
        <w:rPr>
          <w:spacing w:val="-2"/>
        </w:rPr>
        <w:t>除存在上述资产负债表日后事项外，截至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26</w:t>
      </w:r>
      <w:r>
        <w:rPr>
          <w:spacing w:val="-2"/>
        </w:rPr>
        <w:t>日，本公司无其他应披露未披露</w:t>
      </w:r>
      <w:r>
        <w:rPr>
          <w:w w:val="100"/>
        </w:rPr>
        <w:t> </w:t>
      </w:r>
      <w:r>
        <w:rPr/>
        <w:t>的重大资产负债表日后事项。</w:t>
      </w:r>
    </w:p>
    <w:p>
      <w:pPr>
        <w:spacing w:line="240" w:lineRule="auto" w:before="2"/>
        <w:rPr>
          <w:rFonts w:ascii="宋体" w:hAnsi="宋体" w:cs="宋体" w:eastAsia="宋体" w:hint="default"/>
          <w:sz w:val="20"/>
          <w:szCs w:val="20"/>
        </w:rPr>
      </w:pPr>
    </w:p>
    <w:p>
      <w:pPr>
        <w:pStyle w:val="Heading2"/>
        <w:spacing w:line="240" w:lineRule="auto"/>
        <w:ind w:left="220" w:right="186"/>
        <w:jc w:val="left"/>
        <w:rPr>
          <w:b w:val="0"/>
          <w:bCs w:val="0"/>
        </w:rPr>
      </w:pPr>
      <w:r>
        <w:rPr/>
        <w:t>十四、其他重要事项</w:t>
      </w:r>
      <w:r>
        <w:rPr>
          <w:b w:val="0"/>
          <w:bCs w:val="0"/>
        </w:rPr>
      </w:r>
    </w:p>
    <w:p>
      <w:pPr>
        <w:spacing w:line="240" w:lineRule="auto" w:before="12"/>
        <w:rPr>
          <w:rFonts w:ascii="宋体" w:hAnsi="宋体" w:cs="宋体" w:eastAsia="宋体" w:hint="default"/>
          <w:b/>
          <w:bCs/>
          <w:sz w:val="24"/>
          <w:szCs w:val="24"/>
        </w:rPr>
      </w:pPr>
    </w:p>
    <w:p>
      <w:pPr>
        <w:pStyle w:val="Heading3"/>
        <w:spacing w:line="506" w:lineRule="auto"/>
        <w:ind w:left="640" w:right="6504" w:hanging="420"/>
        <w:jc w:val="left"/>
        <w:rPr>
          <w:rFonts w:ascii="宋体" w:hAnsi="宋体" w:cs="宋体" w:eastAsia="宋体" w:hint="default"/>
          <w:b w:val="0"/>
          <w:bCs w:val="0"/>
        </w:rPr>
      </w:pPr>
      <w:r>
        <w:rPr>
          <w:rFonts w:ascii="Times New Roman" w:hAnsi="Times New Roman" w:cs="Times New Roman" w:eastAsia="Times New Roman" w:hint="default"/>
        </w:rPr>
        <w:t>1</w:t>
      </w:r>
      <w:r>
        <w:rPr/>
        <w:t>、非货币性资产交换</w:t>
      </w:r>
      <w:r>
        <w:rPr>
          <w:w w:val="100"/>
        </w:rPr>
        <w:t> </w:t>
      </w:r>
      <w:r>
        <w:rPr>
          <w:rFonts w:ascii="宋体" w:hAnsi="宋体" w:cs="宋体" w:eastAsia="宋体" w:hint="default"/>
          <w:b w:val="0"/>
          <w:bCs w:val="0"/>
        </w:rPr>
        <w:t>无。</w:t>
      </w:r>
    </w:p>
    <w:p>
      <w:pPr>
        <w:pStyle w:val="Heading3"/>
        <w:spacing w:line="520" w:lineRule="auto" w:before="104"/>
        <w:ind w:left="220" w:right="7362"/>
        <w:jc w:val="center"/>
        <w:rPr>
          <w:b w:val="0"/>
          <w:bCs w:val="0"/>
        </w:rPr>
      </w:pPr>
      <w:r>
        <w:rPr>
          <w:rFonts w:ascii="Times New Roman" w:hAnsi="Times New Roman" w:cs="Times New Roman" w:eastAsia="Times New Roman" w:hint="default"/>
        </w:rPr>
        <w:t>2</w:t>
      </w:r>
      <w:r>
        <w:rPr/>
        <w:t>、债务重组</w:t>
      </w:r>
      <w:r>
        <w:rPr>
          <w:w w:val="100"/>
        </w:rPr>
        <w:t> </w:t>
      </w:r>
      <w:r>
        <w:rPr>
          <w:rFonts w:ascii="宋体" w:hAnsi="宋体" w:cs="宋体" w:eastAsia="宋体" w:hint="default"/>
          <w:b w:val="0"/>
          <w:bCs w:val="0"/>
        </w:rPr>
        <w:t>无。</w:t>
      </w:r>
      <w:r>
        <w:rPr>
          <w:rFonts w:ascii="宋体" w:hAnsi="宋体" w:cs="宋体" w:eastAsia="宋体" w:hint="default"/>
          <w:b w:val="0"/>
          <w:bCs w:val="0"/>
          <w:w w:val="100"/>
        </w:rPr>
        <w:t> </w:t>
      </w:r>
      <w:r>
        <w:rPr>
          <w:rFonts w:ascii="Times New Roman" w:hAnsi="Times New Roman" w:cs="Times New Roman" w:eastAsia="Times New Roman" w:hint="default"/>
        </w:rPr>
        <w:t>3</w:t>
      </w:r>
      <w:r>
        <w:rPr/>
        <w:t>、企业合并</w:t>
      </w:r>
      <w:r>
        <w:rPr>
          <w:b w:val="0"/>
          <w:bCs w:val="0"/>
        </w:rPr>
      </w:r>
    </w:p>
    <w:p>
      <w:pPr>
        <w:pStyle w:val="BodyText"/>
        <w:spacing w:line="386" w:lineRule="auto" w:before="126"/>
        <w:ind w:left="640" w:right="186"/>
        <w:jc w:val="left"/>
      </w:pPr>
      <w:r>
        <w:rPr>
          <w:rFonts w:ascii="Times New Roman" w:hAnsi="Times New Roman" w:cs="Times New Roman" w:eastAsia="Times New Roman" w:hint="default"/>
        </w:rPr>
        <w:t>1</w:t>
      </w:r>
      <w:r>
        <w:rPr/>
        <w:t>、企业合并</w:t>
      </w:r>
      <w:r>
        <w:rPr>
          <w:w w:val="100"/>
        </w:rPr>
        <w:t> </w:t>
      </w:r>
      <w:r>
        <w:rPr>
          <w:spacing w:val="-2"/>
        </w:rPr>
        <w:t>本期内，本公司取得了厦门美亚中敏电子科技有限公司</w:t>
      </w:r>
      <w:r>
        <w:rPr>
          <w:rFonts w:ascii="Times New Roman" w:hAnsi="Times New Roman" w:cs="Times New Roman" w:eastAsia="Times New Roman" w:hint="default"/>
          <w:spacing w:val="-2"/>
        </w:rPr>
        <w:t>67.73%</w:t>
      </w:r>
      <w:r>
        <w:rPr>
          <w:spacing w:val="-2"/>
        </w:rPr>
        <w:t>股权，合并成本为现金</w:t>
      </w:r>
    </w:p>
    <w:p>
      <w:pPr>
        <w:pStyle w:val="BodyText"/>
        <w:spacing w:line="240" w:lineRule="auto" w:before="35"/>
        <w:ind w:left="220" w:right="186"/>
        <w:jc w:val="left"/>
      </w:pPr>
      <w:r>
        <w:rPr>
          <w:rFonts w:ascii="Times New Roman" w:hAnsi="Times New Roman" w:cs="Times New Roman" w:eastAsia="Times New Roman" w:hint="default"/>
        </w:rPr>
        <w:t>4,470,000.00</w:t>
      </w:r>
      <w:r>
        <w:rPr/>
        <w:t>元，合并成本的公允价值</w:t>
      </w:r>
      <w:r>
        <w:rPr>
          <w:rFonts w:ascii="Times New Roman" w:hAnsi="Times New Roman" w:cs="Times New Roman" w:eastAsia="Times New Roman" w:hint="default"/>
        </w:rPr>
        <w:t>4,626,825.00</w:t>
      </w:r>
      <w:r>
        <w:rPr/>
        <w:t>元，购买日确定为</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w:t>
      </w:r>
    </w:p>
    <w:p>
      <w:pPr>
        <w:pStyle w:val="BodyText"/>
        <w:spacing w:line="386" w:lineRule="auto" w:before="177"/>
        <w:ind w:left="220" w:right="0" w:firstLine="419"/>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26</w:t>
      </w:r>
      <w:r>
        <w:rPr/>
        <w:t>日，本公司、沈丽芳与厦门中敏电子科技有限公司（现改名为厦门美亚中</w:t>
      </w:r>
      <w:r>
        <w:rPr>
          <w:w w:val="100"/>
        </w:rPr>
        <w:t> </w:t>
      </w:r>
      <w:r>
        <w:rPr>
          <w:spacing w:val="-2"/>
        </w:rPr>
        <w:t>敏电子科技有限公司，以下简称美亚中敏公司）原股东魏鹏、潘银盆签订《投资协议书》，</w:t>
      </w:r>
    </w:p>
    <w:p>
      <w:pPr>
        <w:spacing w:after="0" w:line="386" w:lineRule="auto"/>
        <w:jc w:val="left"/>
        <w:sectPr>
          <w:pgSz w:w="11910" w:h="16840"/>
          <w:pgMar w:header="877" w:footer="1227" w:top="1100" w:bottom="1420" w:left="1580" w:right="1580"/>
        </w:sectPr>
      </w:pPr>
    </w:p>
    <w:p>
      <w:pPr>
        <w:spacing w:line="240" w:lineRule="auto" w:before="9"/>
        <w:rPr>
          <w:rFonts w:ascii="宋体" w:hAnsi="宋体" w:cs="宋体" w:eastAsia="宋体" w:hint="default"/>
          <w:sz w:val="26"/>
          <w:szCs w:val="26"/>
        </w:rPr>
      </w:pPr>
    </w:p>
    <w:p>
      <w:pPr>
        <w:pStyle w:val="BodyText"/>
        <w:spacing w:line="386" w:lineRule="auto" w:before="36"/>
        <w:ind w:right="0"/>
        <w:jc w:val="left"/>
      </w:pPr>
      <w:r>
        <w:rPr>
          <w:spacing w:val="-2"/>
        </w:rPr>
        <w:t>本公司使用自有资金</w:t>
      </w:r>
      <w:r>
        <w:rPr>
          <w:rFonts w:ascii="Times New Roman" w:hAnsi="Times New Roman" w:cs="Times New Roman" w:eastAsia="Times New Roman" w:hint="default"/>
          <w:spacing w:val="-2"/>
        </w:rPr>
        <w:t>447</w:t>
      </w:r>
      <w:r>
        <w:rPr>
          <w:spacing w:val="-2"/>
        </w:rPr>
        <w:t>万元、采用不溢价的方式对美亚中敏公司进行增资，此次增资完成</w:t>
      </w:r>
      <w:r>
        <w:rPr>
          <w:spacing w:val="-29"/>
        </w:rPr>
        <w:t> </w:t>
      </w:r>
      <w:r>
        <w:rPr>
          <w:spacing w:val="-29"/>
        </w:rPr>
      </w:r>
      <w:r>
        <w:rPr/>
        <w:t>后，本公司持有美亚中敏公司</w:t>
      </w:r>
      <w:r>
        <w:rPr>
          <w:rFonts w:ascii="Times New Roman" w:hAnsi="Times New Roman" w:cs="Times New Roman" w:eastAsia="Times New Roman" w:hint="default"/>
        </w:rPr>
        <w:t>67.73%</w:t>
      </w:r>
      <w:r>
        <w:rPr/>
        <w:t>股权。</w:t>
      </w:r>
    </w:p>
    <w:p>
      <w:pPr>
        <w:pStyle w:val="BodyText"/>
        <w:spacing w:line="398" w:lineRule="auto" w:before="35"/>
        <w:ind w:right="131" w:firstLine="419"/>
        <w:jc w:val="both"/>
      </w:pPr>
      <w:r>
        <w:rPr>
          <w:spacing w:val="-4"/>
          <w:w w:val="100"/>
        </w:rPr>
        <w:t>本公司于</w:t>
      </w:r>
      <w:r>
        <w:rPr>
          <w:rFonts w:ascii="Times New Roman" w:hAnsi="Times New Roman" w:cs="Times New Roman" w:eastAsia="Times New Roman" w:hint="default"/>
          <w:spacing w:val="-4"/>
          <w:w w:val="100"/>
        </w:rPr>
        <w:t>2012</w:t>
      </w:r>
      <w:r>
        <w:rPr>
          <w:spacing w:val="-4"/>
          <w:w w:val="100"/>
        </w:rPr>
        <w:t>年</w:t>
      </w:r>
      <w:r>
        <w:rPr>
          <w:rFonts w:ascii="Times New Roman" w:hAnsi="Times New Roman" w:cs="Times New Roman" w:eastAsia="Times New Roman" w:hint="default"/>
          <w:spacing w:val="-4"/>
          <w:w w:val="100"/>
        </w:rPr>
        <w:t>8</w:t>
      </w:r>
      <w:r>
        <w:rPr>
          <w:spacing w:val="-4"/>
          <w:w w:val="100"/>
        </w:rPr>
        <w:t>月</w:t>
      </w:r>
      <w:r>
        <w:rPr>
          <w:rFonts w:ascii="Times New Roman" w:hAnsi="Times New Roman" w:cs="Times New Roman" w:eastAsia="Times New Roman" w:hint="default"/>
          <w:spacing w:val="-4"/>
          <w:w w:val="100"/>
        </w:rPr>
        <w:t>20</w:t>
      </w:r>
      <w:r>
        <w:rPr>
          <w:spacing w:val="-4"/>
          <w:w w:val="100"/>
        </w:rPr>
        <w:t>日付清上述增资款。美亚中敏公司于</w:t>
      </w:r>
      <w:r>
        <w:rPr>
          <w:rFonts w:ascii="Times New Roman" w:hAnsi="Times New Roman" w:cs="Times New Roman" w:eastAsia="Times New Roman" w:hint="default"/>
          <w:spacing w:val="-4"/>
          <w:w w:val="100"/>
        </w:rPr>
        <w:t>2012</w:t>
      </w:r>
      <w:r>
        <w:rPr>
          <w:spacing w:val="-4"/>
          <w:w w:val="100"/>
        </w:rPr>
        <w:t>年</w:t>
      </w:r>
      <w:r>
        <w:rPr>
          <w:rFonts w:ascii="Times New Roman" w:hAnsi="Times New Roman" w:cs="Times New Roman" w:eastAsia="Times New Roman" w:hint="default"/>
          <w:spacing w:val="-4"/>
          <w:w w:val="100"/>
        </w:rPr>
        <w:t>9</w:t>
      </w:r>
      <w:r>
        <w:rPr>
          <w:spacing w:val="-4"/>
          <w:w w:val="100"/>
        </w:rPr>
        <w:t>月</w:t>
      </w:r>
      <w:r>
        <w:rPr>
          <w:rFonts w:ascii="Times New Roman" w:hAnsi="Times New Roman" w:cs="Times New Roman" w:eastAsia="Times New Roman" w:hint="default"/>
          <w:spacing w:val="-4"/>
          <w:w w:val="100"/>
        </w:rPr>
        <w:t>24</w:t>
      </w:r>
      <w:r>
        <w:rPr>
          <w:spacing w:val="-4"/>
          <w:w w:val="100"/>
        </w:rPr>
        <w:t>日完成工商变更</w:t>
      </w:r>
      <w:r>
        <w:rPr>
          <w:w w:val="100"/>
        </w:rPr>
        <w:t> </w:t>
      </w:r>
      <w:r>
        <w:rPr>
          <w:spacing w:val="-4"/>
        </w:rPr>
        <w:t>登记手续。由于本公司及现控股股东与美亚中敏公司原控股股东不存在任何控制关系，因此</w:t>
      </w:r>
      <w:r>
        <w:rPr>
          <w:spacing w:val="-44"/>
        </w:rPr>
        <w:t> </w:t>
      </w:r>
      <w:r>
        <w:rPr>
          <w:spacing w:val="-44"/>
        </w:rPr>
      </w:r>
      <w:r>
        <w:rPr/>
        <w:t>上述合并属于非同一控制下的企业合并，合并日确定为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w:t>
      </w:r>
    </w:p>
    <w:p>
      <w:pPr>
        <w:pStyle w:val="BodyText"/>
        <w:spacing w:line="408" w:lineRule="auto" w:before="24"/>
        <w:ind w:right="131" w:firstLine="419"/>
        <w:jc w:val="both"/>
      </w:pPr>
      <w:r>
        <w:rPr>
          <w:spacing w:val="-4"/>
          <w:w w:val="100"/>
        </w:rPr>
        <w:t>厦门美亚中敏电子科技有限公司的可辨认资产和负债于购买日的公允价值、账面价值如</w:t>
      </w:r>
      <w:r>
        <w:rPr>
          <w:w w:val="100"/>
        </w:rPr>
        <w:t> </w:t>
      </w:r>
      <w:r>
        <w:rPr/>
        <w:t>下：</w:t>
      </w:r>
    </w:p>
    <w:tbl>
      <w:tblPr>
        <w:tblW w:w="0" w:type="auto"/>
        <w:jc w:val="left"/>
        <w:tblInd w:w="126" w:type="dxa"/>
        <w:tblLayout w:type="fixed"/>
        <w:tblCellMar>
          <w:top w:w="0" w:type="dxa"/>
          <w:left w:w="0" w:type="dxa"/>
          <w:bottom w:w="0" w:type="dxa"/>
          <w:right w:w="0" w:type="dxa"/>
        </w:tblCellMar>
        <w:tblLook w:val="01E0"/>
      </w:tblPr>
      <w:tblGrid>
        <w:gridCol w:w="3029"/>
        <w:gridCol w:w="2648"/>
        <w:gridCol w:w="2650"/>
      </w:tblGrid>
      <w:tr>
        <w:trPr>
          <w:trHeight w:val="341" w:hRule="exact"/>
        </w:trPr>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89"/>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right"/>
              <w:rPr>
                <w:rFonts w:ascii="宋体" w:hAnsi="宋体" w:cs="宋体" w:eastAsia="宋体" w:hint="default"/>
                <w:sz w:val="18"/>
                <w:szCs w:val="18"/>
              </w:rPr>
            </w:pPr>
            <w:r>
              <w:rPr>
                <w:rFonts w:ascii="宋体" w:hAnsi="宋体" w:cs="宋体" w:eastAsia="宋体" w:hint="default"/>
                <w:b/>
                <w:bCs/>
                <w:w w:val="95"/>
                <w:sz w:val="18"/>
                <w:szCs w:val="18"/>
              </w:rPr>
              <w:t>购买日公允价值</w:t>
            </w:r>
            <w:r>
              <w:rPr>
                <w:rFonts w:ascii="宋体" w:hAnsi="宋体" w:cs="宋体" w:eastAsia="宋体" w:hint="default"/>
                <w:sz w:val="18"/>
                <w:szCs w:val="18"/>
              </w:rPr>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right"/>
              <w:rPr>
                <w:rFonts w:ascii="宋体" w:hAnsi="宋体" w:cs="宋体" w:eastAsia="宋体" w:hint="default"/>
                <w:sz w:val="18"/>
                <w:szCs w:val="18"/>
              </w:rPr>
            </w:pPr>
            <w:r>
              <w:rPr>
                <w:rFonts w:ascii="宋体" w:hAnsi="宋体" w:cs="宋体" w:eastAsia="宋体" w:hint="default"/>
                <w:b/>
                <w:bCs/>
                <w:w w:val="95"/>
                <w:sz w:val="18"/>
                <w:szCs w:val="18"/>
              </w:rPr>
              <w:t>购买日账面价值</w:t>
            </w:r>
            <w:r>
              <w:rPr>
                <w:rFonts w:ascii="宋体" w:hAnsi="宋体" w:cs="宋体" w:eastAsia="宋体" w:hint="default"/>
                <w:sz w:val="18"/>
                <w:szCs w:val="18"/>
              </w:rPr>
            </w:r>
          </w:p>
        </w:tc>
      </w:tr>
      <w:tr>
        <w:trPr>
          <w:trHeight w:val="344" w:hRule="exact"/>
        </w:trPr>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18"/>
                <w:szCs w:val="18"/>
              </w:rPr>
            </w:pPr>
            <w:r>
              <w:rPr>
                <w:rFonts w:ascii="Times New Roman"/>
                <w:spacing w:val="-1"/>
                <w:sz w:val="18"/>
              </w:rPr>
              <w:t>7,091,640.51</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
              <w:jc w:val="right"/>
              <w:rPr>
                <w:rFonts w:ascii="Times New Roman" w:hAnsi="Times New Roman" w:cs="Times New Roman" w:eastAsia="Times New Roman" w:hint="default"/>
                <w:sz w:val="18"/>
                <w:szCs w:val="18"/>
              </w:rPr>
            </w:pPr>
            <w:r>
              <w:rPr>
                <w:rFonts w:ascii="Times New Roman"/>
                <w:spacing w:val="-1"/>
                <w:sz w:val="18"/>
              </w:rPr>
              <w:t>7,091,640.51</w:t>
            </w:r>
          </w:p>
        </w:tc>
      </w:tr>
      <w:tr>
        <w:trPr>
          <w:trHeight w:val="341" w:hRule="exact"/>
        </w:trPr>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right"/>
              <w:rPr>
                <w:rFonts w:ascii="Times New Roman" w:hAnsi="Times New Roman" w:cs="Times New Roman" w:eastAsia="Times New Roman" w:hint="default"/>
                <w:sz w:val="18"/>
                <w:szCs w:val="18"/>
              </w:rPr>
            </w:pPr>
            <w:r>
              <w:rPr>
                <w:rFonts w:ascii="Times New Roman"/>
                <w:spacing w:val="-1"/>
                <w:sz w:val="18"/>
              </w:rPr>
              <w:t>80,113.12</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
              <w:jc w:val="right"/>
              <w:rPr>
                <w:rFonts w:ascii="Times New Roman" w:hAnsi="Times New Roman" w:cs="Times New Roman" w:eastAsia="Times New Roman" w:hint="default"/>
                <w:sz w:val="18"/>
                <w:szCs w:val="18"/>
              </w:rPr>
            </w:pPr>
            <w:r>
              <w:rPr>
                <w:rFonts w:ascii="Times New Roman"/>
                <w:spacing w:val="-1"/>
                <w:sz w:val="18"/>
              </w:rPr>
              <w:t>80,113.12</w:t>
            </w:r>
          </w:p>
        </w:tc>
      </w:tr>
      <w:tr>
        <w:trPr>
          <w:trHeight w:val="343" w:hRule="exact"/>
        </w:trPr>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87" w:right="0"/>
              <w:jc w:val="left"/>
              <w:rPr>
                <w:rFonts w:ascii="宋体" w:hAnsi="宋体" w:cs="宋体" w:eastAsia="宋体" w:hint="default"/>
                <w:sz w:val="18"/>
                <w:szCs w:val="18"/>
              </w:rPr>
            </w:pPr>
            <w:r>
              <w:rPr>
                <w:rFonts w:ascii="宋体" w:hAnsi="宋体" w:cs="宋体" w:eastAsia="宋体" w:hint="default"/>
                <w:sz w:val="18"/>
                <w:szCs w:val="18"/>
              </w:rPr>
              <w:t>其中：无形资产</w:t>
            </w:r>
          </w:p>
        </w:tc>
        <w:tc>
          <w:tcPr>
            <w:tcW w:w="2648" w:type="dxa"/>
            <w:tcBorders>
              <w:top w:val="single" w:sz="4" w:space="0" w:color="000000"/>
              <w:left w:val="single" w:sz="4" w:space="0" w:color="000000"/>
              <w:bottom w:val="single" w:sz="4" w:space="0" w:color="000000"/>
              <w:right w:val="single" w:sz="4" w:space="0" w:color="000000"/>
            </w:tcBorders>
          </w:tcPr>
          <w:p>
            <w:pPr/>
          </w:p>
        </w:tc>
        <w:tc>
          <w:tcPr>
            <w:tcW w:w="265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right"/>
              <w:rPr>
                <w:rFonts w:ascii="Times New Roman" w:hAnsi="Times New Roman" w:cs="Times New Roman" w:eastAsia="Times New Roman" w:hint="default"/>
                <w:sz w:val="18"/>
                <w:szCs w:val="18"/>
              </w:rPr>
            </w:pPr>
            <w:r>
              <w:rPr>
                <w:rFonts w:ascii="Times New Roman"/>
                <w:spacing w:val="-1"/>
                <w:sz w:val="18"/>
              </w:rPr>
              <w:t>340,475.03</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
              <w:jc w:val="right"/>
              <w:rPr>
                <w:rFonts w:ascii="Times New Roman" w:hAnsi="Times New Roman" w:cs="Times New Roman" w:eastAsia="Times New Roman" w:hint="default"/>
                <w:sz w:val="18"/>
                <w:szCs w:val="18"/>
              </w:rPr>
            </w:pPr>
            <w:r>
              <w:rPr>
                <w:rFonts w:ascii="Times New Roman"/>
                <w:spacing w:val="-1"/>
                <w:sz w:val="18"/>
              </w:rPr>
              <w:t>340,475.03</w:t>
            </w:r>
          </w:p>
        </w:tc>
      </w:tr>
      <w:tr>
        <w:trPr>
          <w:trHeight w:val="343" w:hRule="exact"/>
        </w:trPr>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648" w:type="dxa"/>
            <w:tcBorders>
              <w:top w:val="single" w:sz="4" w:space="0" w:color="000000"/>
              <w:left w:val="single" w:sz="4" w:space="0" w:color="000000"/>
              <w:bottom w:val="single" w:sz="4" w:space="0" w:color="000000"/>
              <w:right w:val="single" w:sz="4" w:space="0" w:color="000000"/>
            </w:tcBorders>
          </w:tcPr>
          <w:p>
            <w:pPr/>
          </w:p>
        </w:tc>
        <w:tc>
          <w:tcPr>
            <w:tcW w:w="265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left"/>
              <w:rPr>
                <w:rFonts w:ascii="宋体" w:hAnsi="宋体" w:cs="宋体" w:eastAsia="宋体" w:hint="default"/>
                <w:sz w:val="18"/>
                <w:szCs w:val="18"/>
              </w:rPr>
            </w:pPr>
            <w:r>
              <w:rPr>
                <w:rFonts w:ascii="宋体" w:hAnsi="宋体" w:cs="宋体" w:eastAsia="宋体" w:hint="default"/>
                <w:sz w:val="18"/>
                <w:szCs w:val="18"/>
              </w:rPr>
              <w:t>购买取得净资产</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right"/>
              <w:rPr>
                <w:rFonts w:ascii="Times New Roman" w:hAnsi="Times New Roman" w:cs="Times New Roman" w:eastAsia="Times New Roman" w:hint="default"/>
                <w:sz w:val="18"/>
                <w:szCs w:val="18"/>
              </w:rPr>
            </w:pPr>
            <w:r>
              <w:rPr>
                <w:rFonts w:ascii="Times New Roman"/>
                <w:spacing w:val="-1"/>
                <w:sz w:val="18"/>
              </w:rPr>
              <w:t>6,831,278.60</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
              <w:jc w:val="right"/>
              <w:rPr>
                <w:rFonts w:ascii="Times New Roman" w:hAnsi="Times New Roman" w:cs="Times New Roman" w:eastAsia="Times New Roman" w:hint="default"/>
                <w:sz w:val="18"/>
                <w:szCs w:val="18"/>
              </w:rPr>
            </w:pPr>
            <w:r>
              <w:rPr>
                <w:rFonts w:ascii="Times New Roman"/>
                <w:spacing w:val="-1"/>
                <w:sz w:val="18"/>
              </w:rPr>
              <w:t>6,831,278.60</w:t>
            </w:r>
          </w:p>
        </w:tc>
      </w:tr>
      <w:tr>
        <w:trPr>
          <w:trHeight w:val="343" w:hRule="exact"/>
        </w:trPr>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87" w:right="0"/>
              <w:jc w:val="left"/>
              <w:rPr>
                <w:rFonts w:ascii="宋体" w:hAnsi="宋体" w:cs="宋体" w:eastAsia="宋体" w:hint="default"/>
                <w:sz w:val="18"/>
                <w:szCs w:val="18"/>
              </w:rPr>
            </w:pPr>
            <w:r>
              <w:rPr>
                <w:rFonts w:ascii="宋体" w:hAnsi="宋体" w:cs="宋体" w:eastAsia="宋体" w:hint="default"/>
                <w:sz w:val="18"/>
                <w:szCs w:val="18"/>
              </w:rPr>
              <w:t>其中：少数股东权益</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18"/>
                <w:szCs w:val="18"/>
              </w:rPr>
            </w:pPr>
            <w:r>
              <w:rPr>
                <w:rFonts w:ascii="Times New Roman"/>
                <w:spacing w:val="-1"/>
                <w:sz w:val="18"/>
              </w:rPr>
              <w:t>2,204,453.60</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
              <w:jc w:val="right"/>
              <w:rPr>
                <w:rFonts w:ascii="Times New Roman" w:hAnsi="Times New Roman" w:cs="Times New Roman" w:eastAsia="Times New Roman" w:hint="default"/>
                <w:sz w:val="18"/>
                <w:szCs w:val="18"/>
              </w:rPr>
            </w:pPr>
            <w:r>
              <w:rPr>
                <w:rFonts w:ascii="Times New Roman"/>
                <w:spacing w:val="-1"/>
                <w:sz w:val="18"/>
              </w:rPr>
              <w:t>2,204,453.60</w:t>
            </w:r>
          </w:p>
        </w:tc>
      </w:tr>
      <w:tr>
        <w:trPr>
          <w:trHeight w:val="341" w:hRule="exact"/>
        </w:trPr>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left"/>
              <w:rPr>
                <w:rFonts w:ascii="宋体" w:hAnsi="宋体" w:cs="宋体" w:eastAsia="宋体" w:hint="default"/>
                <w:sz w:val="18"/>
                <w:szCs w:val="18"/>
              </w:rPr>
            </w:pPr>
            <w:r>
              <w:rPr>
                <w:rFonts w:ascii="宋体" w:hAnsi="宋体" w:cs="宋体" w:eastAsia="宋体" w:hint="default"/>
                <w:sz w:val="18"/>
                <w:szCs w:val="18"/>
              </w:rPr>
              <w:t>扣除少数股东权益后净资产</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right"/>
              <w:rPr>
                <w:rFonts w:ascii="Times New Roman" w:hAnsi="Times New Roman" w:cs="Times New Roman" w:eastAsia="Times New Roman" w:hint="default"/>
                <w:sz w:val="18"/>
                <w:szCs w:val="18"/>
              </w:rPr>
            </w:pPr>
            <w:r>
              <w:rPr>
                <w:rFonts w:ascii="Times New Roman"/>
                <w:spacing w:val="-1"/>
                <w:sz w:val="18"/>
              </w:rPr>
              <w:t>4,626,825.00</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
              <w:jc w:val="right"/>
              <w:rPr>
                <w:rFonts w:ascii="Times New Roman" w:hAnsi="Times New Roman" w:cs="Times New Roman" w:eastAsia="Times New Roman" w:hint="default"/>
                <w:sz w:val="18"/>
                <w:szCs w:val="18"/>
              </w:rPr>
            </w:pPr>
            <w:r>
              <w:rPr>
                <w:rFonts w:ascii="Times New Roman"/>
                <w:spacing w:val="-1"/>
                <w:sz w:val="18"/>
              </w:rPr>
              <w:t>4,626,825.00</w:t>
            </w:r>
          </w:p>
        </w:tc>
      </w:tr>
      <w:tr>
        <w:trPr>
          <w:trHeight w:val="343" w:hRule="exact"/>
        </w:trPr>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 w:right="0"/>
              <w:jc w:val="left"/>
              <w:rPr>
                <w:rFonts w:ascii="宋体" w:hAnsi="宋体" w:cs="宋体" w:eastAsia="宋体" w:hint="default"/>
                <w:sz w:val="18"/>
                <w:szCs w:val="18"/>
              </w:rPr>
            </w:pPr>
            <w:r>
              <w:rPr>
                <w:rFonts w:ascii="宋体" w:hAnsi="宋体" w:cs="宋体" w:eastAsia="宋体" w:hint="default"/>
                <w:sz w:val="18"/>
                <w:szCs w:val="18"/>
              </w:rPr>
              <w:t>购买成本</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18"/>
                <w:szCs w:val="18"/>
              </w:rPr>
            </w:pPr>
            <w:r>
              <w:rPr>
                <w:rFonts w:ascii="Times New Roman"/>
                <w:spacing w:val="-1"/>
                <w:sz w:val="18"/>
              </w:rPr>
              <w:t>4,470,000.00</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
              <w:jc w:val="right"/>
              <w:rPr>
                <w:rFonts w:ascii="Times New Roman" w:hAnsi="Times New Roman" w:cs="Times New Roman" w:eastAsia="Times New Roman" w:hint="default"/>
                <w:sz w:val="18"/>
                <w:szCs w:val="18"/>
              </w:rPr>
            </w:pPr>
            <w:r>
              <w:rPr>
                <w:rFonts w:ascii="Times New Roman"/>
                <w:spacing w:val="-1"/>
                <w:sz w:val="18"/>
              </w:rPr>
              <w:t>4,470,000.00</w:t>
            </w:r>
          </w:p>
        </w:tc>
      </w:tr>
      <w:tr>
        <w:trPr>
          <w:trHeight w:val="343" w:hRule="exact"/>
        </w:trPr>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left"/>
              <w:rPr>
                <w:rFonts w:ascii="宋体" w:hAnsi="宋体" w:cs="宋体" w:eastAsia="宋体" w:hint="default"/>
                <w:sz w:val="18"/>
                <w:szCs w:val="18"/>
              </w:rPr>
            </w:pPr>
            <w:r>
              <w:rPr>
                <w:rFonts w:ascii="宋体" w:hAnsi="宋体" w:cs="宋体" w:eastAsia="宋体" w:hint="default"/>
                <w:sz w:val="18"/>
                <w:szCs w:val="18"/>
              </w:rPr>
              <w:t>超出合并成本计入当期损益部分</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right"/>
              <w:rPr>
                <w:rFonts w:ascii="Times New Roman" w:hAnsi="Times New Roman" w:cs="Times New Roman" w:eastAsia="Times New Roman" w:hint="default"/>
                <w:sz w:val="18"/>
                <w:szCs w:val="18"/>
              </w:rPr>
            </w:pPr>
            <w:r>
              <w:rPr>
                <w:rFonts w:ascii="Times New Roman"/>
                <w:spacing w:val="-1"/>
                <w:sz w:val="18"/>
              </w:rPr>
              <w:t>156,825.00</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
              <w:jc w:val="right"/>
              <w:rPr>
                <w:rFonts w:ascii="Times New Roman" w:hAnsi="Times New Roman" w:cs="Times New Roman" w:eastAsia="Times New Roman" w:hint="default"/>
                <w:sz w:val="18"/>
                <w:szCs w:val="18"/>
              </w:rPr>
            </w:pPr>
            <w:r>
              <w:rPr>
                <w:rFonts w:ascii="Times New Roman"/>
                <w:spacing w:val="-1"/>
                <w:sz w:val="18"/>
              </w:rPr>
              <w:t>156,825.00</w:t>
            </w:r>
          </w:p>
        </w:tc>
      </w:tr>
    </w:tbl>
    <w:p>
      <w:pPr>
        <w:spacing w:line="240" w:lineRule="auto" w:before="11"/>
        <w:rPr>
          <w:rFonts w:ascii="宋体" w:hAnsi="宋体" w:cs="宋体" w:eastAsia="宋体" w:hint="default"/>
          <w:sz w:val="17"/>
          <w:szCs w:val="17"/>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、租赁</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60" w:right="0"/>
        <w:jc w:val="left"/>
      </w:pPr>
      <w:r>
        <w:rPr/>
        <w:t>无。</w:t>
      </w:r>
    </w:p>
    <w:p>
      <w:pPr>
        <w:spacing w:line="240" w:lineRule="auto" w:before="10"/>
        <w:rPr>
          <w:rFonts w:ascii="宋体" w:hAnsi="宋体" w:cs="宋体" w:eastAsia="宋体" w:hint="default"/>
          <w:sz w:val="25"/>
          <w:szCs w:val="25"/>
        </w:rPr>
      </w:pPr>
    </w:p>
    <w:p>
      <w:pPr>
        <w:pStyle w:val="Heading3"/>
        <w:spacing w:line="506" w:lineRule="auto"/>
        <w:ind w:left="560" w:right="3746" w:hanging="420"/>
        <w:jc w:val="left"/>
        <w:rPr>
          <w:rFonts w:ascii="宋体" w:hAnsi="宋体" w:cs="宋体" w:eastAsia="宋体" w:hint="default"/>
          <w:b w:val="0"/>
          <w:bCs w:val="0"/>
        </w:rPr>
      </w:pPr>
      <w:r>
        <w:rPr>
          <w:rFonts w:ascii="Times New Roman" w:hAnsi="Times New Roman" w:cs="Times New Roman" w:eastAsia="Times New Roman" w:hint="default"/>
          <w:spacing w:val="-1"/>
        </w:rPr>
        <w:t>5</w:t>
      </w:r>
      <w:r>
        <w:rPr>
          <w:spacing w:val="-1"/>
        </w:rPr>
        <w:t>、期末发行在外的、可转换为股份的金融工具</w:t>
      </w:r>
      <w:r>
        <w:rPr>
          <w:spacing w:val="-83"/>
        </w:rPr>
        <w:t> </w:t>
      </w:r>
      <w:r>
        <w:rPr>
          <w:spacing w:val="-83"/>
        </w:rPr>
      </w:r>
      <w:r>
        <w:rPr>
          <w:rFonts w:ascii="宋体" w:hAnsi="宋体" w:cs="宋体" w:eastAsia="宋体" w:hint="default"/>
          <w:b w:val="0"/>
          <w:bCs w:val="0"/>
        </w:rPr>
        <w:t>无。</w:t>
      </w:r>
    </w:p>
    <w:p>
      <w:pPr>
        <w:pStyle w:val="Heading3"/>
        <w:spacing w:line="506" w:lineRule="auto" w:before="101"/>
        <w:ind w:left="560" w:right="5384" w:hanging="420"/>
        <w:jc w:val="left"/>
        <w:rPr>
          <w:rFonts w:ascii="宋体" w:hAnsi="宋体" w:cs="宋体" w:eastAsia="宋体" w:hint="default"/>
          <w:b w:val="0"/>
          <w:bCs w:val="0"/>
        </w:rPr>
      </w:pPr>
      <w:r>
        <w:rPr>
          <w:rFonts w:ascii="Times New Roman" w:hAnsi="Times New Roman" w:cs="Times New Roman" w:eastAsia="Times New Roman" w:hint="default"/>
          <w:spacing w:val="-1"/>
        </w:rPr>
        <w:t>6</w:t>
      </w:r>
      <w:r>
        <w:rPr>
          <w:spacing w:val="-1"/>
        </w:rPr>
        <w:t>、以公允价值计量的资产和负债</w:t>
      </w:r>
      <w:r>
        <w:rPr>
          <w:spacing w:val="-91"/>
        </w:rPr>
        <w:t> </w:t>
      </w:r>
      <w:r>
        <w:rPr>
          <w:spacing w:val="-91"/>
        </w:rPr>
      </w:r>
      <w:r>
        <w:rPr>
          <w:rFonts w:ascii="宋体" w:hAnsi="宋体" w:cs="宋体" w:eastAsia="宋体" w:hint="default"/>
          <w:b w:val="0"/>
          <w:bCs w:val="0"/>
        </w:rPr>
        <w:t>无。</w:t>
      </w:r>
    </w:p>
    <w:p>
      <w:pPr>
        <w:pStyle w:val="Heading3"/>
        <w:spacing w:line="506" w:lineRule="auto" w:before="104"/>
        <w:ind w:left="560" w:right="5384" w:hanging="420"/>
        <w:jc w:val="left"/>
        <w:rPr>
          <w:rFonts w:ascii="宋体" w:hAnsi="宋体" w:cs="宋体" w:eastAsia="宋体" w:hint="default"/>
          <w:b w:val="0"/>
          <w:bCs w:val="0"/>
        </w:rPr>
      </w:pPr>
      <w:r>
        <w:rPr>
          <w:rFonts w:ascii="Times New Roman" w:hAnsi="Times New Roman" w:cs="Times New Roman" w:eastAsia="Times New Roman" w:hint="default"/>
          <w:spacing w:val="-1"/>
        </w:rPr>
        <w:t>7</w:t>
      </w:r>
      <w:r>
        <w:rPr>
          <w:spacing w:val="-1"/>
        </w:rPr>
        <w:t>、外币金融资产和外币金融负债</w:t>
      </w:r>
      <w:r>
        <w:rPr>
          <w:spacing w:val="-91"/>
        </w:rPr>
        <w:t> </w:t>
      </w:r>
      <w:r>
        <w:rPr>
          <w:spacing w:val="-91"/>
        </w:rPr>
      </w:r>
      <w:r>
        <w:rPr>
          <w:rFonts w:ascii="宋体" w:hAnsi="宋体" w:cs="宋体" w:eastAsia="宋体" w:hint="default"/>
          <w:b w:val="0"/>
          <w:bCs w:val="0"/>
        </w:rPr>
        <w:t>无。</w:t>
      </w:r>
    </w:p>
    <w:p>
      <w:pPr>
        <w:pStyle w:val="Heading3"/>
        <w:spacing w:line="240" w:lineRule="auto" w:before="101"/>
        <w:ind w:right="0"/>
        <w:jc w:val="left"/>
        <w:rPr>
          <w:b w:val="0"/>
          <w:bCs w:val="0"/>
        </w:rPr>
      </w:pPr>
      <w:r>
        <w:rPr>
          <w:rFonts w:ascii="Times New Roman" w:hAnsi="Times New Roman" w:cs="Times New Roman" w:eastAsia="Times New Roman" w:hint="default"/>
        </w:rPr>
        <w:t>8</w:t>
      </w:r>
      <w:r>
        <w:rPr/>
        <w:t>、年金计划主要内容及重大变化</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0" w:firstLine="419"/>
        <w:jc w:val="left"/>
      </w:pPr>
      <w:r>
        <w:rPr>
          <w:spacing w:val="-4"/>
          <w:w w:val="100"/>
        </w:rPr>
        <w:t>除了社会基本养老保险之外，本公司依据国家企业年金制度的相关政策建立企业年金计</w:t>
      </w:r>
      <w:r>
        <w:rPr>
          <w:w w:val="100"/>
        </w:rPr>
        <w:t> </w:t>
      </w:r>
      <w:r>
        <w:rPr>
          <w:spacing w:val="-4"/>
        </w:rPr>
        <w:t>划（“年金计划”），公司员工可以自愿参加该年金计划。本公司按员工工资总额的一定比</w:t>
      </w:r>
    </w:p>
    <w:p>
      <w:pPr>
        <w:spacing w:after="0" w:line="408" w:lineRule="auto"/>
        <w:jc w:val="left"/>
        <w:sectPr>
          <w:footerReference w:type="default" r:id="rId73"/>
          <w:pgSz w:w="11910" w:h="16840"/>
          <w:pgMar w:footer="1227" w:header="877" w:top="1100" w:bottom="1420" w:left="1660" w:right="1660"/>
          <w:pgNumType w:start="159"/>
        </w:sectPr>
      </w:pPr>
    </w:p>
    <w:p>
      <w:pPr>
        <w:spacing w:line="240" w:lineRule="auto" w:before="9"/>
        <w:rPr>
          <w:rFonts w:ascii="宋体" w:hAnsi="宋体" w:cs="宋体" w:eastAsia="宋体" w:hint="default"/>
          <w:sz w:val="26"/>
          <w:szCs w:val="26"/>
        </w:rPr>
      </w:pPr>
    </w:p>
    <w:p>
      <w:pPr>
        <w:pStyle w:val="BodyText"/>
        <w:spacing w:line="240" w:lineRule="auto" w:before="36"/>
        <w:ind w:right="0"/>
        <w:jc w:val="left"/>
      </w:pPr>
      <w:r>
        <w:rPr/>
        <w:t>例计提年金，相应支出计入当期损益。除此之外，本公司并无其他重大职工社会保障承诺。</w:t>
      </w:r>
    </w:p>
    <w:p>
      <w:pPr>
        <w:spacing w:line="240" w:lineRule="auto" w:before="0"/>
        <w:rPr>
          <w:rFonts w:ascii="宋体" w:hAnsi="宋体" w:cs="宋体" w:eastAsia="宋体" w:hint="default"/>
          <w:sz w:val="20"/>
          <w:szCs w:val="20"/>
        </w:rPr>
      </w:pPr>
    </w:p>
    <w:p>
      <w:pPr>
        <w:pStyle w:val="Heading3"/>
        <w:spacing w:line="240" w:lineRule="auto" w:before="155"/>
        <w:ind w:right="120"/>
        <w:jc w:val="left"/>
        <w:rPr>
          <w:b w:val="0"/>
          <w:bCs w:val="0"/>
        </w:rPr>
      </w:pPr>
      <w:r>
        <w:rPr>
          <w:rFonts w:ascii="Times New Roman" w:hAnsi="Times New Roman" w:cs="Times New Roman" w:eastAsia="Times New Roman" w:hint="default"/>
        </w:rPr>
        <w:t>9</w:t>
      </w:r>
      <w:r>
        <w:rPr/>
        <w:t>、其他</w:t>
      </w:r>
      <w:r>
        <w:rPr>
          <w:b w:val="0"/>
          <w:bCs w:val="0"/>
        </w:rPr>
      </w:r>
    </w:p>
    <w:p>
      <w:pPr>
        <w:spacing w:line="240" w:lineRule="auto" w:before="10"/>
        <w:rPr>
          <w:rFonts w:ascii="宋体" w:hAnsi="宋体" w:cs="宋体" w:eastAsia="宋体" w:hint="default"/>
          <w:b/>
          <w:bCs/>
          <w:sz w:val="24"/>
          <w:szCs w:val="24"/>
        </w:rPr>
      </w:pPr>
    </w:p>
    <w:p>
      <w:pPr>
        <w:spacing w:line="499" w:lineRule="auto" w:before="0"/>
        <w:ind w:left="140" w:right="4631" w:firstLine="419"/>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w w:val="100"/>
          <w:sz w:val="21"/>
          <w:szCs w:val="21"/>
        </w:rPr>
        <w:t> </w:t>
      </w:r>
      <w:r>
        <w:rPr>
          <w:rFonts w:ascii="宋体" w:hAnsi="宋体" w:cs="宋体" w:eastAsia="宋体" w:hint="default"/>
          <w:b/>
          <w:bCs/>
          <w:sz w:val="24"/>
          <w:szCs w:val="24"/>
        </w:rPr>
        <w:t>十五、母公司财务报表主要项目注释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72"/>
        <w:ind w:right="120"/>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2"/>
        <w:rPr>
          <w:rFonts w:ascii="宋体" w:hAnsi="宋体" w:cs="宋体" w:eastAsia="宋体" w:hint="default"/>
          <w:b/>
          <w:bCs/>
          <w:sz w:val="26"/>
          <w:szCs w:val="26"/>
        </w:rPr>
      </w:pPr>
    </w:p>
    <w:p>
      <w:pPr>
        <w:spacing w:before="0"/>
        <w:ind w:left="0" w:right="19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670"/>
        <w:gridCol w:w="1181"/>
        <w:gridCol w:w="612"/>
        <w:gridCol w:w="1085"/>
        <w:gridCol w:w="521"/>
        <w:gridCol w:w="1092"/>
        <w:gridCol w:w="610"/>
        <w:gridCol w:w="1071"/>
        <w:gridCol w:w="523"/>
      </w:tblGrid>
      <w:tr>
        <w:trPr>
          <w:trHeight w:val="401" w:hRule="exact"/>
        </w:trPr>
        <w:tc>
          <w:tcPr>
            <w:tcW w:w="16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39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9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670" w:type="dxa"/>
            <w:vMerge/>
            <w:tcBorders>
              <w:left w:val="single" w:sz="4" w:space="0" w:color="000000"/>
              <w:right w:val="single" w:sz="4" w:space="0" w:color="000000"/>
            </w:tcBorders>
            <w:shd w:val="clear" w:color="auto" w:fill="D2D2D2"/>
          </w:tcPr>
          <w:p>
            <w:pPr/>
          </w:p>
        </w:tc>
        <w:tc>
          <w:tcPr>
            <w:tcW w:w="17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670"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65" w:right="0"/>
              <w:jc w:val="left"/>
              <w:rPr>
                <w:rFonts w:ascii="Times New Roman" w:hAnsi="Times New Roman" w:cs="Times New Roman" w:eastAsia="Times New Roman" w:hint="default"/>
                <w:sz w:val="18"/>
                <w:szCs w:val="18"/>
              </w:rPr>
            </w:pPr>
            <w:r>
              <w:rPr>
                <w:rFonts w:ascii="Times New Roman"/>
                <w:sz w:val="18"/>
              </w:rPr>
              <w:t>(%)</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2" w:right="0"/>
              <w:jc w:val="lef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63" w:right="0"/>
              <w:jc w:val="left"/>
              <w:rPr>
                <w:rFonts w:ascii="Times New Roman" w:hAnsi="Times New Roman" w:cs="Times New Roman" w:eastAsia="Times New Roman" w:hint="default"/>
                <w:sz w:val="18"/>
                <w:szCs w:val="18"/>
              </w:rPr>
            </w:pPr>
            <w:r>
              <w:rPr>
                <w:rFonts w:ascii="Times New Roman"/>
                <w:sz w:val="18"/>
              </w:rPr>
              <w:t>(%)</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2"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836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1"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其中：信用风险较小</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518,095.69</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0.36%</w:t>
            </w:r>
          </w:p>
        </w:tc>
        <w:tc>
          <w:tcPr>
            <w:tcW w:w="1085"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2,626,033.54</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2.92%</w:t>
            </w:r>
          </w:p>
        </w:tc>
        <w:tc>
          <w:tcPr>
            <w:tcW w:w="1071"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销售货款及其他</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142,124,740.17</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99.64%</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11,042,405.09</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7.77%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87,332,846.14</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97.08%</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center"/>
              <w:rPr>
                <w:rFonts w:ascii="Times New Roman" w:hAnsi="Times New Roman" w:cs="Times New Roman" w:eastAsia="Times New Roman" w:hint="default"/>
                <w:sz w:val="18"/>
                <w:szCs w:val="18"/>
              </w:rPr>
            </w:pPr>
            <w:r>
              <w:rPr>
                <w:rFonts w:ascii="Times New Roman"/>
                <w:sz w:val="18"/>
              </w:rPr>
              <w:t>6,642,932.09</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7.61%</w:t>
            </w:r>
          </w:p>
        </w:tc>
      </w:tr>
      <w:tr>
        <w:trPr>
          <w:trHeight w:val="401" w:hRule="exact"/>
        </w:trPr>
        <w:tc>
          <w:tcPr>
            <w:tcW w:w="1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142,642,835.86</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11,042,405.09</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7.74%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89,958,879.68</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center"/>
              <w:rPr>
                <w:rFonts w:ascii="Times New Roman" w:hAnsi="Times New Roman" w:cs="Times New Roman" w:eastAsia="Times New Roman" w:hint="default"/>
                <w:sz w:val="18"/>
                <w:szCs w:val="18"/>
              </w:rPr>
            </w:pPr>
            <w:r>
              <w:rPr>
                <w:rFonts w:ascii="Times New Roman"/>
                <w:sz w:val="18"/>
              </w:rPr>
              <w:t>6,642,932.09</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7.38%</w:t>
            </w:r>
          </w:p>
        </w:tc>
      </w:tr>
      <w:tr>
        <w:trPr>
          <w:trHeight w:val="404" w:hRule="exact"/>
        </w:trPr>
        <w:tc>
          <w:tcPr>
            <w:tcW w:w="1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1"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142,642,835.86</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11,042,405.09</w:t>
            </w:r>
          </w:p>
        </w:tc>
        <w:tc>
          <w:tcPr>
            <w:tcW w:w="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89,958,879.68</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center"/>
              <w:rPr>
                <w:rFonts w:ascii="Times New Roman" w:hAnsi="Times New Roman" w:cs="Times New Roman" w:eastAsia="Times New Roman" w:hint="default"/>
                <w:sz w:val="18"/>
                <w:szCs w:val="18"/>
              </w:rPr>
            </w:pPr>
            <w:r>
              <w:rPr>
                <w:rFonts w:ascii="Times New Roman"/>
                <w:sz w:val="18"/>
              </w:rPr>
              <w:t>6,642,932.09</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27" w:top="1100" w:bottom="1420" w:left="1660" w:right="1600"/>
        </w:sectPr>
      </w:pPr>
    </w:p>
    <w:p>
      <w:pPr>
        <w:spacing w:line="357" w:lineRule="auto" w:before="49"/>
        <w:ind w:left="140" w:right="-20" w:firstLine="0"/>
        <w:jc w:val="left"/>
        <w:rPr>
          <w:rFonts w:ascii="宋体" w:hAnsi="宋体" w:cs="宋体" w:eastAsia="宋体" w:hint="default"/>
          <w:sz w:val="18"/>
          <w:szCs w:val="18"/>
        </w:rPr>
      </w:pPr>
      <w:r>
        <w:rPr>
          <w:rFonts w:ascii="宋体" w:hAnsi="宋体" w:cs="宋体" w:eastAsia="宋体" w:hint="default"/>
          <w:sz w:val="18"/>
          <w:szCs w:val="18"/>
        </w:rPr>
        <w:t>应收账款种类的说明： 期末单项金额重大并单项计提坏账准备的应收账款</w:t>
      </w:r>
    </w:p>
    <w:p>
      <w:pPr>
        <w:spacing w:line="360" w:lineRule="auto" w:before="29"/>
        <w:ind w:left="140" w:right="-2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组合中，采用账龄分析法计提坏账准备的应收账款</w:t>
      </w:r>
    </w:p>
    <w:p>
      <w:pPr>
        <w:spacing w:before="25"/>
        <w:ind w:left="140" w:right="-2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9"/>
        <w:ind w:left="1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880" w:bottom="280" w:left="1660" w:right="1600"/>
          <w:cols w:num="2" w:equalWidth="0">
            <w:col w:w="4101" w:space="3396"/>
            <w:col w:w="1153"/>
          </w:cols>
        </w:sectPr>
      </w:pP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164"/>
        <w:gridCol w:w="1484"/>
        <w:gridCol w:w="612"/>
        <w:gridCol w:w="1265"/>
        <w:gridCol w:w="1848"/>
        <w:gridCol w:w="610"/>
        <w:gridCol w:w="1383"/>
      </w:tblGrid>
      <w:tr>
        <w:trPr>
          <w:trHeight w:val="401" w:hRule="exact"/>
        </w:trPr>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36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4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164" w:type="dxa"/>
            <w:vMerge/>
            <w:tcBorders>
              <w:left w:val="single" w:sz="4" w:space="0" w:color="000000"/>
              <w:right w:val="single" w:sz="4" w:space="0" w:color="000000"/>
            </w:tcBorders>
            <w:shd w:val="clear" w:color="auto" w:fill="D2D2D2"/>
          </w:tcPr>
          <w:p>
            <w:pPr/>
          </w:p>
        </w:tc>
        <w:tc>
          <w:tcPr>
            <w:tcW w:w="20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4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164" w:type="dxa"/>
            <w:vMerge/>
            <w:tcBorders>
              <w:left w:val="single" w:sz="4" w:space="0" w:color="000000"/>
              <w:bottom w:val="single" w:sz="4" w:space="0" w:color="000000"/>
              <w:right w:val="single" w:sz="4" w:space="0" w:color="000000"/>
            </w:tcBorders>
            <w:shd w:val="clear" w:color="auto" w:fill="D2D2D2"/>
          </w:tcPr>
          <w:p>
            <w:pP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65" w:right="0"/>
              <w:jc w:val="left"/>
              <w:rPr>
                <w:rFonts w:ascii="Times New Roman" w:hAnsi="Times New Roman" w:cs="Times New Roman" w:eastAsia="Times New Roman" w:hint="default"/>
                <w:sz w:val="18"/>
                <w:szCs w:val="18"/>
              </w:rPr>
            </w:pPr>
            <w:r>
              <w:rPr>
                <w:rFonts w:ascii="Times New Roman"/>
                <w:sz w:val="18"/>
              </w:rPr>
              <w:t>(%)</w:t>
            </w:r>
          </w:p>
        </w:tc>
        <w:tc>
          <w:tcPr>
            <w:tcW w:w="1265" w:type="dxa"/>
            <w:vMerge/>
            <w:tcBorders>
              <w:left w:val="single" w:sz="4" w:space="0" w:color="000000"/>
              <w:bottom w:val="single" w:sz="4" w:space="0" w:color="000000"/>
              <w:right w:val="single" w:sz="4" w:space="0" w:color="000000"/>
            </w:tcBorders>
            <w:shd w:val="clear" w:color="auto" w:fill="D2D2D2"/>
          </w:tcPr>
          <w:p>
            <w:pP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63" w:right="0"/>
              <w:jc w:val="left"/>
              <w:rPr>
                <w:rFonts w:ascii="Times New Roman" w:hAnsi="Times New Roman" w:cs="Times New Roman" w:eastAsia="Times New Roman" w:hint="default"/>
                <w:sz w:val="18"/>
                <w:szCs w:val="18"/>
              </w:rPr>
            </w:pPr>
            <w:r>
              <w:rPr>
                <w:rFonts w:ascii="Times New Roman"/>
                <w:sz w:val="18"/>
              </w:rPr>
              <w:t>(%)</w:t>
            </w:r>
          </w:p>
        </w:tc>
        <w:tc>
          <w:tcPr>
            <w:tcW w:w="138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836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1" w:hRule="exact"/>
        </w:trPr>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w:t>
            </w:r>
          </w:p>
        </w:tc>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111,762,328.65</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78.64%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5,588,116.43</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73,119,977.95</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83.73%</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3,655,998.90</w:t>
            </w:r>
          </w:p>
        </w:tc>
      </w:tr>
      <w:tr>
        <w:trPr>
          <w:trHeight w:val="401" w:hRule="exact"/>
        </w:trPr>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111,762,328.65</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78.64%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5,588,116.43</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73,119,977.95</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83.73%</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3,655,998.90</w:t>
            </w:r>
          </w:p>
        </w:tc>
      </w:tr>
      <w:tr>
        <w:trPr>
          <w:trHeight w:val="403" w:hRule="exact"/>
        </w:trPr>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25,957,930.24</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18.26%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2,595,793.02</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12,100,564.78</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13.85%</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1,210,056.48</w:t>
            </w:r>
          </w:p>
        </w:tc>
      </w:tr>
      <w:tr>
        <w:trPr>
          <w:trHeight w:val="401" w:hRule="exact"/>
        </w:trPr>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3,091,971.28</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1,545,985.64</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670,853.41</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0.77%</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335,426.71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880" w:bottom="280" w:left="1660" w:right="1600"/>
        </w:sectPr>
      </w:pPr>
    </w:p>
    <w:p>
      <w:pPr>
        <w:spacing w:line="240" w:lineRule="auto" w:before="8"/>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1163"/>
        <w:gridCol w:w="1485"/>
        <w:gridCol w:w="612"/>
        <w:gridCol w:w="1265"/>
        <w:gridCol w:w="1848"/>
        <w:gridCol w:w="610"/>
        <w:gridCol w:w="1383"/>
      </w:tblGrid>
      <w:tr>
        <w:trPr>
          <w:trHeight w:val="401" w:hRule="exact"/>
        </w:trPr>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1,312,510.00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0.92%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1,312,510.00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1,441,450.00</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1.65%</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1,441,450.00</w:t>
            </w:r>
          </w:p>
        </w:tc>
      </w:tr>
      <w:tr>
        <w:trPr>
          <w:trHeight w:val="403" w:hRule="exact"/>
        </w:trPr>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142,124,740.17</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11,042,405.09</w:t>
            </w:r>
          </w:p>
        </w:tc>
        <w:tc>
          <w:tcPr>
            <w:tcW w:w="1848" w:type="dxa"/>
            <w:tcBorders>
              <w:top w:val="single" w:sz="4" w:space="0" w:color="000000"/>
              <w:left w:val="single" w:sz="4" w:space="0" w:color="000000"/>
              <w:bottom w:val="single" w:sz="4" w:space="0" w:color="000000"/>
              <w:right w:val="single" w:sz="12" w:space="0" w:color="D2D2D2"/>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87,332,846.14</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6,642,932.09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1660" w:right="1640"/>
        </w:sectPr>
      </w:pPr>
    </w:p>
    <w:p>
      <w:pPr>
        <w:spacing w:before="49"/>
        <w:ind w:left="140" w:right="-2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60" w:lineRule="auto" w:before="115"/>
        <w:ind w:left="140" w:right="34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组合中，采用其他方法计提坏账准备的应收账款</w:t>
      </w:r>
    </w:p>
    <w:p>
      <w:pPr>
        <w:spacing w:before="27"/>
        <w:ind w:left="140" w:right="-20" w:firstLine="0"/>
        <w:jc w:val="left"/>
        <w:rPr>
          <w:rFonts w:ascii="宋体" w:hAnsi="宋体" w:cs="宋体" w:eastAsia="宋体" w:hint="default"/>
          <w:sz w:val="18"/>
          <w:szCs w:val="18"/>
        </w:rPr>
      </w:pPr>
      <w:r>
        <w:rPr>
          <w:rFonts w:ascii="宋体" w:hAnsi="宋体" w:cs="宋体" w:eastAsia="宋体" w:hint="default"/>
          <w:sz w:val="18"/>
          <w:szCs w:val="18"/>
        </w:rPr>
        <w:t>√适用 □</w:t>
      </w:r>
      <w:r>
        <w:rPr>
          <w:rFonts w:ascii="宋体" w:hAnsi="宋体" w:cs="宋体" w:eastAsia="宋体"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880" w:bottom="280" w:left="1660" w:right="1640"/>
          <w:cols w:num="2" w:equalWidth="0">
            <w:col w:w="4281" w:space="3216"/>
            <w:col w:w="1113"/>
          </w:cols>
        </w:sectPr>
      </w:pP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3121"/>
        <w:gridCol w:w="2458"/>
        <w:gridCol w:w="2787"/>
      </w:tblGrid>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合并范围内应收款项</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13" w:right="0"/>
              <w:jc w:val="left"/>
              <w:rPr>
                <w:rFonts w:ascii="Times New Roman" w:hAnsi="Times New Roman" w:cs="Times New Roman" w:eastAsia="Times New Roman" w:hint="default"/>
                <w:sz w:val="18"/>
                <w:szCs w:val="18"/>
              </w:rPr>
            </w:pPr>
            <w:r>
              <w:rPr>
                <w:rFonts w:ascii="Times New Roman"/>
                <w:sz w:val="18"/>
              </w:rPr>
              <w:t>518,095.69</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40" w:right="0" w:firstLine="0"/>
        <w:jc w:val="left"/>
        <w:rPr>
          <w:rFonts w:ascii="宋体" w:hAnsi="宋体" w:cs="宋体" w:eastAsia="宋体" w:hint="default"/>
          <w:sz w:val="18"/>
          <w:szCs w:val="18"/>
        </w:rPr>
      </w:pPr>
      <w:r>
        <w:rPr>
          <w:rFonts w:ascii="宋体" w:hAnsi="宋体" w:cs="宋体" w:eastAsia="宋体" w:hint="default"/>
          <w:sz w:val="18"/>
          <w:szCs w:val="18"/>
        </w:rPr>
        <w:t>期末单项金额虽不重大但单项计提坏账准备的应收账款</w:t>
      </w:r>
    </w:p>
    <w:p>
      <w:pPr>
        <w:spacing w:before="118"/>
        <w:ind w:left="140" w:right="0" w:firstLine="0"/>
        <w:jc w:val="left"/>
        <w:rPr>
          <w:rFonts w:ascii="宋体" w:hAnsi="宋体" w:cs="宋体" w:eastAsia="宋体" w:hint="default"/>
          <w:sz w:val="18"/>
          <w:szCs w:val="18"/>
        </w:rPr>
      </w:pPr>
      <w:r>
        <w:rPr>
          <w:rFonts w:ascii="宋体" w:hAnsi="宋体" w:cs="宋体" w:eastAsia="宋体" w:hint="default"/>
          <w:sz w:val="18"/>
          <w:szCs w:val="18"/>
        </w:rPr>
        <w:t>□ 适用 √ </w:t>
      </w:r>
      <w:r>
        <w:rPr>
          <w:rFonts w:ascii="宋体" w:hAnsi="宋体" w:cs="宋体" w:eastAsia="宋体"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506" w:lineRule="auto" w:before="118"/>
        <w:ind w:left="560" w:right="4306" w:hanging="420"/>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2</w:t>
      </w:r>
      <w:r>
        <w:rPr>
          <w:spacing w:val="-1"/>
        </w:rPr>
        <w:t>）本报告期转回或收回的应收账款情况</w:t>
      </w:r>
      <w:r>
        <w:rPr>
          <w:spacing w:val="-87"/>
        </w:rPr>
        <w:t> </w:t>
      </w:r>
      <w:r>
        <w:rPr>
          <w:spacing w:val="-87"/>
        </w:rPr>
      </w:r>
      <w:r>
        <w:rPr>
          <w:rFonts w:ascii="宋体" w:hAnsi="宋体" w:cs="宋体" w:eastAsia="宋体" w:hint="default"/>
          <w:b w:val="0"/>
          <w:bCs w:val="0"/>
        </w:rPr>
        <w:t>无。</w:t>
      </w:r>
    </w:p>
    <w:p>
      <w:pPr>
        <w:pStyle w:val="Heading3"/>
        <w:spacing w:line="506" w:lineRule="auto" w:before="104"/>
        <w:ind w:left="560" w:right="4666" w:hanging="420"/>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3</w:t>
      </w:r>
      <w:r>
        <w:rPr>
          <w:spacing w:val="-1"/>
        </w:rPr>
        <w:t>）本报告期实际核销的应收账款情况</w:t>
      </w:r>
      <w:r>
        <w:rPr>
          <w:spacing w:val="-88"/>
        </w:rPr>
        <w:t> </w:t>
      </w:r>
      <w:r>
        <w:rPr>
          <w:spacing w:val="-88"/>
        </w:rPr>
      </w:r>
      <w:r>
        <w:rPr>
          <w:rFonts w:ascii="宋体" w:hAnsi="宋体" w:cs="宋体" w:eastAsia="宋体" w:hint="default"/>
          <w:b w:val="0"/>
          <w:bCs w:val="0"/>
        </w:rPr>
        <w:t>无。</w:t>
      </w:r>
    </w:p>
    <w:p>
      <w:pPr>
        <w:pStyle w:val="Heading3"/>
        <w:spacing w:line="506" w:lineRule="auto" w:before="101"/>
        <w:ind w:left="560" w:right="862" w:hanging="420"/>
        <w:jc w:val="left"/>
        <w:rPr>
          <w:rFonts w:ascii="宋体" w:hAnsi="宋体" w:cs="宋体" w:eastAsia="宋体" w:hint="default"/>
          <w:b w:val="0"/>
          <w:bCs w:val="0"/>
        </w:rPr>
      </w:pPr>
      <w:r>
        <w:rPr/>
        <w:t>（</w:t>
      </w:r>
      <w:r>
        <w:rPr>
          <w:rFonts w:ascii="Times New Roman" w:hAnsi="Times New Roman" w:cs="Times New Roman" w:eastAsia="Times New Roman" w:hint="default"/>
        </w:rPr>
        <w:t>4</w:t>
      </w:r>
      <w:r>
        <w:rPr/>
        <w:t>）本报告期应收账款中持有公司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w w:val="100"/>
        </w:rPr>
        <w:t> </w:t>
      </w:r>
      <w:r>
        <w:rPr>
          <w:rFonts w:ascii="宋体" w:hAnsi="宋体" w:cs="宋体" w:eastAsia="宋体" w:hint="default"/>
          <w:b w:val="0"/>
          <w:bCs w:val="0"/>
        </w:rPr>
        <w:t>无。</w:t>
      </w:r>
    </w:p>
    <w:p>
      <w:pPr>
        <w:pStyle w:val="Heading3"/>
        <w:spacing w:line="506" w:lineRule="auto" w:before="104"/>
        <w:ind w:left="560" w:right="3856" w:hanging="420"/>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5</w:t>
      </w:r>
      <w:r>
        <w:rPr>
          <w:spacing w:val="-1"/>
        </w:rPr>
        <w:t>）金额较大的其他的应收账款的性质或内容</w:t>
      </w:r>
      <w:r>
        <w:rPr>
          <w:spacing w:val="-84"/>
        </w:rPr>
        <w:t> </w:t>
      </w:r>
      <w:r>
        <w:rPr>
          <w:spacing w:val="-84"/>
        </w:rPr>
      </w:r>
      <w:r>
        <w:rPr>
          <w:rFonts w:ascii="宋体" w:hAnsi="宋体" w:cs="宋体" w:eastAsia="宋体" w:hint="default"/>
          <w:b w:val="0"/>
          <w:bCs w:val="0"/>
        </w:rPr>
        <w:t>无。</w:t>
      </w:r>
    </w:p>
    <w:p>
      <w:pPr>
        <w:pStyle w:val="Heading3"/>
        <w:spacing w:line="240" w:lineRule="auto" w:before="101"/>
        <w:ind w:right="0"/>
        <w:jc w:val="left"/>
        <w:rPr>
          <w:b w:val="0"/>
          <w:bCs w:val="0"/>
        </w:rPr>
      </w:pPr>
      <w:r>
        <w:rPr/>
        <w:t>（</w:t>
      </w:r>
      <w:r>
        <w:rPr>
          <w:rFonts w:ascii="Times New Roman" w:hAnsi="Times New Roman" w:cs="Times New Roman" w:eastAsia="Times New Roman" w:hint="default"/>
        </w:rPr>
        <w:t>6</w:t>
      </w:r>
      <w:r>
        <w:rPr/>
        <w:t>）应收账款中金额前五名单位情况</w:t>
      </w:r>
      <w:r>
        <w:rPr>
          <w:b w:val="0"/>
          <w:bCs w:val="0"/>
        </w:rPr>
      </w:r>
    </w:p>
    <w:p>
      <w:pPr>
        <w:spacing w:line="240" w:lineRule="auto" w:before="4"/>
        <w:rPr>
          <w:rFonts w:ascii="宋体" w:hAnsi="宋体" w:cs="宋体" w:eastAsia="宋体" w:hint="default"/>
          <w:b/>
          <w:bCs/>
          <w:sz w:val="26"/>
          <w:szCs w:val="26"/>
        </w:rPr>
      </w:pPr>
    </w:p>
    <w:p>
      <w:pPr>
        <w:spacing w:before="0"/>
        <w:ind w:left="0" w:right="156" w:firstLine="0"/>
        <w:jc w:val="right"/>
        <w:rPr>
          <w:rFonts w:ascii="宋体" w:hAnsi="宋体" w:cs="宋体" w:eastAsia="宋体" w:hint="default"/>
          <w:sz w:val="18"/>
          <w:szCs w:val="18"/>
        </w:rPr>
      </w:pPr>
      <w:r>
        <w:rPr/>
        <w:pict>
          <v:shape style="position:absolute;margin-left:429.670013pt;margin-top:98.927338pt;width:75.75pt;height:22.15pt;mso-position-horizontal-relative:page;mso-position-vertical-relative:paragraph;z-index:-8030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元；</w:t>
                  </w:r>
                </w:p>
              </w:txbxContent>
            </v:textbox>
            <w10:wrap type="none"/>
          </v:shape>
        </w:pict>
      </w:r>
      <w:r>
        <w:rPr/>
        <w:pict>
          <v:group style="position:absolute;margin-left:444.700012pt;margin-top:93.701714pt;width:61.8pt;height:28pt;mso-position-horizontal-relative:page;mso-position-vertical-relative:paragraph;z-index:-803056" coordorigin="8894,1874" coordsize="1236,560">
            <v:group style="position:absolute;left:8894;top:1874;width:1236;height:156" coordorigin="8894,1874" coordsize="1236,156">
              <v:shape style="position:absolute;left:8894;top:1874;width:1236;height:156" coordorigin="8894,1874" coordsize="1236,156" path="m8894,2030l10130,2030,10130,1874,8894,1874,8894,2030xe" filled="true" fillcolor="#ffffff" stroked="false">
                <v:path arrowok="t"/>
                <v:fill type="solid"/>
              </v:shape>
            </v:group>
            <v:group style="position:absolute;left:8906;top:2030;width:2;height:392" coordorigin="8906,2030" coordsize="2,392">
              <v:shape style="position:absolute;left:8906;top:2030;width:2;height:392" coordorigin="8906,2030" coordsize="0,392" path="m8906,2030l8906,2421e" filled="false" stroked="true" strokeweight="1.2pt" strokecolor="#ffffff">
                <v:path arrowok="t"/>
              </v:shape>
            </v:group>
            <v:group style="position:absolute;left:8918;top:2030;width:1191;height:392" coordorigin="8918,2030" coordsize="1191,392">
              <v:shape style="position:absolute;left:8918;top:2030;width:1191;height:392" coordorigin="8918,2030" coordsize="1191,392" path="m8918,2421l10108,2421,10108,2030,8918,2030,8918,2421xe" filled="true" fillcolor="#ffffff" stroked="false">
                <v:path arrowok="t"/>
                <v:fill type="solid"/>
              </v:shape>
            </v:group>
            <w10:wrap type="none"/>
          </v:group>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3008"/>
        <w:gridCol w:w="850"/>
        <w:gridCol w:w="1275"/>
        <w:gridCol w:w="1985"/>
        <w:gridCol w:w="409"/>
        <w:gridCol w:w="839"/>
      </w:tblGrid>
      <w:tr>
        <w:trPr>
          <w:trHeight w:val="715" w:hRule="exact"/>
        </w:trPr>
        <w:tc>
          <w:tcPr>
            <w:tcW w:w="3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7" w:right="60"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2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77"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 额的比例</w:t>
            </w:r>
            <w:r>
              <w:rPr>
                <w:rFonts w:ascii="Times New Roman" w:hAnsi="Times New Roman" w:cs="Times New Roman" w:eastAsia="Times New Roman" w:hint="default"/>
                <w:sz w:val="18"/>
                <w:szCs w:val="18"/>
              </w:rPr>
              <w:t>(%)</w:t>
            </w:r>
          </w:p>
        </w:tc>
      </w:tr>
      <w:tr>
        <w:trPr>
          <w:trHeight w:val="401"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江西优码创达软件技术有限公司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10,703,846.15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8" w:right="0"/>
              <w:jc w:val="left"/>
              <w:rPr>
                <w:rFonts w:ascii="Times New Roman" w:hAnsi="Times New Roman" w:cs="Times New Roman" w:eastAsia="Times New Roman" w:hint="default"/>
                <w:sz w:val="18"/>
                <w:szCs w:val="18"/>
              </w:rPr>
            </w:pPr>
            <w:r>
              <w:rPr>
                <w:rFonts w:ascii="Times New Roman"/>
                <w:sz w:val="18"/>
              </w:rPr>
              <w:t>7.50%</w:t>
            </w:r>
          </w:p>
        </w:tc>
      </w:tr>
      <w:tr>
        <w:trPr>
          <w:trHeight w:val="40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山西省公安厅</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5,294,587.85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8" w:right="0"/>
              <w:jc w:val="left"/>
              <w:rPr>
                <w:rFonts w:ascii="Times New Roman" w:hAnsi="Times New Roman" w:cs="Times New Roman" w:eastAsia="Times New Roman" w:hint="default"/>
                <w:sz w:val="18"/>
                <w:szCs w:val="18"/>
              </w:rPr>
            </w:pPr>
            <w:r>
              <w:rPr>
                <w:rFonts w:ascii="Times New Roman"/>
                <w:sz w:val="18"/>
              </w:rPr>
              <w:t>3.71%</w:t>
            </w:r>
          </w:p>
        </w:tc>
      </w:tr>
      <w:tr>
        <w:trPr>
          <w:trHeight w:val="71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天津市滨海新区公安局</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5,262,197.43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年以内</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3,917,197.43</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1,345,000.00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409" w:type="dxa"/>
            <w:tcBorders>
              <w:top w:val="single" w:sz="4" w:space="0" w:color="000000"/>
              <w:left w:val="single" w:sz="4" w:space="0" w:color="000000"/>
              <w:bottom w:val="single" w:sz="4" w:space="0" w:color="000000"/>
              <w:right w:val="nil" w:sz="6" w:space="0" w:color="auto"/>
            </w:tcBorders>
          </w:tcPr>
          <w:p>
            <w:pPr/>
          </w:p>
        </w:tc>
        <w:tc>
          <w:tcPr>
            <w:tcW w:w="8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4" w:right="0"/>
              <w:jc w:val="left"/>
              <w:rPr>
                <w:rFonts w:ascii="Times New Roman" w:hAnsi="Times New Roman" w:cs="Times New Roman" w:eastAsia="Times New Roman" w:hint="default"/>
                <w:sz w:val="18"/>
                <w:szCs w:val="18"/>
              </w:rPr>
            </w:pPr>
            <w:r>
              <w:rPr>
                <w:rFonts w:ascii="Times New Roman"/>
                <w:sz w:val="18"/>
              </w:rPr>
              <w:t>3.69%</w:t>
            </w:r>
          </w:p>
        </w:tc>
      </w:tr>
      <w:tr>
        <w:trPr>
          <w:trHeight w:val="40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珠海市新德汇信息技术有限公司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8" w:right="0"/>
              <w:jc w:val="left"/>
              <w:rPr>
                <w:rFonts w:ascii="Times New Roman" w:hAnsi="Times New Roman" w:cs="Times New Roman" w:eastAsia="Times New Roman" w:hint="default"/>
                <w:sz w:val="18"/>
                <w:szCs w:val="18"/>
              </w:rPr>
            </w:pPr>
            <w:r>
              <w:rPr>
                <w:rFonts w:ascii="Times New Roman"/>
                <w:sz w:val="18"/>
              </w:rPr>
              <w:t>3.51%</w:t>
            </w:r>
          </w:p>
        </w:tc>
      </w:tr>
      <w:tr>
        <w:trPr>
          <w:trHeight w:val="401"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厦门佳思科技有限公司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4,762,194.62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8" w:right="0"/>
              <w:jc w:val="left"/>
              <w:rPr>
                <w:rFonts w:ascii="Times New Roman" w:hAnsi="Times New Roman" w:cs="Times New Roman" w:eastAsia="Times New Roman" w:hint="default"/>
                <w:sz w:val="18"/>
                <w:szCs w:val="18"/>
              </w:rPr>
            </w:pPr>
            <w:r>
              <w:rPr>
                <w:rFonts w:ascii="Times New Roman"/>
                <w:sz w:val="18"/>
              </w:rPr>
              <w:t>3.34%</w:t>
            </w:r>
          </w:p>
        </w:tc>
      </w:tr>
      <w:tr>
        <w:trPr>
          <w:trHeight w:val="40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31,022,826.05</w:t>
            </w:r>
          </w:p>
        </w:tc>
        <w:tc>
          <w:tcPr>
            <w:tcW w:w="1985" w:type="dxa"/>
            <w:tcBorders>
              <w:top w:val="single" w:sz="4" w:space="0" w:color="000000"/>
              <w:left w:val="single" w:sz="4" w:space="0" w:color="000000"/>
              <w:bottom w:val="single" w:sz="4" w:space="0" w:color="000000"/>
              <w:right w:val="single" w:sz="4" w:space="0" w:color="000000"/>
            </w:tcBorders>
          </w:tcPr>
          <w:p>
            <w:pPr/>
          </w:p>
        </w:tc>
        <w:tc>
          <w:tcPr>
            <w:tcW w:w="12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9" w:right="0"/>
              <w:jc w:val="left"/>
              <w:rPr>
                <w:rFonts w:ascii="Times New Roman" w:hAnsi="Times New Roman" w:cs="Times New Roman" w:eastAsia="Times New Roman" w:hint="default"/>
                <w:sz w:val="18"/>
                <w:szCs w:val="18"/>
              </w:rPr>
            </w:pPr>
            <w:r>
              <w:rPr>
                <w:rFonts w:ascii="Times New Roman"/>
                <w:sz w:val="18"/>
              </w:rPr>
              <w:t>21.75%</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880" w:bottom="280" w:left="1660" w:right="164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7</w:t>
      </w:r>
      <w:r>
        <w:rPr/>
        <w:t>）应收关联方账款情况</w:t>
      </w:r>
      <w:r>
        <w:rPr>
          <w:b w:val="0"/>
          <w:bCs w:val="0"/>
        </w:rPr>
      </w:r>
    </w:p>
    <w:p>
      <w:pPr>
        <w:spacing w:line="240" w:lineRule="auto" w:before="12"/>
        <w:rPr>
          <w:rFonts w:ascii="宋体" w:hAnsi="宋体" w:cs="宋体" w:eastAsia="宋体" w:hint="default"/>
          <w:b/>
          <w:bCs/>
          <w:sz w:val="22"/>
          <w:szCs w:val="22"/>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3433"/>
        <w:gridCol w:w="1416"/>
        <w:gridCol w:w="994"/>
        <w:gridCol w:w="2523"/>
      </w:tblGrid>
      <w:tr>
        <w:trPr>
          <w:trHeight w:val="403" w:hRule="exact"/>
        </w:trPr>
        <w:tc>
          <w:tcPr>
            <w:tcW w:w="3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1"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厦门市美亚柏科信息安全研究所有限公司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518,095.69</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60" w:right="0"/>
        <w:jc w:val="left"/>
      </w:pPr>
      <w:r>
        <w:rPr/>
        <w:t>不符合终止确认条件的应收账款的转移金额为</w:t>
      </w:r>
      <w:r>
        <w:rPr>
          <w:spacing w:val="-52"/>
        </w:rPr>
        <w:t> </w:t>
      </w:r>
      <w:r>
        <w:rPr>
          <w:rFonts w:ascii="Times New Roman" w:hAnsi="Times New Roman" w:cs="Times New Roman" w:eastAsia="Times New Roman" w:hint="default"/>
        </w:rPr>
        <w:t>0 </w:t>
      </w:r>
      <w:r>
        <w:rPr>
          <w:spacing w:val="-3"/>
        </w:rPr>
        <w:t>元。</w:t>
      </w:r>
      <w:r>
        <w:rPr/>
      </w:r>
    </w:p>
    <w:p>
      <w:pPr>
        <w:spacing w:line="240" w:lineRule="auto" w:before="7"/>
        <w:rPr>
          <w:rFonts w:ascii="宋体" w:hAnsi="宋体" w:cs="宋体" w:eastAsia="宋体" w:hint="default"/>
          <w:sz w:val="24"/>
          <w:szCs w:val="24"/>
        </w:rPr>
      </w:pPr>
    </w:p>
    <w:p>
      <w:pPr>
        <w:pStyle w:val="Heading3"/>
        <w:spacing w:line="506" w:lineRule="auto"/>
        <w:ind w:left="560" w:right="1248" w:hanging="420"/>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9</w:t>
      </w:r>
      <w:r>
        <w:rPr>
          <w:spacing w:val="-1"/>
        </w:rPr>
        <w:t>）以应收款项为标的资产进行资产证券化的，需简要说明相关交易安排</w:t>
      </w:r>
      <w:r>
        <w:rPr>
          <w:spacing w:val="-77"/>
        </w:rPr>
        <w:t> </w:t>
      </w:r>
      <w:r>
        <w:rPr>
          <w:spacing w:val="-77"/>
        </w:rPr>
      </w:r>
      <w:r>
        <w:rPr>
          <w:rFonts w:ascii="宋体" w:hAnsi="宋体" w:cs="宋体" w:eastAsia="宋体" w:hint="default"/>
          <w:b w:val="0"/>
          <w:bCs w:val="0"/>
        </w:rPr>
        <w:t>无。</w:t>
      </w:r>
    </w:p>
    <w:p>
      <w:pPr>
        <w:pStyle w:val="Heading3"/>
        <w:spacing w:line="240" w:lineRule="auto" w:before="104"/>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2"/>
        <w:rPr>
          <w:rFonts w:ascii="宋体" w:hAnsi="宋体" w:cs="宋体" w:eastAsia="宋体" w:hint="default"/>
          <w:b/>
          <w:bCs/>
          <w:sz w:val="22"/>
          <w:szCs w:val="22"/>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762"/>
        <w:gridCol w:w="1136"/>
        <w:gridCol w:w="612"/>
        <w:gridCol w:w="1020"/>
        <w:gridCol w:w="610"/>
        <w:gridCol w:w="1092"/>
        <w:gridCol w:w="610"/>
        <w:gridCol w:w="1001"/>
        <w:gridCol w:w="523"/>
      </w:tblGrid>
      <w:tr>
        <w:trPr>
          <w:trHeight w:val="403" w:hRule="exact"/>
        </w:trPr>
        <w:tc>
          <w:tcPr>
            <w:tcW w:w="1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3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2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762" w:type="dxa"/>
            <w:vMerge/>
            <w:tcBorders>
              <w:left w:val="single" w:sz="4" w:space="0" w:color="000000"/>
              <w:right w:val="single" w:sz="4" w:space="0" w:color="000000"/>
            </w:tcBorders>
            <w:shd w:val="clear" w:color="auto" w:fill="D2D2D2"/>
          </w:tcPr>
          <w:p>
            <w:pP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6" w:hRule="exact"/>
        </w:trPr>
        <w:tc>
          <w:tcPr>
            <w:tcW w:w="1762" w:type="dxa"/>
            <w:vMerge/>
            <w:tcBorders>
              <w:left w:val="single" w:sz="4" w:space="0" w:color="000000"/>
              <w:bottom w:val="single" w:sz="4" w:space="0" w:color="000000"/>
              <w:right w:val="single" w:sz="4" w:space="0" w:color="000000"/>
            </w:tcBorders>
            <w:shd w:val="clear" w:color="auto" w:fill="D2D2D2"/>
          </w:tcPr>
          <w:p>
            <w:pP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65" w:right="0"/>
              <w:jc w:val="left"/>
              <w:rPr>
                <w:rFonts w:ascii="Times New Roman" w:hAnsi="Times New Roman" w:cs="Times New Roman" w:eastAsia="Times New Roman" w:hint="default"/>
                <w:sz w:val="18"/>
                <w:szCs w:val="18"/>
              </w:rPr>
            </w:pPr>
            <w:r>
              <w:rPr>
                <w:rFonts w:ascii="Times New Roman"/>
                <w:sz w:val="18"/>
              </w:rPr>
              <w:t>(%)</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63" w:right="0"/>
              <w:jc w:val="lef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63" w:right="0"/>
              <w:jc w:val="left"/>
              <w:rPr>
                <w:rFonts w:ascii="Times New Roman" w:hAnsi="Times New Roman" w:cs="Times New Roman" w:eastAsia="Times New Roman" w:hint="default"/>
                <w:sz w:val="18"/>
                <w:szCs w:val="18"/>
              </w:rPr>
            </w:pPr>
            <w:r>
              <w:rPr>
                <w:rFonts w:ascii="Times New Roman"/>
                <w:sz w:val="18"/>
              </w:rPr>
              <w:t>(%)</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22"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836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3"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其中：信用风险较小</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7,114,231.79</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34.16%</w:t>
            </w:r>
          </w:p>
        </w:tc>
        <w:tc>
          <w:tcPr>
            <w:tcW w:w="102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4,120,446.66</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16.47%</w:t>
            </w:r>
          </w:p>
        </w:tc>
        <w:tc>
          <w:tcPr>
            <w:tcW w:w="1001"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销售货款及其他</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13,714,715.00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65.84%</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2,027,803.49</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14.79%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20,904,512.29</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83.53%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1,905,800.03</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9.12%</w:t>
            </w:r>
          </w:p>
        </w:tc>
      </w:tr>
      <w:tr>
        <w:trPr>
          <w:trHeight w:val="715" w:hRule="exact"/>
        </w:trPr>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20,828,946.79</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2,027,803.49</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9.74%</w:t>
            </w:r>
          </w:p>
        </w:tc>
        <w:tc>
          <w:tcPr>
            <w:tcW w:w="109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25,024,958.95</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1,905,800.03</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7.62%</w:t>
            </w:r>
          </w:p>
        </w:tc>
      </w:tr>
      <w:tr>
        <w:trPr>
          <w:trHeight w:val="401" w:hRule="exact"/>
        </w:trPr>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20,828,946.79</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2,027,803.49</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25,024,958.95</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w:t>
            </w:r>
          </w:p>
        </w:tc>
        <w:tc>
          <w:tcPr>
            <w:tcW w:w="10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1,905,800.03</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27" w:top="1100" w:bottom="1420" w:left="1660" w:right="1640"/>
        </w:sectPr>
      </w:pPr>
    </w:p>
    <w:p>
      <w:pPr>
        <w:spacing w:line="360" w:lineRule="auto" w:before="49"/>
        <w:ind w:left="140" w:right="-20"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 期末单项金额重大并单项计提坏账准备的其他应收款</w:t>
      </w:r>
    </w:p>
    <w:p>
      <w:pPr>
        <w:spacing w:line="360" w:lineRule="auto" w:before="25"/>
        <w:ind w:left="140" w:right="-2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组合中，采用账龄分析法计提坏账准备的其他应收款</w:t>
      </w:r>
    </w:p>
    <w:p>
      <w:pPr>
        <w:spacing w:before="27"/>
        <w:ind w:left="140" w:right="-2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0"/>
        <w:ind w:left="1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880" w:bottom="280" w:left="1660" w:right="1640"/>
          <w:cols w:num="2" w:equalWidth="0">
            <w:col w:w="4281" w:space="3216"/>
            <w:col w:w="1113"/>
          </w:cols>
        </w:sectPr>
      </w:pP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097"/>
        <w:gridCol w:w="1342"/>
        <w:gridCol w:w="823"/>
        <w:gridCol w:w="1383"/>
        <w:gridCol w:w="1339"/>
        <w:gridCol w:w="886"/>
        <w:gridCol w:w="1495"/>
      </w:tblGrid>
      <w:tr>
        <w:trPr>
          <w:trHeight w:val="403" w:hRule="exact"/>
        </w:trPr>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354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097" w:type="dxa"/>
            <w:vMerge/>
            <w:tcBorders>
              <w:left w:val="single" w:sz="4" w:space="0" w:color="000000"/>
              <w:right w:val="single" w:sz="4" w:space="0" w:color="000000"/>
            </w:tcBorders>
            <w:shd w:val="clear" w:color="auto" w:fill="D2D2D2"/>
          </w:tcPr>
          <w:p>
            <w:pPr/>
          </w:p>
        </w:tc>
        <w:tc>
          <w:tcPr>
            <w:tcW w:w="21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097" w:type="dxa"/>
            <w:vMerge/>
            <w:tcBorders>
              <w:left w:val="single" w:sz="4" w:space="0" w:color="000000"/>
              <w:bottom w:val="single" w:sz="4" w:space="0" w:color="000000"/>
              <w:right w:val="single" w:sz="4" w:space="0" w:color="000000"/>
            </w:tcBorders>
            <w:shd w:val="clear" w:color="auto" w:fill="D2D2D2"/>
          </w:tcPr>
          <w:p>
            <w:pP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383" w:type="dxa"/>
            <w:vMerge/>
            <w:tcBorders>
              <w:left w:val="single" w:sz="4" w:space="0" w:color="000000"/>
              <w:bottom w:val="single" w:sz="4" w:space="0" w:color="000000"/>
              <w:right w:val="single" w:sz="4" w:space="0" w:color="000000"/>
            </w:tcBorders>
            <w:shd w:val="clear" w:color="auto" w:fill="D2D2D2"/>
          </w:tcPr>
          <w:p>
            <w:pP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9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8364"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bl>
    <w:p>
      <w:pPr>
        <w:spacing w:after="0" w:line="240" w:lineRule="auto"/>
        <w:jc w:val="left"/>
        <w:rPr>
          <w:rFonts w:ascii="宋体" w:hAnsi="宋体" w:cs="宋体" w:eastAsia="宋体" w:hint="default"/>
          <w:sz w:val="18"/>
          <w:szCs w:val="18"/>
        </w:rPr>
        <w:sectPr>
          <w:type w:val="continuous"/>
          <w:pgSz w:w="11910" w:h="16840"/>
          <w:pgMar w:top="880" w:bottom="280" w:left="1660" w:right="1640"/>
        </w:sectPr>
      </w:pPr>
    </w:p>
    <w:p>
      <w:pPr>
        <w:spacing w:line="240" w:lineRule="auto" w:before="8"/>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1097"/>
        <w:gridCol w:w="1342"/>
        <w:gridCol w:w="823"/>
        <w:gridCol w:w="1383"/>
        <w:gridCol w:w="1339"/>
        <w:gridCol w:w="886"/>
        <w:gridCol w:w="1496"/>
      </w:tblGrid>
      <w:tr>
        <w:trPr>
          <w:trHeight w:val="401" w:hRule="exact"/>
        </w:trPr>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7,527,412.60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54.89%</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376,370.63</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18,467,717.99</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88.34%</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923,385.90</w:t>
            </w:r>
          </w:p>
        </w:tc>
      </w:tr>
      <w:tr>
        <w:trPr>
          <w:trHeight w:val="401" w:hRule="exact"/>
        </w:trPr>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7,527,412.60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54.89%</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376,370.63</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18,467,717.99</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88.34%</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923,385.90</w:t>
            </w:r>
          </w:p>
        </w:tc>
      </w:tr>
      <w:tr>
        <w:trPr>
          <w:trHeight w:val="403" w:hRule="exact"/>
        </w:trPr>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4,732,237.10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34.5%</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473,223.71</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1,435,241.30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6.87%</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143,524.13</w:t>
            </w:r>
          </w:p>
        </w:tc>
      </w:tr>
      <w:tr>
        <w:trPr>
          <w:trHeight w:val="401" w:hRule="exact"/>
        </w:trPr>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553,712.30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276,856.15</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325,326.00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1.56%</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162,663.00</w:t>
            </w:r>
          </w:p>
        </w:tc>
      </w:tr>
      <w:tr>
        <w:trPr>
          <w:trHeight w:val="403" w:hRule="exact"/>
        </w:trPr>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901,353.00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6.57%</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901,353.00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676,227.00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3.23%</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676,227.00</w:t>
            </w:r>
          </w:p>
        </w:tc>
      </w:tr>
      <w:tr>
        <w:trPr>
          <w:trHeight w:val="403" w:hRule="exact"/>
        </w:trPr>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13,714,715.00</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2,027,803.49</w:t>
            </w:r>
          </w:p>
        </w:tc>
        <w:tc>
          <w:tcPr>
            <w:tcW w:w="133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20,904,512.29</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1,905,800.03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1660" w:right="1640"/>
        </w:sectPr>
      </w:pPr>
    </w:p>
    <w:p>
      <w:pPr>
        <w:spacing w:before="49"/>
        <w:ind w:left="140" w:right="-2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60" w:lineRule="auto" w:before="115"/>
        <w:ind w:left="140" w:right="34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组合中，采用其他方法计提坏账准备的其他应收款</w:t>
      </w:r>
    </w:p>
    <w:p>
      <w:pPr>
        <w:spacing w:before="25"/>
        <w:ind w:left="140" w:right="-2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880" w:bottom="280" w:left="1660" w:right="1640"/>
          <w:cols w:num="2" w:equalWidth="0">
            <w:col w:w="4461" w:space="3036"/>
            <w:col w:w="1113"/>
          </w:cols>
        </w:sectPr>
      </w:pP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3461"/>
        <w:gridCol w:w="2496"/>
        <w:gridCol w:w="2408"/>
      </w:tblGrid>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员工暂借款</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2,971,872.96</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应收退税款</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4,142,358.83</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7,114,231.79</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40" w:right="0" w:firstLine="0"/>
        <w:jc w:val="left"/>
        <w:rPr>
          <w:rFonts w:ascii="宋体" w:hAnsi="宋体" w:cs="宋体" w:eastAsia="宋体" w:hint="default"/>
          <w:sz w:val="18"/>
          <w:szCs w:val="18"/>
        </w:rPr>
      </w:pPr>
      <w:r>
        <w:rPr>
          <w:rFonts w:ascii="宋体" w:hAnsi="宋体" w:cs="宋体" w:eastAsia="宋体" w:hint="default"/>
          <w:sz w:val="18"/>
          <w:szCs w:val="18"/>
        </w:rPr>
        <w:t>期末单项金额虽不重大但单项计提坏账准备的其他应收款</w:t>
      </w:r>
    </w:p>
    <w:p>
      <w:pPr>
        <w:spacing w:before="115"/>
        <w:ind w:left="140"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506" w:lineRule="auto" w:before="120"/>
        <w:ind w:left="560" w:right="4126" w:hanging="420"/>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2</w:t>
      </w:r>
      <w:r>
        <w:rPr>
          <w:spacing w:val="-1"/>
        </w:rPr>
        <w:t>）本报告期转回或收回的其他应收款情况</w:t>
      </w:r>
      <w:r>
        <w:rPr>
          <w:spacing w:val="-85"/>
        </w:rPr>
        <w:t> </w:t>
      </w:r>
      <w:r>
        <w:rPr>
          <w:spacing w:val="-85"/>
        </w:rPr>
      </w:r>
      <w:r>
        <w:rPr>
          <w:rFonts w:ascii="宋体" w:hAnsi="宋体" w:cs="宋体" w:eastAsia="宋体" w:hint="default"/>
          <w:b w:val="0"/>
          <w:bCs w:val="0"/>
        </w:rPr>
        <w:t>无。</w:t>
      </w:r>
    </w:p>
    <w:p>
      <w:pPr>
        <w:pStyle w:val="Heading3"/>
        <w:spacing w:line="506" w:lineRule="auto" w:before="101"/>
        <w:ind w:left="560" w:right="4306" w:hanging="420"/>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3</w:t>
      </w:r>
      <w:r>
        <w:rPr>
          <w:spacing w:val="-1"/>
        </w:rPr>
        <w:t>）本报告期实际核销的其他应收款情况</w:t>
      </w:r>
      <w:r>
        <w:rPr>
          <w:spacing w:val="-87"/>
        </w:rPr>
        <w:t> </w:t>
      </w:r>
      <w:r>
        <w:rPr>
          <w:spacing w:val="-87"/>
        </w:rPr>
      </w:r>
      <w:r>
        <w:rPr>
          <w:rFonts w:ascii="宋体" w:hAnsi="宋体" w:cs="宋体" w:eastAsia="宋体" w:hint="default"/>
          <w:b w:val="0"/>
          <w:bCs w:val="0"/>
        </w:rPr>
        <w:t>无。</w:t>
      </w:r>
    </w:p>
    <w:p>
      <w:pPr>
        <w:pStyle w:val="Heading3"/>
        <w:spacing w:line="506" w:lineRule="auto" w:before="104"/>
        <w:ind w:left="560" w:right="652" w:hanging="420"/>
        <w:jc w:val="left"/>
        <w:rPr>
          <w:rFonts w:ascii="宋体" w:hAnsi="宋体" w:cs="宋体" w:eastAsia="宋体" w:hint="default"/>
          <w:b w:val="0"/>
          <w:bCs w:val="0"/>
        </w:rPr>
      </w:pPr>
      <w:r>
        <w:rPr/>
        <w:t>（</w:t>
      </w:r>
      <w:r>
        <w:rPr>
          <w:rFonts w:ascii="Times New Roman" w:hAnsi="Times New Roman" w:cs="Times New Roman" w:eastAsia="Times New Roman" w:hint="default"/>
        </w:rPr>
        <w:t>4</w:t>
      </w:r>
      <w:r>
        <w:rPr/>
        <w:t>）本报告期其他应收款中持有公司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w w:val="100"/>
        </w:rPr>
        <w:t> </w:t>
      </w:r>
      <w:r>
        <w:rPr>
          <w:rFonts w:ascii="宋体" w:hAnsi="宋体" w:cs="宋体" w:eastAsia="宋体" w:hint="default"/>
          <w:b w:val="0"/>
          <w:bCs w:val="0"/>
        </w:rPr>
        <w:t>无。</w:t>
      </w:r>
    </w:p>
    <w:p>
      <w:pPr>
        <w:pStyle w:val="Heading3"/>
        <w:spacing w:line="240" w:lineRule="auto" w:before="102"/>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9"/>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2729"/>
        <w:gridCol w:w="2830"/>
        <w:gridCol w:w="2768"/>
      </w:tblGrid>
      <w:tr>
        <w:trPr>
          <w:trHeight w:val="343"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5"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hAnsi="宋体" w:cs="宋体" w:eastAsia="宋体" w:hint="default"/>
                <w:b/>
                <w:bCs/>
                <w:w w:val="95"/>
                <w:sz w:val="18"/>
                <w:szCs w:val="18"/>
              </w:rPr>
              <w:t>性质或内容</w:t>
            </w:r>
            <w:r>
              <w:rPr>
                <w:rFonts w:ascii="宋体" w:hAnsi="宋体" w:cs="宋体" w:eastAsia="宋体" w:hint="default"/>
                <w:sz w:val="18"/>
                <w:szCs w:val="18"/>
              </w:rPr>
            </w:r>
          </w:p>
        </w:tc>
      </w:tr>
      <w:tr>
        <w:trPr>
          <w:trHeight w:val="341"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吉林省公安厅</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667,500.00</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hAnsi="宋体" w:cs="宋体" w:eastAsia="宋体" w:hint="default"/>
                <w:sz w:val="18"/>
                <w:szCs w:val="18"/>
              </w:rPr>
              <w:t>质保金</w:t>
            </w:r>
          </w:p>
        </w:tc>
      </w:tr>
      <w:tr>
        <w:trPr>
          <w:trHeight w:val="343"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浙江公安厅</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500,000.00</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质保金</w:t>
            </w:r>
          </w:p>
        </w:tc>
      </w:tr>
      <w:tr>
        <w:trPr>
          <w:trHeight w:val="341"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胥方</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854,402.66</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hAnsi="宋体" w:cs="宋体" w:eastAsia="宋体" w:hint="default"/>
                <w:sz w:val="18"/>
                <w:szCs w:val="18"/>
              </w:rPr>
              <w:t>办事处备用金</w:t>
            </w:r>
          </w:p>
        </w:tc>
      </w:tr>
      <w:tr>
        <w:trPr>
          <w:trHeight w:val="343"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2,021,902.66</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880" w:bottom="280" w:left="1660" w:right="1640"/>
        </w:sectPr>
      </w:pPr>
    </w:p>
    <w:p>
      <w:pPr>
        <w:spacing w:line="240" w:lineRule="auto" w:before="11"/>
        <w:rPr>
          <w:rFonts w:ascii="宋体" w:hAnsi="宋体" w:cs="宋体" w:eastAsia="宋体" w:hint="default"/>
          <w:b/>
          <w:bCs/>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2"/>
        <w:rPr>
          <w:rFonts w:ascii="宋体" w:hAnsi="宋体" w:cs="宋体" w:eastAsia="宋体" w:hint="default"/>
          <w:b/>
          <w:bCs/>
          <w:sz w:val="22"/>
          <w:szCs w:val="22"/>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725"/>
        <w:gridCol w:w="1135"/>
        <w:gridCol w:w="1162"/>
        <w:gridCol w:w="1673"/>
        <w:gridCol w:w="1671"/>
      </w:tblGrid>
      <w:tr>
        <w:trPr>
          <w:trHeight w:val="715" w:hRule="exact"/>
        </w:trPr>
        <w:tc>
          <w:tcPr>
            <w:tcW w:w="2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25" w:right="110" w:hanging="31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 的比例</w:t>
            </w:r>
            <w:r>
              <w:rPr>
                <w:rFonts w:ascii="Times New Roman" w:hAnsi="Times New Roman" w:cs="Times New Roman" w:eastAsia="Times New Roman" w:hint="default"/>
                <w:sz w:val="18"/>
                <w:szCs w:val="18"/>
              </w:rPr>
              <w:t>(%)</w:t>
            </w:r>
          </w:p>
        </w:tc>
      </w:tr>
      <w:tr>
        <w:trPr>
          <w:trHeight w:val="401"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厦门市国税局直属局</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4,142,358.83</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19.89%</w:t>
            </w:r>
          </w:p>
        </w:tc>
      </w:tr>
      <w:tr>
        <w:trPr>
          <w:trHeight w:val="403"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厦门市巨龙软件工程有限公司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1,630,000.00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7.83%</w:t>
            </w:r>
          </w:p>
        </w:tc>
      </w:tr>
      <w:tr>
        <w:trPr>
          <w:trHeight w:val="1025"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广西公安厅</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1,190,000.00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190,000.00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1,000,000.00 </w:t>
            </w:r>
            <w:r>
              <w:rPr>
                <w:rFonts w:ascii="宋体" w:hAnsi="宋体" w:cs="宋体" w:eastAsia="宋体" w:hint="default"/>
                <w:sz w:val="18"/>
                <w:szCs w:val="18"/>
              </w:rPr>
              <w:t>元。</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5.71%</w:t>
            </w:r>
          </w:p>
        </w:tc>
      </w:tr>
      <w:tr>
        <w:trPr>
          <w:trHeight w:val="404"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云南公安厅</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w:t>
            </w:r>
          </w:p>
        </w:tc>
      </w:tr>
      <w:tr>
        <w:trPr>
          <w:trHeight w:val="401"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代扣五险一金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880,234.63</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w:t>
            </w:r>
          </w:p>
        </w:tc>
      </w:tr>
      <w:tr>
        <w:trPr>
          <w:trHeight w:val="403" w:hRule="exact"/>
        </w:trPr>
        <w:tc>
          <w:tcPr>
            <w:tcW w:w="2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8,842,593.46</w:t>
            </w:r>
          </w:p>
        </w:tc>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42.45%</w:t>
            </w:r>
          </w:p>
        </w:tc>
      </w:tr>
    </w:tbl>
    <w:p>
      <w:pPr>
        <w:spacing w:line="240" w:lineRule="auto" w:before="3"/>
        <w:rPr>
          <w:rFonts w:ascii="宋体" w:hAnsi="宋体" w:cs="宋体" w:eastAsia="宋体" w:hint="default"/>
          <w:sz w:val="19"/>
          <w:szCs w:val="19"/>
        </w:rPr>
      </w:pPr>
    </w:p>
    <w:p>
      <w:pPr>
        <w:pStyle w:val="Heading3"/>
        <w:spacing w:line="506" w:lineRule="auto" w:before="36"/>
        <w:ind w:left="560" w:right="5614" w:hanging="420"/>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7</w:t>
      </w:r>
      <w:r>
        <w:rPr>
          <w:spacing w:val="-1"/>
        </w:rPr>
        <w:t>）其他应收关联方账款情况</w:t>
      </w:r>
      <w:r>
        <w:rPr>
          <w:spacing w:val="-94"/>
        </w:rPr>
        <w:t> </w:t>
      </w:r>
      <w:r>
        <w:rPr>
          <w:spacing w:val="-94"/>
        </w:rPr>
      </w:r>
      <w:r>
        <w:rPr>
          <w:rFonts w:ascii="宋体" w:hAnsi="宋体" w:cs="宋体" w:eastAsia="宋体" w:hint="default"/>
          <w:b w:val="0"/>
          <w:bCs w:val="0"/>
        </w:rPr>
        <w:t>无。</w:t>
      </w:r>
    </w:p>
    <w:p>
      <w:pPr>
        <w:pStyle w:val="Heading3"/>
        <w:spacing w:line="240" w:lineRule="auto" w:before="104"/>
        <w:ind w:right="0"/>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60" w:right="0"/>
        <w:jc w:val="left"/>
      </w:pPr>
      <w:r>
        <w:rPr/>
        <w:t>不符合终止确认条件的其他应收款项的转移金额为</w:t>
      </w:r>
      <w:r>
        <w:rPr>
          <w:spacing w:val="-56"/>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spacing w:line="240" w:lineRule="auto" w:before="8"/>
        <w:rPr>
          <w:rFonts w:ascii="宋体" w:hAnsi="宋体" w:cs="宋体" w:eastAsia="宋体" w:hint="default"/>
          <w:sz w:val="24"/>
          <w:szCs w:val="24"/>
        </w:rPr>
      </w:pPr>
    </w:p>
    <w:p>
      <w:pPr>
        <w:pStyle w:val="Heading3"/>
        <w:spacing w:line="506" w:lineRule="auto"/>
        <w:ind w:left="560" w:right="862" w:hanging="420"/>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9</w:t>
      </w:r>
      <w:r>
        <w:rPr>
          <w:spacing w:val="-1"/>
        </w:rPr>
        <w:t>）以其他应收款项为标的资产进行资产证券化的，需简要说明相关交易安排</w:t>
      </w:r>
      <w:r>
        <w:rPr>
          <w:spacing w:val="-77"/>
        </w:rPr>
        <w:t> </w:t>
      </w:r>
      <w:r>
        <w:rPr>
          <w:spacing w:val="-77"/>
        </w:rPr>
      </w:r>
      <w:r>
        <w:rPr>
          <w:rFonts w:ascii="宋体" w:hAnsi="宋体" w:cs="宋体" w:eastAsia="宋体" w:hint="default"/>
          <w:b w:val="0"/>
          <w:bCs w:val="0"/>
        </w:rPr>
        <w:t>无。</w:t>
      </w:r>
    </w:p>
    <w:p>
      <w:pPr>
        <w:pStyle w:val="Heading3"/>
        <w:spacing w:line="240" w:lineRule="auto" w:before="104"/>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742"/>
        <w:gridCol w:w="564"/>
        <w:gridCol w:w="709"/>
        <w:gridCol w:w="850"/>
        <w:gridCol w:w="425"/>
        <w:gridCol w:w="994"/>
        <w:gridCol w:w="711"/>
        <w:gridCol w:w="708"/>
        <w:gridCol w:w="991"/>
        <w:gridCol w:w="569"/>
        <w:gridCol w:w="566"/>
        <w:gridCol w:w="538"/>
      </w:tblGrid>
      <w:tr>
        <w:trPr>
          <w:trHeight w:val="1649" w:hRule="exact"/>
        </w:trPr>
        <w:tc>
          <w:tcPr>
            <w:tcW w:w="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84" w:right="93" w:hanging="89"/>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5" w:right="96"/>
              <w:jc w:val="left"/>
              <w:rPr>
                <w:rFonts w:ascii="宋体" w:hAnsi="宋体" w:cs="宋体" w:eastAsia="宋体" w:hint="default"/>
                <w:sz w:val="18"/>
                <w:szCs w:val="18"/>
              </w:rPr>
            </w:pPr>
            <w:r>
              <w:rPr>
                <w:rFonts w:ascii="宋体" w:hAnsi="宋体" w:cs="宋体" w:eastAsia="宋体" w:hint="default"/>
                <w:sz w:val="18"/>
                <w:szCs w:val="18"/>
              </w:rPr>
              <w:t>核算 方法</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59" w:right="77" w:hanging="180"/>
              <w:jc w:val="left"/>
              <w:rPr>
                <w:rFonts w:ascii="宋体" w:hAnsi="宋体" w:cs="宋体" w:eastAsia="宋体" w:hint="default"/>
                <w:sz w:val="18"/>
                <w:szCs w:val="18"/>
              </w:rPr>
            </w:pPr>
            <w:r>
              <w:rPr>
                <w:rFonts w:ascii="宋体" w:hAnsi="宋体" w:cs="宋体" w:eastAsia="宋体" w:hint="default"/>
                <w:sz w:val="18"/>
                <w:szCs w:val="18"/>
              </w:rPr>
              <w:t>投资成 本</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8" w:right="24"/>
              <w:jc w:val="left"/>
              <w:rPr>
                <w:rFonts w:ascii="宋体" w:hAnsi="宋体" w:cs="宋体" w:eastAsia="宋体" w:hint="default"/>
                <w:sz w:val="18"/>
                <w:szCs w:val="18"/>
              </w:rPr>
            </w:pPr>
            <w:r>
              <w:rPr>
                <w:rFonts w:ascii="宋体" w:hAnsi="宋体" w:cs="宋体" w:eastAsia="宋体" w:hint="default"/>
                <w:sz w:val="18"/>
                <w:szCs w:val="18"/>
              </w:rPr>
              <w:t>增减 变动</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81"/>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 资单位 持股比 例</w:t>
            </w:r>
            <w:r>
              <w:rPr>
                <w:rFonts w:ascii="Times New Roman" w:hAnsi="Times New Roman" w:cs="Times New Roman" w:eastAsia="Times New Roman"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4"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 资单位 表决权 比例</w:t>
            </w:r>
            <w:r>
              <w:rPr>
                <w:rFonts w:ascii="Times New Roman" w:hAnsi="Times New Roman" w:cs="Times New Roman" w:eastAsia="Times New Roman"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8" w:right="41"/>
              <w:jc w:val="center"/>
              <w:rPr>
                <w:rFonts w:ascii="宋体" w:hAnsi="宋体" w:cs="宋体" w:eastAsia="宋体" w:hint="default"/>
                <w:sz w:val="18"/>
                <w:szCs w:val="18"/>
              </w:rPr>
            </w:pPr>
            <w:r>
              <w:rPr>
                <w:rFonts w:ascii="宋体" w:hAnsi="宋体" w:cs="宋体" w:eastAsia="宋体" w:hint="default"/>
                <w:sz w:val="18"/>
                <w:szCs w:val="18"/>
              </w:rPr>
              <w:t>在被投资单 位持股比例 与表决权比 例不一致的 说明</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8" w:right="99"/>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5" w:right="98"/>
              <w:jc w:val="both"/>
              <w:rPr>
                <w:rFonts w:ascii="宋体" w:hAnsi="宋体" w:cs="宋体" w:eastAsia="宋体" w:hint="default"/>
                <w:sz w:val="18"/>
                <w:szCs w:val="18"/>
              </w:rPr>
            </w:pPr>
            <w:r>
              <w:rPr>
                <w:rFonts w:ascii="宋体" w:hAnsi="宋体" w:cs="宋体" w:eastAsia="宋体" w:hint="default"/>
                <w:sz w:val="18"/>
                <w:szCs w:val="18"/>
              </w:rPr>
              <w:t>本期 计提 减值 准备</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1" w:right="84"/>
              <w:jc w:val="both"/>
              <w:rPr>
                <w:rFonts w:ascii="宋体" w:hAnsi="宋体" w:cs="宋体" w:eastAsia="宋体" w:hint="default"/>
                <w:sz w:val="18"/>
                <w:szCs w:val="18"/>
              </w:rPr>
            </w:pPr>
            <w:r>
              <w:rPr>
                <w:rFonts w:ascii="宋体" w:hAnsi="宋体" w:cs="宋体" w:eastAsia="宋体" w:hint="default"/>
                <w:sz w:val="18"/>
                <w:szCs w:val="18"/>
              </w:rPr>
              <w:t>本期 现金 红利</w:t>
            </w:r>
          </w:p>
        </w:tc>
      </w:tr>
      <w:tr>
        <w:trPr>
          <w:trHeight w:val="1963"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5"/>
              <w:jc w:val="both"/>
              <w:rPr>
                <w:rFonts w:ascii="宋体" w:hAnsi="宋体" w:cs="宋体" w:eastAsia="宋体" w:hint="default"/>
                <w:sz w:val="18"/>
                <w:szCs w:val="18"/>
              </w:rPr>
            </w:pPr>
            <w:r>
              <w:rPr>
                <w:rFonts w:ascii="宋体" w:hAnsi="宋体" w:cs="宋体" w:eastAsia="宋体" w:hint="default"/>
                <w:sz w:val="18"/>
                <w:szCs w:val="18"/>
              </w:rPr>
              <w:t>厦门市 美亚柏 科信息 安全研 究所有 限公司</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 w:right="170"/>
              <w:jc w:val="left"/>
              <w:rPr>
                <w:rFonts w:ascii="宋体" w:hAnsi="宋体" w:cs="宋体" w:eastAsia="宋体" w:hint="default"/>
                <w:sz w:val="18"/>
                <w:szCs w:val="18"/>
              </w:rPr>
            </w:pPr>
            <w:r>
              <w:rPr>
                <w:rFonts w:ascii="宋体" w:hAnsi="宋体" w:cs="宋体" w:eastAsia="宋体" w:hint="default"/>
                <w:sz w:val="18"/>
                <w:szCs w:val="18"/>
              </w:rPr>
              <w:t>成本 法</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268" w:right="0"/>
              <w:jc w:val="left"/>
              <w:rPr>
                <w:rFonts w:ascii="Times New Roman" w:hAnsi="Times New Roman" w:cs="Times New Roman" w:eastAsia="Times New Roman" w:hint="default"/>
                <w:sz w:val="18"/>
                <w:szCs w:val="18"/>
              </w:rPr>
            </w:pPr>
            <w:r>
              <w:rPr>
                <w:rFonts w:ascii="Times New Roman"/>
                <w:sz w:val="18"/>
              </w:rPr>
              <w:t>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sz w:val="18"/>
              </w:rPr>
              <w:t>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杭州创</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3" w:right="0"/>
              <w:jc w:val="left"/>
              <w:rPr>
                <w:rFonts w:ascii="Times New Roman" w:hAnsi="Times New Roman" w:cs="Times New Roman" w:eastAsia="Times New Roman" w:hint="default"/>
                <w:sz w:val="18"/>
                <w:szCs w:val="18"/>
              </w:rPr>
            </w:pPr>
            <w:r>
              <w:rPr>
                <w:rFonts w:ascii="Times New Roman"/>
                <w:sz w:val="18"/>
              </w:rPr>
              <w:t>10,000,0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2" w:right="0"/>
              <w:jc w:val="center"/>
              <w:rPr>
                <w:rFonts w:ascii="Times New Roman" w:hAnsi="Times New Roman" w:cs="Times New Roman" w:eastAsia="Times New Roman" w:hint="default"/>
                <w:sz w:val="18"/>
                <w:szCs w:val="18"/>
              </w:rPr>
            </w:pPr>
            <w:r>
              <w:rPr>
                <w:rFonts w:ascii="Times New Roman"/>
                <w:sz w:val="18"/>
              </w:rPr>
              <w:t>10,000,00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5" w:right="0"/>
              <w:jc w:val="left"/>
              <w:rPr>
                <w:rFonts w:ascii="Times New Roman" w:hAnsi="Times New Roman" w:cs="Times New Roman" w:eastAsia="Times New Roman" w:hint="default"/>
                <w:sz w:val="18"/>
                <w:szCs w:val="18"/>
              </w:rPr>
            </w:pPr>
            <w:r>
              <w:rPr>
                <w:rFonts w:ascii="Times New Roman"/>
                <w:sz w:val="18"/>
              </w:rPr>
              <w:t>10,000,000.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27" w:top="1100" w:bottom="1420" w:left="1660" w:right="1640"/>
        </w:sectPr>
      </w:pPr>
    </w:p>
    <w:p>
      <w:pPr>
        <w:spacing w:line="240" w:lineRule="auto" w:before="8"/>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742"/>
        <w:gridCol w:w="564"/>
        <w:gridCol w:w="709"/>
        <w:gridCol w:w="850"/>
        <w:gridCol w:w="425"/>
        <w:gridCol w:w="994"/>
        <w:gridCol w:w="711"/>
        <w:gridCol w:w="708"/>
        <w:gridCol w:w="991"/>
        <w:gridCol w:w="569"/>
        <w:gridCol w:w="566"/>
        <w:gridCol w:w="538"/>
      </w:tblGrid>
      <w:tr>
        <w:trPr>
          <w:trHeight w:val="987"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65"/>
              <w:jc w:val="both"/>
              <w:rPr>
                <w:rFonts w:ascii="宋体" w:hAnsi="宋体" w:cs="宋体" w:eastAsia="宋体" w:hint="default"/>
                <w:sz w:val="18"/>
                <w:szCs w:val="18"/>
              </w:rPr>
            </w:pPr>
            <w:r>
              <w:rPr>
                <w:rFonts w:ascii="宋体" w:hAnsi="宋体" w:cs="宋体" w:eastAsia="宋体" w:hint="default"/>
                <w:sz w:val="18"/>
                <w:szCs w:val="18"/>
              </w:rPr>
              <w:t>聚科技 有限公 司</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法</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8" w:right="0"/>
              <w:jc w:val="left"/>
              <w:rPr>
                <w:rFonts w:ascii="Times New Roman" w:hAnsi="Times New Roman" w:cs="Times New Roman" w:eastAsia="Times New Roman" w:hint="default"/>
                <w:sz w:val="18"/>
                <w:szCs w:val="18"/>
              </w:rPr>
            </w:pPr>
            <w:r>
              <w:rPr>
                <w:rFonts w:ascii="Times New Roman"/>
                <w:sz w:val="18"/>
              </w:rPr>
              <w:t>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01" w:right="0"/>
              <w:jc w:val="left"/>
              <w:rPr>
                <w:rFonts w:ascii="Times New Roman" w:hAnsi="Times New Roman" w:cs="Times New Roman" w:eastAsia="Times New Roman" w:hint="default"/>
                <w:sz w:val="18"/>
                <w:szCs w:val="18"/>
              </w:rPr>
            </w:pPr>
            <w:r>
              <w:rPr>
                <w:rFonts w:ascii="Times New Roman"/>
                <w:sz w:val="18"/>
              </w:rPr>
              <w:t>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5"/>
              <w:jc w:val="both"/>
              <w:rPr>
                <w:rFonts w:ascii="宋体" w:hAnsi="宋体" w:cs="宋体" w:eastAsia="宋体" w:hint="default"/>
                <w:sz w:val="18"/>
                <w:szCs w:val="18"/>
              </w:rPr>
            </w:pPr>
            <w:r>
              <w:rPr>
                <w:rFonts w:ascii="宋体" w:hAnsi="宋体" w:cs="宋体" w:eastAsia="宋体" w:hint="default"/>
                <w:sz w:val="18"/>
                <w:szCs w:val="18"/>
              </w:rPr>
              <w:t>厦门美 亚中敏 电子科 技有限 公司</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1" w:right="170"/>
              <w:jc w:val="left"/>
              <w:rPr>
                <w:rFonts w:ascii="宋体" w:hAnsi="宋体" w:cs="宋体" w:eastAsia="宋体" w:hint="default"/>
                <w:sz w:val="18"/>
                <w:szCs w:val="18"/>
              </w:rPr>
            </w:pPr>
            <w:r>
              <w:rPr>
                <w:rFonts w:ascii="宋体" w:hAnsi="宋体" w:cs="宋体" w:eastAsia="宋体" w:hint="default"/>
                <w:sz w:val="18"/>
                <w:szCs w:val="18"/>
              </w:rPr>
              <w:t>成本 法</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4,470,00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4,47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4,470,000.0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67.73%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67.73%</w:t>
            </w: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5"/>
              <w:jc w:val="both"/>
              <w:rPr>
                <w:rFonts w:ascii="宋体" w:hAnsi="宋体" w:cs="宋体" w:eastAsia="宋体" w:hint="default"/>
                <w:sz w:val="18"/>
                <w:szCs w:val="18"/>
              </w:rPr>
            </w:pPr>
            <w:r>
              <w:rPr>
                <w:rFonts w:ascii="宋体" w:hAnsi="宋体" w:cs="宋体" w:eastAsia="宋体" w:hint="default"/>
                <w:sz w:val="18"/>
                <w:szCs w:val="18"/>
              </w:rPr>
              <w:t>杭州攀 克网络 技术有 限公司</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 w:right="170"/>
              <w:jc w:val="left"/>
              <w:rPr>
                <w:rFonts w:ascii="宋体" w:hAnsi="宋体" w:cs="宋体" w:eastAsia="宋体" w:hint="default"/>
                <w:sz w:val="18"/>
                <w:szCs w:val="18"/>
              </w:rPr>
            </w:pPr>
            <w:r>
              <w:rPr>
                <w:rFonts w:ascii="宋体" w:hAnsi="宋体" w:cs="宋体" w:eastAsia="宋体" w:hint="default"/>
                <w:sz w:val="18"/>
                <w:szCs w:val="18"/>
              </w:rPr>
              <w:t>成本 法</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10.71%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10.71%</w:t>
            </w: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25,470,0</w:t>
            </w:r>
          </w:p>
          <w:p>
            <w:pPr>
              <w:pStyle w:val="TableParagraph"/>
              <w:spacing w:line="240" w:lineRule="auto" w:before="105"/>
              <w:ind w:left="268" w:right="0"/>
              <w:jc w:val="left"/>
              <w:rPr>
                <w:rFonts w:ascii="Times New Roman" w:hAnsi="Times New Roman" w:cs="Times New Roman" w:eastAsia="Times New Roman" w:hint="default"/>
                <w:sz w:val="18"/>
                <w:szCs w:val="18"/>
              </w:rPr>
            </w:pPr>
            <w:r>
              <w:rPr>
                <w:rFonts w:ascii="Times New Roman"/>
                <w:sz w:val="18"/>
              </w:rPr>
              <w:t>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5,47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25,470,000.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before="49"/>
        <w:ind w:left="140" w:right="0" w:firstLine="0"/>
        <w:jc w:val="left"/>
        <w:rPr>
          <w:rFonts w:ascii="宋体" w:hAnsi="宋体" w:cs="宋体" w:eastAsia="宋体" w:hint="default"/>
          <w:sz w:val="18"/>
          <w:szCs w:val="18"/>
        </w:rPr>
      </w:pPr>
      <w:r>
        <w:rPr>
          <w:rFonts w:ascii="宋体" w:hAnsi="宋体" w:cs="宋体" w:eastAsia="宋体" w:hint="default"/>
          <w:sz w:val="18"/>
          <w:szCs w:val="18"/>
        </w:rPr>
        <w:t>长期股权投资的说明：无。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10"/>
        <w:rPr>
          <w:rFonts w:ascii="宋体" w:hAnsi="宋体" w:cs="宋体" w:eastAsia="宋体" w:hint="default"/>
          <w:b/>
          <w:bCs/>
          <w:sz w:val="22"/>
          <w:szCs w:val="22"/>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185"/>
        <w:gridCol w:w="3032"/>
        <w:gridCol w:w="3137"/>
      </w:tblGrid>
      <w:tr>
        <w:trPr>
          <w:trHeight w:val="401"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343,374,887.50</w:t>
            </w:r>
          </w:p>
        </w:tc>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262,968,912.27</w:t>
            </w:r>
          </w:p>
        </w:tc>
      </w:tr>
      <w:tr>
        <w:trPr>
          <w:trHeight w:val="401"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343,374,887.50</w:t>
            </w:r>
          </w:p>
        </w:tc>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262,968,912.27</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140,776,245.05</w:t>
            </w:r>
          </w:p>
        </w:tc>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98,056,952.24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2"/>
        <w:rPr>
          <w:rFonts w:ascii="宋体" w:hAnsi="宋体" w:cs="宋体" w:eastAsia="宋体" w:hint="default"/>
          <w:b/>
          <w:bCs/>
          <w:sz w:val="22"/>
          <w:szCs w:val="22"/>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975"/>
        <w:gridCol w:w="1628"/>
        <w:gridCol w:w="1625"/>
        <w:gridCol w:w="1627"/>
        <w:gridCol w:w="1510"/>
      </w:tblGrid>
      <w:tr>
        <w:trPr>
          <w:trHeight w:val="403" w:hRule="exact"/>
        </w:trPr>
        <w:tc>
          <w:tcPr>
            <w:tcW w:w="19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23"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2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75" w:type="dxa"/>
            <w:vMerge/>
            <w:tcBorders>
              <w:left w:val="single" w:sz="4" w:space="0" w:color="000000"/>
              <w:bottom w:val="single" w:sz="4" w:space="0" w:color="000000"/>
              <w:right w:val="single" w:sz="4" w:space="0" w:color="000000"/>
            </w:tcBorders>
            <w:shd w:val="clear" w:color="auto" w:fill="D2D2D2"/>
          </w:tcPr>
          <w:p>
            <w:pP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4"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电子信息行业</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8" w:right="0"/>
              <w:jc w:val="left"/>
              <w:rPr>
                <w:rFonts w:ascii="Times New Roman" w:hAnsi="Times New Roman" w:cs="Times New Roman" w:eastAsia="Times New Roman" w:hint="default"/>
                <w:sz w:val="18"/>
                <w:szCs w:val="18"/>
              </w:rPr>
            </w:pPr>
            <w:r>
              <w:rPr>
                <w:rFonts w:ascii="Times New Roman"/>
                <w:sz w:val="18"/>
              </w:rPr>
              <w:t>343,374,887.50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5" w:right="0"/>
              <w:jc w:val="left"/>
              <w:rPr>
                <w:rFonts w:ascii="Times New Roman" w:hAnsi="Times New Roman" w:cs="Times New Roman" w:eastAsia="Times New Roman" w:hint="default"/>
                <w:sz w:val="18"/>
                <w:szCs w:val="18"/>
              </w:rPr>
            </w:pPr>
            <w:r>
              <w:rPr>
                <w:rFonts w:ascii="Times New Roman"/>
                <w:sz w:val="18"/>
              </w:rPr>
              <w:t>140,776,245.05</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7" w:right="0"/>
              <w:jc w:val="left"/>
              <w:rPr>
                <w:rFonts w:ascii="Times New Roman" w:hAnsi="Times New Roman" w:cs="Times New Roman" w:eastAsia="Times New Roman" w:hint="default"/>
                <w:sz w:val="18"/>
                <w:szCs w:val="18"/>
              </w:rPr>
            </w:pPr>
            <w:r>
              <w:rPr>
                <w:rFonts w:ascii="Times New Roman"/>
                <w:sz w:val="18"/>
              </w:rPr>
              <w:t>262,968,912.27</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9" w:right="0"/>
              <w:jc w:val="left"/>
              <w:rPr>
                <w:rFonts w:ascii="Times New Roman" w:hAnsi="Times New Roman" w:cs="Times New Roman" w:eastAsia="Times New Roman" w:hint="default"/>
                <w:sz w:val="18"/>
                <w:szCs w:val="18"/>
              </w:rPr>
            </w:pPr>
            <w:r>
              <w:rPr>
                <w:rFonts w:ascii="Times New Roman"/>
                <w:sz w:val="18"/>
              </w:rPr>
              <w:t>98,056,952.24</w:t>
            </w:r>
          </w:p>
        </w:tc>
      </w:tr>
      <w:tr>
        <w:trPr>
          <w:trHeight w:val="401" w:hRule="exact"/>
        </w:trPr>
        <w:tc>
          <w:tcPr>
            <w:tcW w:w="1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8" w:right="0"/>
              <w:jc w:val="left"/>
              <w:rPr>
                <w:rFonts w:ascii="Times New Roman" w:hAnsi="Times New Roman" w:cs="Times New Roman" w:eastAsia="Times New Roman" w:hint="default"/>
                <w:sz w:val="18"/>
                <w:szCs w:val="18"/>
              </w:rPr>
            </w:pPr>
            <w:r>
              <w:rPr>
                <w:rFonts w:ascii="Times New Roman"/>
                <w:sz w:val="18"/>
              </w:rPr>
              <w:t>343,374,887.50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5" w:right="0"/>
              <w:jc w:val="left"/>
              <w:rPr>
                <w:rFonts w:ascii="Times New Roman" w:hAnsi="Times New Roman" w:cs="Times New Roman" w:eastAsia="Times New Roman" w:hint="default"/>
                <w:sz w:val="18"/>
                <w:szCs w:val="18"/>
              </w:rPr>
            </w:pPr>
            <w:r>
              <w:rPr>
                <w:rFonts w:ascii="Times New Roman"/>
                <w:sz w:val="18"/>
              </w:rPr>
              <w:t>140,776,245.05</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7" w:right="0"/>
              <w:jc w:val="left"/>
              <w:rPr>
                <w:rFonts w:ascii="Times New Roman" w:hAnsi="Times New Roman" w:cs="Times New Roman" w:eastAsia="Times New Roman" w:hint="default"/>
                <w:sz w:val="18"/>
                <w:szCs w:val="18"/>
              </w:rPr>
            </w:pPr>
            <w:r>
              <w:rPr>
                <w:rFonts w:ascii="Times New Roman"/>
                <w:sz w:val="18"/>
              </w:rPr>
              <w:t>262,968,912.27</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9" w:right="0"/>
              <w:jc w:val="left"/>
              <w:rPr>
                <w:rFonts w:ascii="Times New Roman" w:hAnsi="Times New Roman" w:cs="Times New Roman" w:eastAsia="Times New Roman" w:hint="default"/>
                <w:sz w:val="18"/>
                <w:szCs w:val="18"/>
              </w:rPr>
            </w:pPr>
            <w:r>
              <w:rPr>
                <w:rFonts w:ascii="Times New Roman"/>
                <w:sz w:val="18"/>
              </w:rPr>
              <w:t>98,056,952.24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2"/>
        <w:rPr>
          <w:rFonts w:ascii="宋体" w:hAnsi="宋体" w:cs="宋体" w:eastAsia="宋体" w:hint="default"/>
          <w:b/>
          <w:bCs/>
          <w:sz w:val="22"/>
          <w:szCs w:val="22"/>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975"/>
        <w:gridCol w:w="1628"/>
        <w:gridCol w:w="1625"/>
        <w:gridCol w:w="1627"/>
        <w:gridCol w:w="1498"/>
      </w:tblGrid>
      <w:tr>
        <w:trPr>
          <w:trHeight w:val="401" w:hRule="exact"/>
        </w:trPr>
        <w:tc>
          <w:tcPr>
            <w:tcW w:w="19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23"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32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75" w:type="dxa"/>
            <w:vMerge/>
            <w:tcBorders>
              <w:left w:val="single" w:sz="4" w:space="0" w:color="000000"/>
              <w:bottom w:val="single" w:sz="4" w:space="0" w:color="000000"/>
              <w:right w:val="single" w:sz="4" w:space="0" w:color="000000"/>
            </w:tcBorders>
            <w:shd w:val="clear" w:color="auto" w:fill="D2D2D2"/>
          </w:tcPr>
          <w:p>
            <w:pP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营业成本</w:t>
            </w:r>
          </w:p>
        </w:tc>
      </w:tr>
    </w:tbl>
    <w:p>
      <w:pPr>
        <w:spacing w:after="0" w:line="240" w:lineRule="auto"/>
        <w:jc w:val="left"/>
        <w:rPr>
          <w:rFonts w:ascii="宋体" w:hAnsi="宋体" w:cs="宋体" w:eastAsia="宋体" w:hint="default"/>
          <w:sz w:val="18"/>
          <w:szCs w:val="18"/>
        </w:rPr>
        <w:sectPr>
          <w:pgSz w:w="11910" w:h="16840"/>
          <w:pgMar w:header="877" w:footer="1227" w:top="1100" w:bottom="1420" w:left="1660" w:right="1640"/>
        </w:sectPr>
      </w:pPr>
    </w:p>
    <w:p>
      <w:pPr>
        <w:spacing w:line="240" w:lineRule="auto" w:before="8"/>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1975"/>
        <w:gridCol w:w="1628"/>
        <w:gridCol w:w="1625"/>
        <w:gridCol w:w="1627"/>
        <w:gridCol w:w="1510"/>
      </w:tblGrid>
      <w:tr>
        <w:trPr>
          <w:trHeight w:val="401"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电子数据取证产品</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267,591,471.09</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111,394,564.46</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202,358,029.30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74,313,782.79</w:t>
            </w:r>
          </w:p>
        </w:tc>
      </w:tr>
      <w:tr>
        <w:trPr>
          <w:trHeight w:val="403"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网络信息安全产品</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52,631,919.07</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21,911,181.05</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41,711,100.88</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16,934,702.14</w:t>
            </w:r>
          </w:p>
        </w:tc>
      </w:tr>
      <w:tr>
        <w:trPr>
          <w:trHeight w:val="713"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9"/>
              <w:jc w:val="left"/>
              <w:rPr>
                <w:rFonts w:ascii="宋体" w:hAnsi="宋体" w:cs="宋体" w:eastAsia="宋体" w:hint="default"/>
                <w:sz w:val="18"/>
                <w:szCs w:val="18"/>
              </w:rPr>
            </w:pPr>
            <w:r>
              <w:rPr>
                <w:rFonts w:ascii="宋体" w:hAnsi="宋体" w:cs="宋体" w:eastAsia="宋体" w:hint="default"/>
                <w:sz w:val="18"/>
                <w:szCs w:val="18"/>
              </w:rPr>
              <w:t>电子数据鉴定及互联网 知识产权保护等服务</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23,151,497.34</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7,470,499.54</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18,899,782.09</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6,808,467.31</w:t>
            </w:r>
          </w:p>
        </w:tc>
      </w:tr>
      <w:tr>
        <w:trPr>
          <w:trHeight w:val="403" w:hRule="exact"/>
        </w:trPr>
        <w:tc>
          <w:tcPr>
            <w:tcW w:w="1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343,374,887.50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140,776,245.05</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262,968,912.27</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98,056,952.24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2"/>
        <w:rPr>
          <w:rFonts w:ascii="宋体" w:hAnsi="宋体" w:cs="宋体" w:eastAsia="宋体" w:hint="default"/>
          <w:b/>
          <w:bCs/>
          <w:sz w:val="22"/>
          <w:szCs w:val="22"/>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975"/>
        <w:gridCol w:w="1628"/>
        <w:gridCol w:w="1625"/>
        <w:gridCol w:w="1627"/>
        <w:gridCol w:w="1510"/>
      </w:tblGrid>
      <w:tr>
        <w:trPr>
          <w:trHeight w:val="402" w:hRule="exact"/>
        </w:trPr>
        <w:tc>
          <w:tcPr>
            <w:tcW w:w="19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3"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32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75" w:type="dxa"/>
            <w:vMerge/>
            <w:tcBorders>
              <w:left w:val="single" w:sz="4" w:space="0" w:color="000000"/>
              <w:bottom w:val="single" w:sz="4" w:space="0" w:color="000000"/>
              <w:right w:val="single" w:sz="4" w:space="0" w:color="000000"/>
            </w:tcBorders>
            <w:shd w:val="clear" w:color="auto" w:fill="D2D2D2"/>
          </w:tcPr>
          <w:p>
            <w:pP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116,472,298.41</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42,036,214.59</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78,439,652.58</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31358478.34</w:t>
            </w:r>
          </w:p>
        </w:tc>
      </w:tr>
      <w:tr>
        <w:trPr>
          <w:trHeight w:val="401"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27,305,355.08</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9,315,835.60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23,997,859.68</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10,519,908.02</w:t>
            </w:r>
          </w:p>
        </w:tc>
      </w:tr>
      <w:tr>
        <w:trPr>
          <w:trHeight w:val="403"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16,203,267.56</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7,378,461.34</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14,336,801.79</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6578169.96</w:t>
            </w:r>
          </w:p>
        </w:tc>
      </w:tr>
      <w:tr>
        <w:trPr>
          <w:trHeight w:val="401"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63,746,667.67</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26,169,289.73</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56,125,226.19</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21,831,474.55</w:t>
            </w:r>
          </w:p>
        </w:tc>
      </w:tr>
      <w:tr>
        <w:trPr>
          <w:trHeight w:val="403"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27,213,905.94</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11,529,820.14</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11,888,327.49</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4,705,574.83</w:t>
            </w:r>
          </w:p>
        </w:tc>
      </w:tr>
      <w:tr>
        <w:trPr>
          <w:trHeight w:val="401"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59,545,857.75</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30,310,237.56</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51,497,604.10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13,818,195.80</w:t>
            </w:r>
          </w:p>
        </w:tc>
      </w:tr>
      <w:tr>
        <w:trPr>
          <w:trHeight w:val="403"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30,737,970.54</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13,905,401.11</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26,683,440.44</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9,245,150.74</w:t>
            </w:r>
          </w:p>
        </w:tc>
      </w:tr>
      <w:tr>
        <w:trPr>
          <w:trHeight w:val="401"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2,149,564.554</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130,984.98</w:t>
            </w:r>
          </w:p>
        </w:tc>
        <w:tc>
          <w:tcPr>
            <w:tcW w:w="1627"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343,374,887.50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140,776,244.99</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262,968,912.27</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4"/>
              <w:jc w:val="right"/>
              <w:rPr>
                <w:rFonts w:ascii="Times New Roman" w:hAnsi="Times New Roman" w:cs="Times New Roman" w:eastAsia="Times New Roman" w:hint="default"/>
                <w:sz w:val="18"/>
                <w:szCs w:val="18"/>
              </w:rPr>
            </w:pPr>
            <w:r>
              <w:rPr>
                <w:rFonts w:ascii="Times New Roman"/>
                <w:spacing w:val="-1"/>
                <w:sz w:val="18"/>
              </w:rPr>
              <w:t>98,056,952.24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2"/>
        <w:rPr>
          <w:rFonts w:ascii="宋体" w:hAnsi="宋体" w:cs="宋体" w:eastAsia="宋体" w:hint="default"/>
          <w:b/>
          <w:bCs/>
          <w:sz w:val="22"/>
          <w:szCs w:val="22"/>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4181"/>
        <w:gridCol w:w="2554"/>
        <w:gridCol w:w="1630"/>
      </w:tblGrid>
      <w:tr>
        <w:trPr>
          <w:trHeight w:val="715" w:hRule="exact"/>
        </w:trPr>
        <w:tc>
          <w:tcPr>
            <w:tcW w:w="4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2"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2" w:right="92" w:hanging="227"/>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 入的比例</w:t>
            </w:r>
            <w:r>
              <w:rPr>
                <w:rFonts w:ascii="Times New Roman" w:hAnsi="Times New Roman" w:cs="Times New Roman" w:eastAsia="Times New Roman" w:hint="default"/>
                <w:sz w:val="18"/>
                <w:szCs w:val="18"/>
              </w:rPr>
              <w:t>(%)</w:t>
            </w:r>
          </w:p>
        </w:tc>
      </w:tr>
      <w:tr>
        <w:trPr>
          <w:trHeight w:val="401" w:hRule="exact"/>
        </w:trPr>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江西优码创达软件技术有限公司</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9,572,649.56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2.79%</w:t>
            </w:r>
          </w:p>
        </w:tc>
      </w:tr>
      <w:tr>
        <w:trPr>
          <w:trHeight w:val="403" w:hRule="exact"/>
        </w:trPr>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山西省公安厅</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7,616,153.86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2.22%</w:t>
            </w:r>
          </w:p>
        </w:tc>
      </w:tr>
      <w:tr>
        <w:trPr>
          <w:trHeight w:val="401" w:hRule="exact"/>
        </w:trPr>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厦门美亚柏科信息安全研究所有限公司</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6,865,521.28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2.00%</w:t>
            </w:r>
          </w:p>
        </w:tc>
      </w:tr>
      <w:tr>
        <w:trPr>
          <w:trHeight w:val="404" w:hRule="exact"/>
        </w:trPr>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厦门佳思科技公司</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6,416,756.65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1.87%</w:t>
            </w:r>
          </w:p>
        </w:tc>
      </w:tr>
      <w:tr>
        <w:trPr>
          <w:trHeight w:val="401" w:hRule="exact"/>
        </w:trPr>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天津市滨海新区公安局</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5,420,616.22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1.58%</w:t>
            </w:r>
          </w:p>
        </w:tc>
      </w:tr>
      <w:tr>
        <w:trPr>
          <w:trHeight w:val="403" w:hRule="exact"/>
        </w:trPr>
        <w:tc>
          <w:tcPr>
            <w:tcW w:w="4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35,891,697.57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10.45%</w:t>
            </w:r>
          </w:p>
        </w:tc>
      </w:tr>
    </w:tbl>
    <w:p>
      <w:pPr>
        <w:spacing w:before="49"/>
        <w:ind w:left="140" w:right="0" w:firstLine="0"/>
        <w:jc w:val="left"/>
        <w:rPr>
          <w:rFonts w:ascii="宋体" w:hAnsi="宋体" w:cs="宋体" w:eastAsia="宋体" w:hint="default"/>
          <w:sz w:val="18"/>
          <w:szCs w:val="18"/>
        </w:rPr>
      </w:pPr>
      <w:r>
        <w:rPr>
          <w:rFonts w:ascii="宋体" w:hAnsi="宋体" w:cs="宋体" w:eastAsia="宋体" w:hint="default"/>
          <w:sz w:val="18"/>
          <w:szCs w:val="18"/>
        </w:rPr>
        <w:t>营业收入的说明：</w:t>
      </w:r>
    </w:p>
    <w:p>
      <w:pPr>
        <w:spacing w:line="300" w:lineRule="auto" w:before="115"/>
        <w:ind w:left="140" w:right="0" w:firstLine="0"/>
        <w:jc w:val="left"/>
        <w:rPr>
          <w:rFonts w:ascii="宋体" w:hAnsi="宋体" w:cs="宋体" w:eastAsia="宋体" w:hint="default"/>
          <w:sz w:val="18"/>
          <w:szCs w:val="18"/>
        </w:rPr>
      </w:pPr>
      <w:r>
        <w:rPr>
          <w:rFonts w:ascii="宋体" w:hAnsi="宋体" w:cs="宋体" w:eastAsia="宋体" w:hint="default"/>
          <w:spacing w:val="-1"/>
          <w:sz w:val="18"/>
          <w:szCs w:val="18"/>
        </w:rPr>
        <w:t>报告期，公司实现营业收入</w:t>
      </w:r>
      <w:r>
        <w:rPr>
          <w:rFonts w:ascii="Times New Roman" w:hAnsi="Times New Roman" w:cs="Times New Roman" w:eastAsia="Times New Roman" w:hint="default"/>
          <w:spacing w:val="-1"/>
          <w:sz w:val="18"/>
          <w:szCs w:val="18"/>
        </w:rPr>
        <w:t>34,337.49</w:t>
      </w:r>
      <w:r>
        <w:rPr>
          <w:rFonts w:ascii="宋体" w:hAnsi="宋体" w:cs="宋体" w:eastAsia="宋体" w:hint="default"/>
          <w:spacing w:val="-1"/>
          <w:sz w:val="18"/>
          <w:szCs w:val="18"/>
        </w:rPr>
        <w:t>万元</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较去年同期增长</w:t>
      </w:r>
      <w:r>
        <w:rPr>
          <w:rFonts w:ascii="Times New Roman" w:hAnsi="Times New Roman" w:cs="Times New Roman" w:eastAsia="Times New Roman" w:hint="default"/>
          <w:spacing w:val="-1"/>
          <w:sz w:val="18"/>
          <w:szCs w:val="18"/>
        </w:rPr>
        <w:t>30.58%</w:t>
      </w:r>
      <w:r>
        <w:rPr>
          <w:rFonts w:ascii="宋体" w:hAnsi="宋体" w:cs="宋体" w:eastAsia="宋体" w:hint="default"/>
          <w:spacing w:val="-1"/>
          <w:sz w:val="18"/>
          <w:szCs w:val="18"/>
        </w:rPr>
        <w:t>，主要是由于公司持续加大研发和市场投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入力度，研发符合市场需求的产品</w:t>
      </w:r>
      <w:r>
        <w:rPr>
          <w:rFonts w:ascii="Times New Roman" w:hAnsi="Times New Roman" w:cs="Times New Roman" w:eastAsia="Times New Roman" w:hint="default"/>
          <w:sz w:val="18"/>
          <w:szCs w:val="18"/>
        </w:rPr>
        <w:t>,</w:t>
      </w:r>
      <w:r>
        <w:rPr>
          <w:rFonts w:ascii="宋体" w:hAnsi="宋体" w:cs="宋体" w:eastAsia="宋体" w:hint="default"/>
          <w:sz w:val="18"/>
          <w:szCs w:val="18"/>
        </w:rPr>
        <w:t>促进了销售增长所致。</w:t>
      </w:r>
    </w:p>
    <w:p>
      <w:pPr>
        <w:spacing w:after="0" w:line="300" w:lineRule="auto"/>
        <w:jc w:val="left"/>
        <w:rPr>
          <w:rFonts w:ascii="宋体" w:hAnsi="宋体" w:cs="宋体" w:eastAsia="宋体" w:hint="default"/>
          <w:sz w:val="18"/>
          <w:szCs w:val="18"/>
        </w:rPr>
        <w:sectPr>
          <w:pgSz w:w="11910" w:h="16840"/>
          <w:pgMar w:header="877" w:footer="1227" w:top="1100" w:bottom="1420" w:left="1660" w:right="1640"/>
        </w:sectPr>
      </w:pPr>
    </w:p>
    <w:p>
      <w:pPr>
        <w:spacing w:line="240" w:lineRule="auto" w:before="11"/>
        <w:rPr>
          <w:rFonts w:ascii="宋体" w:hAnsi="宋体" w:cs="宋体" w:eastAsia="宋体" w:hint="default"/>
          <w:sz w:val="20"/>
          <w:szCs w:val="20"/>
        </w:rPr>
      </w:pPr>
    </w:p>
    <w:p>
      <w:pPr>
        <w:spacing w:line="506" w:lineRule="auto" w:before="36"/>
        <w:ind w:left="560" w:right="7287"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b/>
          <w:bCs/>
          <w:spacing w:val="-104"/>
          <w:sz w:val="21"/>
          <w:szCs w:val="21"/>
        </w:rPr>
        <w:t> </w:t>
      </w:r>
      <w:r>
        <w:rPr>
          <w:rFonts w:ascii="宋体" w:hAnsi="宋体" w:cs="宋体" w:eastAsia="宋体" w:hint="default"/>
          <w:sz w:val="21"/>
          <w:szCs w:val="21"/>
        </w:rPr>
        <w:t>无。</w:t>
      </w:r>
    </w:p>
    <w:p>
      <w:pPr>
        <w:pStyle w:val="Heading3"/>
        <w:spacing w:line="240" w:lineRule="auto" w:before="101"/>
        <w:ind w:right="0"/>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12"/>
        <w:rPr>
          <w:rFonts w:ascii="宋体" w:hAnsi="宋体" w:cs="宋体" w:eastAsia="宋体" w:hint="default"/>
          <w:b/>
          <w:bCs/>
          <w:sz w:val="22"/>
          <w:szCs w:val="22"/>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4394"/>
        <w:gridCol w:w="1984"/>
        <w:gridCol w:w="1976"/>
      </w:tblGrid>
      <w:tr>
        <w:trPr>
          <w:trHeight w:val="401"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2"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1"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78,228,861.27</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60,092,293.18</w:t>
            </w:r>
          </w:p>
        </w:tc>
      </w:tr>
      <w:tr>
        <w:trPr>
          <w:trHeight w:val="403"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4,727,099.52</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3,706,331.94</w:t>
            </w:r>
          </w:p>
        </w:tc>
      </w:tr>
      <w:tr>
        <w:trPr>
          <w:trHeight w:val="401"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9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10,147,171.94</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4,583,563.37</w:t>
            </w:r>
          </w:p>
        </w:tc>
      </w:tr>
      <w:tr>
        <w:trPr>
          <w:trHeight w:val="403"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1,579,028.68</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92,435.20</w:t>
            </w:r>
          </w:p>
        </w:tc>
      </w:tr>
      <w:tr>
        <w:trPr>
          <w:trHeight w:val="401"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1,513,485.54</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661,201.95</w:t>
            </w:r>
          </w:p>
        </w:tc>
      </w:tr>
      <w:tr>
        <w:trPr>
          <w:trHeight w:val="403"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-7,050,409.49</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-6,328,068.97</w:t>
            </w:r>
          </w:p>
        </w:tc>
      </w:tr>
      <w:tr>
        <w:trPr>
          <w:trHeight w:val="401"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-601,796.95</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-1,124,304.80</w:t>
            </w:r>
          </w:p>
        </w:tc>
      </w:tr>
      <w:tr>
        <w:trPr>
          <w:trHeight w:val="403"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-3,536,122.16</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-56,431,203.89</w:t>
            </w:r>
          </w:p>
        </w:tc>
      </w:tr>
      <w:tr>
        <w:trPr>
          <w:trHeight w:val="401"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-66,367,929.80</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-53,419,605.41</w:t>
            </w:r>
          </w:p>
        </w:tc>
      </w:tr>
      <w:tr>
        <w:trPr>
          <w:trHeight w:val="403"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17,609,749.56</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49,487,768.92</w:t>
            </w:r>
          </w:p>
        </w:tc>
      </w:tr>
      <w:tr>
        <w:trPr>
          <w:trHeight w:val="401"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3,995,219.96</w:t>
            </w:r>
          </w:p>
        </w:tc>
        <w:tc>
          <w:tcPr>
            <w:tcW w:w="197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40,244,358.07</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1,320,411.49</w:t>
            </w:r>
          </w:p>
        </w:tc>
      </w:tr>
      <w:tr>
        <w:trPr>
          <w:trHeight w:val="401"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181,226,243.72</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254,491,832.80</w:t>
            </w:r>
          </w:p>
        </w:tc>
      </w:tr>
      <w:tr>
        <w:trPr>
          <w:trHeight w:val="403"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254,491,832.80</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96,259,411.51</w:t>
            </w:r>
          </w:p>
        </w:tc>
      </w:tr>
      <w:tr>
        <w:trPr>
          <w:trHeight w:val="401"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-73,265,589.08</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158,232,421.29</w:t>
            </w:r>
          </w:p>
        </w:tc>
      </w:tr>
    </w:tbl>
    <w:p>
      <w:pPr>
        <w:spacing w:line="240" w:lineRule="auto" w:before="3"/>
        <w:rPr>
          <w:rFonts w:ascii="宋体" w:hAnsi="宋体" w:cs="宋体" w:eastAsia="宋体" w:hint="default"/>
          <w:sz w:val="19"/>
          <w:szCs w:val="19"/>
        </w:rPr>
      </w:pPr>
    </w:p>
    <w:p>
      <w:pPr>
        <w:pStyle w:val="Heading3"/>
        <w:spacing w:line="506" w:lineRule="auto" w:before="36"/>
        <w:ind w:left="560" w:right="3856" w:hanging="420"/>
        <w:jc w:val="left"/>
        <w:rPr>
          <w:rFonts w:ascii="宋体" w:hAnsi="宋体" w:cs="宋体" w:eastAsia="宋体" w:hint="default"/>
          <w:b w:val="0"/>
          <w:bCs w:val="0"/>
        </w:rPr>
      </w:pPr>
      <w:r>
        <w:rPr>
          <w:rFonts w:ascii="Times New Roman" w:hAnsi="Times New Roman" w:cs="Times New Roman" w:eastAsia="Times New Roman" w:hint="default"/>
          <w:spacing w:val="-1"/>
        </w:rPr>
        <w:t>7</w:t>
      </w:r>
      <w:r>
        <w:rPr>
          <w:spacing w:val="-1"/>
        </w:rPr>
        <w:t>、反向购买下以评估值入账的资产、负债情况</w:t>
      </w:r>
      <w:r>
        <w:rPr>
          <w:spacing w:val="-83"/>
        </w:rPr>
        <w:t> </w:t>
      </w:r>
      <w:r>
        <w:rPr>
          <w:spacing w:val="-83"/>
        </w:rPr>
      </w:r>
      <w:r>
        <w:rPr>
          <w:rFonts w:ascii="宋体" w:hAnsi="宋体" w:cs="宋体" w:eastAsia="宋体" w:hint="default"/>
          <w:b w:val="0"/>
          <w:bCs w:val="0"/>
        </w:rPr>
        <w:t>无。</w:t>
      </w:r>
    </w:p>
    <w:p>
      <w:pPr>
        <w:pStyle w:val="Heading2"/>
        <w:spacing w:line="240" w:lineRule="auto" w:before="79"/>
        <w:ind w:left="140" w:right="0"/>
        <w:jc w:val="left"/>
        <w:rPr>
          <w:b w:val="0"/>
          <w:bCs w:val="0"/>
        </w:rPr>
      </w:pPr>
      <w:r>
        <w:rPr/>
        <w:t>十六、补充资料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12"/>
        <w:rPr>
          <w:rFonts w:ascii="宋体" w:hAnsi="宋体" w:cs="宋体" w:eastAsia="宋体" w:hint="default"/>
          <w:b/>
          <w:bCs/>
          <w:sz w:val="22"/>
          <w:szCs w:val="22"/>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581"/>
        <w:gridCol w:w="2417"/>
        <w:gridCol w:w="1673"/>
        <w:gridCol w:w="1691"/>
      </w:tblGrid>
      <w:tr>
        <w:trPr>
          <w:trHeight w:val="401" w:hRule="exact"/>
        </w:trPr>
        <w:tc>
          <w:tcPr>
            <w:tcW w:w="25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3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2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3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3" w:hRule="exact"/>
        </w:trPr>
        <w:tc>
          <w:tcPr>
            <w:tcW w:w="2581" w:type="dxa"/>
            <w:vMerge/>
            <w:tcBorders>
              <w:left w:val="single" w:sz="4" w:space="0" w:color="000000"/>
              <w:bottom w:val="single" w:sz="4" w:space="0" w:color="000000"/>
              <w:right w:val="single" w:sz="4" w:space="0" w:color="000000"/>
            </w:tcBorders>
            <w:shd w:val="clear" w:color="auto" w:fill="D2D2D2"/>
          </w:tcPr>
          <w:p>
            <w:pPr/>
          </w:p>
        </w:tc>
        <w:tc>
          <w:tcPr>
            <w:tcW w:w="2417" w:type="dxa"/>
            <w:vMerge/>
            <w:tcBorders>
              <w:left w:val="single" w:sz="4" w:space="0" w:color="000000"/>
              <w:bottom w:val="single" w:sz="4" w:space="0" w:color="000000"/>
              <w:right w:val="single" w:sz="4" w:space="0" w:color="000000"/>
            </w:tcBorders>
            <w:shd w:val="clear" w:color="auto" w:fill="D2D2D2"/>
          </w:tcPr>
          <w:p>
            <w:pPr/>
          </w:p>
        </w:tc>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bl>
    <w:p>
      <w:pPr>
        <w:spacing w:after="0" w:line="240" w:lineRule="auto"/>
        <w:jc w:val="left"/>
        <w:rPr>
          <w:rFonts w:ascii="宋体" w:hAnsi="宋体" w:cs="宋体" w:eastAsia="宋体" w:hint="default"/>
          <w:sz w:val="18"/>
          <w:szCs w:val="18"/>
        </w:rPr>
        <w:sectPr>
          <w:pgSz w:w="11910" w:h="16840"/>
          <w:pgMar w:header="877" w:footer="1227" w:top="1100" w:bottom="1420" w:left="1660" w:right="1640"/>
        </w:sectPr>
      </w:pPr>
    </w:p>
    <w:p>
      <w:pPr>
        <w:spacing w:line="240" w:lineRule="auto" w:before="8"/>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2570"/>
        <w:gridCol w:w="2428"/>
        <w:gridCol w:w="1673"/>
        <w:gridCol w:w="1695"/>
      </w:tblGrid>
      <w:tr>
        <w:trPr>
          <w:trHeight w:val="401" w:hRule="exact"/>
        </w:trPr>
        <w:tc>
          <w:tcPr>
            <w:tcW w:w="2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4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10.84%</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0.72</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0.72</w:t>
            </w:r>
          </w:p>
        </w:tc>
      </w:tr>
      <w:tr>
        <w:trPr>
          <w:trHeight w:val="715" w:hRule="exact"/>
        </w:trPr>
        <w:tc>
          <w:tcPr>
            <w:tcW w:w="2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14"/>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24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9.45%</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0.63</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0.63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w:t>
      </w:r>
      <w:r>
        <w:rPr>
          <w:spacing w:val="-3"/>
        </w:rPr>
        <w:t> </w:t>
      </w:r>
      <w:r>
        <w:rPr/>
        <w:t>公司主要会计报表项目的异常情况及原因的说明</w:t>
      </w:r>
      <w:r>
        <w:rPr>
          <w:b w:val="0"/>
          <w:bCs w:val="0"/>
        </w:rPr>
      </w:r>
    </w:p>
    <w:p>
      <w:pPr>
        <w:spacing w:line="240" w:lineRule="auto" w:before="8"/>
        <w:rPr>
          <w:rFonts w:ascii="宋体" w:hAnsi="宋体" w:cs="宋体" w:eastAsia="宋体" w:hint="default"/>
          <w:b/>
          <w:bCs/>
          <w:sz w:val="30"/>
          <w:szCs w:val="30"/>
        </w:rPr>
      </w:pPr>
    </w:p>
    <w:p>
      <w:pPr>
        <w:pStyle w:val="BodyText"/>
        <w:spacing w:line="386" w:lineRule="auto"/>
        <w:ind w:right="0" w:firstLine="419"/>
        <w:jc w:val="left"/>
      </w:pPr>
      <w:r>
        <w:rPr>
          <w:spacing w:val="-2"/>
        </w:rPr>
        <w:t>（</w:t>
      </w:r>
      <w:r>
        <w:rPr>
          <w:rFonts w:ascii="Times New Roman" w:hAnsi="Times New Roman" w:cs="Times New Roman" w:eastAsia="Times New Roman" w:hint="default"/>
          <w:spacing w:val="-2"/>
        </w:rPr>
        <w:t>1</w:t>
      </w:r>
      <w:r>
        <w:rPr>
          <w:spacing w:val="-2"/>
        </w:rPr>
        <w:t>）应收账款年末账面金额较年初增加</w:t>
      </w:r>
      <w:r>
        <w:rPr>
          <w:rFonts w:ascii="Times New Roman" w:hAnsi="Times New Roman" w:cs="Times New Roman" w:eastAsia="Times New Roman" w:hint="default"/>
          <w:spacing w:val="-2"/>
        </w:rPr>
        <w:t>57.88%</w:t>
      </w:r>
      <w:r>
        <w:rPr>
          <w:spacing w:val="-2"/>
        </w:rPr>
        <w:t>，主要是由于公司经营规模扩大营业收</w:t>
      </w:r>
      <w:r>
        <w:rPr>
          <w:w w:val="100"/>
        </w:rPr>
        <w:t> </w:t>
      </w:r>
      <w:r>
        <w:rPr/>
        <w:t>入增加所致。</w:t>
      </w:r>
    </w:p>
    <w:p>
      <w:pPr>
        <w:pStyle w:val="BodyText"/>
        <w:spacing w:line="386" w:lineRule="auto" w:before="65"/>
        <w:ind w:right="0" w:firstLine="419"/>
        <w:jc w:val="left"/>
      </w:pPr>
      <w:r>
        <w:rPr>
          <w:spacing w:val="-7"/>
        </w:rPr>
        <w:t>（</w:t>
      </w:r>
      <w:r>
        <w:rPr>
          <w:rFonts w:ascii="Times New Roman" w:hAnsi="Times New Roman" w:cs="Times New Roman" w:eastAsia="Times New Roman" w:hint="default"/>
          <w:spacing w:val="-7"/>
        </w:rPr>
        <w:t>2</w:t>
      </w:r>
      <w:r>
        <w:rPr>
          <w:spacing w:val="-7"/>
        </w:rPr>
        <w:t>）预付账款年末账面金额较年初减少</w:t>
      </w:r>
      <w:r>
        <w:rPr>
          <w:rFonts w:ascii="Times New Roman" w:hAnsi="Times New Roman" w:cs="Times New Roman" w:eastAsia="Times New Roman" w:hint="default"/>
          <w:spacing w:val="-7"/>
        </w:rPr>
        <w:t>37.59%</w:t>
      </w:r>
      <w:r>
        <w:rPr>
          <w:spacing w:val="-7"/>
        </w:rPr>
        <w:t>，主要是去年预付厦门超级计算中心（云</w:t>
      </w:r>
      <w:r>
        <w:rPr>
          <w:w w:val="100"/>
        </w:rPr>
        <w:t> </w:t>
      </w:r>
      <w:r>
        <w:rPr/>
        <w:t>计算中心）设备款本年结算所致。</w:t>
      </w:r>
    </w:p>
    <w:p>
      <w:pPr>
        <w:pStyle w:val="BodyText"/>
        <w:spacing w:line="386" w:lineRule="auto" w:before="65"/>
        <w:ind w:right="0" w:firstLine="419"/>
        <w:jc w:val="left"/>
      </w:pPr>
      <w:r>
        <w:rPr>
          <w:spacing w:val="-2"/>
        </w:rPr>
        <w:t>（</w:t>
      </w:r>
      <w:r>
        <w:rPr>
          <w:rFonts w:ascii="Times New Roman" w:hAnsi="Times New Roman" w:cs="Times New Roman" w:eastAsia="Times New Roman" w:hint="default"/>
          <w:spacing w:val="-2"/>
        </w:rPr>
        <w:t>3</w:t>
      </w:r>
      <w:r>
        <w:rPr>
          <w:spacing w:val="-2"/>
        </w:rPr>
        <w:t>）应收利息年末账面金额较年初减少</w:t>
      </w:r>
      <w:r>
        <w:rPr>
          <w:rFonts w:ascii="Times New Roman" w:hAnsi="Times New Roman" w:cs="Times New Roman" w:eastAsia="Times New Roman" w:hint="default"/>
          <w:spacing w:val="-2"/>
        </w:rPr>
        <w:t>68.11%</w:t>
      </w:r>
      <w:r>
        <w:rPr>
          <w:spacing w:val="-2"/>
        </w:rPr>
        <w:t>，主要是去年定期存款均为</w:t>
      </w:r>
      <w:r>
        <w:rPr>
          <w:rFonts w:ascii="Times New Roman" w:hAnsi="Times New Roman" w:cs="Times New Roman" w:eastAsia="Times New Roman" w:hint="default"/>
          <w:spacing w:val="-2"/>
        </w:rPr>
        <w:t>1</w:t>
      </w:r>
      <w:r>
        <w:rPr>
          <w:spacing w:val="-2"/>
        </w:rPr>
        <w:t>年期，本</w:t>
      </w:r>
      <w:r>
        <w:rPr>
          <w:w w:val="100"/>
        </w:rPr>
        <w:t> </w:t>
      </w:r>
      <w:r>
        <w:rPr/>
        <w:t>年多为三个月定期存款导致计息期较短。</w:t>
      </w:r>
    </w:p>
    <w:p>
      <w:pPr>
        <w:pStyle w:val="BodyText"/>
        <w:spacing w:line="386" w:lineRule="auto" w:before="65"/>
        <w:ind w:right="249" w:firstLine="419"/>
        <w:jc w:val="left"/>
      </w:pPr>
      <w:r>
        <w:rPr>
          <w:spacing w:val="-2"/>
        </w:rPr>
        <w:t>（</w:t>
      </w:r>
      <w:r>
        <w:rPr>
          <w:rFonts w:ascii="Times New Roman" w:hAnsi="Times New Roman" w:cs="Times New Roman" w:eastAsia="Times New Roman" w:hint="default"/>
          <w:spacing w:val="-2"/>
        </w:rPr>
        <w:t>4</w:t>
      </w:r>
      <w:r>
        <w:rPr>
          <w:spacing w:val="-2"/>
        </w:rPr>
        <w:t>）固定资产年末账面价值较年初增加</w:t>
      </w:r>
      <w:r>
        <w:rPr>
          <w:rFonts w:ascii="Times New Roman" w:hAnsi="Times New Roman" w:cs="Times New Roman" w:eastAsia="Times New Roman" w:hint="default"/>
          <w:spacing w:val="-2"/>
        </w:rPr>
        <w:t>100.47%</w:t>
      </w:r>
      <w:r>
        <w:rPr>
          <w:spacing w:val="-2"/>
        </w:rPr>
        <w:t>，主要是本年厦门超级计算中心（云</w:t>
      </w:r>
      <w:r>
        <w:rPr>
          <w:w w:val="100"/>
        </w:rPr>
        <w:t> </w:t>
      </w:r>
      <w:r>
        <w:rPr/>
        <w:t>计算中心）竣工和新购</w:t>
      </w:r>
      <w:r>
        <w:rPr>
          <w:rFonts w:ascii="Times New Roman" w:hAnsi="Times New Roman" w:cs="Times New Roman" w:eastAsia="Times New Roman" w:hint="default"/>
        </w:rPr>
        <w:t>12#</w:t>
      </w:r>
      <w:r>
        <w:rPr/>
        <w:t>楼</w:t>
      </w:r>
      <w:r>
        <w:rPr>
          <w:rFonts w:ascii="Times New Roman" w:hAnsi="Times New Roman" w:cs="Times New Roman" w:eastAsia="Times New Roman" w:hint="default"/>
        </w:rPr>
        <w:t>103-403</w:t>
      </w:r>
      <w:r>
        <w:rPr/>
        <w:t>单元房产所致。</w:t>
      </w:r>
    </w:p>
    <w:p>
      <w:pPr>
        <w:pStyle w:val="BodyText"/>
        <w:spacing w:line="386" w:lineRule="auto" w:before="35"/>
        <w:ind w:right="0" w:firstLine="419"/>
        <w:jc w:val="left"/>
      </w:pPr>
      <w:r>
        <w:rPr>
          <w:spacing w:val="-2"/>
        </w:rPr>
        <w:t>（</w:t>
      </w:r>
      <w:r>
        <w:rPr>
          <w:rFonts w:ascii="Times New Roman" w:hAnsi="Times New Roman" w:cs="Times New Roman" w:eastAsia="Times New Roman" w:hint="default"/>
          <w:spacing w:val="-2"/>
        </w:rPr>
        <w:t>5</w:t>
      </w:r>
      <w:r>
        <w:rPr>
          <w:spacing w:val="-2"/>
        </w:rPr>
        <w:t>）在建工程年末账面价值较年初增加</w:t>
      </w:r>
      <w:r>
        <w:rPr>
          <w:rFonts w:ascii="Times New Roman" w:hAnsi="Times New Roman" w:cs="Times New Roman" w:eastAsia="Times New Roman" w:hint="default"/>
          <w:spacing w:val="-2"/>
        </w:rPr>
        <w:t>3277.69%</w:t>
      </w:r>
      <w:r>
        <w:rPr>
          <w:spacing w:val="-2"/>
        </w:rPr>
        <w:t>，主要是本年购入东海火炬科技园</w:t>
      </w:r>
      <w:r>
        <w:rPr>
          <w:rFonts w:ascii="Times New Roman" w:hAnsi="Times New Roman" w:cs="Times New Roman" w:eastAsia="Times New Roman" w:hint="default"/>
          <w:spacing w:val="-2"/>
        </w:rPr>
        <w:t>3#</w:t>
      </w:r>
      <w:r>
        <w:rPr>
          <w:rFonts w:ascii="Times New Roman" w:hAnsi="Times New Roman" w:cs="Times New Roman" w:eastAsia="Times New Roman" w:hint="default"/>
          <w:w w:val="100"/>
        </w:rPr>
        <w:t> </w:t>
      </w:r>
      <w:r>
        <w:rPr/>
        <w:t>楼已交房正处于装修阶段。</w:t>
      </w:r>
    </w:p>
    <w:p>
      <w:pPr>
        <w:pStyle w:val="BodyText"/>
        <w:spacing w:line="386" w:lineRule="auto" w:before="65"/>
        <w:ind w:right="0" w:firstLine="419"/>
        <w:jc w:val="left"/>
      </w:pPr>
      <w:r>
        <w:rPr>
          <w:spacing w:val="-2"/>
        </w:rPr>
        <w:t>（</w:t>
      </w:r>
      <w:r>
        <w:rPr>
          <w:rFonts w:ascii="Times New Roman" w:hAnsi="Times New Roman" w:cs="Times New Roman" w:eastAsia="Times New Roman" w:hint="default"/>
          <w:spacing w:val="-2"/>
        </w:rPr>
        <w:t>6</w:t>
      </w:r>
      <w:r>
        <w:rPr>
          <w:spacing w:val="-2"/>
        </w:rPr>
        <w:t>）无形资产年末账面价值较年初增加</w:t>
      </w:r>
      <w:r>
        <w:rPr>
          <w:rFonts w:ascii="Times New Roman" w:hAnsi="Times New Roman" w:cs="Times New Roman" w:eastAsia="Times New Roman" w:hint="default"/>
          <w:spacing w:val="-2"/>
        </w:rPr>
        <w:t>1889.92%</w:t>
      </w:r>
      <w:r>
        <w:rPr>
          <w:spacing w:val="-2"/>
        </w:rPr>
        <w:t>，主要是本年内部研发项目完成转无</w:t>
      </w:r>
      <w:r>
        <w:rPr>
          <w:w w:val="100"/>
        </w:rPr>
        <w:t> </w:t>
      </w:r>
      <w:r>
        <w:rPr/>
        <w:t>形资产所致。</w:t>
      </w:r>
    </w:p>
    <w:p>
      <w:pPr>
        <w:pStyle w:val="BodyText"/>
        <w:spacing w:line="386" w:lineRule="auto" w:before="65"/>
        <w:ind w:right="0" w:firstLine="419"/>
        <w:jc w:val="left"/>
      </w:pPr>
      <w:r>
        <w:rPr>
          <w:spacing w:val="-2"/>
        </w:rPr>
        <w:t>（</w:t>
      </w:r>
      <w:r>
        <w:rPr>
          <w:rFonts w:ascii="Times New Roman" w:hAnsi="Times New Roman" w:cs="Times New Roman" w:eastAsia="Times New Roman" w:hint="default"/>
          <w:spacing w:val="-2"/>
        </w:rPr>
        <w:t>7</w:t>
      </w:r>
      <w:r>
        <w:rPr>
          <w:spacing w:val="-2"/>
        </w:rPr>
        <w:t>）长期待摊费用年末账面余额较年初增加</w:t>
      </w:r>
      <w:r>
        <w:rPr>
          <w:rFonts w:ascii="Times New Roman" w:hAnsi="Times New Roman" w:cs="Times New Roman" w:eastAsia="Times New Roman" w:hint="default"/>
          <w:spacing w:val="-2"/>
        </w:rPr>
        <w:t>85.87%</w:t>
      </w:r>
      <w:r>
        <w:rPr>
          <w:spacing w:val="-2"/>
        </w:rPr>
        <w:t>，主要是本年新增位于软件园二期</w:t>
      </w:r>
      <w:r>
        <w:rPr>
          <w:w w:val="100"/>
        </w:rPr>
        <w:t> </w:t>
      </w:r>
      <w:r>
        <w:rPr/>
        <w:t>观日路</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101</w:t>
      </w:r>
      <w:r>
        <w:rPr/>
        <w:t>单元的厦门超级计算中心（云计算中心）装修费所致。</w:t>
      </w:r>
    </w:p>
    <w:p>
      <w:pPr>
        <w:pStyle w:val="BodyText"/>
        <w:spacing w:line="386" w:lineRule="auto" w:before="35"/>
        <w:ind w:right="0" w:firstLine="419"/>
        <w:jc w:val="left"/>
      </w:pPr>
      <w:r>
        <w:rPr>
          <w:spacing w:val="-2"/>
        </w:rPr>
        <w:t>（</w:t>
      </w:r>
      <w:r>
        <w:rPr>
          <w:rFonts w:ascii="Times New Roman" w:hAnsi="Times New Roman" w:cs="Times New Roman" w:eastAsia="Times New Roman" w:hint="default"/>
          <w:spacing w:val="-2"/>
        </w:rPr>
        <w:t>8</w:t>
      </w:r>
      <w:r>
        <w:rPr>
          <w:spacing w:val="-2"/>
        </w:rPr>
        <w:t>）专项应付款年末账面金额较年初增加</w:t>
      </w:r>
      <w:r>
        <w:rPr>
          <w:rFonts w:ascii="Times New Roman" w:hAnsi="Times New Roman" w:cs="Times New Roman" w:eastAsia="Times New Roman" w:hint="default"/>
          <w:spacing w:val="-2"/>
        </w:rPr>
        <w:t>83.33%</w:t>
      </w:r>
      <w:r>
        <w:rPr>
          <w:spacing w:val="-2"/>
        </w:rPr>
        <w:t>，主要是由于本年新增厦门经发局及</w:t>
      </w:r>
      <w:r>
        <w:rPr>
          <w:w w:val="100"/>
        </w:rPr>
        <w:t> </w:t>
      </w:r>
      <w:r>
        <w:rPr/>
        <w:t>厦门财政局专项补助款</w:t>
      </w:r>
      <w:r>
        <w:rPr>
          <w:rFonts w:ascii="Times New Roman" w:hAnsi="Times New Roman" w:cs="Times New Roman" w:eastAsia="Times New Roman" w:hint="default"/>
        </w:rPr>
        <w:t>25</w:t>
      </w:r>
      <w:r>
        <w:rPr/>
        <w:t>万元所致。</w:t>
      </w:r>
    </w:p>
    <w:p>
      <w:pPr>
        <w:pStyle w:val="BodyText"/>
        <w:spacing w:line="386" w:lineRule="auto" w:before="35"/>
        <w:ind w:right="0" w:firstLine="419"/>
        <w:jc w:val="left"/>
      </w:pPr>
      <w:r>
        <w:rPr>
          <w:spacing w:val="-3"/>
        </w:rPr>
        <w:t>（</w:t>
      </w:r>
      <w:r>
        <w:rPr>
          <w:rFonts w:ascii="Times New Roman" w:hAnsi="Times New Roman" w:cs="Times New Roman" w:eastAsia="Times New Roman" w:hint="default"/>
          <w:spacing w:val="-3"/>
        </w:rPr>
        <w:t>9</w:t>
      </w:r>
      <w:r>
        <w:rPr>
          <w:spacing w:val="-3"/>
        </w:rPr>
        <w:t>）营业收入本年发生额</w:t>
      </w:r>
      <w:r>
        <w:rPr>
          <w:rFonts w:ascii="Times New Roman" w:hAnsi="Times New Roman" w:cs="Times New Roman" w:eastAsia="Times New Roman" w:hint="default"/>
          <w:spacing w:val="-3"/>
        </w:rPr>
        <w:t>349,997,542.03</w:t>
      </w:r>
      <w:r>
        <w:rPr>
          <w:spacing w:val="-3"/>
        </w:rPr>
        <w:t>元，较上年增加</w:t>
      </w:r>
      <w:r>
        <w:rPr>
          <w:rFonts w:ascii="Times New Roman" w:hAnsi="Times New Roman" w:cs="Times New Roman" w:eastAsia="Times New Roman" w:hint="default"/>
          <w:spacing w:val="-3"/>
        </w:rPr>
        <w:t>30.35%</w:t>
      </w:r>
      <w:r>
        <w:rPr>
          <w:spacing w:val="-3"/>
        </w:rPr>
        <w:t>，主要是加大研发费用</w:t>
      </w:r>
      <w:r>
        <w:rPr>
          <w:w w:val="100"/>
        </w:rPr>
        <w:t> </w:t>
      </w:r>
      <w:r>
        <w:rPr/>
        <w:t>投入和市场拓展力度增加了收入所致。</w:t>
      </w:r>
    </w:p>
    <w:p>
      <w:pPr>
        <w:pStyle w:val="BodyText"/>
        <w:spacing w:line="386" w:lineRule="auto" w:before="65"/>
        <w:ind w:right="0" w:firstLine="419"/>
        <w:jc w:val="left"/>
      </w:pPr>
      <w:r>
        <w:rPr>
          <w:spacing w:val="-2"/>
        </w:rPr>
        <w:t>（</w:t>
      </w:r>
      <w:r>
        <w:rPr>
          <w:rFonts w:ascii="Times New Roman" w:hAnsi="Times New Roman" w:cs="Times New Roman" w:eastAsia="Times New Roman" w:hint="default"/>
          <w:spacing w:val="-2"/>
        </w:rPr>
        <w:t>10</w:t>
      </w:r>
      <w:r>
        <w:rPr>
          <w:spacing w:val="-2"/>
        </w:rPr>
        <w:t>）营业成本本年发生额</w:t>
      </w:r>
      <w:r>
        <w:rPr>
          <w:rFonts w:ascii="Times New Roman" w:hAnsi="Times New Roman" w:cs="Times New Roman" w:eastAsia="Times New Roman" w:hint="default"/>
          <w:spacing w:val="-2"/>
        </w:rPr>
        <w:t>140,105,791.84</w:t>
      </w:r>
      <w:r>
        <w:rPr>
          <w:spacing w:val="-2"/>
        </w:rPr>
        <w:t>元，较上年增加</w:t>
      </w:r>
      <w:r>
        <w:rPr>
          <w:rFonts w:ascii="Times New Roman" w:hAnsi="Times New Roman" w:cs="Times New Roman" w:eastAsia="Times New Roman" w:hint="default"/>
          <w:spacing w:val="-2"/>
        </w:rPr>
        <w:t>42.86%</w:t>
      </w:r>
      <w:r>
        <w:rPr>
          <w:spacing w:val="-2"/>
        </w:rPr>
        <w:t>，主要是营业收入的</w:t>
      </w:r>
      <w:r>
        <w:rPr>
          <w:w w:val="100"/>
        </w:rPr>
        <w:t> </w:t>
      </w:r>
      <w:r>
        <w:rPr/>
        <w:t>增加相应营业成本的增加所致。</w:t>
      </w:r>
    </w:p>
    <w:p>
      <w:pPr>
        <w:pStyle w:val="BodyText"/>
        <w:spacing w:line="386" w:lineRule="auto" w:before="65"/>
        <w:ind w:right="0" w:firstLine="419"/>
        <w:jc w:val="left"/>
      </w:pPr>
      <w:r>
        <w:rPr>
          <w:spacing w:val="-3"/>
        </w:rPr>
        <w:t>（</w:t>
      </w:r>
      <w:r>
        <w:rPr>
          <w:rFonts w:ascii="Times New Roman" w:hAnsi="Times New Roman" w:cs="Times New Roman" w:eastAsia="Times New Roman" w:hint="default"/>
          <w:spacing w:val="-3"/>
        </w:rPr>
        <w:t>11</w:t>
      </w:r>
      <w:r>
        <w:rPr>
          <w:spacing w:val="-3"/>
        </w:rPr>
        <w:t>）管理费用本年发生额</w:t>
      </w:r>
      <w:r>
        <w:rPr>
          <w:rFonts w:ascii="Times New Roman" w:hAnsi="Times New Roman" w:cs="Times New Roman" w:eastAsia="Times New Roman" w:hint="default"/>
          <w:spacing w:val="-3"/>
        </w:rPr>
        <w:t>93,799,341.99</w:t>
      </w:r>
      <w:r>
        <w:rPr>
          <w:spacing w:val="-3"/>
        </w:rPr>
        <w:t>元，较上年增加</w:t>
      </w:r>
      <w:r>
        <w:rPr>
          <w:rFonts w:ascii="Times New Roman" w:hAnsi="Times New Roman" w:cs="Times New Roman" w:eastAsia="Times New Roman" w:hint="default"/>
          <w:spacing w:val="-3"/>
        </w:rPr>
        <w:t>39.73%</w:t>
      </w:r>
      <w:r>
        <w:rPr>
          <w:spacing w:val="-3"/>
        </w:rPr>
        <w:t>，主要是业务扩张导致</w:t>
      </w:r>
      <w:r>
        <w:rPr>
          <w:w w:val="100"/>
        </w:rPr>
        <w:t> </w:t>
      </w:r>
      <w:r>
        <w:rPr/>
        <w:t>人员人工、研发费用投入增加所致。</w:t>
      </w:r>
    </w:p>
    <w:p>
      <w:pPr>
        <w:pStyle w:val="BodyText"/>
        <w:spacing w:line="386" w:lineRule="auto" w:before="65"/>
        <w:ind w:right="0" w:firstLine="419"/>
        <w:jc w:val="left"/>
      </w:pPr>
      <w:r>
        <w:rPr>
          <w:spacing w:val="-3"/>
        </w:rPr>
        <w:t>（</w:t>
      </w:r>
      <w:r>
        <w:rPr>
          <w:rFonts w:ascii="Times New Roman" w:hAnsi="Times New Roman" w:cs="Times New Roman" w:eastAsia="Times New Roman" w:hint="default"/>
          <w:spacing w:val="-3"/>
        </w:rPr>
        <w:t>12</w:t>
      </w:r>
      <w:r>
        <w:rPr>
          <w:spacing w:val="-3"/>
        </w:rPr>
        <w:t>）营业外收入本年发生额</w:t>
      </w:r>
      <w:r>
        <w:rPr>
          <w:rFonts w:ascii="Times New Roman" w:hAnsi="Times New Roman" w:cs="Times New Roman" w:eastAsia="Times New Roman" w:hint="default"/>
          <w:spacing w:val="-3"/>
        </w:rPr>
        <w:t>30,866,562.70</w:t>
      </w:r>
      <w:r>
        <w:rPr>
          <w:spacing w:val="-3"/>
        </w:rPr>
        <w:t>元，较上年增加</w:t>
      </w:r>
      <w:r>
        <w:rPr>
          <w:rFonts w:ascii="Times New Roman" w:hAnsi="Times New Roman" w:cs="Times New Roman" w:eastAsia="Times New Roman" w:hint="default"/>
          <w:spacing w:val="-3"/>
        </w:rPr>
        <w:t>69.07%</w:t>
      </w:r>
      <w:r>
        <w:rPr>
          <w:spacing w:val="-3"/>
        </w:rPr>
        <w:t>，是软件增值税返还</w:t>
      </w:r>
      <w:r>
        <w:rPr>
          <w:w w:val="100"/>
        </w:rPr>
        <w:t> </w:t>
      </w:r>
      <w:r>
        <w:rPr/>
        <w:t>等政府补助较同期增加所致。</w:t>
      </w:r>
    </w:p>
    <w:p>
      <w:pPr>
        <w:pStyle w:val="BodyText"/>
        <w:spacing w:line="240" w:lineRule="auto" w:before="65"/>
        <w:ind w:left="560" w:right="0"/>
        <w:jc w:val="left"/>
      </w:pPr>
      <w:r>
        <w:rPr/>
        <w:t>（</w:t>
      </w:r>
      <w:r>
        <w:rPr>
          <w:rFonts w:ascii="Times New Roman" w:hAnsi="Times New Roman" w:cs="Times New Roman" w:eastAsia="Times New Roman" w:hint="default"/>
        </w:rPr>
        <w:t>13</w:t>
      </w:r>
      <w:r>
        <w:rPr/>
        <w:t>）所得税费用本年发生额</w:t>
      </w:r>
      <w:r>
        <w:rPr>
          <w:rFonts w:ascii="Times New Roman" w:hAnsi="Times New Roman" w:cs="Times New Roman" w:eastAsia="Times New Roman" w:hint="default"/>
        </w:rPr>
        <w:t>4,594,125.54</w:t>
      </w:r>
      <w:r>
        <w:rPr/>
        <w:t>元，较上年减少</w:t>
      </w:r>
      <w:r>
        <w:rPr>
          <w:rFonts w:ascii="Times New Roman" w:hAnsi="Times New Roman" w:cs="Times New Roman" w:eastAsia="Times New Roman" w:hint="default"/>
        </w:rPr>
        <w:t>47.22%</w:t>
      </w:r>
      <w:r>
        <w:rPr/>
        <w:t>，主要是本公司取得</w:t>
      </w:r>
    </w:p>
    <w:p>
      <w:pPr>
        <w:spacing w:after="0" w:line="240" w:lineRule="auto"/>
        <w:jc w:val="left"/>
        <w:sectPr>
          <w:pgSz w:w="11910" w:h="16840"/>
          <w:pgMar w:header="877" w:footer="1227" w:top="1100" w:bottom="1420" w:left="1660" w:right="1640"/>
        </w:sectPr>
      </w:pPr>
    </w:p>
    <w:p>
      <w:pPr>
        <w:spacing w:line="240" w:lineRule="auto" w:before="9"/>
        <w:rPr>
          <w:rFonts w:ascii="宋体" w:hAnsi="宋体" w:cs="宋体" w:eastAsia="宋体" w:hint="default"/>
          <w:sz w:val="26"/>
          <w:szCs w:val="26"/>
        </w:rPr>
      </w:pPr>
    </w:p>
    <w:p>
      <w:pPr>
        <w:pStyle w:val="BodyText"/>
        <w:spacing w:line="240" w:lineRule="auto" w:before="36"/>
        <w:ind w:right="0"/>
        <w:jc w:val="left"/>
      </w:pPr>
      <w:r>
        <w:rPr/>
        <w:t>国家重点规划布局软件企业，享受</w:t>
      </w:r>
      <w:r>
        <w:rPr>
          <w:rFonts w:ascii="Times New Roman" w:hAnsi="Times New Roman" w:cs="Times New Roman" w:eastAsia="Times New Roman" w:hint="default"/>
        </w:rPr>
        <w:t>10%</w:t>
      </w:r>
      <w:r>
        <w:rPr/>
        <w:t>的所得税率优惠所致。</w:t>
      </w:r>
    </w:p>
    <w:p>
      <w:pPr>
        <w:spacing w:line="240" w:lineRule="auto" w:before="9"/>
        <w:rPr>
          <w:rFonts w:ascii="宋体" w:hAnsi="宋体" w:cs="宋体" w:eastAsia="宋体" w:hint="default"/>
          <w:sz w:val="28"/>
          <w:szCs w:val="28"/>
        </w:rPr>
      </w:pPr>
    </w:p>
    <w:p>
      <w:pPr>
        <w:pStyle w:val="Heading2"/>
        <w:spacing w:line="240" w:lineRule="auto"/>
        <w:ind w:left="140" w:right="0"/>
        <w:jc w:val="left"/>
        <w:rPr>
          <w:b w:val="0"/>
          <w:bCs w:val="0"/>
        </w:rPr>
      </w:pPr>
      <w:r>
        <w:rPr/>
        <w:t>十七、财务报表的批准</w:t>
      </w:r>
      <w:r>
        <w:rPr>
          <w:b w:val="0"/>
          <w:bCs w:val="0"/>
        </w:rPr>
      </w:r>
    </w:p>
    <w:p>
      <w:pPr>
        <w:spacing w:line="240" w:lineRule="auto" w:before="10"/>
        <w:rPr>
          <w:rFonts w:ascii="宋体" w:hAnsi="宋体" w:cs="宋体" w:eastAsia="宋体" w:hint="default"/>
          <w:b/>
          <w:bCs/>
          <w:sz w:val="30"/>
          <w:szCs w:val="30"/>
        </w:rPr>
      </w:pPr>
    </w:p>
    <w:p>
      <w:pPr>
        <w:pStyle w:val="BodyText"/>
        <w:spacing w:line="386" w:lineRule="auto"/>
        <w:ind w:left="560" w:right="0"/>
        <w:jc w:val="left"/>
      </w:pPr>
      <w:r>
        <w:rPr>
          <w:spacing w:val="-2"/>
        </w:rPr>
        <w:t>本财务报表业经本公司董事会于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26</w:t>
      </w:r>
      <w:r>
        <w:rPr>
          <w:spacing w:val="-2"/>
        </w:rPr>
        <w:t>日决议批准。</w:t>
      </w:r>
      <w:r>
        <w:rPr>
          <w:spacing w:val="-49"/>
        </w:rPr>
        <w:t> </w:t>
      </w:r>
      <w:r>
        <w:rPr>
          <w:spacing w:val="-49"/>
        </w:rPr>
      </w:r>
      <w:r>
        <w:rPr/>
        <w:t>根据本公司章程，本财务报表将提交股东大会审议。</w:t>
      </w:r>
    </w:p>
    <w:p>
      <w:pPr>
        <w:pStyle w:val="Heading3"/>
        <w:tabs>
          <w:tab w:pos="2881" w:val="left" w:leader="none"/>
          <w:tab w:pos="6042" w:val="left" w:leader="none"/>
        </w:tabs>
        <w:spacing w:line="240" w:lineRule="auto" w:before="106"/>
        <w:ind w:left="562" w:right="0"/>
        <w:jc w:val="left"/>
        <w:rPr>
          <w:b w:val="0"/>
          <w:bCs w:val="0"/>
        </w:rPr>
      </w:pPr>
      <w:r>
        <w:rPr/>
        <w:t>法定代表人：刘祥南</w:t>
        <w:tab/>
      </w:r>
      <w:r>
        <w:rPr>
          <w:spacing w:val="-1"/>
        </w:rPr>
        <w:t>主管会计工作的负责人：张乃军</w:t>
        <w:tab/>
        <w:t>会计机构负责人：陈志友</w:t>
      </w:r>
      <w:r>
        <w:rPr>
          <w:b w:val="0"/>
          <w:bCs w:val="0"/>
          <w:spacing w:val="-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pStyle w:val="Heading3"/>
        <w:spacing w:line="240" w:lineRule="auto"/>
        <w:ind w:left="0" w:right="554"/>
        <w:jc w:val="right"/>
        <w:rPr>
          <w:b w:val="0"/>
          <w:bCs w:val="0"/>
        </w:rPr>
      </w:pPr>
      <w:r>
        <w:rPr>
          <w:spacing w:val="-1"/>
        </w:rPr>
        <w:t>厦门市美亚柏科信息股份有限公司</w:t>
      </w:r>
      <w:r>
        <w:rPr>
          <w:b w:val="0"/>
          <w:bCs w:val="0"/>
          <w:spacing w:val="-1"/>
        </w:rPr>
      </w:r>
    </w:p>
    <w:p>
      <w:pPr>
        <w:spacing w:line="240" w:lineRule="auto" w:before="10"/>
        <w:rPr>
          <w:rFonts w:ascii="宋体" w:hAnsi="宋体" w:cs="宋体" w:eastAsia="宋体" w:hint="default"/>
          <w:b/>
          <w:bCs/>
          <w:sz w:val="17"/>
          <w:szCs w:val="17"/>
        </w:rPr>
      </w:pPr>
    </w:p>
    <w:p>
      <w:pPr>
        <w:pStyle w:val="Heading3"/>
        <w:spacing w:line="240" w:lineRule="auto"/>
        <w:ind w:left="0" w:right="556"/>
        <w:jc w:val="right"/>
        <w:rPr>
          <w:b w:val="0"/>
          <w:bCs w:val="0"/>
        </w:rPr>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26</w:t>
      </w:r>
      <w:r>
        <w:rPr>
          <w:spacing w:val="-1"/>
        </w:rPr>
        <w:t>日</w:t>
      </w:r>
      <w:r>
        <w:rPr>
          <w:b w:val="0"/>
          <w:bCs w:val="0"/>
          <w:spacing w:val="-1"/>
        </w:rPr>
      </w:r>
    </w:p>
    <w:p>
      <w:pPr>
        <w:spacing w:after="0" w:line="240" w:lineRule="auto"/>
        <w:jc w:val="right"/>
        <w:sectPr>
          <w:pgSz w:w="11910" w:h="16840"/>
          <w:pgMar w:header="877" w:footer="1227" w:top="1100" w:bottom="1420" w:left="1660" w:right="16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Heading1"/>
        <w:spacing w:line="240" w:lineRule="auto"/>
        <w:ind w:left="2766" w:right="0"/>
        <w:jc w:val="left"/>
        <w:rPr>
          <w:b w:val="0"/>
          <w:bCs w:val="0"/>
        </w:rPr>
      </w:pPr>
      <w:bookmarkStart w:name="_TOC_250000" w:id="9"/>
      <w:r>
        <w:rPr/>
        <w:t>第十节</w:t>
      </w:r>
      <w:r>
        <w:rPr>
          <w:spacing w:val="-6"/>
        </w:rPr>
        <w:t> </w:t>
      </w:r>
      <w:r>
        <w:rPr/>
        <w:t>备查文件目录</w:t>
      </w:r>
      <w:bookmarkEnd w:id="9"/>
      <w:r>
        <w:rPr>
          <w:b w:val="0"/>
          <w:bCs w:val="0"/>
        </w:rPr>
      </w:r>
    </w:p>
    <w:p>
      <w:pPr>
        <w:spacing w:line="240" w:lineRule="auto" w:before="10"/>
        <w:rPr>
          <w:rFonts w:ascii="宋体" w:hAnsi="宋体" w:cs="宋体" w:eastAsia="宋体" w:hint="default"/>
          <w:b/>
          <w:bCs/>
          <w:sz w:val="46"/>
          <w:szCs w:val="46"/>
        </w:rPr>
      </w:pPr>
    </w:p>
    <w:p>
      <w:pPr>
        <w:pStyle w:val="BodyText"/>
        <w:spacing w:line="408" w:lineRule="auto"/>
        <w:ind w:right="0" w:firstLine="479"/>
        <w:jc w:val="left"/>
      </w:pPr>
      <w:r>
        <w:rPr/>
        <w:t>一、公司法定代表人、主管会计工作负责人、会计机构负责人（会计主管人员）签名</w:t>
      </w:r>
      <w:r>
        <w:rPr>
          <w:w w:val="100"/>
        </w:rPr>
        <w:t> </w:t>
      </w:r>
      <w:r>
        <w:rPr/>
        <w:t>并盖章的财务报表。</w:t>
      </w:r>
    </w:p>
    <w:p>
      <w:pPr>
        <w:spacing w:line="240" w:lineRule="auto" w:before="6"/>
        <w:rPr>
          <w:rFonts w:ascii="宋体" w:hAnsi="宋体" w:cs="宋体" w:eastAsia="宋体" w:hint="default"/>
          <w:sz w:val="15"/>
          <w:szCs w:val="15"/>
        </w:rPr>
      </w:pPr>
    </w:p>
    <w:p>
      <w:pPr>
        <w:pStyle w:val="BodyText"/>
        <w:spacing w:line="240" w:lineRule="auto"/>
        <w:ind w:left="620" w:right="0"/>
        <w:jc w:val="left"/>
      </w:pPr>
      <w:r>
        <w:rPr/>
        <w:t>二、会计师事务所盖章、注册会计师签名并盖章的审计报告原件。</w:t>
      </w:r>
    </w:p>
    <w:p>
      <w:pPr>
        <w:spacing w:line="240" w:lineRule="auto" w:before="10"/>
        <w:rPr>
          <w:rFonts w:ascii="宋体" w:hAnsi="宋体" w:cs="宋体" w:eastAsia="宋体" w:hint="default"/>
          <w:sz w:val="26"/>
          <w:szCs w:val="26"/>
        </w:rPr>
      </w:pPr>
    </w:p>
    <w:p>
      <w:pPr>
        <w:pStyle w:val="BodyText"/>
        <w:spacing w:line="408" w:lineRule="auto"/>
        <w:ind w:right="0" w:firstLine="479"/>
        <w:jc w:val="left"/>
      </w:pPr>
      <w:r>
        <w:rPr/>
        <w:t>三、报告期内在中国证监会指定网站上公开披露过的本公司所有文件的正本及公告的</w:t>
      </w:r>
      <w:r>
        <w:rPr>
          <w:w w:val="100"/>
        </w:rPr>
        <w:t> </w:t>
      </w:r>
      <w:r>
        <w:rPr/>
        <w:t>原稿。</w:t>
      </w:r>
    </w:p>
    <w:p>
      <w:pPr>
        <w:spacing w:line="240" w:lineRule="auto" w:before="6"/>
        <w:rPr>
          <w:rFonts w:ascii="宋体" w:hAnsi="宋体" w:cs="宋体" w:eastAsia="宋体" w:hint="default"/>
          <w:sz w:val="15"/>
          <w:szCs w:val="15"/>
        </w:rPr>
      </w:pPr>
    </w:p>
    <w:p>
      <w:pPr>
        <w:pStyle w:val="BodyText"/>
        <w:spacing w:line="530" w:lineRule="auto"/>
        <w:ind w:left="620" w:right="2506"/>
        <w:jc w:val="left"/>
      </w:pPr>
      <w:r>
        <w:rPr>
          <w:spacing w:val="-2"/>
        </w:rPr>
        <w:t>四、公司法定代表人签名的</w:t>
      </w:r>
      <w:r>
        <w:rPr>
          <w:rFonts w:ascii="Times New Roman" w:hAnsi="Times New Roman" w:cs="Times New Roman" w:eastAsia="Times New Roman" w:hint="default"/>
          <w:spacing w:val="-2"/>
        </w:rPr>
        <w:t>2012</w:t>
      </w:r>
      <w:r>
        <w:rPr>
          <w:spacing w:val="-2"/>
        </w:rPr>
        <w:t>年年度报告全文及其摘要。</w:t>
      </w:r>
      <w:r>
        <w:rPr>
          <w:spacing w:val="-51"/>
        </w:rPr>
        <w:t> </w:t>
      </w:r>
      <w:r>
        <w:rPr>
          <w:spacing w:val="-51"/>
        </w:rPr>
      </w:r>
      <w:r>
        <w:rPr/>
        <w:t>五、其他相关资料。</w:t>
      </w:r>
      <w:r>
        <w:rPr>
          <w:w w:val="100"/>
        </w:rPr>
        <w:t> </w:t>
      </w:r>
      <w:r>
        <w:rPr/>
        <w:t>以上备查文件的备置地点：公司证券部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3"/>
        <w:tabs>
          <w:tab w:pos="8119" w:val="left" w:leader="none"/>
        </w:tabs>
        <w:spacing w:line="240" w:lineRule="auto"/>
        <w:ind w:left="5646" w:right="0"/>
        <w:jc w:val="left"/>
        <w:rPr>
          <w:rFonts w:ascii="Times New Roman" w:hAnsi="Times New Roman" w:cs="Times New Roman" w:eastAsia="Times New Roman" w:hint="default"/>
          <w:b w:val="0"/>
          <w:bCs w:val="0"/>
        </w:rPr>
      </w:pPr>
      <w:r>
        <w:rPr/>
        <w:t>法定代表人：</w:t>
      </w:r>
      <w:r>
        <w:rPr>
          <w:rFonts w:ascii="Times New Roman" w:hAnsi="Times New Roman" w:cs="Times New Roman" w:eastAsia="Times New Roman" w:hint="default"/>
          <w:w w:val="100"/>
        </w:rPr>
      </w:r>
      <w:r>
        <w:rPr>
          <w:rFonts w:ascii="Times New Roman" w:hAnsi="Times New Roman" w:cs="Times New Roman" w:eastAsia="Times New Roman" w:hint="default"/>
          <w:w w:val="100"/>
          <w:u w:val="single" w:color="000000"/>
        </w:rPr>
        <w:t> </w:t>
      </w:r>
      <w:r>
        <w:rPr>
          <w:rFonts w:ascii="Times New Roman" w:hAnsi="Times New Roman" w:cs="Times New Roman" w:eastAsia="Times New Roman" w:hint="default"/>
          <w:u w:val="single" w:color="000000"/>
        </w:rPr>
        <w:tab/>
      </w:r>
      <w:r>
        <w:rPr>
          <w:rFonts w:ascii="Times New Roman" w:hAnsi="Times New Roman" w:cs="Times New Roman" w:eastAsia="Times New Roman" w:hint="default"/>
        </w:rPr>
      </w:r>
      <w:r>
        <w:rPr>
          <w:rFonts w:ascii="Times New Roman" w:hAnsi="Times New Roman" w:cs="Times New Roman" w:eastAsia="Times New Roman" w:hint="default"/>
          <w:b w:val="0"/>
          <w:bCs w:val="0"/>
        </w:rPr>
      </w:r>
    </w:p>
    <w:p>
      <w:pPr>
        <w:spacing w:line="240" w:lineRule="auto" w:before="2"/>
        <w:rPr>
          <w:rFonts w:ascii="Times New Roman" w:hAnsi="Times New Roman" w:cs="Times New Roman" w:eastAsia="Times New Roman" w:hint="default"/>
          <w:b/>
          <w:bCs/>
          <w:sz w:val="27"/>
          <w:szCs w:val="27"/>
        </w:rPr>
      </w:pPr>
    </w:p>
    <w:p>
      <w:pPr>
        <w:pStyle w:val="Heading3"/>
        <w:spacing w:line="544" w:lineRule="auto" w:before="36"/>
        <w:ind w:left="5286" w:right="133" w:firstLine="1942"/>
        <w:jc w:val="left"/>
        <w:rPr>
          <w:b w:val="0"/>
          <w:bCs w:val="0"/>
        </w:rPr>
      </w:pPr>
      <w:r>
        <w:rPr/>
        <w:t>刘祥南</w:t>
      </w:r>
      <w:r>
        <w:rPr>
          <w:w w:val="100"/>
        </w:rPr>
        <w:t> </w:t>
      </w:r>
      <w:r>
        <w:rPr>
          <w:spacing w:val="-1"/>
        </w:rPr>
        <w:t>厦门市美亚柏科信息股份有限公司</w:t>
      </w:r>
      <w:r>
        <w:rPr>
          <w:b w:val="0"/>
          <w:bCs w:val="0"/>
          <w:spacing w:val="-1"/>
        </w:rPr>
      </w:r>
    </w:p>
    <w:p>
      <w:pPr>
        <w:pStyle w:val="Heading3"/>
        <w:spacing w:line="240" w:lineRule="auto" w:before="5"/>
        <w:ind w:left="0" w:right="136"/>
        <w:jc w:val="right"/>
        <w:rPr>
          <w:b w:val="0"/>
          <w:bCs w:val="0"/>
        </w:rPr>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26</w:t>
      </w:r>
      <w:r>
        <w:rPr>
          <w:spacing w:val="-1"/>
        </w:rPr>
        <w:t>日</w:t>
      </w:r>
      <w:r>
        <w:rPr>
          <w:b w:val="0"/>
          <w:bCs w:val="0"/>
          <w:spacing w:val="-1"/>
        </w:rPr>
      </w:r>
    </w:p>
    <w:sectPr>
      <w:pgSz w:w="11910" w:h="16840"/>
      <w:pgMar w:header="877" w:footer="1227" w:top="1100" w:bottom="1420" w:left="166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69.573914pt;width:13.15pt;height:11pt;mso-position-horizontal-relative:page;mso-position-vertical-relative:page;z-index:-8044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49988pt;margin-top:769.573914pt;width:17.3pt;height:11pt;mso-position-horizontal-relative:page;mso-position-vertical-relative:page;z-index:-804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69.573914pt;width:17.7pt;height:11pt;mso-position-horizontal-relative:page;mso-position-vertical-relative:page;z-index:-8041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69.573914pt;width:17.7pt;height:11pt;mso-position-horizontal-relative:page;mso-position-vertical-relative:page;z-index:-8041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134</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69.573914pt;width:17.7pt;height:11pt;mso-position-horizontal-relative:page;mso-position-vertical-relative:page;z-index:-8041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139</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69.573914pt;width:17.7pt;height:11pt;mso-position-horizontal-relative:page;mso-position-vertical-relative:page;z-index:-8040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159</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69.573914pt;width:13.15pt;height:11pt;mso-position-horizontal-relative:page;mso-position-vertical-relative:page;z-index:-8044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69.573914pt;width:13.15pt;height:11pt;mso-position-horizontal-relative:page;mso-position-vertical-relative:page;z-index:-8044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29</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69.573914pt;width:13.15pt;height:11pt;mso-position-horizontal-relative:page;mso-position-vertical-relative:page;z-index:-804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34</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69.573914pt;width:13.15pt;height:11pt;mso-position-horizontal-relative:page;mso-position-vertical-relative:page;z-index:-8043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39</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69.573914pt;width:13.25pt;height:11pt;mso-position-horizontal-relative:page;mso-position-vertical-relative:page;z-index:-804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48</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69.573914pt;width:13.15pt;height:11pt;mso-position-horizontal-relative:page;mso-position-vertical-relative:page;z-index:-804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92</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29993pt;margin-top:769.573914pt;width:15.7pt;height:11pt;mso-position-horizontal-relative:page;mso-position-vertical-relative:page;z-index:-8042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69.573914pt;width:17.7pt;height:11pt;mso-position-horizontal-relative:page;mso-position-vertical-relative:page;z-index:-8042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80449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26.070007pt;margin-top:42.865608pt;width:213.75pt;height:11.5pt;mso-position-horizontal-relative:page;mso-position-vertical-relative:page;z-index:-8044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厦门市美亚柏科信息股份有限公司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84pt;margin-top:55.559982pt;width:418.3pt;height:.1pt;mso-position-horizontal-relative:page;mso-position-vertical-relative:page;z-index:-804304" coordorigin="1772,1111" coordsize="8366,2">
          <v:shape style="position:absolute;left:1772;top:1111;width:8366;height:2" coordorigin="1772,1111" coordsize="8366,0" path="m1772,1111l10137,1111e" filled="false" stroked="true" strokeweight=".72pt" strokecolor="#000000">
            <v:path arrowok="t"/>
          </v:shape>
          <w10:wrap type="none"/>
        </v:group>
      </w:pict>
    </w:r>
    <w:r>
      <w:rPr/>
      <w:pict>
        <v:shape style="position:absolute;margin-left:292.809998pt;margin-top:42.865608pt;width:213.75pt;height:11.5pt;mso-position-horizontal-relative:page;mso-position-vertical-relative:page;z-index:-8042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厦门市美亚柏科信息股份有限公司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3"/>
      <w:ind w:left="152"/>
    </w:pPr>
    <w:rPr>
      <w:rFonts w:ascii="宋体" w:hAnsi="宋体" w:eastAsia="宋体"/>
      <w:sz w:val="18"/>
      <w:szCs w:val="18"/>
    </w:rPr>
  </w:style>
  <w:style w:styleId="BodyText" w:type="paragraph">
    <w:name w:val="Body Text"/>
    <w:basedOn w:val="Normal"/>
    <w:uiPriority w:val="1"/>
    <w:qFormat/>
    <w:pPr>
      <w:ind w:left="140"/>
    </w:pPr>
    <w:rPr>
      <w:rFonts w:ascii="宋体" w:hAnsi="宋体" w:eastAsia="宋体"/>
      <w:sz w:val="21"/>
      <w:szCs w:val="21"/>
    </w:rPr>
  </w:style>
  <w:style w:styleId="Heading1" w:type="paragraph">
    <w:name w:val="Heading 1"/>
    <w:basedOn w:val="Normal"/>
    <w:uiPriority w:val="1"/>
    <w:qFormat/>
    <w:pPr>
      <w:ind w:left="2241"/>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40"/>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300188.cn/" TargetMode="External"/><Relationship Id="rId9" Type="http://schemas.openxmlformats.org/officeDocument/2006/relationships/hyperlink" Target="mailto:tzzgx@300188.cn" TargetMode="External"/><Relationship Id="rId10" Type="http://schemas.openxmlformats.org/officeDocument/2006/relationships/hyperlink" Target="http://www.cninfo.com.cn/" TargetMode="External"/><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footer" Target="footer3.xml"/><Relationship Id="rId22" Type="http://schemas.openxmlformats.org/officeDocument/2006/relationships/footer" Target="footer4.xml"/><Relationship Id="rId23" Type="http://schemas.openxmlformats.org/officeDocument/2006/relationships/footer" Target="footer5.xml"/><Relationship Id="rId24" Type="http://schemas.openxmlformats.org/officeDocument/2006/relationships/hyperlink" Target="http://www.cninfo.com.cn/finalpage/2012-01-20/60469569.PDF" TargetMode="External"/><Relationship Id="rId25" Type="http://schemas.openxmlformats.org/officeDocument/2006/relationships/hyperlink" Target="http://www.cninfo.com.cn/finalpage/2012-01-20/60469570.PDF" TargetMode="External"/><Relationship Id="rId26" Type="http://schemas.openxmlformats.org/officeDocument/2006/relationships/hyperlink" Target="http://www.cninfo.com.cn/finalpage/2012-01-20/60469572.PDF" TargetMode="External"/><Relationship Id="rId27" Type="http://schemas.openxmlformats.org/officeDocument/2006/relationships/hyperlink" Target="http://www.cninfo.com.cn/finalpage/2012-01-20/60469571.PDF" TargetMode="External"/><Relationship Id="rId28" Type="http://schemas.openxmlformats.org/officeDocument/2006/relationships/hyperlink" Target="http://www.cninfo.com.cn/finalpage/2012-01-20/60469568.PDF" TargetMode="External"/><Relationship Id="rId29" Type="http://schemas.openxmlformats.org/officeDocument/2006/relationships/hyperlink" Target="http://www.cninfo.com.cn/finalpage/2012-01-20/60469567.PDF" TargetMode="External"/><Relationship Id="rId30" Type="http://schemas.openxmlformats.org/officeDocument/2006/relationships/hyperlink" Target="http://www.cninfo.com.cn/finalpage/2012-01-20/60469566.PDF" TargetMode="External"/><Relationship Id="rId31" Type="http://schemas.openxmlformats.org/officeDocument/2006/relationships/hyperlink" Target="http://www.cninfo.com.cn/finalpage/2012-01-20/60469565.PDF" TargetMode="External"/><Relationship Id="rId32" Type="http://schemas.openxmlformats.org/officeDocument/2006/relationships/hyperlink" Target="http://www.cninfo.com.cn/finalpage/2012-05-30/61067445.PDF" TargetMode="External"/><Relationship Id="rId33" Type="http://schemas.openxmlformats.org/officeDocument/2006/relationships/hyperlink" Target="http://www.cninfo.com.cn/finalpage/2012-05-30/61067446.PDF" TargetMode="External"/><Relationship Id="rId34" Type="http://schemas.openxmlformats.org/officeDocument/2006/relationships/hyperlink" Target="http://www.cninfo.com.cn/finalpage/2012-05-30/61067447.PDF" TargetMode="External"/><Relationship Id="rId35" Type="http://schemas.openxmlformats.org/officeDocument/2006/relationships/hyperlink" Target="http://www.cninfo.com.cn/finalpage/2012-05-30/61067437.PDF" TargetMode="External"/><Relationship Id="rId36" Type="http://schemas.openxmlformats.org/officeDocument/2006/relationships/hyperlink" Target="http://www.cninfo.com.cn/finalpage/2012-05-30/61067444.PDF" TargetMode="External"/><Relationship Id="rId37" Type="http://schemas.openxmlformats.org/officeDocument/2006/relationships/hyperlink" Target="http://www.cninfo.com.cn/finalpage/2012-05-30/61067443.PDF" TargetMode="External"/><Relationship Id="rId38" Type="http://schemas.openxmlformats.org/officeDocument/2006/relationships/hyperlink" Target="http://www.cninfo.com.cn/finalpage/2012-05-30/61067440.PDF" TargetMode="External"/><Relationship Id="rId39" Type="http://schemas.openxmlformats.org/officeDocument/2006/relationships/hyperlink" Target="http://www.cninfo.com.cn/finalpage/2012-05-30/61067439.PDF" TargetMode="External"/><Relationship Id="rId40" Type="http://schemas.openxmlformats.org/officeDocument/2006/relationships/hyperlink" Target="http://www.cninfo.com.cn/finalpage/2012-05-30/61067438.PDF" TargetMode="External"/><Relationship Id="rId41" Type="http://schemas.openxmlformats.org/officeDocument/2006/relationships/hyperlink" Target="http://www.cninfo.com.cn/finalpage/2012-05-30/61067441.PDF" TargetMode="External"/><Relationship Id="rId42" Type="http://schemas.openxmlformats.org/officeDocument/2006/relationships/hyperlink" Target="http://www.cninfo.com.cn/finalpage/2012-05-30/61067436.PDF" TargetMode="External"/><Relationship Id="rId43" Type="http://schemas.openxmlformats.org/officeDocument/2006/relationships/hyperlink" Target="http://www.cninfo.com.cn/finalpage/2012-05-30/61067442.PDF" TargetMode="External"/><Relationship Id="rId44" Type="http://schemas.openxmlformats.org/officeDocument/2006/relationships/hyperlink" Target="http://www.cninfo.com.cn/finalpage/2012-06-12/61123588.PDF" TargetMode="External"/><Relationship Id="rId45" Type="http://schemas.openxmlformats.org/officeDocument/2006/relationships/hyperlink" Target="http://www.cninfo.com.cn/finalpage/2012-06-16/61144956.PDF" TargetMode="External"/><Relationship Id="rId46" Type="http://schemas.openxmlformats.org/officeDocument/2006/relationships/hyperlink" Target="http://www.cninfo.com.cn/finalpage/2012-06-16/61144955.PDF" TargetMode="External"/><Relationship Id="rId47" Type="http://schemas.openxmlformats.org/officeDocument/2006/relationships/hyperlink" Target="http://www.cninfo.com.cn/finalpage/2012-07-12/61256361.PDF" TargetMode="External"/><Relationship Id="rId48" Type="http://schemas.openxmlformats.org/officeDocument/2006/relationships/hyperlink" Target="http://www.cninfo.com.cn/finalpage/2012-07-12/61256357.PDF" TargetMode="External"/><Relationship Id="rId49" Type="http://schemas.openxmlformats.org/officeDocument/2006/relationships/hyperlink" Target="http://www.cninfo.com.cn/finalpage/2012-07-12/61256356.PDF" TargetMode="External"/><Relationship Id="rId50" Type="http://schemas.openxmlformats.org/officeDocument/2006/relationships/hyperlink" Target="http://www.cninfo.com.cn/finalpage/2012-07-12/61256352.PDF" TargetMode="External"/><Relationship Id="rId51" Type="http://schemas.openxmlformats.org/officeDocument/2006/relationships/hyperlink" Target="http://www.cninfo.com.cn/finalpage/2012-07-12/61256360.PDF" TargetMode="External"/><Relationship Id="rId52" Type="http://schemas.openxmlformats.org/officeDocument/2006/relationships/hyperlink" Target="http://www.cninfo.com.cn/finalpage/2012-07-12/61256355.PDF" TargetMode="External"/><Relationship Id="rId53" Type="http://schemas.openxmlformats.org/officeDocument/2006/relationships/hyperlink" Target="http://www.cninfo.com.cn/finalpage/2012-07-12/61256359.PDF" TargetMode="External"/><Relationship Id="rId54" Type="http://schemas.openxmlformats.org/officeDocument/2006/relationships/hyperlink" Target="http://www.cninfo.com.cn/finalpage/2012-07-12/61256358.PDF" TargetMode="External"/><Relationship Id="rId55" Type="http://schemas.openxmlformats.org/officeDocument/2006/relationships/hyperlink" Target="http://www.cninfo.com.cn/finalpage/2012-07-12/61256353.PDF" TargetMode="External"/><Relationship Id="rId56" Type="http://schemas.openxmlformats.org/officeDocument/2006/relationships/hyperlink" Target="http://www.cninfo.com.cn/finalpage/2012-07-23/61303256.PDF" TargetMode="External"/><Relationship Id="rId57" Type="http://schemas.openxmlformats.org/officeDocument/2006/relationships/hyperlink" Target="http://www.cninfo.com.cn/finalpage/2012-12-13/61902454.PDF" TargetMode="External"/><Relationship Id="rId58" Type="http://schemas.openxmlformats.org/officeDocument/2006/relationships/hyperlink" Target="http://www.cninfo.com.cn/finalpage/2012-12-13/61902461.PDF" TargetMode="External"/><Relationship Id="rId59" Type="http://schemas.openxmlformats.org/officeDocument/2006/relationships/hyperlink" Target="http://www.cninfo.com.cn/finalpage/2012-12-13/61902460.PDF" TargetMode="External"/><Relationship Id="rId60" Type="http://schemas.openxmlformats.org/officeDocument/2006/relationships/hyperlink" Target="http://www.cninfo.com.cn/finalpage/2012-12-13/61902459.PDF" TargetMode="External"/><Relationship Id="rId61" Type="http://schemas.openxmlformats.org/officeDocument/2006/relationships/hyperlink" Target="http://www.cninfo.com.cn/finalpage/2012-12-13/61902455.PDF" TargetMode="External"/><Relationship Id="rId62" Type="http://schemas.openxmlformats.org/officeDocument/2006/relationships/hyperlink" Target="http://www.cninfo.com.cn&#19978;&#30340;&#30456;&#20851;&#20844;&#21578;/" TargetMode="External"/><Relationship Id="rId63" Type="http://schemas.openxmlformats.org/officeDocument/2006/relationships/footer" Target="footer6.xml"/><Relationship Id="rId64" Type="http://schemas.openxmlformats.org/officeDocument/2006/relationships/image" Target="media/image11.png"/><Relationship Id="rId65" Type="http://schemas.openxmlformats.org/officeDocument/2006/relationships/header" Target="header2.xml"/><Relationship Id="rId66" Type="http://schemas.openxmlformats.org/officeDocument/2006/relationships/footer" Target="footer7.xml"/><Relationship Id="rId67" Type="http://schemas.openxmlformats.org/officeDocument/2006/relationships/footer" Target="footer8.xml"/><Relationship Id="rId68" Type="http://schemas.openxmlformats.org/officeDocument/2006/relationships/footer" Target="footer9.xml"/><Relationship Id="rId69" Type="http://schemas.openxmlformats.org/officeDocument/2006/relationships/footer" Target="footer10.xml"/><Relationship Id="rId70" Type="http://schemas.openxmlformats.org/officeDocument/2006/relationships/footer" Target="footer11.xml"/><Relationship Id="rId71" Type="http://schemas.openxmlformats.org/officeDocument/2006/relationships/footer" Target="footer12.xml"/><Relationship Id="rId72" Type="http://schemas.openxmlformats.org/officeDocument/2006/relationships/footer" Target="footer13.xml"/><Relationship Id="rId73"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2020-05-04T01:59:30Z</dcterms:created>
  <dcterms:modified xsi:type="dcterms:W3CDTF">2020-05-04T01:59:30Z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2013-03-27T00:00:00Z</vt:filetime>
  </property>
  <property fmtid="{D5CDD505-2E9C-101B-9397-08002B2CF9AE}" pid="3" name="Creator">
    <vt:lpwstr>Microsoft® Office Word 2007</vt:lpwstr>
  </property>
  <property fmtid="{D5CDD505-2E9C-101B-9397-08002B2CF9AE}" pid="4" name="LastSaved">
    <vt:filetime>2020-05-03T00:00:00Z</vt:filetime>
  </property>
</Properties>
</file>