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20" w:lineRule="exact"/>
        <w:ind w:left="386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700" cy="14097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9700"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135" w:right="137" w:firstLine="0"/>
        <w:jc w:val="center"/>
        <w:rPr>
          <w:rFonts w:ascii="宋体" w:hAnsi="宋体" w:cs="宋体" w:eastAsia="宋体" w:hint="default"/>
          <w:sz w:val="36"/>
          <w:szCs w:val="36"/>
        </w:rPr>
      </w:pPr>
      <w:r>
        <w:rPr>
          <w:rFonts w:ascii="宋体" w:hAnsi="宋体" w:cs="宋体" w:eastAsia="宋体" w:hint="default"/>
          <w:b/>
          <w:bCs/>
          <w:sz w:val="36"/>
          <w:szCs w:val="36"/>
        </w:rPr>
        <w:t>厦门市美亚柏科信息股份有限公司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5" w:right="13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12"/>
        <w:rPr>
          <w:rFonts w:ascii="宋体" w:hAnsi="宋体" w:cs="宋体" w:eastAsia="宋体" w:hint="default"/>
          <w:b/>
          <w:bCs/>
          <w:sz w:val="29"/>
          <w:szCs w:val="29"/>
        </w:rPr>
      </w:pPr>
    </w:p>
    <w:p>
      <w:pPr>
        <w:pStyle w:val="Heading4"/>
        <w:spacing w:line="240" w:lineRule="auto"/>
        <w:ind w:left="135" w:right="134"/>
        <w:jc w:val="center"/>
        <w:rPr>
          <w:rFonts w:ascii="Times New Roman" w:hAnsi="Times New Roman" w:cs="Times New Roman" w:eastAsia="Times New Roman" w:hint="default"/>
          <w:b w:val="0"/>
          <w:bCs w:val="0"/>
        </w:rPr>
      </w:pPr>
      <w:r>
        <w:rPr/>
        <w:t>公告编号：</w:t>
      </w:r>
      <w:r>
        <w:rPr>
          <w:rFonts w:ascii="Times New Roman" w:hAnsi="Times New Roman" w:cs="Times New Roman" w:eastAsia="Times New Roman" w:hint="default"/>
        </w:rPr>
        <w:t>2015-14</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44"/>
        <w:ind w:left="135" w:right="13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0"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3"/>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49"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本公司全体董事均亲自出席了审议本次年报的董事会会议。</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公司负责人刘祥南、主管会计工作负责人张乃军及会计机构负责人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陈志友声明：保证年度报告中财务报告的真实、准确、完整。</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8" w:lineRule="auto" w:before="0"/>
        <w:ind w:left="154" w:right="149"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本报告中如有涉及未来的计划、业绩预测等方面的内容，均不构成公司对</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任何投资者及相关人士的承诺，投资者及相关人士均应对此保持足够的风险认</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z w:val="28"/>
          <w:szCs w:val="28"/>
        </w:rPr>
        <w:t>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0"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35" w:right="13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1" w:val="right" w:leader="dot"/>
            </w:tabs>
            <w:spacing w:line="240" w:lineRule="auto" w:before="0"/>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1">
            <w:r>
              <w:rPr/>
              <w:t>第二节 公司基本情况简介</w:t>
            </w:r>
            <w:r>
              <w:rPr>
                <w:rFonts w:ascii="Times New Roman" w:hAnsi="Times New Roman" w:cs="Times New Roman" w:eastAsia="Times New Roman" w:hint="default"/>
              </w:rPr>
              <w:tab/>
              <w:t>5</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会计数据和财务指标摘要</w:t>
            </w:r>
            <w:r>
              <w:rPr>
                <w:rFonts w:ascii="Times New Roman" w:hAnsi="Times New Roman" w:cs="Times New Roman" w:eastAsia="Times New Roman" w:hint="default"/>
              </w:rPr>
              <w:tab/>
              <w:t>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3">
            <w:r>
              <w:rPr/>
              <w:t>第四节 董事会报告</w:t>
            </w:r>
            <w:r>
              <w:rPr>
                <w:rFonts w:ascii="Times New Roman" w:hAnsi="Times New Roman" w:cs="Times New Roman" w:eastAsia="Times New Roman" w:hint="default"/>
              </w:rPr>
              <w:tab/>
              <w:t>12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39</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48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6">
            <w:r>
              <w:rPr/>
              <w:t>第七节 董事、监事、高级管理人员和员工情况</w:t>
            </w:r>
            <w:r>
              <w:rPr>
                <w:rFonts w:ascii="Times New Roman" w:hAnsi="Times New Roman" w:cs="Times New Roman" w:eastAsia="Times New Roman" w:hint="default"/>
              </w:rPr>
              <w:tab/>
              <w:t>55</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bookmark7">
            <w:r>
              <w:rPr/>
              <w:t>第八节 公司治理</w:t>
            </w:r>
            <w:r>
              <w:rPr>
                <w:rFonts w:ascii="Times New Roman" w:hAnsi="Times New Roman" w:cs="Times New Roman" w:eastAsia="Times New Roman" w:hint="default"/>
              </w:rPr>
              <w:tab/>
              <w:t>64</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财务报告</w:t>
            </w:r>
            <w:r>
              <w:rPr>
                <w:rFonts w:ascii="Times New Roman" w:hAnsi="Times New Roman" w:cs="Times New Roman" w:eastAsia="Times New Roman" w:hint="default"/>
              </w:rPr>
              <w:tab/>
              <w:t>67</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bookmark9">
            <w:r>
              <w:rPr/>
              <w:t>第十节 备查文件目录</w:t>
            </w:r>
            <w:r>
              <w:rPr>
                <w:rFonts w:ascii="Times New Roman" w:hAnsi="Times New Roman" w:cs="Times New Roman" w:eastAsia="Times New Roman" w:hint="default"/>
              </w:rPr>
              <w:tab/>
              <w:t>173</w:t>
            </w:r>
          </w:hyperlink>
        </w:p>
        <w:p>
          <w:pPr/>
          <w:r>
            <w:fldChar w:fldCharType="end"/>
          </w:r>
        </w:p>
      </w:sdtContent>
    </w:sdt>
    <w:p>
      <w:pPr>
        <w:spacing w:after="0"/>
        <w:sectPr>
          <w:pgSz w:w="11910" w:h="16840"/>
          <w:pgMar w:header="747" w:footer="980" w:top="1060" w:bottom="1180" w:left="980" w:right="980"/>
        </w:sectPr>
      </w:pPr>
    </w:p>
    <w:p>
      <w:pPr>
        <w:spacing w:before="946"/>
        <w:ind w:left="135" w:right="13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6"/>
          <w:szCs w:val="16"/>
        </w:rPr>
      </w:pPr>
    </w:p>
    <w:p>
      <w:pPr>
        <w:spacing w:before="0"/>
        <w:ind w:left="0" w:right="160" w:firstLine="0"/>
        <w:jc w:val="right"/>
        <w:rPr>
          <w:rFonts w:ascii="宋体" w:hAnsi="宋体" w:cs="宋体" w:eastAsia="宋体" w:hint="default"/>
          <w:sz w:val="18"/>
          <w:szCs w:val="18"/>
        </w:rPr>
      </w:pPr>
      <w:r>
        <w:rPr/>
        <w:pict>
          <v:shape style="position:absolute;margin-left:56.459999pt;margin-top:-380.448303pt;width:479.2pt;height:48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5"/>
                    <w:gridCol w:w="827"/>
                    <w:gridCol w:w="6037"/>
                  </w:tblGrid>
                  <w:tr>
                    <w:trPr>
                      <w:trHeight w:val="402" w:hRule="exact"/>
                    </w:trPr>
                    <w:tc>
                      <w:tcPr>
                        <w:tcW w:w="27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美亚柏科、公司或本公司</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美亚柏科信息安全研究所</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厦门市美亚柏科信息安全研究所有限公司，本公司的全资子公司</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杭州创聚</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杭州创聚科技有限公司，现名称已变更为厦门服云信息科技有限公司</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厦门服云信息科技有限公</w:t>
                        </w:r>
                        <w:r>
                          <w:rPr>
                            <w:rFonts w:ascii="宋体" w:hAnsi="宋体" w:cs="宋体" w:eastAsia="宋体" w:hint="default"/>
                            <w:spacing w:val="-31"/>
                            <w:sz w:val="18"/>
                            <w:szCs w:val="18"/>
                          </w:rPr>
                          <w:t>司</w:t>
                        </w:r>
                        <w:r>
                          <w:rPr>
                            <w:rFonts w:ascii="宋体" w:hAnsi="宋体" w:cs="宋体" w:eastAsia="宋体" w:hint="default"/>
                            <w:sz w:val="18"/>
                            <w:szCs w:val="18"/>
                          </w:rPr>
                          <w:t>（原杭州创聚科技有限公司</w:t>
                        </w:r>
                        <w:r>
                          <w:rPr>
                            <w:rFonts w:ascii="宋体" w:hAnsi="宋体" w:cs="宋体" w:eastAsia="宋体" w:hint="default"/>
                            <w:spacing w:val="-90"/>
                            <w:sz w:val="18"/>
                            <w:szCs w:val="18"/>
                          </w:rPr>
                          <w:t>）</w:t>
                        </w:r>
                        <w:r>
                          <w:rPr>
                            <w:rFonts w:ascii="宋体" w:hAnsi="宋体" w:cs="宋体" w:eastAsia="宋体" w:hint="default"/>
                            <w:spacing w:val="-31"/>
                            <w:sz w:val="18"/>
                            <w:szCs w:val="18"/>
                          </w:rPr>
                          <w:t>，</w:t>
                        </w:r>
                        <w:r>
                          <w:rPr>
                            <w:rFonts w:ascii="宋体" w:hAnsi="宋体" w:cs="宋体" w:eastAsia="宋体" w:hint="default"/>
                            <w:sz w:val="18"/>
                            <w:szCs w:val="18"/>
                          </w:rPr>
                          <w:t>本公司的参股公司</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厦门美亚中敏电子科技有限公司，本公司的控股子公司</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香港鼎永泰克科技有限公司，本公司的控股子公司</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杭州攀克</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杭州攀克网络技术有限公司，本公司的参股公司</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巨龙信息</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厦门市巨龙信息科技有限公司，本公司的参股公司</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宏创科技</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福建宏创信息科技有限公司，本公司的参股公司</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新德汇</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珠海市新德汇信息技术有限公司，本公司的控股子公司</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万诚信用</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北京万诚信用评价有限公司，本公司的参股公司</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拉萨通连</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拉萨经济技术开发区通连投资咨询有限公司，原广州通连投资咨询有限公司</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保荐机构、国信证券</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国信证券股份有限公司，本公司首次公开发行股票的保荐机构</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r>
                          <w:rPr>
                            <w:rFonts w:ascii="宋体" w:hAnsi="宋体" w:cs="宋体" w:eastAsia="宋体" w:hint="default"/>
                            <w:spacing w:val="-90"/>
                            <w:sz w:val="18"/>
                            <w:szCs w:val="18"/>
                          </w:rPr>
                          <w:t>）</w:t>
                        </w:r>
                        <w:r>
                          <w:rPr>
                            <w:rFonts w:ascii="宋体" w:hAnsi="宋体" w:cs="宋体" w:eastAsia="宋体" w:hint="default"/>
                            <w:sz w:val="18"/>
                            <w:szCs w:val="18"/>
                          </w:rPr>
                          <w:t>，本公司年度审计机构</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发行人首次发行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股的行为</w:t>
                        </w: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厦门市美亚柏科信息股份有限公司首次限制性股票激励计划</w:t>
                        </w:r>
                      </w:p>
                    </w:tc>
                  </w:tr>
                  <w:tr>
                    <w:trPr>
                      <w:trHeight w:val="161" w:hRule="exact"/>
                    </w:trPr>
                    <w:tc>
                      <w:tcPr>
                        <w:tcW w:w="2705" w:type="dxa"/>
                        <w:vMerge w:val="restart"/>
                        <w:tcBorders>
                          <w:top w:val="single" w:sz="4" w:space="0" w:color="000000"/>
                          <w:left w:val="single" w:sz="4" w:space="0" w:color="000000"/>
                          <w:right w:val="single" w:sz="9" w:space="0" w:color="D4D4D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电子数据调查分析师认证项目</w:t>
                        </w:r>
                      </w:p>
                    </w:tc>
                    <w:tc>
                      <w:tcPr>
                        <w:tcW w:w="827" w:type="dxa"/>
                        <w:tcBorders>
                          <w:top w:val="single" w:sz="4" w:space="0" w:color="000000"/>
                          <w:left w:val="single" w:sz="4" w:space="0" w:color="000000"/>
                          <w:bottom w:val="nil" w:sz="6" w:space="0" w:color="auto"/>
                          <w:right w:val="single" w:sz="4" w:space="0" w:color="000000"/>
                        </w:tcBorders>
                        <w:shd w:val="clear" w:color="auto" w:fill="D4D4D4"/>
                      </w:tcPr>
                      <w:p>
                        <w:pPr/>
                      </w:p>
                    </w:tc>
                    <w:tc>
                      <w:tcPr>
                        <w:tcW w:w="6037" w:type="dxa"/>
                        <w:vMerge w:val="restart"/>
                        <w:tcBorders>
                          <w:top w:val="single" w:sz="4" w:space="0" w:color="000000"/>
                          <w:left w:val="single" w:sz="9" w:space="0" w:color="D4D4D4"/>
                          <w:right w:val="single" w:sz="4" w:space="0" w:color="000000"/>
                        </w:tcBorders>
                      </w:tcPr>
                      <w:p>
                        <w:pPr>
                          <w:pStyle w:val="TableParagraph"/>
                          <w:spacing w:line="316" w:lineRule="auto" w:before="51"/>
                          <w:ind w:left="28" w:right="49"/>
                          <w:jc w:val="left"/>
                          <w:rPr>
                            <w:rFonts w:ascii="宋体" w:hAnsi="宋体" w:cs="宋体" w:eastAsia="宋体" w:hint="default"/>
                            <w:sz w:val="18"/>
                            <w:szCs w:val="18"/>
                          </w:rPr>
                        </w:pPr>
                        <w:r>
                          <w:rPr>
                            <w:rFonts w:ascii="宋体" w:hAnsi="宋体" w:cs="宋体" w:eastAsia="宋体" w:hint="default"/>
                            <w:sz w:val="18"/>
                            <w:szCs w:val="18"/>
                          </w:rPr>
                          <w:t>公司与国家人力资源和社会保障部教育培训中心联合推出的针对信息安全和 电子数据取证领域相关从业人员的岗位能力认证培训项目。</w:t>
                        </w:r>
                      </w:p>
                    </w:tc>
                  </w:tr>
                  <w:tr>
                    <w:trPr>
                      <w:trHeight w:val="392" w:hRule="exact"/>
                    </w:trPr>
                    <w:tc>
                      <w:tcPr>
                        <w:tcW w:w="2705" w:type="dxa"/>
                        <w:vMerge/>
                        <w:tcBorders>
                          <w:left w:val="single" w:sz="4" w:space="0" w:color="000000"/>
                          <w:right w:val="single" w:sz="9" w:space="0" w:color="D4D4D4"/>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vMerge/>
                        <w:tcBorders>
                          <w:left w:val="single" w:sz="9" w:space="0" w:color="D4D4D4"/>
                          <w:right w:val="single" w:sz="4" w:space="0" w:color="000000"/>
                        </w:tcBorders>
                      </w:tcPr>
                      <w:p>
                        <w:pPr/>
                      </w:p>
                    </w:tc>
                  </w:tr>
                  <w:tr>
                    <w:trPr>
                      <w:trHeight w:val="161" w:hRule="exact"/>
                    </w:trPr>
                    <w:tc>
                      <w:tcPr>
                        <w:tcW w:w="2705" w:type="dxa"/>
                        <w:vMerge/>
                        <w:tcBorders>
                          <w:left w:val="single" w:sz="4" w:space="0" w:color="000000"/>
                          <w:bottom w:val="single" w:sz="4" w:space="0" w:color="000000"/>
                          <w:right w:val="single" w:sz="9" w:space="0" w:color="D4D4D4"/>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4D4D4"/>
                      </w:tcPr>
                      <w:p>
                        <w:pPr/>
                      </w:p>
                    </w:tc>
                    <w:tc>
                      <w:tcPr>
                        <w:tcW w:w="6037" w:type="dxa"/>
                        <w:vMerge/>
                        <w:tcBorders>
                          <w:left w:val="single" w:sz="9" w:space="0" w:color="D4D4D4"/>
                          <w:bottom w:val="single" w:sz="4" w:space="0" w:color="000000"/>
                          <w:right w:val="single" w:sz="4" w:space="0" w:color="000000"/>
                        </w:tcBorders>
                      </w:tcPr>
                      <w:p>
                        <w:pPr/>
                      </w:p>
                    </w:tc>
                  </w:tr>
                  <w:tr>
                    <w:trPr>
                      <w:trHeight w:val="161" w:hRule="exact"/>
                    </w:trPr>
                    <w:tc>
                      <w:tcPr>
                        <w:tcW w:w="2705" w:type="dxa"/>
                        <w:vMerge w:val="restart"/>
                        <w:tcBorders>
                          <w:top w:val="single" w:sz="4" w:space="0" w:color="000000"/>
                          <w:left w:val="single" w:sz="4" w:space="0" w:color="000000"/>
                          <w:right w:val="single" w:sz="9" w:space="0" w:color="D4D4D4"/>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蓝盾金种子计划项目</w:t>
                        </w:r>
                      </w:p>
                    </w:tc>
                    <w:tc>
                      <w:tcPr>
                        <w:tcW w:w="827" w:type="dxa"/>
                        <w:tcBorders>
                          <w:top w:val="single" w:sz="4" w:space="0" w:color="000000"/>
                          <w:left w:val="single" w:sz="4" w:space="0" w:color="000000"/>
                          <w:bottom w:val="nil" w:sz="6" w:space="0" w:color="auto"/>
                          <w:right w:val="single" w:sz="4" w:space="0" w:color="000000"/>
                        </w:tcBorders>
                        <w:shd w:val="clear" w:color="auto" w:fill="D4D4D4"/>
                      </w:tcPr>
                      <w:p>
                        <w:pPr/>
                      </w:p>
                    </w:tc>
                    <w:tc>
                      <w:tcPr>
                        <w:tcW w:w="6037" w:type="dxa"/>
                        <w:vMerge w:val="restart"/>
                        <w:tcBorders>
                          <w:top w:val="single" w:sz="4" w:space="0" w:color="000000"/>
                          <w:left w:val="single" w:sz="9" w:space="0" w:color="D4D4D4"/>
                          <w:right w:val="single" w:sz="4" w:space="0" w:color="000000"/>
                        </w:tcBorders>
                      </w:tcPr>
                      <w:p>
                        <w:pPr>
                          <w:pStyle w:val="TableParagraph"/>
                          <w:spacing w:line="316" w:lineRule="auto" w:before="51"/>
                          <w:ind w:left="28" w:right="111"/>
                          <w:jc w:val="left"/>
                          <w:rPr>
                            <w:rFonts w:ascii="宋体" w:hAnsi="宋体" w:cs="宋体" w:eastAsia="宋体" w:hint="default"/>
                            <w:sz w:val="18"/>
                            <w:szCs w:val="18"/>
                          </w:rPr>
                        </w:pPr>
                        <w:r>
                          <w:rPr>
                            <w:rFonts w:ascii="宋体" w:hAnsi="宋体" w:cs="宋体" w:eastAsia="宋体" w:hint="default"/>
                            <w:spacing w:val="-3"/>
                            <w:sz w:val="18"/>
                            <w:szCs w:val="18"/>
                          </w:rPr>
                          <w:t>公司与全国部分高校、部分大型企业合作，以“产、学、研”相结合的形式</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联合推出的人才培养计划。</w:t>
                        </w:r>
                      </w:p>
                    </w:tc>
                  </w:tr>
                  <w:tr>
                    <w:trPr>
                      <w:trHeight w:val="392" w:hRule="exact"/>
                    </w:trPr>
                    <w:tc>
                      <w:tcPr>
                        <w:tcW w:w="2705" w:type="dxa"/>
                        <w:vMerge/>
                        <w:tcBorders>
                          <w:left w:val="single" w:sz="4" w:space="0" w:color="000000"/>
                          <w:right w:val="single" w:sz="9" w:space="0" w:color="D4D4D4"/>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vMerge/>
                        <w:tcBorders>
                          <w:left w:val="single" w:sz="9" w:space="0" w:color="D4D4D4"/>
                          <w:right w:val="single" w:sz="4" w:space="0" w:color="000000"/>
                        </w:tcBorders>
                      </w:tcPr>
                      <w:p>
                        <w:pPr/>
                      </w:p>
                    </w:tc>
                  </w:tr>
                  <w:tr>
                    <w:trPr>
                      <w:trHeight w:val="161" w:hRule="exact"/>
                    </w:trPr>
                    <w:tc>
                      <w:tcPr>
                        <w:tcW w:w="2705" w:type="dxa"/>
                        <w:vMerge/>
                        <w:tcBorders>
                          <w:left w:val="single" w:sz="4" w:space="0" w:color="000000"/>
                          <w:bottom w:val="single" w:sz="4" w:space="0" w:color="000000"/>
                          <w:right w:val="single" w:sz="9" w:space="0" w:color="D4D4D4"/>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4D4D4"/>
                      </w:tcPr>
                      <w:p>
                        <w:pPr/>
                      </w:p>
                    </w:tc>
                    <w:tc>
                      <w:tcPr>
                        <w:tcW w:w="6037" w:type="dxa"/>
                        <w:vMerge/>
                        <w:tcBorders>
                          <w:left w:val="single" w:sz="9" w:space="0" w:color="D4D4D4"/>
                          <w:bottom w:val="single" w:sz="4" w:space="0" w:color="000000"/>
                          <w:right w:val="single" w:sz="4" w:space="0" w:color="000000"/>
                        </w:tcBorders>
                      </w:tcPr>
                      <w:p>
                        <w:pPr/>
                      </w:p>
                    </w:tc>
                  </w:tr>
                  <w:tr>
                    <w:trPr>
                      <w:trHeight w:val="317" w:hRule="exact"/>
                    </w:trPr>
                    <w:tc>
                      <w:tcPr>
                        <w:tcW w:w="2705" w:type="dxa"/>
                        <w:vMerge w:val="restart"/>
                        <w:tcBorders>
                          <w:top w:val="single" w:sz="4" w:space="0" w:color="000000"/>
                          <w:left w:val="single" w:sz="4" w:space="0" w:color="000000"/>
                          <w:right w:val="single" w:sz="9"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EAL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证书</w:t>
                        </w:r>
                      </w:p>
                    </w:tc>
                    <w:tc>
                      <w:tcPr>
                        <w:tcW w:w="827" w:type="dxa"/>
                        <w:tcBorders>
                          <w:top w:val="single" w:sz="4" w:space="0" w:color="000000"/>
                          <w:left w:val="single" w:sz="4" w:space="0" w:color="000000"/>
                          <w:bottom w:val="nil" w:sz="6" w:space="0" w:color="auto"/>
                          <w:right w:val="single" w:sz="4" w:space="0" w:color="000000"/>
                        </w:tcBorders>
                        <w:shd w:val="clear" w:color="auto" w:fill="D4D4D4"/>
                      </w:tcPr>
                      <w:p>
                        <w:pPr/>
                      </w:p>
                    </w:tc>
                    <w:tc>
                      <w:tcPr>
                        <w:tcW w:w="6037" w:type="dxa"/>
                        <w:vMerge w:val="restart"/>
                        <w:tcBorders>
                          <w:top w:val="single" w:sz="4" w:space="0" w:color="000000"/>
                          <w:left w:val="single" w:sz="9" w:space="0" w:color="D4D4D4"/>
                          <w:right w:val="single" w:sz="4" w:space="0" w:color="000000"/>
                        </w:tcBorders>
                      </w:tcPr>
                      <w:p>
                        <w:pPr>
                          <w:pStyle w:val="TableParagraph"/>
                          <w:spacing w:line="300" w:lineRule="auto" w:before="51"/>
                          <w:ind w:left="28"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CC </w:t>
                        </w:r>
                        <w:r>
                          <w:rPr>
                            <w:rFonts w:ascii="宋体" w:hAnsi="宋体" w:cs="宋体" w:eastAsia="宋体" w:hint="default"/>
                            <w:sz w:val="18"/>
                            <w:szCs w:val="18"/>
                          </w:rPr>
                          <w:t>标准的一部分，</w:t>
                        </w:r>
                        <w:r>
                          <w:rPr>
                            <w:rFonts w:ascii="Times New Roman" w:hAnsi="Times New Roman" w:cs="Times New Roman" w:eastAsia="Times New Roman" w:hint="default"/>
                            <w:sz w:val="18"/>
                            <w:szCs w:val="18"/>
                          </w:rPr>
                          <w:t>CC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标准是一个各国都能接受的通用信息安全产品和系统 的安全性评估准则。</w:t>
                        </w:r>
                        <w:r>
                          <w:rPr>
                            <w:rFonts w:ascii="Times New Roman" w:hAnsi="Times New Roman" w:cs="Times New Roman" w:eastAsia="Times New Roman" w:hint="default"/>
                            <w:sz w:val="18"/>
                            <w:szCs w:val="18"/>
                          </w:rPr>
                          <w:t>CC </w:t>
                        </w:r>
                        <w:r>
                          <w:rPr>
                            <w:rFonts w:ascii="宋体" w:hAnsi="宋体" w:cs="宋体" w:eastAsia="宋体" w:hint="default"/>
                            <w:sz w:val="18"/>
                            <w:szCs w:val="18"/>
                          </w:rPr>
                          <w:t>标准的评估保证级即为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EAL</w:t>
                        </w:r>
                        <w:r>
                          <w:rPr>
                            <w:rFonts w:ascii="宋体" w:hAnsi="宋体" w:cs="宋体" w:eastAsia="宋体" w:hint="default"/>
                            <w:sz w:val="18"/>
                            <w:szCs w:val="18"/>
                          </w:rPr>
                          <w:t>，代表预先定义的保证 尺度，也就是代表产品的安全保证等级，表明产品的安全性及可信度。</w:t>
                        </w:r>
                      </w:p>
                    </w:tc>
                  </w:tr>
                  <w:tr>
                    <w:trPr>
                      <w:trHeight w:val="392" w:hRule="exact"/>
                    </w:trPr>
                    <w:tc>
                      <w:tcPr>
                        <w:tcW w:w="2705" w:type="dxa"/>
                        <w:vMerge/>
                        <w:tcBorders>
                          <w:left w:val="single" w:sz="4" w:space="0" w:color="000000"/>
                          <w:right w:val="single" w:sz="9" w:space="0" w:color="D4D4D4"/>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vMerge/>
                        <w:tcBorders>
                          <w:left w:val="single" w:sz="9" w:space="0" w:color="D4D4D4"/>
                          <w:right w:val="single" w:sz="4" w:space="0" w:color="000000"/>
                        </w:tcBorders>
                      </w:tcPr>
                      <w:p>
                        <w:pPr/>
                      </w:p>
                    </w:tc>
                  </w:tr>
                  <w:tr>
                    <w:trPr>
                      <w:trHeight w:val="317" w:hRule="exact"/>
                    </w:trPr>
                    <w:tc>
                      <w:tcPr>
                        <w:tcW w:w="2705" w:type="dxa"/>
                        <w:vMerge/>
                        <w:tcBorders>
                          <w:left w:val="single" w:sz="4" w:space="0" w:color="000000"/>
                          <w:bottom w:val="single" w:sz="4" w:space="0" w:color="000000"/>
                          <w:right w:val="single" w:sz="9" w:space="0" w:color="D4D4D4"/>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4D4D4"/>
                      </w:tcPr>
                      <w:p>
                        <w:pPr/>
                      </w:p>
                    </w:tc>
                    <w:tc>
                      <w:tcPr>
                        <w:tcW w:w="6037" w:type="dxa"/>
                        <w:vMerge/>
                        <w:tcBorders>
                          <w:left w:val="single" w:sz="9" w:space="0" w:color="D4D4D4"/>
                          <w:bottom w:val="single" w:sz="4" w:space="0" w:color="000000"/>
                          <w:right w:val="single" w:sz="4" w:space="0" w:color="000000"/>
                        </w:tcBorders>
                      </w:tcPr>
                      <w:p>
                        <w:pPr/>
                      </w:p>
                    </w:tc>
                  </w:tr>
                  <w:tr>
                    <w:trPr>
                      <w:trHeight w:val="402" w:hRule="exact"/>
                    </w:trPr>
                    <w:tc>
                      <w:tcPr>
                        <w:tcW w:w="270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三、信息披露及备置地点" w:id="3"/>
      <w:bookmarkEnd w:id="3"/>
      <w:r>
        <w:rPr>
          <w:b w:val="0"/>
          <w:bCs w:val="0"/>
        </w:rPr>
      </w:r>
      <w:bookmarkStart w:name="第二节 公司基本情况简介" w:id="4"/>
      <w:bookmarkEnd w:id="4"/>
      <w:r>
        <w:rPr>
          <w:b w:val="0"/>
          <w:bCs w:val="0"/>
        </w:rPr>
      </w:r>
      <w:bookmarkStart w:name="_bookmark1" w:id="5"/>
      <w:bookmarkEnd w:id="5"/>
      <w:r>
        <w:rPr>
          <w:b w:val="0"/>
          <w:bCs w:val="0"/>
        </w:rPr>
      </w:r>
      <w:r>
        <w:rPr/>
        <w:t>第二节</w:t>
      </w:r>
      <w:r>
        <w:rPr>
          <w:spacing w:val="-4"/>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18"/>
        <w:gridCol w:w="2317"/>
        <w:gridCol w:w="2156"/>
        <w:gridCol w:w="2177"/>
      </w:tblGrid>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bookmarkStart w:name="一、公司信息" w:id="6"/>
            <w:bookmarkEnd w:id="6"/>
            <w:r>
              <w:rPr/>
            </w:r>
            <w:r>
              <w:rPr>
                <w:rFonts w:ascii="宋体" w:hAnsi="宋体" w:cs="宋体" w:eastAsia="宋体" w:hint="default"/>
                <w:sz w:val="18"/>
                <w:szCs w:val="18"/>
              </w:rPr>
              <w:t>美亚柏科</w:t>
            </w:r>
          </w:p>
        </w:tc>
        <w:tc>
          <w:tcPr>
            <w:tcW w:w="21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300188</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美亚柏科</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Xiamen Meiya Pico Information</w:t>
            </w:r>
            <w:r>
              <w:rPr>
                <w:rFonts w:ascii="Times New Roman"/>
                <w:spacing w:val="-11"/>
                <w:sz w:val="18"/>
              </w:rPr>
              <w:t> </w:t>
            </w:r>
            <w:r>
              <w:rPr>
                <w:rFonts w:ascii="Times New Roman"/>
                <w:sz w:val="18"/>
              </w:rPr>
              <w:t>Co.,Ltd.</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5"/>
                <w:sz w:val="18"/>
              </w:rPr>
              <w:t>MEIYA </w:t>
            </w:r>
            <w:r>
              <w:rPr>
                <w:rFonts w:ascii="Times New Roman"/>
                <w:sz w:val="18"/>
              </w:rPr>
              <w:t>PICO</w:t>
            </w:r>
            <w:r>
              <w:rPr>
                <w:rFonts w:ascii="Times New Roman"/>
                <w:spacing w:val="-5"/>
                <w:sz w:val="18"/>
              </w:rPr>
              <w:t> </w:t>
            </w:r>
            <w:r>
              <w:rPr>
                <w:rFonts w:ascii="Times New Roman"/>
                <w:sz w:val="18"/>
              </w:rPr>
              <w:t>INC.</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361008</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号美亚柏科大厦</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361008</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www.300188.cn</w:t>
              </w:r>
            </w:hyperlink>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tzzgx@300188.cn</w:t>
              </w:r>
            </w:hyperlink>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3" w:hRule="exact"/>
        </w:trPr>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福建省厦门市思明区曾厝垵软件园创新大厦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12-15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7"/>
        <w:gridCol w:w="3260"/>
        <w:gridCol w:w="3331"/>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3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bookmarkStart w:name="二、联系人和联系方式" w:id="7"/>
            <w:bookmarkEnd w:id="7"/>
            <w:r>
              <w:rPr/>
            </w:r>
            <w:r>
              <w:rPr>
                <w:rFonts w:ascii="宋体" w:hAnsi="宋体" w:cs="宋体" w:eastAsia="宋体" w:hint="default"/>
                <w:sz w:val="18"/>
                <w:szCs w:val="18"/>
              </w:rPr>
              <w:t>证券事务代表</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李滢雪</w:t>
            </w:r>
          </w:p>
        </w:tc>
      </w:tr>
      <w:tr>
        <w:trPr>
          <w:trHeight w:val="161" w:hRule="exact"/>
        </w:trPr>
        <w:tc>
          <w:tcPr>
            <w:tcW w:w="2977" w:type="dxa"/>
            <w:tcBorders>
              <w:top w:val="single" w:sz="4" w:space="0" w:color="000000"/>
              <w:left w:val="single" w:sz="4" w:space="0" w:color="000000"/>
              <w:bottom w:val="nil" w:sz="6" w:space="0" w:color="auto"/>
              <w:right w:val="single" w:sz="4" w:space="0" w:color="000000"/>
            </w:tcBorders>
            <w:shd w:val="clear" w:color="auto" w:fill="D4D4D4"/>
          </w:tcPr>
          <w:p>
            <w:pPr/>
          </w:p>
        </w:tc>
        <w:tc>
          <w:tcPr>
            <w:tcW w:w="3260" w:type="dxa"/>
            <w:vMerge w:val="restart"/>
            <w:tcBorders>
              <w:top w:val="single" w:sz="4" w:space="0" w:color="000000"/>
              <w:left w:val="single" w:sz="10" w:space="0" w:color="D4D4D4"/>
              <w:right w:val="single" w:sz="4" w:space="0" w:color="000000"/>
            </w:tcBorders>
          </w:tcPr>
          <w:p>
            <w:pPr>
              <w:pStyle w:val="TableParagraph"/>
              <w:spacing w:line="300" w:lineRule="auto" w:before="51"/>
              <w:ind w:left="15" w:right="77"/>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号美亚柏科 董事会办公室</w:t>
            </w:r>
          </w:p>
        </w:tc>
        <w:tc>
          <w:tcPr>
            <w:tcW w:w="3331"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号美亚柏科 董事会办公室</w:t>
            </w:r>
          </w:p>
        </w:tc>
      </w:tr>
      <w:tr>
        <w:trPr>
          <w:trHeight w:val="392" w:hRule="exact"/>
        </w:trPr>
        <w:tc>
          <w:tcPr>
            <w:tcW w:w="297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60" w:type="dxa"/>
            <w:vMerge/>
            <w:tcBorders>
              <w:left w:val="single" w:sz="10" w:space="0" w:color="D4D4D4"/>
              <w:right w:val="single" w:sz="4" w:space="0" w:color="000000"/>
            </w:tcBorders>
          </w:tcPr>
          <w:p>
            <w:pPr/>
          </w:p>
        </w:tc>
        <w:tc>
          <w:tcPr>
            <w:tcW w:w="3331" w:type="dxa"/>
            <w:vMerge/>
            <w:tcBorders>
              <w:left w:val="single" w:sz="4" w:space="0" w:color="000000"/>
              <w:right w:val="single" w:sz="4" w:space="0" w:color="000000"/>
            </w:tcBorders>
          </w:tcPr>
          <w:p>
            <w:pPr/>
          </w:p>
        </w:tc>
      </w:tr>
      <w:tr>
        <w:trPr>
          <w:trHeight w:val="161" w:hRule="exact"/>
        </w:trPr>
        <w:tc>
          <w:tcPr>
            <w:tcW w:w="2977" w:type="dxa"/>
            <w:tcBorders>
              <w:top w:val="nil" w:sz="6" w:space="0" w:color="auto"/>
              <w:left w:val="single" w:sz="4" w:space="0" w:color="000000"/>
              <w:bottom w:val="single" w:sz="4" w:space="0" w:color="000000"/>
              <w:right w:val="single" w:sz="4" w:space="0" w:color="000000"/>
            </w:tcBorders>
            <w:shd w:val="clear" w:color="auto" w:fill="D4D4D4"/>
          </w:tcPr>
          <w:p>
            <w:pPr/>
          </w:p>
        </w:tc>
        <w:tc>
          <w:tcPr>
            <w:tcW w:w="3260" w:type="dxa"/>
            <w:vMerge/>
            <w:tcBorders>
              <w:left w:val="single" w:sz="10" w:space="0" w:color="D4D4D4"/>
              <w:bottom w:val="single" w:sz="4" w:space="0" w:color="000000"/>
              <w:right w:val="single" w:sz="4" w:space="0" w:color="000000"/>
            </w:tcBorders>
          </w:tcPr>
          <w:p>
            <w:pPr/>
          </w:p>
        </w:tc>
        <w:tc>
          <w:tcPr>
            <w:tcW w:w="3331" w:type="dxa"/>
            <w:vMerge/>
            <w:tcBorders>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0592-3698792</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0592-3698792</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0592-2519335</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0592-2519335</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tzzgx@300188.cn</w:t>
              </w:r>
            </w:hyperlink>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tzzgx@300188.cn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19"/>
      </w:tblGrid>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1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巨潮资讯网，网址</w:t>
            </w:r>
            <w:r>
              <w:rPr>
                <w:rFonts w:ascii="宋体" w:hAnsi="宋体" w:cs="宋体" w:eastAsia="宋体" w:hint="default"/>
                <w:spacing w:val="-66"/>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号公司董事会办公室证券部</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914"/>
        <w:gridCol w:w="1560"/>
        <w:gridCol w:w="1559"/>
        <w:gridCol w:w="134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bookmarkStart w:name="四、公司历史沿革" w:id="8"/>
            <w:bookmarkEnd w:id="8"/>
            <w:r>
              <w:rPr/>
            </w:r>
            <w:r>
              <w:rPr>
                <w:rFonts w:ascii="宋体" w:hAnsi="宋体" w:cs="宋体" w:eastAsia="宋体" w:hint="default"/>
                <w:sz w:val="18"/>
                <w:szCs w:val="18"/>
              </w:rPr>
              <w:t>注册登记日期</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注册登记地点</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503" w:right="54"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350298200005610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350204705420347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70542034-7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股份公司成立、法人</w:t>
            </w:r>
            <w:r>
              <w:rPr>
                <w:rFonts w:ascii="宋体" w:hAnsi="宋体" w:cs="宋体" w:eastAsia="宋体" w:hint="default"/>
                <w:sz w:val="18"/>
                <w:szCs w:val="18"/>
              </w:rPr>
              <w:t> 变更、增资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350298200005610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350204705420347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70542034-7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350298200005610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350204705420347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70542034-7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350298200005610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350204705420347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70542034-7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350298200005610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350204705420347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70542034-7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资本公积金转增股 本、股权激励授予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350298200005610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350204705420347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70542034-7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资本公积金转增股 本、经营范围增加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350298200005610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350204705420347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70542034-7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限制性股票回购注 销减资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厦门市工商行政管理局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350298200005610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350204705420347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70542034-7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4"/>
        </w:rPr>
        <w:t> </w:t>
      </w:r>
      <w:r>
        <w:rPr/>
        <w:t>会计数据和财务指标摘要</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w:t>
      </w:r>
      <w:bookmarkStart w:name="一、主要会计数据和财务指标" w:id="11"/>
      <w:bookmarkEnd w:id="11"/>
      <w:r>
        <w:rPr/>
        <w:t>数据和财</w:t>
      </w:r>
      <w:r>
        <w:rPr/>
        <w:t>务指标</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4"/>
        <w:gridCol w:w="1286"/>
        <w:gridCol w:w="1276"/>
        <w:gridCol w:w="150"/>
        <w:gridCol w:w="1268"/>
        <w:gridCol w:w="992"/>
        <w:gridCol w:w="1276"/>
        <w:gridCol w:w="1205"/>
      </w:tblGrid>
      <w:tr>
        <w:trPr>
          <w:trHeight w:val="161" w:hRule="exact"/>
        </w:trPr>
        <w:tc>
          <w:tcPr>
            <w:tcW w:w="2104" w:type="dxa"/>
            <w:vMerge w:val="restart"/>
            <w:tcBorders>
              <w:top w:val="single" w:sz="4" w:space="0" w:color="000000"/>
              <w:left w:val="single" w:sz="4" w:space="0" w:color="000000"/>
              <w:right w:val="single" w:sz="4" w:space="0" w:color="000000"/>
            </w:tcBorders>
            <w:shd w:val="clear" w:color="auto" w:fill="D4D4D4"/>
          </w:tcPr>
          <w:p>
            <w:pPr/>
          </w:p>
        </w:tc>
        <w:tc>
          <w:tcPr>
            <w:tcW w:w="1286" w:type="dxa"/>
            <w:vMerge w:val="restart"/>
            <w:tcBorders>
              <w:top w:val="single" w:sz="4" w:space="0" w:color="000000"/>
              <w:left w:val="single" w:sz="4" w:space="0" w:color="000000"/>
              <w:right w:val="single" w:sz="4" w:space="0" w:color="000000"/>
            </w:tcBorders>
            <w:shd w:val="clear" w:color="auto" w:fill="D4D4D4"/>
          </w:tcPr>
          <w:p>
            <w:pPr/>
          </w:p>
        </w:tc>
        <w:tc>
          <w:tcPr>
            <w:tcW w:w="2694" w:type="dxa"/>
            <w:gridSpan w:val="3"/>
            <w:tcBorders>
              <w:top w:val="single" w:sz="4" w:space="0" w:color="000000"/>
              <w:left w:val="single" w:sz="4" w:space="0" w:color="000000"/>
              <w:bottom w:val="nil" w:sz="6" w:space="0" w:color="auto"/>
              <w:right w:val="single" w:sz="4" w:space="0" w:color="000000"/>
            </w:tcBorders>
            <w:shd w:val="clear" w:color="auto" w:fill="D4D4D4"/>
          </w:tcPr>
          <w:p>
            <w:pPr/>
          </w:p>
        </w:tc>
        <w:tc>
          <w:tcPr>
            <w:tcW w:w="992"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480"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2" w:hRule="exact"/>
        </w:trPr>
        <w:tc>
          <w:tcPr>
            <w:tcW w:w="2104" w:type="dxa"/>
            <w:vMerge/>
            <w:tcBorders>
              <w:left w:val="single" w:sz="4" w:space="0" w:color="000000"/>
              <w:bottom w:val="nil" w:sz="6" w:space="0" w:color="auto"/>
              <w:right w:val="single" w:sz="4" w:space="0" w:color="000000"/>
            </w:tcBorders>
            <w:shd w:val="clear" w:color="auto" w:fill="D4D4D4"/>
          </w:tcPr>
          <w:p>
            <w:pPr/>
          </w:p>
        </w:tc>
        <w:tc>
          <w:tcPr>
            <w:tcW w:w="1286" w:type="dxa"/>
            <w:vMerge/>
            <w:tcBorders>
              <w:left w:val="single" w:sz="4" w:space="0" w:color="000000"/>
              <w:bottom w:val="nil" w:sz="6" w:space="0" w:color="auto"/>
              <w:right w:val="single" w:sz="4" w:space="0" w:color="000000"/>
            </w:tcBorders>
            <w:shd w:val="clear" w:color="auto" w:fill="D4D4D4"/>
          </w:tcPr>
          <w:p>
            <w:pPr/>
          </w:p>
        </w:tc>
        <w:tc>
          <w:tcPr>
            <w:tcW w:w="2694" w:type="dxa"/>
            <w:gridSpan w:val="3"/>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vMerge/>
            <w:tcBorders>
              <w:left w:val="single" w:sz="4" w:space="0" w:color="000000"/>
              <w:right w:val="single" w:sz="4" w:space="0" w:color="000000"/>
            </w:tcBorders>
            <w:shd w:val="clear" w:color="auto" w:fill="D4D4D4"/>
          </w:tcPr>
          <w:p>
            <w:pPr/>
          </w:p>
        </w:tc>
        <w:tc>
          <w:tcPr>
            <w:tcW w:w="2480"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104" w:type="dxa"/>
            <w:vMerge w:val="restart"/>
            <w:tcBorders>
              <w:top w:val="nil" w:sz="6" w:space="0" w:color="auto"/>
              <w:left w:val="single" w:sz="4" w:space="0" w:color="000000"/>
              <w:right w:val="single" w:sz="4" w:space="0" w:color="000000"/>
            </w:tcBorders>
            <w:shd w:val="clear" w:color="auto" w:fill="D4D4D4"/>
          </w:tcPr>
          <w:p>
            <w:pPr/>
          </w:p>
        </w:tc>
        <w:tc>
          <w:tcPr>
            <w:tcW w:w="12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4" w:type="dxa"/>
            <w:gridSpan w:val="3"/>
            <w:vMerge/>
            <w:tcBorders>
              <w:left w:val="single" w:sz="4" w:space="0" w:color="000000"/>
              <w:bottom w:val="nil" w:sz="6" w:space="0" w:color="auto"/>
              <w:right w:val="single" w:sz="4" w:space="0" w:color="000000"/>
            </w:tcBorders>
            <w:shd w:val="clear" w:color="auto" w:fill="D4D4D4"/>
          </w:tcPr>
          <w:p>
            <w:pPr/>
          </w:p>
        </w:tc>
        <w:tc>
          <w:tcPr>
            <w:tcW w:w="992" w:type="dxa"/>
            <w:vMerge/>
            <w:tcBorders>
              <w:left w:val="single" w:sz="4" w:space="0" w:color="000000"/>
              <w:right w:val="single" w:sz="4" w:space="0" w:color="000000"/>
            </w:tcBorders>
            <w:shd w:val="clear" w:color="auto" w:fill="D4D4D4"/>
          </w:tcPr>
          <w:p>
            <w:pPr/>
          </w:p>
        </w:tc>
        <w:tc>
          <w:tcPr>
            <w:tcW w:w="2480" w:type="dxa"/>
            <w:gridSpan w:val="2"/>
            <w:vMerge/>
            <w:tcBorders>
              <w:left w:val="single" w:sz="4" w:space="0" w:color="000000"/>
              <w:bottom w:val="nil" w:sz="6" w:space="0" w:color="auto"/>
              <w:right w:val="single" w:sz="4" w:space="0" w:color="000000"/>
            </w:tcBorders>
            <w:shd w:val="clear" w:color="auto" w:fill="D4D4D4"/>
          </w:tcPr>
          <w:p>
            <w:pPr/>
          </w:p>
        </w:tc>
      </w:tr>
      <w:tr>
        <w:trPr>
          <w:trHeight w:val="156" w:hRule="exact"/>
        </w:trPr>
        <w:tc>
          <w:tcPr>
            <w:tcW w:w="2104" w:type="dxa"/>
            <w:vMerge/>
            <w:tcBorders>
              <w:left w:val="single" w:sz="4" w:space="0" w:color="000000"/>
              <w:bottom w:val="nil" w:sz="6" w:space="0" w:color="auto"/>
              <w:right w:val="single" w:sz="4" w:space="0" w:color="000000"/>
            </w:tcBorders>
            <w:shd w:val="clear" w:color="auto" w:fill="D4D4D4"/>
          </w:tcPr>
          <w:p>
            <w:pPr/>
          </w:p>
        </w:tc>
        <w:tc>
          <w:tcPr>
            <w:tcW w:w="1286" w:type="dxa"/>
            <w:vMerge/>
            <w:tcBorders>
              <w:left w:val="single" w:sz="4" w:space="0" w:color="000000"/>
              <w:bottom w:val="nil" w:sz="6" w:space="0" w:color="auto"/>
              <w:right w:val="single" w:sz="4" w:space="0" w:color="000000"/>
            </w:tcBorders>
            <w:shd w:val="clear" w:color="auto" w:fill="D4D4D4"/>
          </w:tcPr>
          <w:p>
            <w:pPr/>
          </w:p>
        </w:tc>
        <w:tc>
          <w:tcPr>
            <w:tcW w:w="2694" w:type="dxa"/>
            <w:gridSpan w:val="3"/>
            <w:tcBorders>
              <w:top w:val="nil" w:sz="6" w:space="0" w:color="auto"/>
              <w:left w:val="single" w:sz="4" w:space="0" w:color="000000"/>
              <w:bottom w:val="single" w:sz="4" w:space="0" w:color="000000"/>
              <w:right w:val="single" w:sz="4" w:space="0" w:color="000000"/>
            </w:tcBorders>
            <w:shd w:val="clear" w:color="auto" w:fill="D4D4D4"/>
          </w:tcPr>
          <w:p>
            <w:pPr/>
          </w:p>
        </w:tc>
        <w:tc>
          <w:tcPr>
            <w:tcW w:w="992" w:type="dxa"/>
            <w:vMerge/>
            <w:tcBorders>
              <w:left w:val="single" w:sz="4" w:space="0" w:color="000000"/>
              <w:bottom w:val="single" w:sz="4" w:space="0" w:color="000000"/>
              <w:right w:val="single" w:sz="4" w:space="0" w:color="000000"/>
            </w:tcBorders>
            <w:shd w:val="clear" w:color="auto" w:fill="D4D4D4"/>
          </w:tcPr>
          <w:p>
            <w:pPr/>
          </w:p>
        </w:tc>
        <w:tc>
          <w:tcPr>
            <w:tcW w:w="2480"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7" w:hRule="exact"/>
        </w:trPr>
        <w:tc>
          <w:tcPr>
            <w:tcW w:w="210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86" w:type="dxa"/>
            <w:tcBorders>
              <w:top w:val="nil" w:sz="6" w:space="0" w:color="auto"/>
              <w:left w:val="single" w:sz="4" w:space="0" w:color="000000"/>
              <w:bottom w:val="single" w:sz="4" w:space="0" w:color="000000"/>
              <w:right w:val="single" w:sz="4" w:space="0" w:color="000000"/>
            </w:tcBorders>
            <w:shd w:val="clear" w:color="auto" w:fill="D4D4D4"/>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6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6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603,095,207.02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390,413,350.38</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390,413,350.38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349,997,542.03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349,997,542.03</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218,718,371.68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150,548,711.11</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150,548,711.11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140,105,791.84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140,105,791.84</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116,030,797.97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47,014,341.88</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47,014,341.88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53,333,858.37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53,333,858.37</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137,484,816.17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72,114,222.14</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72,114,222.14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83,157,452.34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83,157,452.34</w:t>
            </w:r>
          </w:p>
        </w:tc>
      </w:tr>
      <w:tr>
        <w:trPr>
          <w:trHeight w:val="714"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归属于上市公司普通股股 东的净利润（元）</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114,602,055.27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56,286,872.37</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56,286,872.37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78,431,616.50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78,431,616.50</w:t>
            </w:r>
          </w:p>
        </w:tc>
      </w:tr>
      <w:tr>
        <w:trPr>
          <w:trHeight w:val="1026"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归属于上市公司普通股股 东的扣除非经常性损益后 的净利润（元）</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106,974,609.71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42,146,366.40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42,146,366.40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68,367,222.61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68,367,222.61</w:t>
            </w:r>
          </w:p>
        </w:tc>
      </w:tr>
      <w:tr>
        <w:trPr>
          <w:trHeight w:val="714"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173,661,157.41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48,992,020.21</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48,992,020.21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26,943,447.29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26,943,447.29</w:t>
            </w:r>
          </w:p>
        </w:tc>
      </w:tr>
      <w:tr>
        <w:trPr>
          <w:trHeight w:val="714"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每股经营活动产生的现金 流量净额（元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0.2209</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1" w:right="0"/>
              <w:jc w:val="left"/>
              <w:rPr>
                <w:rFonts w:ascii="Times New Roman" w:hAnsi="Times New Roman" w:cs="Times New Roman" w:eastAsia="Times New Roman" w:hint="default"/>
                <w:sz w:val="18"/>
                <w:szCs w:val="18"/>
              </w:rPr>
            </w:pPr>
            <w:r>
              <w:rPr>
                <w:rFonts w:ascii="Times New Roman"/>
                <w:sz w:val="18"/>
              </w:rPr>
              <w:t>0.2209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0.2429</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1" w:right="0"/>
              <w:jc w:val="left"/>
              <w:rPr>
                <w:rFonts w:ascii="Times New Roman" w:hAnsi="Times New Roman" w:cs="Times New Roman" w:eastAsia="Times New Roman" w:hint="default"/>
                <w:sz w:val="18"/>
                <w:szCs w:val="18"/>
              </w:rPr>
            </w:pPr>
            <w:r>
              <w:rPr>
                <w:rFonts w:ascii="Times New Roman"/>
                <w:sz w:val="18"/>
              </w:rPr>
              <w:t>7.01%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10.84%</w:t>
            </w:r>
          </w:p>
        </w:tc>
      </w:tr>
      <w:tr>
        <w:trPr>
          <w:trHeight w:val="714"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扣除非经常性损益后的加 权平均净资产收益率</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1" w:right="0"/>
              <w:jc w:val="left"/>
              <w:rPr>
                <w:rFonts w:ascii="Times New Roman" w:hAnsi="Times New Roman" w:cs="Times New Roman" w:eastAsia="Times New Roman" w:hint="default"/>
                <w:sz w:val="18"/>
                <w:szCs w:val="18"/>
              </w:rPr>
            </w:pPr>
            <w:r>
              <w:rPr>
                <w:rFonts w:ascii="Times New Roman"/>
                <w:sz w:val="18"/>
              </w:rPr>
              <w:t>5.25%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w:t>
            </w:r>
          </w:p>
        </w:tc>
      </w:tr>
      <w:tr>
        <w:trPr>
          <w:trHeight w:val="161" w:hRule="exact"/>
        </w:trPr>
        <w:tc>
          <w:tcPr>
            <w:tcW w:w="2104" w:type="dxa"/>
            <w:vMerge w:val="restart"/>
            <w:tcBorders>
              <w:top w:val="single" w:sz="4" w:space="0" w:color="000000"/>
              <w:left w:val="single" w:sz="4" w:space="0" w:color="000000"/>
              <w:right w:val="single" w:sz="4" w:space="0" w:color="000000"/>
            </w:tcBorders>
            <w:shd w:val="clear" w:color="auto" w:fill="D4D4D4"/>
          </w:tcPr>
          <w:p>
            <w:pPr/>
          </w:p>
        </w:tc>
        <w:tc>
          <w:tcPr>
            <w:tcW w:w="1286" w:type="dxa"/>
            <w:vMerge w:val="restart"/>
            <w:tcBorders>
              <w:top w:val="single" w:sz="4" w:space="0" w:color="000000"/>
              <w:left w:val="single" w:sz="4" w:space="0" w:color="000000"/>
              <w:right w:val="single" w:sz="4" w:space="0" w:color="000000"/>
            </w:tcBorders>
            <w:shd w:val="clear" w:color="auto" w:fill="D4D4D4"/>
          </w:tcPr>
          <w:p>
            <w:pPr/>
          </w:p>
        </w:tc>
        <w:tc>
          <w:tcPr>
            <w:tcW w:w="2694" w:type="dxa"/>
            <w:gridSpan w:val="3"/>
            <w:tcBorders>
              <w:top w:val="single" w:sz="4" w:space="0" w:color="000000"/>
              <w:left w:val="single" w:sz="4" w:space="0" w:color="000000"/>
              <w:bottom w:val="nil" w:sz="6" w:space="0" w:color="auto"/>
              <w:right w:val="single" w:sz="4" w:space="0" w:color="000000"/>
            </w:tcBorders>
            <w:shd w:val="clear" w:color="auto" w:fill="D4D4D4"/>
          </w:tcPr>
          <w:p>
            <w:pPr/>
          </w:p>
        </w:tc>
        <w:tc>
          <w:tcPr>
            <w:tcW w:w="992"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130" w:right="41"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480"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2" w:hRule="exact"/>
        </w:trPr>
        <w:tc>
          <w:tcPr>
            <w:tcW w:w="2104" w:type="dxa"/>
            <w:vMerge/>
            <w:tcBorders>
              <w:left w:val="single" w:sz="4" w:space="0" w:color="000000"/>
              <w:bottom w:val="nil" w:sz="6" w:space="0" w:color="auto"/>
              <w:right w:val="single" w:sz="4" w:space="0" w:color="000000"/>
            </w:tcBorders>
            <w:shd w:val="clear" w:color="auto" w:fill="D4D4D4"/>
          </w:tcPr>
          <w:p>
            <w:pPr/>
          </w:p>
        </w:tc>
        <w:tc>
          <w:tcPr>
            <w:tcW w:w="1286" w:type="dxa"/>
            <w:vMerge/>
            <w:tcBorders>
              <w:left w:val="single" w:sz="4" w:space="0" w:color="000000"/>
              <w:bottom w:val="nil" w:sz="6" w:space="0" w:color="auto"/>
              <w:right w:val="single" w:sz="4" w:space="0" w:color="000000"/>
            </w:tcBorders>
            <w:shd w:val="clear" w:color="auto" w:fill="D4D4D4"/>
          </w:tcPr>
          <w:p>
            <w:pPr/>
          </w:p>
        </w:tc>
        <w:tc>
          <w:tcPr>
            <w:tcW w:w="2694" w:type="dxa"/>
            <w:gridSpan w:val="3"/>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2" w:type="dxa"/>
            <w:vMerge/>
            <w:tcBorders>
              <w:left w:val="single" w:sz="4" w:space="0" w:color="000000"/>
              <w:right w:val="single" w:sz="4" w:space="0" w:color="000000"/>
            </w:tcBorders>
            <w:shd w:val="clear" w:color="auto" w:fill="D4D4D4"/>
          </w:tcPr>
          <w:p>
            <w:pPr/>
          </w:p>
        </w:tc>
        <w:tc>
          <w:tcPr>
            <w:tcW w:w="2480"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104" w:type="dxa"/>
            <w:vMerge w:val="restart"/>
            <w:tcBorders>
              <w:top w:val="nil" w:sz="6" w:space="0" w:color="auto"/>
              <w:left w:val="single" w:sz="4" w:space="0" w:color="000000"/>
              <w:right w:val="single" w:sz="4" w:space="0" w:color="000000"/>
            </w:tcBorders>
            <w:shd w:val="clear" w:color="auto" w:fill="D4D4D4"/>
          </w:tcPr>
          <w:p>
            <w:pPr/>
          </w:p>
        </w:tc>
        <w:tc>
          <w:tcPr>
            <w:tcW w:w="12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4" w:type="dxa"/>
            <w:gridSpan w:val="3"/>
            <w:vMerge/>
            <w:tcBorders>
              <w:left w:val="single" w:sz="4" w:space="0" w:color="000000"/>
              <w:bottom w:val="nil" w:sz="6" w:space="0" w:color="auto"/>
              <w:right w:val="single" w:sz="4" w:space="0" w:color="000000"/>
            </w:tcBorders>
            <w:shd w:val="clear" w:color="auto" w:fill="D4D4D4"/>
          </w:tcPr>
          <w:p>
            <w:pPr/>
          </w:p>
        </w:tc>
        <w:tc>
          <w:tcPr>
            <w:tcW w:w="992" w:type="dxa"/>
            <w:vMerge/>
            <w:tcBorders>
              <w:left w:val="single" w:sz="4" w:space="0" w:color="000000"/>
              <w:right w:val="single" w:sz="4" w:space="0" w:color="000000"/>
            </w:tcBorders>
            <w:shd w:val="clear" w:color="auto" w:fill="D4D4D4"/>
          </w:tcPr>
          <w:p>
            <w:pPr/>
          </w:p>
        </w:tc>
        <w:tc>
          <w:tcPr>
            <w:tcW w:w="2480" w:type="dxa"/>
            <w:gridSpan w:val="2"/>
            <w:vMerge/>
            <w:tcBorders>
              <w:left w:val="single" w:sz="4" w:space="0" w:color="000000"/>
              <w:bottom w:val="nil" w:sz="6" w:space="0" w:color="auto"/>
              <w:right w:val="single" w:sz="4" w:space="0" w:color="000000"/>
            </w:tcBorders>
            <w:shd w:val="clear" w:color="auto" w:fill="D4D4D4"/>
          </w:tcPr>
          <w:p>
            <w:pPr/>
          </w:p>
        </w:tc>
      </w:tr>
      <w:tr>
        <w:trPr>
          <w:trHeight w:val="156" w:hRule="exact"/>
        </w:trPr>
        <w:tc>
          <w:tcPr>
            <w:tcW w:w="2104" w:type="dxa"/>
            <w:vMerge/>
            <w:tcBorders>
              <w:left w:val="single" w:sz="4" w:space="0" w:color="000000"/>
              <w:bottom w:val="nil" w:sz="6" w:space="0" w:color="auto"/>
              <w:right w:val="single" w:sz="4" w:space="0" w:color="000000"/>
            </w:tcBorders>
            <w:shd w:val="clear" w:color="auto" w:fill="D4D4D4"/>
          </w:tcPr>
          <w:p>
            <w:pPr/>
          </w:p>
        </w:tc>
        <w:tc>
          <w:tcPr>
            <w:tcW w:w="1286" w:type="dxa"/>
            <w:vMerge/>
            <w:tcBorders>
              <w:left w:val="single" w:sz="4" w:space="0" w:color="000000"/>
              <w:bottom w:val="nil" w:sz="6" w:space="0" w:color="auto"/>
              <w:right w:val="single" w:sz="4" w:space="0" w:color="000000"/>
            </w:tcBorders>
            <w:shd w:val="clear" w:color="auto" w:fill="D4D4D4"/>
          </w:tcPr>
          <w:p>
            <w:pPr/>
          </w:p>
        </w:tc>
        <w:tc>
          <w:tcPr>
            <w:tcW w:w="2694" w:type="dxa"/>
            <w:gridSpan w:val="3"/>
            <w:tcBorders>
              <w:top w:val="nil" w:sz="6" w:space="0" w:color="auto"/>
              <w:left w:val="single" w:sz="4" w:space="0" w:color="000000"/>
              <w:bottom w:val="single" w:sz="4" w:space="0" w:color="000000"/>
              <w:right w:val="single" w:sz="4" w:space="0" w:color="000000"/>
            </w:tcBorders>
            <w:shd w:val="clear" w:color="auto" w:fill="D4D4D4"/>
          </w:tcPr>
          <w:p>
            <w:pPr/>
          </w:p>
        </w:tc>
        <w:tc>
          <w:tcPr>
            <w:tcW w:w="992" w:type="dxa"/>
            <w:vMerge/>
            <w:tcBorders>
              <w:left w:val="single" w:sz="4" w:space="0" w:color="000000"/>
              <w:bottom w:val="single" w:sz="4" w:space="0" w:color="000000"/>
              <w:right w:val="single" w:sz="4" w:space="0" w:color="000000"/>
            </w:tcBorders>
            <w:shd w:val="clear" w:color="auto" w:fill="D4D4D4"/>
          </w:tcPr>
          <w:p>
            <w:pPr/>
          </w:p>
        </w:tc>
        <w:tc>
          <w:tcPr>
            <w:tcW w:w="2480"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7" w:hRule="exact"/>
        </w:trPr>
        <w:tc>
          <w:tcPr>
            <w:tcW w:w="210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86" w:type="dxa"/>
            <w:tcBorders>
              <w:top w:val="nil" w:sz="6" w:space="0" w:color="auto"/>
              <w:left w:val="single" w:sz="4" w:space="0" w:color="000000"/>
              <w:bottom w:val="single" w:sz="4" w:space="0" w:color="000000"/>
              <w:right w:val="single" w:sz="4" w:space="0" w:color="000000"/>
            </w:tcBorders>
            <w:shd w:val="clear" w:color="auto" w:fill="D4D4D4"/>
          </w:tcPr>
          <w:p>
            <w:pPr/>
          </w:p>
        </w:tc>
        <w:tc>
          <w:tcPr>
            <w:tcW w:w="14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43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6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6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221,581,600.00</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221,813,200.00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221,813,200.00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110,906,600.00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110,906,600.00</w:t>
            </w:r>
          </w:p>
        </w:tc>
      </w:tr>
      <w:tr>
        <w:trPr>
          <w:trHeight w:val="161" w:hRule="exact"/>
        </w:trPr>
        <w:tc>
          <w:tcPr>
            <w:tcW w:w="2104" w:type="dxa"/>
            <w:tcBorders>
              <w:top w:val="single" w:sz="4" w:space="0" w:color="000000"/>
              <w:left w:val="single" w:sz="4" w:space="0" w:color="000000"/>
              <w:bottom w:val="nil" w:sz="6" w:space="0" w:color="auto"/>
              <w:right w:val="single" w:sz="4" w:space="0" w:color="000000"/>
            </w:tcBorders>
            <w:shd w:val="clear" w:color="auto" w:fill="D4D4D4"/>
          </w:tcPr>
          <w:p>
            <w:pPr/>
          </w:p>
        </w:tc>
        <w:tc>
          <w:tcPr>
            <w:tcW w:w="1286" w:type="dxa"/>
            <w:vMerge w:val="restart"/>
            <w:tcBorders>
              <w:top w:val="single" w:sz="4" w:space="0" w:color="000000"/>
              <w:left w:val="single" w:sz="9"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1,314,447,084.1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426"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1,045,432,911.63</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1,045,432,911.6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25.73%</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927,163,278.02</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927,163,278.02</w:t>
            </w:r>
          </w:p>
        </w:tc>
      </w:tr>
      <w:tr>
        <w:trPr>
          <w:trHeight w:val="392" w:hRule="exact"/>
        </w:trPr>
        <w:tc>
          <w:tcPr>
            <w:tcW w:w="210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86" w:type="dxa"/>
            <w:vMerge/>
            <w:tcBorders>
              <w:left w:val="single" w:sz="9" w:space="0" w:color="D4D4D4"/>
              <w:right w:val="single" w:sz="4" w:space="0" w:color="000000"/>
            </w:tcBorders>
          </w:tcPr>
          <w:p>
            <w:pPr/>
          </w:p>
        </w:tc>
        <w:tc>
          <w:tcPr>
            <w:tcW w:w="1426" w:type="dxa"/>
            <w:gridSpan w:val="2"/>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r>
      <w:tr>
        <w:trPr>
          <w:trHeight w:val="161" w:hRule="exact"/>
        </w:trPr>
        <w:tc>
          <w:tcPr>
            <w:tcW w:w="210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86" w:type="dxa"/>
            <w:vMerge/>
            <w:tcBorders>
              <w:left w:val="single" w:sz="9" w:space="0" w:color="D4D4D4"/>
              <w:bottom w:val="single" w:sz="4" w:space="0" w:color="000000"/>
              <w:right w:val="single" w:sz="4" w:space="0" w:color="000000"/>
            </w:tcBorders>
          </w:tcPr>
          <w:p>
            <w:pPr/>
          </w:p>
        </w:tc>
        <w:tc>
          <w:tcPr>
            <w:tcW w:w="1426" w:type="dxa"/>
            <w:gridSpan w:val="2"/>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337,735,835.69</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194,518,284.96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194,518,284.96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145,892,914.83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145,892,914.83</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归属于上市公司普通股股</w:t>
            </w:r>
          </w:p>
        </w:tc>
        <w:tc>
          <w:tcPr>
            <w:tcW w:w="128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943,641,638.48</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827,869,394.22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827,869,394.22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778,934,199.29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778,934,199.29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7"/>
        <w:gridCol w:w="1275"/>
        <w:gridCol w:w="1426"/>
        <w:gridCol w:w="1268"/>
        <w:gridCol w:w="992"/>
        <w:gridCol w:w="1276"/>
        <w:gridCol w:w="1205"/>
      </w:tblGrid>
      <w:tr>
        <w:trPr>
          <w:trHeight w:val="362" w:hRule="exact"/>
        </w:trPr>
        <w:tc>
          <w:tcPr>
            <w:tcW w:w="21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东的所有者权益（元）</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归属于上市公司普通股股 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4.2587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3.7323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7.0233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7.0233</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15.74%</w:t>
            </w:r>
          </w:p>
        </w:tc>
      </w:tr>
    </w:tbl>
    <w:p>
      <w:pPr>
        <w:spacing w:line="300" w:lineRule="auto" w:before="10"/>
        <w:ind w:left="154" w:right="102" w:firstLine="357"/>
        <w:jc w:val="left"/>
        <w:rPr>
          <w:rFonts w:ascii="宋体" w:hAnsi="宋体" w:cs="宋体" w:eastAsia="宋体" w:hint="default"/>
          <w:sz w:val="18"/>
          <w:szCs w:val="18"/>
        </w:rPr>
      </w:pPr>
      <w:bookmarkStart w:name="2、同时按照境外会计准则与按照中国会计准则披露的财务报告中净利润和净资产差异情况" w:id="12"/>
      <w:bookmarkEnd w:id="12"/>
      <w:r>
        <w:rPr/>
      </w:r>
      <w:bookmarkStart w:name="3、境内外会计准则下会计数据差异说明" w:id="13"/>
      <w:bookmarkEnd w:id="13"/>
      <w:r>
        <w:rPr/>
      </w: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、公司根据《财政部关于印发修订</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企业会计准则第</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长期股权投资</w:t>
      </w:r>
      <w:r>
        <w:rPr>
          <w:rFonts w:ascii="Times New Roman" w:hAnsi="Times New Roman" w:cs="Times New Roman" w:eastAsia="Times New Roman" w:hint="default"/>
          <w:spacing w:val="-2"/>
          <w:sz w:val="18"/>
          <w:szCs w:val="18"/>
        </w:rPr>
        <w:t>&gt;</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的通知》（财会</w:t>
      </w:r>
      <w:r>
        <w:rPr>
          <w:rFonts w:ascii="Times New Roman" w:hAnsi="Times New Roman" w:cs="Times New Roman" w:eastAsia="Times New Roman" w:hint="default"/>
          <w:spacing w:val="-12"/>
          <w:sz w:val="18"/>
          <w:szCs w:val="18"/>
        </w:rPr>
        <w:t>[2014]14</w:t>
      </w:r>
      <w:r>
        <w:rPr>
          <w:rFonts w:ascii="宋体" w:hAnsi="宋体" w:cs="宋体" w:eastAsia="宋体" w:hint="default"/>
          <w:spacing w:val="-12"/>
          <w:sz w:val="18"/>
          <w:szCs w:val="18"/>
        </w:rPr>
        <w:t>号），执行《企</w:t>
      </w:r>
      <w:r>
        <w:rPr>
          <w:rFonts w:ascii="宋体" w:hAnsi="宋体" w:cs="宋体" w:eastAsia="宋体" w:hint="default"/>
          <w:sz w:val="18"/>
          <w:szCs w:val="18"/>
        </w:rPr>
        <w:t> </w:t>
      </w:r>
      <w:r>
        <w:rPr>
          <w:rFonts w:ascii="宋体" w:hAnsi="宋体" w:cs="宋体" w:eastAsia="宋体" w:hint="default"/>
          <w:spacing w:val="-5"/>
          <w:sz w:val="18"/>
          <w:szCs w:val="18"/>
        </w:rPr>
        <w:t>业会计准则第</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长期股权投资》，持有的对被投资单位不具有控制、共同控制或重大影响，并且在活跃市场中没有报价、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公允价值不能可靠计量的权益性投资要求按《企业会计准则第</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金融工具确认和计量》进行处理，并对其采用追溯调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整法进行调整。</w:t>
      </w:r>
    </w:p>
    <w:p>
      <w:pPr>
        <w:spacing w:line="240" w:lineRule="auto" w:before="4"/>
        <w:rPr>
          <w:rFonts w:ascii="宋体" w:hAnsi="宋体" w:cs="宋体" w:eastAsia="宋体" w:hint="default"/>
          <w:sz w:val="14"/>
          <w:szCs w:val="14"/>
        </w:rPr>
      </w:pPr>
    </w:p>
    <w:p>
      <w:pPr>
        <w:spacing w:line="300" w:lineRule="auto" w:before="0"/>
        <w:ind w:left="154" w:right="178" w:firstLine="3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
          <w:sz w:val="18"/>
          <w:szCs w:val="18"/>
        </w:rPr>
        <w:t>、</w:t>
      </w:r>
      <w:r>
        <w:rPr>
          <w:rFonts w:ascii="宋体" w:hAnsi="宋体" w:cs="宋体" w:eastAsia="宋体" w:hint="default"/>
          <w:sz w:val="18"/>
          <w:szCs w:val="18"/>
        </w:rPr>
        <w:t>本公司根</w:t>
      </w:r>
      <w:r>
        <w:rPr>
          <w:rFonts w:ascii="宋体" w:hAnsi="宋体" w:cs="宋体" w:eastAsia="宋体" w:hint="default"/>
          <w:spacing w:val="-9"/>
          <w:sz w:val="18"/>
          <w:szCs w:val="18"/>
        </w:rPr>
        <w:t>据</w:t>
      </w:r>
      <w:r>
        <w:rPr>
          <w:rFonts w:ascii="宋体" w:hAnsi="宋体" w:cs="宋体" w:eastAsia="宋体" w:hint="default"/>
          <w:sz w:val="18"/>
          <w:szCs w:val="18"/>
        </w:rPr>
        <w:t>《关于印发修订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Times New Roman" w:hAnsi="Times New Roman" w:cs="Times New Roman" w:eastAsia="Times New Roman" w:hint="default"/>
          <w:sz w:val="18"/>
          <w:szCs w:val="18"/>
        </w:rPr>
        <w:t>&gt;</w:t>
      </w:r>
      <w:r>
        <w:rPr>
          <w:rFonts w:ascii="宋体" w:hAnsi="宋体" w:cs="宋体" w:eastAsia="宋体" w:hint="default"/>
          <w:sz w:val="18"/>
          <w:szCs w:val="18"/>
        </w:rPr>
        <w:t>的通知</w:t>
      </w:r>
      <w:r>
        <w:rPr>
          <w:rFonts w:ascii="宋体" w:hAnsi="宋体" w:cs="宋体" w:eastAsia="宋体" w:hint="default"/>
          <w:spacing w:val="-99"/>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pacing w:val="1"/>
          <w:sz w:val="18"/>
          <w:szCs w:val="18"/>
        </w:rPr>
        <w:t>执</w:t>
      </w:r>
      <w:r>
        <w:rPr>
          <w:rFonts w:ascii="宋体" w:hAnsi="宋体" w:cs="宋体" w:eastAsia="宋体" w:hint="default"/>
          <w:spacing w:val="-9"/>
          <w:sz w:val="18"/>
          <w:szCs w:val="18"/>
        </w:rPr>
        <w:t>行</w:t>
      </w:r>
      <w:r>
        <w:rPr>
          <w:rFonts w:ascii="宋体" w:hAnsi="宋体" w:cs="宋体" w:eastAsia="宋体" w:hint="default"/>
          <w:sz w:val="18"/>
          <w:szCs w:val="18"/>
        </w:rPr>
        <w:t>《企业会计准</w:t>
      </w:r>
      <w:r>
        <w:rPr>
          <w:rFonts w:ascii="宋体" w:hAnsi="宋体" w:cs="宋体" w:eastAsia="宋体" w:hint="default"/>
          <w:sz w:val="18"/>
          <w:szCs w:val="18"/>
        </w:rPr>
        <w:t> 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90"/>
          <w:sz w:val="18"/>
          <w:szCs w:val="18"/>
        </w:rPr>
        <w:t>》</w:t>
      </w:r>
      <w:r>
        <w:rPr>
          <w:rFonts w:ascii="宋体" w:hAnsi="宋体" w:cs="宋体" w:eastAsia="宋体" w:hint="default"/>
          <w:sz w:val="18"/>
          <w:szCs w:val="18"/>
        </w:rPr>
        <w:t>，公司修改了财务报表中的列报。并对其采用追溯调整法进行调整。</w:t>
      </w:r>
    </w:p>
    <w:p>
      <w:pPr>
        <w:spacing w:line="240" w:lineRule="auto" w:before="12"/>
        <w:rPr>
          <w:rFonts w:ascii="宋体" w:hAnsi="宋体" w:cs="宋体" w:eastAsia="宋体" w:hint="default"/>
          <w:sz w:val="12"/>
          <w:szCs w:val="12"/>
        </w:rPr>
      </w:pPr>
    </w:p>
    <w:p>
      <w:pPr>
        <w:spacing w:line="300" w:lineRule="auto" w:before="0"/>
        <w:ind w:left="154" w:right="185" w:firstLine="3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、执行以上会计准则，仅对可供出售金融资产和长期股权投资、递延收益、其他非流动负债报表项目金额产生影响， 对公司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年度及本期总资产、负债总额、净资产及净利润不产生任何影响。</w:t>
      </w:r>
    </w:p>
    <w:p>
      <w:pPr>
        <w:spacing w:line="240" w:lineRule="auto" w:before="5"/>
        <w:rPr>
          <w:rFonts w:ascii="宋体" w:hAnsi="宋体" w:cs="宋体" w:eastAsia="宋体" w:hint="default"/>
          <w:sz w:val="13"/>
          <w:szCs w:val="13"/>
        </w:rPr>
      </w:pPr>
    </w:p>
    <w:p>
      <w:pPr>
        <w:pStyle w:val="BodyText"/>
        <w:spacing w:line="240" w:lineRule="auto"/>
        <w:ind w:right="102"/>
        <w:jc w:val="left"/>
      </w:pPr>
      <w:r>
        <w:rPr/>
        <w:t>截止披露前一交易日的公司总股本：</w:t>
      </w:r>
    </w:p>
    <w:p>
      <w:pPr>
        <w:spacing w:line="240" w:lineRule="auto" w:before="7"/>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4656"/>
        <w:gridCol w:w="4912"/>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4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221,581,600</w:t>
            </w:r>
          </w:p>
        </w:tc>
      </w:tr>
    </w:tbl>
    <w:p>
      <w:pPr>
        <w:pStyle w:val="BodyText"/>
        <w:spacing w:line="328" w:lineRule="auto" w:before="57"/>
        <w:ind w:right="102"/>
        <w:jc w:val="left"/>
      </w:pPr>
      <w:r>
        <w:rPr>
          <w:spacing w:val="-1"/>
        </w:rPr>
        <w:t>公司报告期末至年度报告披露日股本是否因发行新股、增发、配股、股权激励行权、回购等原因发生变化</w:t>
      </w:r>
      <w:r>
        <w:rPr>
          <w:spacing w:val="-85"/>
        </w:rPr>
        <w:t> </w:t>
      </w:r>
      <w:r>
        <w:rPr>
          <w:spacing w:val="-85"/>
        </w:rPr>
      </w:r>
      <w:r>
        <w:rPr/>
        <w:t>且影响所有者权益金额：</w:t>
      </w:r>
    </w:p>
    <w:p>
      <w:pPr>
        <w:pStyle w:val="BodyText"/>
        <w:spacing w:line="340" w:lineRule="auto" w:before="61"/>
        <w:ind w:right="813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是否存在公司债：</w:t>
      </w:r>
    </w:p>
    <w:p>
      <w:pPr>
        <w:pStyle w:val="BodyText"/>
        <w:spacing w:line="340" w:lineRule="auto" w:before="52"/>
        <w:ind w:right="603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公司是否存在最近两年连续亏损的情形：</w:t>
      </w:r>
    </w:p>
    <w:p>
      <w:pPr>
        <w:pStyle w:val="BodyText"/>
        <w:spacing w:line="240" w:lineRule="auto" w:before="51"/>
        <w:ind w:right="10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02"/>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73"/>
        <w:gridCol w:w="1741"/>
        <w:gridCol w:w="2003"/>
        <w:gridCol w:w="1769"/>
        <w:gridCol w:w="1759"/>
      </w:tblGrid>
      <w:tr>
        <w:trPr>
          <w:trHeight w:val="206" w:hRule="exact"/>
        </w:trPr>
        <w:tc>
          <w:tcPr>
            <w:tcW w:w="2273"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426"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归属于上市公司普通股股东的净利润</w:t>
            </w:r>
          </w:p>
        </w:tc>
        <w:tc>
          <w:tcPr>
            <w:tcW w:w="35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324" w:right="0"/>
              <w:jc w:val="left"/>
              <w:rPr>
                <w:rFonts w:ascii="宋体" w:hAnsi="宋体" w:cs="宋体" w:eastAsia="宋体" w:hint="default"/>
                <w:sz w:val="18"/>
                <w:szCs w:val="18"/>
              </w:rPr>
            </w:pPr>
            <w:bookmarkStart w:name="二、境内外会计准则下会计数据差异" w:id="14"/>
            <w:bookmarkEnd w:id="14"/>
            <w:r>
              <w:rPr/>
            </w:r>
            <w:r>
              <w:rPr>
                <w:rFonts w:ascii="宋体" w:hAnsi="宋体" w:cs="宋体" w:eastAsia="宋体" w:hint="default"/>
                <w:sz w:val="18"/>
                <w:szCs w:val="18"/>
              </w:rPr>
              <w:t>归属于上市公司普通股股东的净资产</w:t>
            </w:r>
          </w:p>
        </w:tc>
      </w:tr>
      <w:tr>
        <w:trPr>
          <w:trHeight w:val="196" w:hRule="exact"/>
        </w:trPr>
        <w:tc>
          <w:tcPr>
            <w:tcW w:w="2273" w:type="dxa"/>
            <w:vMerge w:val="restart"/>
            <w:tcBorders>
              <w:top w:val="nil" w:sz="6" w:space="0" w:color="auto"/>
              <w:left w:val="single" w:sz="4" w:space="0" w:color="000000"/>
              <w:right w:val="single" w:sz="4" w:space="0" w:color="000000"/>
            </w:tcBorders>
            <w:shd w:val="clear" w:color="auto" w:fill="D4D4D4"/>
          </w:tcPr>
          <w:p>
            <w:pPr/>
          </w:p>
        </w:tc>
        <w:tc>
          <w:tcPr>
            <w:tcW w:w="3744" w:type="dxa"/>
            <w:gridSpan w:val="2"/>
            <w:vMerge/>
            <w:tcBorders>
              <w:left w:val="single" w:sz="4" w:space="0" w:color="000000"/>
              <w:bottom w:val="single" w:sz="4" w:space="0" w:color="000000"/>
              <w:right w:val="single" w:sz="4" w:space="0" w:color="000000"/>
            </w:tcBorders>
            <w:shd w:val="clear" w:color="auto" w:fill="D4D4D4"/>
          </w:tcPr>
          <w:p>
            <w:pPr/>
          </w:p>
        </w:tc>
        <w:tc>
          <w:tcPr>
            <w:tcW w:w="3528"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273" w:type="dxa"/>
            <w:vMerge/>
            <w:tcBorders>
              <w:left w:val="single" w:sz="4" w:space="0" w:color="000000"/>
              <w:bottom w:val="nil" w:sz="6" w:space="0" w:color="auto"/>
              <w:right w:val="single" w:sz="4" w:space="0" w:color="000000"/>
            </w:tcBorders>
            <w:shd w:val="clear" w:color="auto" w:fill="D4D4D4"/>
          </w:tcPr>
          <w:p>
            <w:pPr/>
          </w:p>
        </w:tc>
        <w:tc>
          <w:tcPr>
            <w:tcW w:w="174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2273" w:type="dxa"/>
            <w:tcBorders>
              <w:top w:val="nil" w:sz="6" w:space="0" w:color="auto"/>
              <w:left w:val="single" w:sz="4" w:space="0" w:color="000000"/>
              <w:bottom w:val="single" w:sz="4" w:space="0" w:color="000000"/>
              <w:right w:val="single" w:sz="4" w:space="0" w:color="000000"/>
            </w:tcBorders>
            <w:shd w:val="clear" w:color="auto" w:fill="D4D4D4"/>
          </w:tcPr>
          <w:p>
            <w:pPr/>
          </w:p>
        </w:tc>
        <w:tc>
          <w:tcPr>
            <w:tcW w:w="1741" w:type="dxa"/>
            <w:vMerge/>
            <w:tcBorders>
              <w:left w:val="single" w:sz="4" w:space="0" w:color="000000"/>
              <w:bottom w:val="single" w:sz="4" w:space="0" w:color="000000"/>
              <w:right w:val="single" w:sz="4" w:space="0" w:color="000000"/>
            </w:tcBorders>
            <w:shd w:val="clear" w:color="auto" w:fill="D4D4D4"/>
          </w:tcPr>
          <w:p>
            <w:pPr/>
          </w:p>
        </w:tc>
        <w:tc>
          <w:tcPr>
            <w:tcW w:w="2003" w:type="dxa"/>
            <w:vMerge/>
            <w:tcBorders>
              <w:left w:val="single" w:sz="4" w:space="0" w:color="000000"/>
              <w:bottom w:val="single" w:sz="4" w:space="0" w:color="000000"/>
              <w:right w:val="single" w:sz="4" w:space="0" w:color="000000"/>
            </w:tcBorders>
            <w:shd w:val="clear" w:color="auto" w:fill="D4D4D4"/>
          </w:tcPr>
          <w:p>
            <w:pPr/>
          </w:p>
        </w:tc>
        <w:tc>
          <w:tcPr>
            <w:tcW w:w="1769" w:type="dxa"/>
            <w:vMerge/>
            <w:tcBorders>
              <w:left w:val="single" w:sz="4" w:space="0" w:color="000000"/>
              <w:bottom w:val="single" w:sz="4" w:space="0" w:color="000000"/>
              <w:right w:val="single" w:sz="4" w:space="0" w:color="000000"/>
            </w:tcBorders>
            <w:shd w:val="clear" w:color="auto" w:fill="D4D4D4"/>
          </w:tcPr>
          <w:p>
            <w:pPr/>
          </w:p>
        </w:tc>
        <w:tc>
          <w:tcPr>
            <w:tcW w:w="1759"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578" w:right="0"/>
              <w:jc w:val="left"/>
              <w:rPr>
                <w:rFonts w:ascii="Times New Roman" w:hAnsi="Times New Roman" w:cs="Times New Roman" w:eastAsia="Times New Roman" w:hint="default"/>
                <w:sz w:val="18"/>
                <w:szCs w:val="18"/>
              </w:rPr>
            </w:pPr>
            <w:r>
              <w:rPr>
                <w:rFonts w:ascii="Times New Roman"/>
                <w:sz w:val="18"/>
              </w:rPr>
              <w:t>114,602,055.27</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56,286,872.37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2" w:right="0"/>
              <w:jc w:val="left"/>
              <w:rPr>
                <w:rFonts w:ascii="Times New Roman" w:hAnsi="Times New Roman" w:cs="Times New Roman" w:eastAsia="Times New Roman" w:hint="default"/>
                <w:sz w:val="18"/>
                <w:szCs w:val="18"/>
              </w:rPr>
            </w:pPr>
            <w:r>
              <w:rPr>
                <w:rFonts w:ascii="Times New Roman"/>
                <w:sz w:val="18"/>
              </w:rPr>
              <w:t>943,641,638.48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3" w:right="0"/>
              <w:jc w:val="left"/>
              <w:rPr>
                <w:rFonts w:ascii="Times New Roman" w:hAnsi="Times New Roman" w:cs="Times New Roman" w:eastAsia="Times New Roman" w:hint="default"/>
                <w:sz w:val="18"/>
                <w:szCs w:val="18"/>
              </w:rPr>
            </w:pPr>
            <w:r>
              <w:rPr>
                <w:rFonts w:ascii="Times New Roman"/>
                <w:sz w:val="18"/>
              </w:rPr>
              <w:t>827,869,394.</w:t>
            </w:r>
            <w:bookmarkStart w:name="1、同时按照国际会计准则与按照中国会计准则披露的财务报告中净利润和净资产差异情况" w:id="15"/>
            <w:bookmarkEnd w:id="15"/>
            <w:r>
              <w:rPr>
                <w:rFonts w:ascii="Times New Roman"/>
                <w:sz w:val="18"/>
              </w:rPr>
              <w:t>22</w:t>
            </w:r>
          </w:p>
        </w:tc>
      </w:tr>
    </w:tbl>
    <w:p>
      <w:pPr>
        <w:spacing w:line="240" w:lineRule="auto" w:before="10"/>
        <w:rPr>
          <w:rFonts w:ascii="宋体" w:hAnsi="宋体" w:cs="宋体" w:eastAsia="宋体" w:hint="default"/>
          <w:b/>
          <w:bCs/>
          <w:sz w:val="7"/>
          <w:szCs w:val="7"/>
        </w:rPr>
      </w:pPr>
    </w:p>
    <w:p>
      <w:pPr>
        <w:pStyle w:val="BodyText"/>
        <w:spacing w:line="240" w:lineRule="auto" w:before="35"/>
        <w:ind w:right="102"/>
        <w:jc w:val="left"/>
      </w:pPr>
      <w:r>
        <w:rPr/>
        <w:t>公司报告期不存在按照国际会计准则与按照中国会计准则披露的财务报告中净利润和净资产差异情况。</w:t>
      </w:r>
    </w:p>
    <w:p>
      <w:pPr>
        <w:spacing w:line="240" w:lineRule="auto" w:before="3"/>
        <w:rPr>
          <w:rFonts w:ascii="宋体" w:hAnsi="宋体" w:cs="宋体" w:eastAsia="宋体" w:hint="default"/>
          <w:sz w:val="28"/>
          <w:szCs w:val="28"/>
        </w:rPr>
      </w:pPr>
    </w:p>
    <w:p>
      <w:pPr>
        <w:spacing w:line="520" w:lineRule="auto" w:before="0"/>
        <w:ind w:left="154" w:right="3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公司报告期不存在按照境外会计准则与按照中国会计准则披露的财务报告中净利润和净资产差异情况。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、境内外会计准则下会计数据差异说明</w:t>
      </w:r>
      <w:r>
        <w:rPr>
          <w:rFonts w:ascii="宋体" w:hAnsi="宋体" w:cs="宋体" w:eastAsia="宋体" w:hint="default"/>
          <w:sz w:val="21"/>
          <w:szCs w:val="21"/>
        </w:rPr>
      </w:r>
    </w:p>
    <w:p>
      <w:pPr>
        <w:pStyle w:val="BodyText"/>
        <w:spacing w:line="240" w:lineRule="auto" w:before="51"/>
        <w:ind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after="0" w:line="240" w:lineRule="auto"/>
        <w:jc w:val="left"/>
        <w:sectPr>
          <w:pgSz w:w="11910" w:h="16840"/>
          <w:pgMar w:header="747" w:footer="980"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非经常性损益的项目及金额" w:id="16"/>
      <w:bookmarkEnd w:id="16"/>
      <w:r>
        <w:rPr>
          <w:b w:val="0"/>
          <w:bCs w:val="0"/>
        </w:rPr>
      </w:r>
      <w:r>
        <w:rPr/>
        <w:t>三、非经常性损益的项目及金额</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97"/>
        <w:gridCol w:w="302"/>
        <w:gridCol w:w="1127"/>
        <w:gridCol w:w="1417"/>
        <w:gridCol w:w="1277"/>
        <w:gridCol w:w="636"/>
      </w:tblGrid>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6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302" w:type="dxa"/>
            <w:tcBorders>
              <w:top w:val="single" w:sz="4" w:space="0" w:color="000000"/>
              <w:left w:val="single" w:sz="13" w:space="0" w:color="D4D4D4"/>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28" w:right="0"/>
              <w:jc w:val="left"/>
              <w:rPr>
                <w:rFonts w:ascii="Times New Roman" w:hAnsi="Times New Roman" w:cs="Times New Roman" w:eastAsia="Times New Roman" w:hint="default"/>
                <w:sz w:val="18"/>
                <w:szCs w:val="18"/>
              </w:rPr>
            </w:pPr>
            <w:r>
              <w:rPr>
                <w:rFonts w:ascii="Times New Roman"/>
                <w:sz w:val="18"/>
              </w:rPr>
              <w:t>-256,715.51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5,878,119.62</w:t>
            </w:r>
          </w:p>
        </w:tc>
        <w:tc>
          <w:tcPr>
            <w:tcW w:w="127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1429" w:type="dxa"/>
            <w:gridSpan w:val="2"/>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8,871,308.43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9,122,638.03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12,108,066.34</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 投资时应享有被投资单位可辨认净资产公允价值产生的收益</w:t>
            </w:r>
          </w:p>
        </w:tc>
        <w:tc>
          <w:tcPr>
            <w:tcW w:w="1429" w:type="dxa"/>
            <w:gridSpan w:val="2"/>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156,825.00</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29" w:type="dxa"/>
            <w:gridSpan w:val="2"/>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03" w:right="0"/>
              <w:jc w:val="left"/>
              <w:rPr>
                <w:rFonts w:ascii="Times New Roman" w:hAnsi="Times New Roman" w:cs="Times New Roman" w:eastAsia="Times New Roman" w:hint="default"/>
                <w:sz w:val="18"/>
                <w:szCs w:val="18"/>
              </w:rPr>
            </w:pPr>
            <w:r>
              <w:rPr>
                <w:rFonts w:ascii="Times New Roman"/>
                <w:sz w:val="18"/>
              </w:rPr>
              <w:t>-57,504.64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-56,327.21</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-906,211.10</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29" w:type="dxa"/>
            <w:gridSpan w:val="2"/>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895,477.76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665,092.56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1,281,783.34</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29" w:type="dxa"/>
            <w:gridSpan w:val="2"/>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63" w:right="0"/>
              <w:jc w:val="left"/>
              <w:rPr>
                <w:rFonts w:ascii="Times New Roman" w:hAnsi="Times New Roman" w:cs="Times New Roman" w:eastAsia="Times New Roman" w:hint="default"/>
                <w:sz w:val="18"/>
                <w:szCs w:val="18"/>
              </w:rPr>
            </w:pPr>
            <w:r>
              <w:rPr>
                <w:rFonts w:ascii="Times New Roman"/>
                <w:sz w:val="18"/>
              </w:rPr>
              <w:t>34,164.96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138,831.91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12,503.01</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9" w:type="dxa"/>
            <w:gridSpan w:val="2"/>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7,627,445.56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14,140,505.97</w:t>
            </w:r>
          </w:p>
        </w:tc>
        <w:tc>
          <w:tcPr>
            <w:tcW w:w="1277"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10,064,393.89</w:t>
            </w:r>
          </w:p>
        </w:tc>
        <w:tc>
          <w:tcPr>
            <w:tcW w:w="6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7"/>
        <w:ind w:right="0"/>
        <w:jc w:val="both"/>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非经常性损益》定义界定的非经常性损</w:t>
      </w:r>
    </w:p>
    <w:p>
      <w:pPr>
        <w:pStyle w:val="BodyText"/>
        <w:spacing w:line="309" w:lineRule="auto" w:before="83"/>
        <w:ind w:left="153" w:right="152"/>
        <w:jc w:val="both"/>
      </w:pPr>
      <w:r>
        <w:rPr/>
        <w:t>益项目，以及把《公开发行证券的公司信息披露解释性公告第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非经常性损益》中列举的非经常性 损益项目界定为经常性损益的项目，应说明原因：</w:t>
      </w:r>
    </w:p>
    <w:p>
      <w:pPr>
        <w:pStyle w:val="BodyText"/>
        <w:spacing w:line="240" w:lineRule="auto" w:before="78"/>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pStyle w:val="BodyText"/>
        <w:spacing w:line="309" w:lineRule="auto" w:before="122"/>
        <w:ind w:left="153" w:right="152"/>
        <w:jc w:val="both"/>
      </w:pPr>
      <w:r>
        <w:rPr/>
        <w:t>公司报告期不存在将根据《公开发行证券的公司信息披露解释性公告第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非经常性损益》定义、列 举的非经常性损益项目界定为经常性损益的项目的情形。</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r>
        <w:rPr/>
        <w:t>四、重大风险提示</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left="573" w:right="0" w:firstLine="2"/>
        <w:jc w:val="left"/>
      </w:pPr>
      <w:r>
        <w:rPr>
          <w:rFonts w:ascii="Times New Roman" w:hAnsi="Times New Roman" w:cs="Times New Roman" w:eastAsia="Times New Roman" w:hint="default"/>
          <w:b/>
          <w:bCs/>
        </w:rPr>
        <w:t>1</w:t>
      </w:r>
      <w:r>
        <w:rPr>
          <w:rFonts w:ascii="宋体" w:hAnsi="宋体" w:cs="宋体" w:eastAsia="宋体" w:hint="default"/>
          <w:b/>
          <w:bCs/>
        </w:rPr>
        <w:t>、应收账款无法及时回收的风险</w:t>
      </w:r>
      <w:r>
        <w:rPr>
          <w:rFonts w:ascii="宋体" w:hAnsi="宋体" w:cs="宋体" w:eastAsia="宋体" w:hint="default"/>
          <w:b/>
          <w:bCs/>
          <w:spacing w:val="1"/>
          <w:w w:val="99"/>
        </w:rPr>
        <w:t> </w:t>
      </w:r>
      <w:r>
        <w:rPr/>
        <w:t>报告期末，公司应收账款净额为</w:t>
      </w:r>
      <w:r>
        <w:rPr>
          <w:rFonts w:ascii="Times New Roman" w:hAnsi="Times New Roman" w:cs="Times New Roman" w:eastAsia="Times New Roman" w:hint="default"/>
        </w:rPr>
        <w:t>17,246.84</w:t>
      </w:r>
      <w:r>
        <w:rPr/>
        <w:t>万元，占公司总资产的比例为</w:t>
      </w:r>
      <w:r>
        <w:rPr>
          <w:rFonts w:ascii="Times New Roman" w:hAnsi="Times New Roman" w:cs="Times New Roman" w:eastAsia="Times New Roman" w:hint="default"/>
        </w:rPr>
        <w:t>13</w:t>
      </w:r>
      <w:bookmarkStart w:name="四、重大风险提示" w:id="17"/>
      <w:bookmarkEnd w:id="17"/>
      <w:r>
        <w:rPr>
          <w:rFonts w:ascii="Times New Roman" w:hAnsi="Times New Roman" w:cs="Times New Roman" w:eastAsia="Times New Roman" w:hint="default"/>
        </w:rPr>
        <w:t>.</w:t>
      </w:r>
      <w:r>
        <w:rPr>
          <w:rFonts w:ascii="Times New Roman" w:hAnsi="Times New Roman" w:cs="Times New Roman" w:eastAsia="Times New Roman" w:hint="default"/>
        </w:rPr>
        <w:t>12%</w:t>
      </w:r>
      <w:r>
        <w:rPr/>
        <w:t>。 </w:t>
      </w:r>
      <w:r>
        <w:rPr>
          <w:spacing w:val="-1"/>
        </w:rPr>
        <w:t>公司应收账款比较高是因为公司主要客户为全国各级司法机关和行政执法部门等，这些客户的采购及</w:t>
      </w:r>
    </w:p>
    <w:p>
      <w:pPr>
        <w:pStyle w:val="BodyText"/>
        <w:spacing w:line="227" w:lineRule="exact"/>
        <w:ind w:left="153" w:right="0"/>
        <w:jc w:val="both"/>
      </w:pPr>
      <w:r>
        <w:rPr/>
        <w:t>付款审批周期较长。同时随着公司收入规模的增长，单个合同项目金额增大，项目的实施期和客户的付款</w:t>
      </w:r>
    </w:p>
    <w:p>
      <w:pPr>
        <w:pStyle w:val="BodyText"/>
        <w:spacing w:line="240" w:lineRule="auto" w:before="99"/>
        <w:ind w:left="153" w:right="0"/>
        <w:jc w:val="both"/>
      </w:pPr>
      <w:r>
        <w:rPr/>
        <w:t>审批周期也会延长，应收账款的账期和绝对值也相应上升。</w:t>
      </w:r>
    </w:p>
    <w:p>
      <w:pPr>
        <w:spacing w:line="240" w:lineRule="auto" w:before="10"/>
        <w:rPr>
          <w:rFonts w:ascii="宋体" w:hAnsi="宋体" w:cs="宋体" w:eastAsia="宋体" w:hint="default"/>
          <w:sz w:val="16"/>
          <w:szCs w:val="16"/>
        </w:rPr>
      </w:pPr>
    </w:p>
    <w:p>
      <w:pPr>
        <w:pStyle w:val="BodyText"/>
        <w:spacing w:line="326" w:lineRule="auto"/>
        <w:ind w:left="153" w:right="152" w:firstLine="420"/>
        <w:jc w:val="both"/>
      </w:pPr>
      <w:r>
        <w:rPr>
          <w:spacing w:val="-1"/>
        </w:rPr>
        <w:t>虽然这些主要客户具有良好的信用和较强的实力，应收账款总体回收风险不大，但应收账款回收时间</w:t>
      </w:r>
      <w:r>
        <w:rPr/>
        <w:t> </w:t>
      </w:r>
      <w:r>
        <w:rPr>
          <w:spacing w:val="-1"/>
        </w:rPr>
        <w:t>过长或不可避地发生坏账时，将可能对公司业绩和生产经营产生一定影响。对此，一方面公司将根据实际</w:t>
      </w:r>
      <w:r>
        <w:rPr>
          <w:spacing w:val="-83"/>
        </w:rPr>
        <w:t> </w:t>
      </w:r>
      <w:r>
        <w:rPr>
          <w:spacing w:val="-83"/>
        </w:rPr>
      </w:r>
      <w:r>
        <w:rPr>
          <w:spacing w:val="-1"/>
        </w:rPr>
        <w:t>情况，执行合理的应收账款坏账计提准备政策；另一方面，将不断加强应收账款的催收管理，避免较高的</w:t>
      </w:r>
      <w:r>
        <w:rPr>
          <w:spacing w:val="-86"/>
        </w:rPr>
        <w:t> </w:t>
      </w:r>
      <w:r>
        <w:rPr>
          <w:spacing w:val="-86"/>
        </w:rPr>
      </w:r>
      <w:r>
        <w:rPr/>
        <w:t>坏账风险。</w:t>
      </w:r>
    </w:p>
    <w:p>
      <w:pPr>
        <w:spacing w:line="408" w:lineRule="auto" w:before="144"/>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、新业务拓展不达预期的风险</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报告期内，公司沿着技术、行业、区域几个维度开展新产品研发和市场拓展，同时继续努力推进“小</w:t>
      </w:r>
    </w:p>
    <w:p>
      <w:pPr>
        <w:pStyle w:val="BodyText"/>
        <w:spacing w:line="227" w:lineRule="exact"/>
        <w:ind w:right="0"/>
        <w:jc w:val="both"/>
      </w:pPr>
      <w:r>
        <w:rPr/>
        <w:t>产品、大服务”战略。目前公司业务已陆续拓展到公安、检察、工商、税务、海关、新闻、保密、质监、</w:t>
      </w:r>
    </w:p>
    <w:p>
      <w:pPr>
        <w:pStyle w:val="BodyText"/>
        <w:spacing w:line="326" w:lineRule="auto" w:before="99"/>
        <w:ind w:left="153" w:right="152"/>
        <w:jc w:val="both"/>
      </w:pPr>
      <w:r>
        <w:rPr>
          <w:spacing w:val="-1"/>
        </w:rPr>
        <w:t>检验检疫等多个行业，刑事技术产品线的设立、云服务业务的开展，使得公司业务范围也逐渐扩大。一方</w:t>
      </w:r>
      <w:r>
        <w:rPr>
          <w:spacing w:val="-86"/>
        </w:rPr>
        <w:t> </w:t>
      </w:r>
      <w:r>
        <w:rPr>
          <w:spacing w:val="-86"/>
        </w:rPr>
      </w:r>
      <w:r>
        <w:rPr>
          <w:spacing w:val="-1"/>
        </w:rPr>
        <w:t>面，新行业拓展初期，市场推广、新产品研发等方面投入较大，可能导致公司费用压力较大、相关业务毛</w:t>
      </w:r>
      <w:r>
        <w:rPr>
          <w:spacing w:val="-83"/>
        </w:rPr>
        <w:t> </w:t>
      </w:r>
      <w:r>
        <w:rPr>
          <w:spacing w:val="-83"/>
        </w:rPr>
      </w:r>
      <w:r>
        <w:rPr>
          <w:spacing w:val="-1"/>
        </w:rPr>
        <w:t>利率下降。另一方面，新产品功能或新的业务模式能否满足用户需求存在不确定性，可能导致新业务拓展</w:t>
      </w:r>
    </w:p>
    <w:p>
      <w:pPr>
        <w:spacing w:after="0" w:line="326" w:lineRule="auto"/>
        <w:jc w:val="both"/>
        <w:sectPr>
          <w:footerReference w:type="default" r:id="rId12"/>
          <w:pgSz w:w="11910" w:h="16840"/>
          <w:pgMar w:footer="980" w:header="747" w:top="1060" w:bottom="1180" w:left="980" w:right="980"/>
          <w:pgNumType w:start="9"/>
        </w:sectPr>
      </w:pPr>
    </w:p>
    <w:p>
      <w:pPr>
        <w:spacing w:line="240" w:lineRule="auto" w:before="1"/>
        <w:rPr>
          <w:rFonts w:ascii="宋体" w:hAnsi="宋体" w:cs="宋体" w:eastAsia="宋体" w:hint="default"/>
          <w:sz w:val="27"/>
          <w:szCs w:val="27"/>
        </w:rPr>
      </w:pPr>
    </w:p>
    <w:p>
      <w:pPr>
        <w:pStyle w:val="BodyText"/>
        <w:spacing w:line="240" w:lineRule="auto" w:before="35"/>
        <w:ind w:right="0"/>
        <w:jc w:val="both"/>
      </w:pPr>
      <w:r>
        <w:rPr/>
        <w:t>不达预期。</w:t>
      </w:r>
    </w:p>
    <w:p>
      <w:pPr>
        <w:spacing w:line="240" w:lineRule="auto" w:before="10"/>
        <w:rPr>
          <w:rFonts w:ascii="宋体" w:hAnsi="宋体" w:cs="宋体" w:eastAsia="宋体" w:hint="default"/>
          <w:sz w:val="16"/>
          <w:szCs w:val="16"/>
        </w:rPr>
      </w:pPr>
    </w:p>
    <w:p>
      <w:pPr>
        <w:pStyle w:val="BodyText"/>
        <w:spacing w:line="326" w:lineRule="auto"/>
        <w:ind w:right="151" w:firstLine="420"/>
        <w:jc w:val="both"/>
      </w:pPr>
      <w:r>
        <w:rPr>
          <w:spacing w:val="-1"/>
        </w:rPr>
        <w:t>对此，公司在大力推进新业务拓展的同时，也将根据用户需求情况和市场竞争情况不断调整产品研发</w:t>
      </w:r>
      <w:r>
        <w:rPr/>
        <w:t> </w:t>
      </w:r>
      <w:r>
        <w:rPr>
          <w:spacing w:val="-1"/>
        </w:rPr>
        <w:t>和市场拓展策略，以便进行合理的风险控制，同时采取较为稳健的财务控制措施，加强行业伙伴间的合作</w:t>
      </w:r>
      <w:r>
        <w:rPr>
          <w:spacing w:val="-83"/>
        </w:rPr>
        <w:t> </w:t>
      </w:r>
      <w:r>
        <w:rPr>
          <w:spacing w:val="-83"/>
        </w:rPr>
      </w:r>
      <w:r>
        <w:rPr/>
        <w:t>力度，控制和分散相关风险。</w:t>
      </w:r>
    </w:p>
    <w:p>
      <w:pPr>
        <w:spacing w:line="408" w:lineRule="auto" w:before="144"/>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、系统安全性和商业秘密的失泄密风险</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随着互联网应用的快速发展，社会信息化程度不断提高，信息泄露及网络攻击事件层出不穷。互联网</w:t>
      </w:r>
    </w:p>
    <w:p>
      <w:pPr>
        <w:pStyle w:val="BodyText"/>
        <w:spacing w:line="227" w:lineRule="exact"/>
        <w:ind w:right="0"/>
        <w:jc w:val="both"/>
      </w:pPr>
      <w:r>
        <w:rPr/>
        <w:t>带来的便利和看不见的安全隐患将在相当长的一段时间内同时存在，公司产品、服务和系统也可能会因为</w:t>
      </w:r>
    </w:p>
    <w:p>
      <w:pPr>
        <w:pStyle w:val="BodyText"/>
        <w:spacing w:line="240" w:lineRule="auto" w:before="99"/>
        <w:ind w:right="0"/>
        <w:jc w:val="both"/>
      </w:pPr>
      <w:r>
        <w:rPr/>
        <w:t>遭受黑客攻击而影响业务的开展，造成核心技术失泄密风险。</w:t>
      </w:r>
    </w:p>
    <w:p>
      <w:pPr>
        <w:spacing w:line="240" w:lineRule="auto" w:before="10"/>
        <w:rPr>
          <w:rFonts w:ascii="宋体" w:hAnsi="宋体" w:cs="宋体" w:eastAsia="宋体" w:hint="default"/>
          <w:sz w:val="16"/>
          <w:szCs w:val="16"/>
        </w:rPr>
      </w:pPr>
    </w:p>
    <w:p>
      <w:pPr>
        <w:pStyle w:val="BodyText"/>
        <w:spacing w:line="326" w:lineRule="auto"/>
        <w:ind w:right="151" w:firstLine="420"/>
        <w:jc w:val="both"/>
      </w:pPr>
      <w:r>
        <w:rPr>
          <w:spacing w:val="-1"/>
        </w:rPr>
        <w:t>对此，公司一方面从业务系统、流程等各个层面加强了安全检测和防护；另一方面，专门设立了安全</w:t>
      </w:r>
      <w:r>
        <w:rPr>
          <w:spacing w:val="1"/>
        </w:rPr>
        <w:t> </w:t>
      </w:r>
      <w:r>
        <w:rPr>
          <w:spacing w:val="-1"/>
        </w:rPr>
        <w:t>保密管理及执行小组，进一步健全和完善了全方位、全过程的人员日常安全保密机制，并针对公司现有情</w:t>
      </w:r>
      <w:r>
        <w:rPr>
          <w:spacing w:val="-83"/>
        </w:rPr>
        <w:t> </w:t>
      </w:r>
      <w:r>
        <w:rPr>
          <w:spacing w:val="-83"/>
        </w:rPr>
      </w:r>
      <w:r>
        <w:rPr>
          <w:spacing w:val="-1"/>
        </w:rPr>
        <w:t>况，组织制定了若干保密管理制度，使得公司安全保密管理制度覆盖公司人员、产品、项目及服务等各个</w:t>
      </w:r>
      <w:r>
        <w:rPr>
          <w:spacing w:val="-86"/>
        </w:rPr>
        <w:t> </w:t>
      </w:r>
      <w:r>
        <w:rPr>
          <w:spacing w:val="-86"/>
        </w:rPr>
      </w:r>
      <w:r>
        <w:rPr/>
        <w:t>方面，以尽可能降低系统安全性和商业秘密的失泄密风险。</w:t>
      </w:r>
    </w:p>
    <w:p>
      <w:pPr>
        <w:spacing w:line="408" w:lineRule="auto" w:before="144"/>
        <w:ind w:left="574" w:right="11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、市场竞争不断加剧的风险</w:t>
      </w:r>
      <w:r>
        <w:rPr>
          <w:rFonts w:ascii="宋体" w:hAnsi="宋体" w:cs="宋体" w:eastAsia="宋体" w:hint="default"/>
          <w:b/>
          <w:bCs/>
          <w:w w:val="99"/>
          <w:sz w:val="21"/>
          <w:szCs w:val="21"/>
        </w:rPr>
        <w:t> </w:t>
      </w:r>
      <w:r>
        <w:rPr>
          <w:rFonts w:ascii="宋体" w:hAnsi="宋体" w:cs="宋体" w:eastAsia="宋体" w:hint="default"/>
          <w:sz w:val="21"/>
          <w:szCs w:val="21"/>
        </w:rPr>
        <w:t>信息安全市场需求快速增长的同时，市场竞争也日益加剧，新的竞争者不断涌入，激烈的市场竞争，</w:t>
      </w:r>
    </w:p>
    <w:p>
      <w:pPr>
        <w:pStyle w:val="BodyText"/>
        <w:spacing w:line="227" w:lineRule="exact"/>
        <w:ind w:right="0"/>
        <w:jc w:val="both"/>
      </w:pPr>
      <w:r>
        <w:rPr/>
        <w:t>将对公司的业绩增速和市场份额造成影响。虽然公司在电子数据取证、网络信息安全及相关服务等领域已</w:t>
      </w:r>
    </w:p>
    <w:p>
      <w:pPr>
        <w:pStyle w:val="BodyText"/>
        <w:spacing w:line="326" w:lineRule="auto" w:before="99"/>
        <w:ind w:right="151"/>
        <w:jc w:val="both"/>
      </w:pPr>
      <w:r>
        <w:rPr>
          <w:spacing w:val="-1"/>
        </w:rPr>
        <w:t>有深厚的技术积累和较稳定的客户基础，但是如果公司的新产品或升级产品不能够成功推广到市场，或者</w:t>
      </w:r>
      <w:r>
        <w:rPr>
          <w:spacing w:val="-81"/>
        </w:rPr>
        <w:t> </w:t>
      </w:r>
      <w:r>
        <w:rPr>
          <w:spacing w:val="-81"/>
        </w:rPr>
      </w:r>
      <w:r>
        <w:rPr/>
        <w:t>不能有效控制产品成本和销售费用，对我们的业务开展和财务状况都将产生不利影响。</w:t>
      </w:r>
    </w:p>
    <w:p>
      <w:pPr>
        <w:pStyle w:val="BodyText"/>
        <w:spacing w:line="326" w:lineRule="auto" w:before="144"/>
        <w:ind w:right="153" w:firstLine="420"/>
        <w:jc w:val="both"/>
      </w:pPr>
      <w:r>
        <w:rPr>
          <w:spacing w:val="-1"/>
        </w:rPr>
        <w:t>对此，公司一方面通过全面实施预算管理，加强目标管理和各项费用控制；另一方面，继续加大研发</w:t>
      </w:r>
      <w:r>
        <w:rPr/>
        <w:t> 投入，深挖市场渠道资源，始终保持强大的自主创新能力和技术先进性，提升产品的市场竞争力。</w:t>
      </w:r>
    </w:p>
    <w:p>
      <w:pPr>
        <w:spacing w:line="408" w:lineRule="auto" w:before="144"/>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、核心人员流失的风险</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公司属于研发型企业，研发能力和创新能力是公司战略目标实现的关键因素之一，核心技术和管理人</w:t>
      </w:r>
    </w:p>
    <w:p>
      <w:pPr>
        <w:pStyle w:val="BodyText"/>
        <w:spacing w:line="227" w:lineRule="exact"/>
        <w:ind w:right="0"/>
        <w:jc w:val="both"/>
      </w:pPr>
      <w:r>
        <w:rPr/>
        <w:t>员是公司稳定发展的重要保障。如果我们不能够有效管理、留住或吸引高技能人才，我们的战略目标将无</w:t>
      </w:r>
    </w:p>
    <w:p>
      <w:pPr>
        <w:pStyle w:val="BodyText"/>
        <w:spacing w:line="240" w:lineRule="auto" w:before="99"/>
        <w:ind w:right="0"/>
        <w:jc w:val="both"/>
      </w:pPr>
      <w:r>
        <w:rPr/>
        <w:t>法实现。</w:t>
      </w:r>
    </w:p>
    <w:p>
      <w:pPr>
        <w:spacing w:line="240" w:lineRule="auto" w:before="10"/>
        <w:rPr>
          <w:rFonts w:ascii="宋体" w:hAnsi="宋体" w:cs="宋体" w:eastAsia="宋体" w:hint="default"/>
          <w:sz w:val="16"/>
          <w:szCs w:val="16"/>
        </w:rPr>
      </w:pPr>
    </w:p>
    <w:p>
      <w:pPr>
        <w:pStyle w:val="BodyText"/>
        <w:spacing w:line="319" w:lineRule="auto"/>
        <w:ind w:right="151" w:firstLine="420"/>
        <w:jc w:val="both"/>
      </w:pPr>
      <w:r>
        <w:rPr>
          <w:spacing w:val="-1"/>
        </w:rPr>
        <w:t>对此，公司</w:t>
      </w:r>
      <w:r>
        <w:rPr>
          <w:rFonts w:ascii="Times New Roman" w:hAnsi="Times New Roman" w:cs="Times New Roman" w:eastAsia="Times New Roman" w:hint="default"/>
          <w:spacing w:val="-1"/>
        </w:rPr>
        <w:t>2015</w:t>
      </w:r>
      <w:r>
        <w:rPr>
          <w:spacing w:val="-1"/>
        </w:rPr>
        <w:t>年度将加大人才挖掘和储备投入，以便公司持续保持强大的研发能力和创新能力；根</w:t>
      </w:r>
      <w:r>
        <w:rPr/>
        <w:t> </w:t>
      </w:r>
      <w:r>
        <w:rPr>
          <w:spacing w:val="-1"/>
        </w:rPr>
        <w:t>据市场行情及时调整和完善薪酬结构，保证核心员工的综合收入水平达到同行业较高水平；引入弹性福利</w:t>
      </w:r>
      <w:r>
        <w:rPr>
          <w:spacing w:val="-81"/>
        </w:rPr>
        <w:t> </w:t>
      </w:r>
      <w:r>
        <w:rPr>
          <w:spacing w:val="-81"/>
        </w:rPr>
      </w:r>
      <w:r>
        <w:rPr/>
        <w:t>政策，让员工能够选择更适合自己的福利产品；持续完善长效激励机制，以吸引和留住优秀员工。</w:t>
      </w:r>
    </w:p>
    <w:p>
      <w:pPr>
        <w:spacing w:line="408" w:lineRule="auto" w:before="150"/>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、投资并购不达预期的风险</w:t>
      </w:r>
      <w:r>
        <w:rPr>
          <w:rFonts w:ascii="宋体" w:hAnsi="宋体" w:cs="宋体" w:eastAsia="宋体" w:hint="default"/>
          <w:b/>
          <w:bCs/>
          <w:w w:val="99"/>
          <w:sz w:val="21"/>
          <w:szCs w:val="21"/>
        </w:rPr>
        <w:t> </w:t>
      </w:r>
      <w:r>
        <w:rPr>
          <w:rFonts w:ascii="宋体" w:hAnsi="宋体" w:cs="宋体" w:eastAsia="宋体" w:hint="default"/>
          <w:spacing w:val="-1"/>
          <w:sz w:val="21"/>
          <w:szCs w:val="21"/>
        </w:rPr>
        <w:t>内生性增长和外延式扩张是公司发展的两个重要方向。公司自成立以来专注于电子数据取证和网络信</w:t>
      </w:r>
    </w:p>
    <w:p>
      <w:pPr>
        <w:pStyle w:val="BodyText"/>
        <w:spacing w:line="227" w:lineRule="exact"/>
        <w:ind w:right="0"/>
        <w:jc w:val="both"/>
      </w:pPr>
      <w:r>
        <w:rPr/>
        <w:t>息安全产品及服务领域，通过自主研发创新实现了公司的持续稳定发展。近两年，随着公司投资并购项目</w:t>
      </w:r>
    </w:p>
    <w:p>
      <w:pPr>
        <w:pStyle w:val="BodyText"/>
        <w:spacing w:line="326" w:lineRule="auto" w:before="99"/>
        <w:ind w:right="151"/>
        <w:jc w:val="both"/>
      </w:pPr>
      <w:r>
        <w:rPr>
          <w:spacing w:val="-1"/>
        </w:rPr>
        <w:t>的开展，公司的控股子公司和参股公司越来越多，业务范围也不断扩大，新业务运作管理和各子公司的管</w:t>
      </w:r>
      <w:r>
        <w:rPr>
          <w:spacing w:val="-83"/>
        </w:rPr>
        <w:t> </w:t>
      </w:r>
      <w:r>
        <w:rPr>
          <w:spacing w:val="-83"/>
        </w:rPr>
      </w:r>
      <w:r>
        <w:rPr>
          <w:spacing w:val="-1"/>
        </w:rPr>
        <w:t>理都将给公司管理带来新的挑战，如果不能有效整合，将影响产业并购协同效应的发挥，对上市公司整体</w:t>
      </w:r>
      <w:r>
        <w:rPr>
          <w:spacing w:val="-83"/>
        </w:rPr>
        <w:t> </w:t>
      </w:r>
      <w:r>
        <w:rPr>
          <w:spacing w:val="-83"/>
        </w:rPr>
      </w:r>
      <w:r>
        <w:rPr>
          <w:spacing w:val="-1"/>
        </w:rPr>
        <w:t>经营管理造成不利影响。此外，随着行业并购步伐加快，资本市场对并购预期强烈，被并购标的公司股东</w:t>
      </w:r>
      <w:r>
        <w:rPr>
          <w:spacing w:val="-86"/>
        </w:rPr>
        <w:t> </w:t>
      </w:r>
      <w:r>
        <w:rPr>
          <w:spacing w:val="-86"/>
        </w:rPr>
      </w:r>
      <w:r>
        <w:rPr/>
        <w:t>对并购上市以及对价产生过高期望，有可能导致并购市场过热，需要谨慎对待。</w:t>
      </w:r>
    </w:p>
    <w:p>
      <w:pPr>
        <w:spacing w:after="0" w:line="326" w:lineRule="auto"/>
        <w:jc w:val="both"/>
        <w:sectPr>
          <w:footerReference w:type="default" r:id="rId13"/>
          <w:pgSz w:w="11910" w:h="16840"/>
          <w:pgMar w:footer="980" w:header="747" w:top="1060" w:bottom="1180" w:left="980" w:right="980"/>
          <w:pgNumType w:start="10"/>
        </w:sectPr>
      </w:pPr>
    </w:p>
    <w:p>
      <w:pPr>
        <w:spacing w:line="240" w:lineRule="auto" w:before="1"/>
        <w:rPr>
          <w:rFonts w:ascii="宋体" w:hAnsi="宋体" w:cs="宋体" w:eastAsia="宋体" w:hint="default"/>
          <w:sz w:val="27"/>
          <w:szCs w:val="27"/>
        </w:rPr>
      </w:pPr>
    </w:p>
    <w:p>
      <w:pPr>
        <w:pStyle w:val="BodyText"/>
        <w:spacing w:line="326" w:lineRule="auto" w:before="35"/>
        <w:ind w:left="153" w:right="0" w:firstLine="420"/>
        <w:jc w:val="left"/>
      </w:pPr>
      <w:r>
        <w:rPr>
          <w:spacing w:val="-1"/>
        </w:rPr>
        <w:t>对此，一方面，公司将采取较为稳健的投资策略，审慎选择投资标的，重点围绕与公司主营业务关联</w:t>
      </w:r>
      <w:r>
        <w:rPr/>
        <w:t> 度较高、行业互补或者技术互补的投资标的开展投资并购；另一方面</w:t>
      </w:r>
      <w:r>
        <w:rPr>
          <w:spacing w:val="-1"/>
        </w:rPr>
        <w:t> </w:t>
      </w:r>
      <w:r>
        <w:rPr/>
        <w:t>，公司将在经营规划、管理架构和</w:t>
      </w:r>
      <w:r>
        <w:rPr/>
        <w:t> </w:t>
      </w:r>
      <w:r>
        <w:rPr>
          <w:spacing w:val="-1"/>
        </w:rPr>
        <w:t>财务管理等方面统筹规划，加强管理，最大程度的降低整合风险，并加强企业文化建设和人性化管理，引</w:t>
      </w:r>
      <w:r>
        <w:rPr>
          <w:spacing w:val="-85"/>
        </w:rPr>
        <w:t> </w:t>
      </w:r>
      <w:r>
        <w:rPr>
          <w:spacing w:val="-85"/>
        </w:rPr>
      </w:r>
      <w:r>
        <w:rPr/>
        <w:t>导新团队逐步融入美亚柏科这个大家庭。</w:t>
      </w:r>
    </w:p>
    <w:p>
      <w:pPr>
        <w:spacing w:line="408" w:lineRule="auto" w:before="144"/>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、产品销售季节性不均衡的风险</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公司产品主要销售对象为司法机关和行政执法部门，这些客户的普遍特点是，上半年制订计划、预算</w:t>
      </w:r>
    </w:p>
    <w:p>
      <w:pPr>
        <w:pStyle w:val="BodyText"/>
        <w:spacing w:line="227" w:lineRule="exact"/>
        <w:ind w:left="153" w:right="0"/>
        <w:jc w:val="left"/>
      </w:pPr>
      <w:r>
        <w:rPr>
          <w:spacing w:val="-3"/>
        </w:rPr>
        <w:t>审批，下半年实施和验收。因此，公司产品销售具有上、下半年不均衡的特点。受销售季节性因素的影响，</w:t>
      </w:r>
    </w:p>
    <w:p>
      <w:pPr>
        <w:pStyle w:val="BodyText"/>
        <w:spacing w:line="326" w:lineRule="auto" w:before="99"/>
        <w:ind w:left="153" w:right="0"/>
        <w:jc w:val="left"/>
      </w:pPr>
      <w:r>
        <w:rPr>
          <w:spacing w:val="-1"/>
        </w:rPr>
        <w:t>公司季节性资金需求和现金流量也呈现不均衡的特点，以致难以对某些期间收入、费用和利润进行较准确</w:t>
      </w:r>
      <w:r>
        <w:rPr>
          <w:spacing w:val="-81"/>
        </w:rPr>
        <w:t> </w:t>
      </w:r>
      <w:r>
        <w:rPr>
          <w:spacing w:val="-81"/>
        </w:rPr>
      </w:r>
      <w:r>
        <w:rPr/>
        <w:t>的预计。如果不能及时提供经营所需资金，可能会对业务开展造成不利影响。</w:t>
      </w:r>
    </w:p>
    <w:p>
      <w:pPr>
        <w:pStyle w:val="BodyText"/>
        <w:spacing w:line="326" w:lineRule="auto" w:before="144"/>
        <w:ind w:right="211" w:firstLine="419"/>
        <w:jc w:val="both"/>
      </w:pPr>
      <w:r>
        <w:rPr>
          <w:spacing w:val="-1"/>
        </w:rPr>
        <w:t>对此，公司一方面，努力加强生产计划和财务预算管理，尽可能降低季节性因素导致的资金需求和现</w:t>
      </w:r>
      <w:r>
        <w:rPr/>
        <w:t> </w:t>
      </w:r>
      <w:r>
        <w:rPr>
          <w:spacing w:val="-1"/>
        </w:rPr>
        <w:t>金流量不均衡问题的影响；另一方面，坚持推进服务战略，拓展企事业单位和民用市场，以逐步降低季节</w:t>
      </w:r>
      <w:r>
        <w:rPr>
          <w:spacing w:val="-85"/>
        </w:rPr>
        <w:t> </w:t>
      </w:r>
      <w:r>
        <w:rPr>
          <w:spacing w:val="-85"/>
        </w:rPr>
      </w:r>
      <w:r>
        <w:rPr/>
        <w:t>性不均衡因素的影响。</w:t>
      </w:r>
    </w:p>
    <w:p>
      <w:pPr>
        <w:pStyle w:val="BodyText"/>
        <w:spacing w:line="408" w:lineRule="auto" w:before="144"/>
        <w:ind w:left="574" w:right="0" w:firstLine="2"/>
        <w:jc w:val="left"/>
      </w:pPr>
      <w:r>
        <w:rPr>
          <w:rFonts w:ascii="Times New Roman" w:hAnsi="Times New Roman" w:cs="Times New Roman" w:eastAsia="Times New Roman" w:hint="default"/>
          <w:b/>
          <w:bCs/>
        </w:rPr>
        <w:t>8</w:t>
      </w:r>
      <w:r>
        <w:rPr>
          <w:rFonts w:ascii="宋体" w:hAnsi="宋体" w:cs="宋体" w:eastAsia="宋体" w:hint="default"/>
          <w:b/>
          <w:bCs/>
        </w:rPr>
        <w:t>、政策风险</w:t>
      </w:r>
      <w:r>
        <w:rPr>
          <w:rFonts w:ascii="宋体" w:hAnsi="宋体" w:cs="宋体" w:eastAsia="宋体" w:hint="default"/>
          <w:b/>
          <w:bCs/>
          <w:w w:val="99"/>
        </w:rPr>
        <w:t> </w:t>
      </w:r>
      <w:r>
        <w:rPr>
          <w:spacing w:val="-1"/>
        </w:rPr>
        <w:t>公司主营业务电子数据取证和网络信息安全产品的主要用户为国家各级司法机关、行政执法部门和政</w:t>
      </w:r>
    </w:p>
    <w:p>
      <w:pPr>
        <w:pStyle w:val="BodyText"/>
        <w:spacing w:line="227" w:lineRule="exact"/>
        <w:ind w:right="0"/>
        <w:jc w:val="left"/>
      </w:pPr>
      <w:r>
        <w:rPr>
          <w:spacing w:val="-3"/>
        </w:rPr>
        <w:t>府监管部门，这些政府相关部门的采购需求对政府财政预算依赖性较大，如果相关政府部门财政预算缩减，</w:t>
      </w:r>
    </w:p>
    <w:p>
      <w:pPr>
        <w:pStyle w:val="BodyText"/>
        <w:spacing w:line="326" w:lineRule="auto" w:before="99"/>
        <w:ind w:right="0"/>
        <w:jc w:val="left"/>
      </w:pPr>
      <w:r>
        <w:rPr>
          <w:spacing w:val="-1"/>
        </w:rPr>
        <w:t>将对我们的业务开展和财务状况产生重大不利影响。法律法规或管理机构的变化和改革也可能影响上述用</w:t>
      </w:r>
      <w:r>
        <w:rPr>
          <w:spacing w:val="-81"/>
        </w:rPr>
        <w:t> </w:t>
      </w:r>
      <w:r>
        <w:rPr>
          <w:spacing w:val="-81"/>
        </w:rPr>
      </w:r>
      <w:r>
        <w:rPr/>
        <w:t>户的需求，从而可能对公司业务造成影响。</w:t>
      </w:r>
    </w:p>
    <w:p>
      <w:pPr>
        <w:pStyle w:val="BodyText"/>
        <w:spacing w:line="326" w:lineRule="auto" w:before="144"/>
        <w:ind w:left="153" w:right="0" w:firstLine="420"/>
        <w:jc w:val="left"/>
      </w:pPr>
      <w:r>
        <w:rPr>
          <w:spacing w:val="-1"/>
        </w:rPr>
        <w:t>对此，公司在积极开拓新行业市场的同时，努力推进服务战略，拓展企事业单位和民用市场，以降低</w:t>
      </w:r>
      <w:r>
        <w:rPr/>
        <w:t> 对个别行业的依赖性，从而降低因部分市场饱和或相关部门预算缩减带来的不利影响。</w:t>
      </w:r>
    </w:p>
    <w:p>
      <w:pPr>
        <w:spacing w:after="0" w:line="326" w:lineRule="auto"/>
        <w:jc w:val="left"/>
        <w:sectPr>
          <w:pgSz w:w="11910" w:h="16840"/>
          <w:pgMar w:header="747" w:footer="980"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5"/>
        <w:jc w:val="center"/>
        <w:rPr>
          <w:b w:val="0"/>
          <w:bCs w:val="0"/>
        </w:rPr>
      </w:pPr>
      <w:bookmarkStart w:name="第四节 董事会报告" w:id="18"/>
      <w:bookmarkEnd w:id="18"/>
      <w:r>
        <w:rPr>
          <w:b w:val="0"/>
          <w:bCs w:val="0"/>
        </w:rPr>
      </w:r>
      <w:bookmarkStart w:name="_bookmark3" w:id="19"/>
      <w:bookmarkEnd w:id="19"/>
      <w:r>
        <w:rPr>
          <w:b w:val="0"/>
          <w:bCs w:val="0"/>
        </w:rPr>
      </w:r>
      <w:r>
        <w:rPr/>
        <w:t>第四节</w:t>
      </w:r>
      <w:r>
        <w:rPr>
          <w:spacing w:val="-3"/>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一、管理层讨</w:t>
      </w:r>
      <w:bookmarkStart w:name="一、管理层讨论与分析" w:id="20"/>
      <w:bookmarkEnd w:id="20"/>
      <w:r>
        <w:rPr/>
        <w:t>论与分析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、报告期内主</w:t>
      </w:r>
      <w:bookmarkStart w:name="1、报告期内主要业务回顾" w:id="21"/>
      <w:bookmarkEnd w:id="21"/>
      <w:r>
        <w:rPr/>
        <w:t>要业务回顾</w:t>
      </w:r>
      <w:r>
        <w:rPr>
          <w:b w:val="0"/>
          <w:bCs w:val="0"/>
        </w:rPr>
      </w:r>
    </w:p>
    <w:p>
      <w:pPr>
        <w:spacing w:line="240" w:lineRule="auto" w:before="12"/>
        <w:rPr>
          <w:rFonts w:ascii="宋体" w:hAnsi="宋体" w:cs="宋体" w:eastAsia="宋体" w:hint="default"/>
          <w:b/>
          <w:bCs/>
          <w:sz w:val="26"/>
          <w:szCs w:val="26"/>
        </w:rPr>
      </w:pPr>
    </w:p>
    <w:p>
      <w:pPr>
        <w:pStyle w:val="BodyText"/>
        <w:spacing w:line="319" w:lineRule="auto"/>
        <w:ind w:right="152" w:firstLine="420"/>
        <w:jc w:val="both"/>
      </w:pPr>
      <w:r>
        <w:rPr>
          <w:rFonts w:ascii="Times New Roman" w:hAnsi="Times New Roman" w:cs="Times New Roman" w:eastAsia="Times New Roman" w:hint="default"/>
          <w:spacing w:val="-1"/>
        </w:rPr>
        <w:t>2014</w:t>
      </w:r>
      <w:r>
        <w:rPr>
          <w:spacing w:val="-1"/>
        </w:rPr>
        <w:t>年是公司的资源整合年，也是市场充满机遇、公司突破创新的一年。公司的总体经营计划，围绕</w:t>
      </w:r>
      <w:r>
        <w:rPr/>
        <w:t> </w:t>
      </w:r>
      <w:r>
        <w:rPr>
          <w:spacing w:val="-1"/>
        </w:rPr>
        <w:t>着“产品整合、市场整合、技术整合、公司和公司之间、公司内部的各项资源的整合”展开，实现更高的</w:t>
      </w:r>
      <w:r>
        <w:rPr>
          <w:spacing w:val="-85"/>
        </w:rPr>
        <w:t> </w:t>
      </w:r>
      <w:r>
        <w:rPr>
          <w:spacing w:val="-85"/>
        </w:rPr>
      </w:r>
      <w:r>
        <w:rPr/>
        <w:t>工作效率和资源利用率。</w:t>
      </w:r>
      <w:r>
        <w:rPr>
          <w:rFonts w:ascii="Times New Roman" w:hAnsi="Times New Roman" w:cs="Times New Roman" w:eastAsia="Times New Roman" w:hint="default"/>
        </w:rPr>
        <w:t>2014</w:t>
      </w:r>
      <w:r>
        <w:rPr/>
        <w:t>年度公司经营总体经营情况如下：</w:t>
      </w:r>
    </w:p>
    <w:p>
      <w:pPr>
        <w:pStyle w:val="Heading4"/>
        <w:spacing w:line="240" w:lineRule="auto" w:before="127"/>
        <w:ind w:left="576" w:right="0"/>
        <w:jc w:val="left"/>
        <w:rPr>
          <w:b w:val="0"/>
          <w:bCs w:val="0"/>
        </w:rPr>
      </w:pPr>
      <w:r>
        <w:rPr/>
        <w:t>（</w:t>
      </w:r>
      <w:r>
        <w:rPr>
          <w:rFonts w:ascii="Times New Roman" w:hAnsi="Times New Roman" w:cs="Times New Roman" w:eastAsia="Times New Roman" w:hint="default"/>
        </w:rPr>
        <w:t>1</w:t>
      </w:r>
      <w:r>
        <w:rPr/>
        <w:t>）业绩实现大幅增长</w:t>
      </w:r>
      <w:r>
        <w:rPr>
          <w:b w:val="0"/>
          <w:bCs w:val="0"/>
        </w:rPr>
      </w:r>
    </w:p>
    <w:p>
      <w:pPr>
        <w:spacing w:line="240" w:lineRule="auto" w:before="7"/>
        <w:rPr>
          <w:rFonts w:ascii="宋体" w:hAnsi="宋体" w:cs="宋体" w:eastAsia="宋体" w:hint="default"/>
          <w:b/>
          <w:bCs/>
          <w:sz w:val="15"/>
          <w:szCs w:val="15"/>
        </w:rPr>
      </w:pPr>
    </w:p>
    <w:p>
      <w:pPr>
        <w:pStyle w:val="BodyText"/>
        <w:spacing w:line="309" w:lineRule="auto"/>
        <w:ind w:left="153" w:right="152" w:firstLine="420"/>
        <w:jc w:val="both"/>
      </w:pPr>
      <w:r>
        <w:rPr>
          <w:spacing w:val="-1"/>
        </w:rPr>
        <w:t>报告期内，公司实现营业收入</w:t>
      </w:r>
      <w:r>
        <w:rPr>
          <w:rFonts w:ascii="Times New Roman" w:hAnsi="Times New Roman" w:cs="Times New Roman" w:eastAsia="Times New Roman" w:hint="default"/>
          <w:spacing w:val="-1"/>
        </w:rPr>
        <w:t>60,309.52</w:t>
      </w:r>
      <w:r>
        <w:rPr>
          <w:spacing w:val="-1"/>
        </w:rPr>
        <w:t>万元，较上年同期增长</w:t>
      </w:r>
      <w:r>
        <w:rPr>
          <w:rFonts w:ascii="Times New Roman" w:hAnsi="Times New Roman" w:cs="Times New Roman" w:eastAsia="Times New Roman" w:hint="default"/>
          <w:spacing w:val="-1"/>
        </w:rPr>
        <w:t>54.48%</w:t>
      </w:r>
      <w:r>
        <w:rPr>
          <w:spacing w:val="-1"/>
        </w:rPr>
        <w:t>。公司前期在研发及市场拓展方</w:t>
      </w:r>
      <w:r>
        <w:rPr/>
        <w:t> 面的加大投入取得一定的成效，保障了</w:t>
      </w:r>
      <w:r>
        <w:rPr>
          <w:rFonts w:ascii="Times New Roman" w:hAnsi="Times New Roman" w:cs="Times New Roman" w:eastAsia="Times New Roman" w:hint="default"/>
        </w:rPr>
        <w:t>2014</w:t>
      </w:r>
      <w:r>
        <w:rPr/>
        <w:t>年度公司营业收入较上年同期有较大幅度的增长。</w:t>
      </w:r>
    </w:p>
    <w:p>
      <w:pPr>
        <w:pStyle w:val="BodyText"/>
        <w:spacing w:line="314" w:lineRule="auto" w:before="136"/>
        <w:ind w:left="153" w:right="151" w:firstLine="420"/>
        <w:jc w:val="both"/>
      </w:pPr>
      <w:r>
        <w:rPr>
          <w:spacing w:val="-1"/>
        </w:rPr>
        <w:t>报告期内，公司实现营业利润</w:t>
      </w:r>
      <w:r>
        <w:rPr>
          <w:rFonts w:ascii="Times New Roman" w:hAnsi="Times New Roman" w:cs="Times New Roman" w:eastAsia="Times New Roman" w:hint="default"/>
          <w:spacing w:val="-1"/>
        </w:rPr>
        <w:t>11,603.08</w:t>
      </w:r>
      <w:r>
        <w:rPr>
          <w:spacing w:val="-1"/>
        </w:rPr>
        <w:t>万元、利润总额</w:t>
      </w:r>
      <w:r>
        <w:rPr>
          <w:rFonts w:ascii="Times New Roman" w:hAnsi="Times New Roman" w:cs="Times New Roman" w:eastAsia="Times New Roman" w:hint="default"/>
          <w:spacing w:val="-1"/>
        </w:rPr>
        <w:t>13,748.48</w:t>
      </w:r>
      <w:r>
        <w:rPr>
          <w:spacing w:val="-1"/>
        </w:rPr>
        <w:t>万元、归属于上市公司股东的净利润</w:t>
      </w:r>
      <w:r>
        <w:rPr/>
        <w:t> </w:t>
      </w:r>
      <w:r>
        <w:rPr>
          <w:rFonts w:ascii="Times New Roman" w:hAnsi="Times New Roman" w:cs="Times New Roman" w:eastAsia="Times New Roman" w:hint="default"/>
        </w:rPr>
        <w:t>11,460.21</w:t>
      </w:r>
      <w:r>
        <w:rPr/>
        <w:t>万元，较上年同期分别增长</w:t>
      </w:r>
      <w:r>
        <w:rPr>
          <w:rFonts w:ascii="Times New Roman" w:hAnsi="Times New Roman" w:cs="Times New Roman" w:eastAsia="Times New Roman" w:hint="default"/>
        </w:rPr>
        <w:t>146.80%</w:t>
      </w:r>
      <w:r>
        <w:rPr/>
        <w:t>、</w:t>
      </w:r>
      <w:r>
        <w:rPr>
          <w:rFonts w:ascii="Times New Roman" w:hAnsi="Times New Roman" w:cs="Times New Roman" w:eastAsia="Times New Roman" w:hint="default"/>
        </w:rPr>
        <w:t>90.65%</w:t>
      </w:r>
      <w:r>
        <w:rPr>
          <w:rFonts w:ascii="Times New Roman" w:hAnsi="Times New Roman" w:cs="Times New Roman" w:eastAsia="Times New Roman" w:hint="default"/>
          <w:spacing w:val="41"/>
        </w:rPr>
        <w:t> </w:t>
      </w:r>
      <w:r>
        <w:rPr/>
        <w:t>、</w:t>
      </w:r>
      <w:r>
        <w:rPr>
          <w:rFonts w:ascii="Times New Roman" w:hAnsi="Times New Roman" w:cs="Times New Roman" w:eastAsia="Times New Roman" w:hint="default"/>
        </w:rPr>
        <w:t>103.60%</w:t>
      </w:r>
      <w:r>
        <w:rPr/>
        <w:t>。主要原因是公司营业收入较去年同期 </w:t>
      </w:r>
      <w:r>
        <w:rPr>
          <w:spacing w:val="-1"/>
        </w:rPr>
        <w:t>有较大幅度增长，且综合毛利率较去年同期有所上升，促进了公司业绩的增长。同时本报告期控股公司珠</w:t>
      </w:r>
      <w:r>
        <w:rPr>
          <w:spacing w:val="-83"/>
        </w:rPr>
        <w:t> </w:t>
      </w:r>
      <w:r>
        <w:rPr>
          <w:spacing w:val="-83"/>
        </w:rPr>
      </w:r>
      <w:r>
        <w:rPr/>
        <w:t>海新德汇纳入合并范围时间较去年同期增加也对公司业绩产生一定影响。</w:t>
      </w:r>
    </w:p>
    <w:p>
      <w:pPr>
        <w:spacing w:line="408" w:lineRule="auto" w:before="154"/>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）新行业市场快速发展</w:t>
      </w:r>
      <w:r>
        <w:rPr>
          <w:rFonts w:ascii="宋体" w:hAnsi="宋体" w:cs="宋体" w:eastAsia="宋体" w:hint="default"/>
          <w:b/>
          <w:bCs/>
          <w:w w:val="99"/>
          <w:sz w:val="21"/>
          <w:szCs w:val="21"/>
        </w:rPr>
        <w:t> </w:t>
      </w:r>
      <w:r>
        <w:rPr>
          <w:rFonts w:ascii="宋体" w:hAnsi="宋体" w:cs="宋体" w:eastAsia="宋体" w:hint="default"/>
          <w:spacing w:val="-1"/>
          <w:sz w:val="21"/>
          <w:szCs w:val="21"/>
        </w:rPr>
        <w:t>移动互联网的发展，给行业带来巨大的市场空间。对此，公司在深耕传统市场的同时，继续大力拓展</w:t>
      </w:r>
    </w:p>
    <w:p>
      <w:pPr>
        <w:pStyle w:val="BodyText"/>
        <w:spacing w:line="227" w:lineRule="exact"/>
        <w:ind w:right="0"/>
        <w:jc w:val="both"/>
      </w:pPr>
      <w:r>
        <w:rPr/>
        <w:t>公安新业务，公安新业务、检察、工商、税务、海关、新闻、保密、质监、检验检疫等新市场。通过加强</w:t>
      </w:r>
    </w:p>
    <w:p>
      <w:pPr>
        <w:pStyle w:val="BodyText"/>
        <w:spacing w:line="326" w:lineRule="auto" w:before="99"/>
        <w:ind w:right="151"/>
        <w:jc w:val="both"/>
      </w:pPr>
      <w:r>
        <w:rPr>
          <w:spacing w:val="-3"/>
        </w:rPr>
        <w:t>行业定制开发，针对新行业研发形成了有针对性的产品或产品系列，并将“培训得市场，培训获需求， </w:t>
      </w:r>
      <w:r>
        <w:rPr/>
        <w:t>培</w:t>
      </w:r>
      <w:r>
        <w:rPr>
          <w:spacing w:val="-97"/>
        </w:rPr>
        <w:t> </w:t>
      </w:r>
      <w:r>
        <w:rPr>
          <w:spacing w:val="-97"/>
        </w:rPr>
      </w:r>
      <w:r>
        <w:rPr>
          <w:spacing w:val="-1"/>
        </w:rPr>
        <w:t>训促服务”的“美亚商业模式”成功推广至新行业，促进了新行业产品销售快速增长。传统市场收入稳定</w:t>
      </w:r>
      <w:r>
        <w:rPr>
          <w:spacing w:val="-83"/>
        </w:rPr>
        <w:t> </w:t>
      </w:r>
      <w:r>
        <w:rPr>
          <w:spacing w:val="-83"/>
        </w:rPr>
      </w:r>
      <w:r>
        <w:rPr>
          <w:spacing w:val="-1"/>
        </w:rPr>
        <w:t>增长，收入占比逐步降低，公安新业务、检察、工商、海关等新行业收入占比逐步升高，业务结构更加有</w:t>
      </w:r>
      <w:r>
        <w:rPr>
          <w:spacing w:val="-83"/>
        </w:rPr>
        <w:t> </w:t>
      </w:r>
      <w:r>
        <w:rPr>
          <w:spacing w:val="-83"/>
        </w:rPr>
      </w:r>
      <w:r>
        <w:rPr/>
        <w:t>利于保持公司长期可持续发展。区域方面，渠道进一步下沉，来自区县一级的需求快速增加。</w:t>
      </w:r>
    </w:p>
    <w:p>
      <w:pPr>
        <w:pStyle w:val="BodyText"/>
        <w:spacing w:line="309" w:lineRule="auto" w:before="144"/>
        <w:ind w:right="153" w:firstLine="420"/>
        <w:jc w:val="both"/>
      </w:pPr>
      <w:r>
        <w:rPr>
          <w:rFonts w:ascii="Times New Roman" w:hAnsi="Times New Roman" w:cs="Times New Roman" w:eastAsia="Times New Roman" w:hint="default"/>
          <w:spacing w:val="-1"/>
        </w:rPr>
        <w:t>2014</w:t>
      </w:r>
      <w:r>
        <w:rPr>
          <w:spacing w:val="-1"/>
        </w:rPr>
        <w:t>年度，公司的“电子数据调查分析师认证项目”和“蓝盾金种子计划项目”两个项目得到有力实</w:t>
      </w:r>
      <w:r>
        <w:rPr/>
        <w:t> 施，新行业培训人数有较大增长，有力地促进了新行业拓展。</w:t>
      </w:r>
    </w:p>
    <w:p>
      <w:pPr>
        <w:spacing w:line="408" w:lineRule="auto" w:before="158"/>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）产品技术研发不断创新</w:t>
      </w:r>
      <w:r>
        <w:rPr>
          <w:rFonts w:ascii="宋体" w:hAnsi="宋体" w:cs="宋体" w:eastAsia="宋体" w:hint="default"/>
          <w:b/>
          <w:bCs/>
          <w:w w:val="99"/>
          <w:sz w:val="21"/>
          <w:szCs w:val="21"/>
        </w:rPr>
        <w:t> </w:t>
      </w:r>
      <w:r>
        <w:rPr>
          <w:rFonts w:ascii="宋体" w:hAnsi="宋体" w:cs="宋体" w:eastAsia="宋体" w:hint="default"/>
          <w:spacing w:val="-1"/>
          <w:sz w:val="21"/>
          <w:szCs w:val="21"/>
        </w:rPr>
        <w:t>产品及技术研发方向，继续围绕计算机取证、移动互联网取证和大数据分析及相关应用开展新产品和</w:t>
      </w:r>
    </w:p>
    <w:p>
      <w:pPr>
        <w:pStyle w:val="BodyText"/>
        <w:spacing w:line="227" w:lineRule="exact"/>
        <w:ind w:right="0"/>
        <w:jc w:val="both"/>
      </w:pPr>
      <w:r>
        <w:rPr/>
        <w:t>新项目研发，继续推进装备类产品和平台类产品研发。</w:t>
      </w:r>
    </w:p>
    <w:p>
      <w:pPr>
        <w:spacing w:line="240" w:lineRule="auto" w:before="10"/>
        <w:rPr>
          <w:rFonts w:ascii="宋体" w:hAnsi="宋体" w:cs="宋体" w:eastAsia="宋体" w:hint="default"/>
          <w:sz w:val="16"/>
          <w:szCs w:val="16"/>
        </w:rPr>
      </w:pPr>
    </w:p>
    <w:p>
      <w:pPr>
        <w:pStyle w:val="BodyText"/>
        <w:spacing w:line="326" w:lineRule="auto"/>
        <w:ind w:right="130" w:firstLine="420"/>
        <w:jc w:val="both"/>
      </w:pPr>
      <w:r>
        <w:rPr/>
        <w:t>①紧跟技术步伐，盯紧竞争产品，主要产品继续升级换代的同时不断推出新产品，保持市场竞争力。 </w:t>
      </w:r>
      <w:r>
        <w:rPr>
          <w:spacing w:val="-1"/>
        </w:rPr>
        <w:t>报告期内，公司完成了手机取证塔系统、手机数据采集系统、电子物证现勘魔方、音视频图片电子书查缉</w:t>
      </w:r>
      <w:r>
        <w:rPr>
          <w:spacing w:val="-86"/>
        </w:rPr>
        <w:t> </w:t>
      </w:r>
      <w:r>
        <w:rPr>
          <w:spacing w:val="-86"/>
        </w:rPr>
      </w:r>
      <w:r>
        <w:rPr/>
        <w:t>工具、天眼现场视频取证系统、光谱成像系统等十几款新产品研发，以及多款产品的升级研发。</w:t>
      </w:r>
    </w:p>
    <w:p>
      <w:pPr>
        <w:pStyle w:val="BodyText"/>
        <w:spacing w:line="326" w:lineRule="auto" w:before="144"/>
        <w:ind w:right="152" w:firstLine="420"/>
        <w:jc w:val="both"/>
      </w:pPr>
      <w:r>
        <w:rPr>
          <w:spacing w:val="-1"/>
        </w:rPr>
        <w:t>②加强移动互联网取证产品研发：基于移动互联网技术的智能移动终端取证，相关技术达到国内领先</w:t>
      </w:r>
      <w:r>
        <w:rPr/>
        <w:t> 水平。</w:t>
      </w:r>
    </w:p>
    <w:p>
      <w:pPr>
        <w:spacing w:after="0" w:line="326" w:lineRule="auto"/>
        <w:jc w:val="both"/>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240" w:lineRule="auto" w:before="35"/>
        <w:ind w:left="574" w:right="0"/>
        <w:jc w:val="left"/>
      </w:pPr>
      <w:r>
        <w:rPr>
          <w:spacing w:val="-3"/>
        </w:rPr>
        <w:t>③智能调度和分布式数据分析技术、数据自动清洗技术、视频碎片恢复技术、手机多路并行取证技术、</w:t>
      </w:r>
    </w:p>
    <w:p>
      <w:pPr>
        <w:pStyle w:val="BodyText"/>
        <w:spacing w:line="240" w:lineRule="auto" w:before="99"/>
        <w:ind w:right="0"/>
        <w:jc w:val="left"/>
      </w:pPr>
      <w:r>
        <w:rPr>
          <w:rFonts w:ascii="Times New Roman" w:hAnsi="Times New Roman" w:cs="Times New Roman" w:eastAsia="Times New Roman" w:hint="default"/>
        </w:rPr>
        <w:t>Android</w:t>
      </w:r>
      <w:r>
        <w:rPr/>
        <w:t>手机仿真技术等十多项关键技术实现突破、创新。</w:t>
      </w:r>
    </w:p>
    <w:p>
      <w:pPr>
        <w:spacing w:line="240" w:lineRule="auto" w:before="7"/>
        <w:rPr>
          <w:rFonts w:ascii="宋体" w:hAnsi="宋体" w:cs="宋体" w:eastAsia="宋体" w:hint="default"/>
          <w:sz w:val="15"/>
          <w:szCs w:val="15"/>
        </w:rPr>
      </w:pPr>
    </w:p>
    <w:p>
      <w:pPr>
        <w:pStyle w:val="BodyText"/>
        <w:spacing w:line="240" w:lineRule="auto"/>
        <w:ind w:left="574" w:right="0"/>
        <w:jc w:val="left"/>
      </w:pPr>
      <w:r>
        <w:rPr/>
        <w:t>④平台化战略进一步推进：整合数据分析能力和数据资源，打造完善的取证平台和云服务平台。</w:t>
      </w:r>
    </w:p>
    <w:p>
      <w:pPr>
        <w:spacing w:line="240" w:lineRule="auto" w:before="10"/>
        <w:rPr>
          <w:rFonts w:ascii="宋体" w:hAnsi="宋体" w:cs="宋体" w:eastAsia="宋体" w:hint="default"/>
          <w:sz w:val="16"/>
          <w:szCs w:val="16"/>
        </w:rPr>
      </w:pPr>
    </w:p>
    <w:p>
      <w:pPr>
        <w:pStyle w:val="BodyText"/>
        <w:spacing w:line="309" w:lineRule="auto"/>
        <w:ind w:left="153" w:right="212" w:firstLine="420"/>
        <w:jc w:val="both"/>
      </w:pPr>
      <w:r>
        <w:rPr>
          <w:spacing w:val="-2"/>
        </w:rPr>
        <w:t>⑤在大数据应用方面：重点研发、推出支持</w:t>
      </w:r>
      <w:r>
        <w:rPr>
          <w:rFonts w:ascii="Times New Roman" w:hAnsi="Times New Roman" w:cs="Times New Roman" w:eastAsia="Times New Roman" w:hint="default"/>
          <w:spacing w:val="-2"/>
        </w:rPr>
        <w:t>PB</w:t>
      </w:r>
      <w:r>
        <w:rPr>
          <w:spacing w:val="-2"/>
        </w:rPr>
        <w:t>级以上的大数据处理分析能力的项目，并多次在行业内</w:t>
      </w:r>
      <w:r>
        <w:rPr/>
        <w:t> 的大数据系统测试评比中获得优异的成绩。</w:t>
      </w:r>
    </w:p>
    <w:p>
      <w:pPr>
        <w:pStyle w:val="BodyText"/>
        <w:spacing w:line="326" w:lineRule="auto" w:before="158"/>
        <w:ind w:left="153" w:right="212" w:firstLine="420"/>
        <w:jc w:val="both"/>
      </w:pPr>
      <w:r>
        <w:rPr>
          <w:spacing w:val="-1"/>
        </w:rPr>
        <w:t>⑥无人机项目经过行业调研以及探索性开发，已经初步明确市场方向将以行业应用为主，前期市场行</w:t>
      </w:r>
      <w:r>
        <w:rPr/>
        <w:t> </w:t>
      </w:r>
      <w:r>
        <w:rPr>
          <w:spacing w:val="-1"/>
        </w:rPr>
        <w:t>业主要涉及警用、新闻媒体宣传部门等，目前已经成功举办多期行业应用培训班。通过培训、售前服务推</w:t>
      </w:r>
      <w:r>
        <w:rPr>
          <w:spacing w:val="-86"/>
        </w:rPr>
        <w:t> </w:t>
      </w:r>
      <w:r>
        <w:rPr>
          <w:spacing w:val="-86"/>
        </w:rPr>
      </w:r>
      <w:r>
        <w:rPr>
          <w:spacing w:val="-1"/>
        </w:rPr>
        <w:t>动市场。产品并已经在安保支援、赛事直播、新闻报道、地理测绘、智能交通等多个领域积累了成功应用</w:t>
      </w:r>
      <w:r>
        <w:rPr>
          <w:spacing w:val="-83"/>
        </w:rPr>
        <w:t> </w:t>
      </w:r>
      <w:r>
        <w:rPr>
          <w:spacing w:val="-83"/>
        </w:rPr>
      </w:r>
      <w:r>
        <w:rPr/>
        <w:t>经验。</w:t>
      </w:r>
    </w:p>
    <w:p>
      <w:pPr>
        <w:spacing w:line="408" w:lineRule="auto" w:before="144"/>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）服务战略持续推进</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在服务推广方面，随着公司“小产品、大服务”战略的进一步推进，报告期内，公司服务收入较去年</w:t>
      </w:r>
    </w:p>
    <w:p>
      <w:pPr>
        <w:pStyle w:val="BodyText"/>
        <w:spacing w:line="243" w:lineRule="exact"/>
        <w:ind w:left="153" w:right="0"/>
        <w:jc w:val="left"/>
      </w:pPr>
      <w:r>
        <w:rPr/>
        <w:t>同期增长</w:t>
      </w:r>
      <w:r>
        <w:rPr>
          <w:rFonts w:ascii="Times New Roman" w:hAnsi="Times New Roman" w:cs="Times New Roman" w:eastAsia="Times New Roman" w:hint="default"/>
        </w:rPr>
        <w:t>73.98%</w:t>
      </w:r>
      <w:r>
        <w:rPr/>
        <w:t>。存证云加强存证能力开放平台的建设，并推动存证服务与渠道的对接，针对行业用户也</w:t>
      </w:r>
    </w:p>
    <w:p>
      <w:pPr>
        <w:pStyle w:val="BodyText"/>
        <w:spacing w:line="326" w:lineRule="auto" w:before="83"/>
        <w:ind w:left="153" w:right="173"/>
        <w:jc w:val="left"/>
      </w:pPr>
      <w:r>
        <w:rPr/>
        <w:t>推出了行业定制版本，典型应用有存证邮、存证戳版权保护、电子合同存证、执法过程存证、品牌保护、 智慧便民、违法举报、司法信息化送达等。</w:t>
      </w:r>
    </w:p>
    <w:p>
      <w:pPr>
        <w:pStyle w:val="BodyText"/>
        <w:spacing w:line="326" w:lineRule="auto" w:before="144"/>
        <w:ind w:left="153" w:right="211" w:firstLine="420"/>
        <w:jc w:val="both"/>
      </w:pPr>
      <w:r>
        <w:rPr>
          <w:spacing w:val="-1"/>
        </w:rPr>
        <w:t>电子数据司法鉴定服务及数字知识产权保护服务业务较去年同期稳定增长。服务模式的互联网化是今</w:t>
      </w:r>
      <w:r>
        <w:rPr/>
        <w:t> </w:t>
      </w:r>
      <w:r>
        <w:rPr>
          <w:spacing w:val="-1"/>
        </w:rPr>
        <w:t>年的工作重点，充分整合服务资源，将电子数据鉴定服务与存证云服务相结合进行推广已初现成效，存证</w:t>
      </w:r>
      <w:r>
        <w:rPr>
          <w:spacing w:val="-83"/>
        </w:rPr>
        <w:t> </w:t>
      </w:r>
      <w:r>
        <w:rPr>
          <w:spacing w:val="-83"/>
        </w:rPr>
      </w:r>
      <w:r>
        <w:rPr/>
        <w:t>云的推广应用已经一定程度上促进了电子数据鉴定业务量的增长。</w:t>
      </w:r>
    </w:p>
    <w:p>
      <w:pPr>
        <w:pStyle w:val="BodyText"/>
        <w:spacing w:line="326" w:lineRule="auto" w:before="144"/>
        <w:ind w:left="153" w:right="98" w:firstLine="420"/>
        <w:jc w:val="left"/>
      </w:pPr>
      <w:r>
        <w:rPr>
          <w:spacing w:val="-3"/>
        </w:rPr>
        <w:t>搜索云服务，重点挖掘行业应用，在已完成的行业解决方案基础上，加强行业内推广，向新闻、宣传、</w:t>
      </w:r>
      <w:r>
        <w:rPr/>
        <w:t> 工商、金融监管行业和民用领域拓展。</w:t>
      </w:r>
    </w:p>
    <w:p>
      <w:pPr>
        <w:pStyle w:val="BodyText"/>
        <w:spacing w:line="326" w:lineRule="auto" w:before="144"/>
        <w:ind w:left="153" w:right="211" w:firstLine="420"/>
        <w:jc w:val="both"/>
      </w:pPr>
      <w:r>
        <w:rPr>
          <w:spacing w:val="-1"/>
        </w:rPr>
        <w:t>取证云平台功能不断增强，成为取证产品的重要支撑，配合产品销售，大大提升了产品竞争力和用户</w:t>
      </w:r>
      <w:r>
        <w:rPr/>
        <w:t> 粘性。</w:t>
      </w:r>
    </w:p>
    <w:p>
      <w:pPr>
        <w:pStyle w:val="BodyText"/>
        <w:spacing w:line="326" w:lineRule="auto" w:before="144"/>
        <w:ind w:left="153" w:right="212" w:firstLine="420"/>
        <w:jc w:val="both"/>
      </w:pPr>
      <w:r>
        <w:rPr>
          <w:spacing w:val="-1"/>
        </w:rPr>
        <w:t>企业电子数据取证服务方面，继续拓展民用及政府行业电子数据取证服务市场，引入企业远程取证解</w:t>
      </w:r>
      <w:r>
        <w:rPr/>
        <w:t> 决方案，并加大法律诉讼支持业务拓展力度。</w:t>
      </w:r>
    </w:p>
    <w:p>
      <w:pPr>
        <w:pStyle w:val="Heading4"/>
        <w:spacing w:line="240" w:lineRule="auto" w:before="144"/>
        <w:ind w:left="576" w:right="0"/>
        <w:jc w:val="left"/>
        <w:rPr>
          <w:b w:val="0"/>
          <w:bCs w:val="0"/>
        </w:rPr>
      </w:pPr>
      <w:r>
        <w:rPr/>
        <w:t>（</w:t>
      </w:r>
      <w:r>
        <w:rPr>
          <w:rFonts w:ascii="Times New Roman" w:hAnsi="Times New Roman" w:cs="Times New Roman" w:eastAsia="Times New Roman" w:hint="default"/>
        </w:rPr>
        <w:t>5</w:t>
      </w:r>
      <w:r>
        <w:rPr/>
        <w:t>）外延式发展循序渐进</w:t>
      </w:r>
      <w:r>
        <w:rPr>
          <w:b w:val="0"/>
          <w:bCs w:val="0"/>
        </w:rPr>
      </w:r>
    </w:p>
    <w:p>
      <w:pPr>
        <w:spacing w:line="240" w:lineRule="auto" w:before="7"/>
        <w:rPr>
          <w:rFonts w:ascii="宋体" w:hAnsi="宋体" w:cs="宋体" w:eastAsia="宋体" w:hint="default"/>
          <w:b/>
          <w:bCs/>
          <w:sz w:val="15"/>
          <w:szCs w:val="15"/>
        </w:rPr>
      </w:pPr>
    </w:p>
    <w:p>
      <w:pPr>
        <w:pStyle w:val="BodyText"/>
        <w:spacing w:line="319" w:lineRule="auto"/>
        <w:ind w:right="211" w:firstLine="420"/>
        <w:jc w:val="both"/>
      </w:pPr>
      <w:r>
        <w:rPr>
          <w:rFonts w:ascii="Times New Roman" w:hAnsi="Times New Roman" w:cs="Times New Roman" w:eastAsia="Times New Roman" w:hint="default"/>
          <w:spacing w:val="-1"/>
        </w:rPr>
        <w:t>2014</w:t>
      </w:r>
      <w:r>
        <w:rPr>
          <w:spacing w:val="-1"/>
        </w:rPr>
        <w:t>年度，公司投资并购方面的重点工作是对已并购企业如新德汇的整合，同时，围绕公司的产业规</w:t>
      </w:r>
      <w:r>
        <w:rPr/>
        <w:t> </w:t>
      </w:r>
      <w:r>
        <w:rPr>
          <w:spacing w:val="-1"/>
        </w:rPr>
        <w:t>划和战略布局，在网络和信息安全的事前防范、信息采集和数据分析等的关联及外延产业链中，积极寻找</w:t>
      </w:r>
      <w:r>
        <w:rPr>
          <w:spacing w:val="-83"/>
        </w:rPr>
        <w:t> </w:t>
      </w:r>
      <w:r>
        <w:rPr>
          <w:spacing w:val="-83"/>
        </w:rPr>
      </w:r>
      <w:r>
        <w:rPr/>
        <w:t>合适的收购标的，力争新增并购。</w:t>
      </w:r>
    </w:p>
    <w:p>
      <w:pPr>
        <w:pStyle w:val="BodyText"/>
        <w:spacing w:line="312" w:lineRule="auto" w:before="150"/>
        <w:ind w:left="153" w:right="120" w:firstLine="420"/>
        <w:jc w:val="left"/>
      </w:pPr>
      <w:r>
        <w:rPr/>
        <w:t>报告期内，公司使用自有资金</w:t>
      </w:r>
      <w:r>
        <w:rPr>
          <w:rFonts w:ascii="Times New Roman" w:hAnsi="Times New Roman" w:cs="Times New Roman" w:eastAsia="Times New Roman" w:hint="default"/>
        </w:rPr>
        <w:t>500</w:t>
      </w:r>
      <w:r>
        <w:rPr/>
        <w:t>万元与北京陆桥质检科技有限公司等共同出资设立了北京万诚信用 评价有限公司，公司持股</w:t>
      </w:r>
      <w:r>
        <w:rPr>
          <w:rFonts w:ascii="Times New Roman" w:hAnsi="Times New Roman" w:cs="Times New Roman" w:eastAsia="Times New Roman" w:hint="default"/>
        </w:rPr>
        <w:t>35%</w:t>
      </w:r>
      <w:r>
        <w:rPr/>
        <w:t>。万诚信用的主要业务为商品的生态原产地产品评定服务，标签赋码、防伪 验证以及产品的追踪溯源。</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月，北京中合农投投资基金管理有限公司向万诚信用增资</w:t>
      </w:r>
      <w:r>
        <w:rPr>
          <w:rFonts w:ascii="Times New Roman" w:hAnsi="Times New Roman" w:cs="Times New Roman" w:eastAsia="Times New Roman" w:hint="default"/>
        </w:rPr>
        <w:t>357.2</w:t>
      </w:r>
      <w:r>
        <w:rPr/>
        <w:t>万元， 增资完成后，公司在万诚信用的股权比例由</w:t>
      </w:r>
      <w:r>
        <w:rPr>
          <w:rFonts w:ascii="Times New Roman" w:hAnsi="Times New Roman" w:cs="Times New Roman" w:eastAsia="Times New Roman" w:hint="default"/>
        </w:rPr>
        <w:t>35%</w:t>
      </w:r>
      <w:r>
        <w:rPr/>
        <w:t>稀释至</w:t>
      </w:r>
      <w:r>
        <w:rPr>
          <w:rFonts w:ascii="Times New Roman" w:hAnsi="Times New Roman" w:cs="Times New Roman" w:eastAsia="Times New Roman" w:hint="default"/>
        </w:rPr>
        <w:t>28%</w:t>
      </w:r>
      <w:r>
        <w:rPr/>
        <w:t>。此外，于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日申请停牌筹划重大 资产重组事项，但本次重组事项最终因双方未能达成一致而终止，详见公司披露于巨潮资讯网上的相关公 告。</w:t>
      </w:r>
    </w:p>
    <w:p>
      <w:pPr>
        <w:spacing w:after="0" w:line="312" w:lineRule="auto"/>
        <w:jc w:val="left"/>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spacing w:line="408" w:lineRule="auto" w:before="35"/>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）公司管理进一步规范</w:t>
      </w:r>
      <w:r>
        <w:rPr>
          <w:rFonts w:ascii="宋体" w:hAnsi="宋体" w:cs="宋体" w:eastAsia="宋体" w:hint="default"/>
          <w:b/>
          <w:bCs/>
          <w:w w:val="99"/>
          <w:sz w:val="21"/>
          <w:szCs w:val="21"/>
        </w:rPr>
        <w:t> </w:t>
      </w:r>
      <w:r>
        <w:rPr>
          <w:rFonts w:ascii="宋体" w:hAnsi="宋体" w:cs="宋体" w:eastAsia="宋体" w:hint="default"/>
          <w:spacing w:val="-1"/>
          <w:sz w:val="21"/>
          <w:szCs w:val="21"/>
        </w:rPr>
        <w:t>公司管理进一步精细化。围绕“产品整合、市场整合、技术整合、公司和公司之间、公司内部的各项</w:t>
      </w:r>
    </w:p>
    <w:p>
      <w:pPr>
        <w:pStyle w:val="BodyText"/>
        <w:spacing w:line="227" w:lineRule="exact"/>
        <w:ind w:right="0"/>
        <w:jc w:val="left"/>
      </w:pPr>
      <w:r>
        <w:rPr/>
        <w:t>资源的整合”的思路，不断优化公司业务流程，完善相关制度，提高资源使用效率。</w:t>
      </w:r>
    </w:p>
    <w:p>
      <w:pPr>
        <w:spacing w:line="240" w:lineRule="auto" w:before="10"/>
        <w:rPr>
          <w:rFonts w:ascii="宋体" w:hAnsi="宋体" w:cs="宋体" w:eastAsia="宋体" w:hint="default"/>
          <w:sz w:val="16"/>
          <w:szCs w:val="16"/>
        </w:rPr>
      </w:pPr>
    </w:p>
    <w:p>
      <w:pPr>
        <w:pStyle w:val="BodyText"/>
        <w:spacing w:line="309" w:lineRule="auto"/>
        <w:ind w:right="172" w:firstLine="420"/>
        <w:jc w:val="left"/>
      </w:pPr>
      <w:r>
        <w:rPr>
          <w:spacing w:val="-1"/>
        </w:rPr>
        <w:t>内控方面：对涉及公司管理的</w:t>
      </w:r>
      <w:r>
        <w:rPr>
          <w:rFonts w:ascii="Times New Roman" w:hAnsi="Times New Roman" w:cs="Times New Roman" w:eastAsia="Times New Roman" w:hint="default"/>
          <w:spacing w:val="-1"/>
        </w:rPr>
        <w:t>81</w:t>
      </w:r>
      <w:r>
        <w:rPr>
          <w:spacing w:val="-1"/>
        </w:rPr>
        <w:t>个流程</w:t>
      </w:r>
      <w:r>
        <w:rPr>
          <w:rFonts w:ascii="Times New Roman" w:hAnsi="Times New Roman" w:cs="Times New Roman" w:eastAsia="Times New Roman" w:hint="default"/>
          <w:spacing w:val="-1"/>
        </w:rPr>
        <w:t>1000</w:t>
      </w:r>
      <w:r>
        <w:rPr>
          <w:spacing w:val="-1"/>
        </w:rPr>
        <w:t>多个关键控制点进行了全面内控评价，对存在风险的控制</w:t>
      </w:r>
      <w:r>
        <w:rPr/>
        <w:t> 点进行整改，修订、完善了《公司章程》、《股东大会议事规则》、《销售手册》、《预算管理制度》、</w:t>
      </w:r>
    </w:p>
    <w:p>
      <w:pPr>
        <w:pStyle w:val="BodyText"/>
        <w:spacing w:line="408" w:lineRule="auto" w:before="38"/>
        <w:ind w:left="574" w:right="0" w:hanging="420"/>
        <w:jc w:val="left"/>
      </w:pPr>
      <w:r>
        <w:rPr/>
        <w:t>《研发费用管理办法》等共计</w:t>
      </w:r>
      <w:r>
        <w:rPr>
          <w:rFonts w:ascii="Times New Roman" w:hAnsi="Times New Roman" w:cs="Times New Roman" w:eastAsia="Times New Roman" w:hint="default"/>
        </w:rPr>
        <w:t>30</w:t>
      </w:r>
      <w:r>
        <w:rPr/>
        <w:t>余项内部控制制度及管理办法。 </w:t>
      </w:r>
      <w:r>
        <w:rPr>
          <w:spacing w:val="-1"/>
        </w:rPr>
        <w:t>销售管理方面：实现精细化管理、加强过程控制。大力发展代理商是新行业实现快速拓展的重要原因</w:t>
      </w:r>
    </w:p>
    <w:p>
      <w:pPr>
        <w:pStyle w:val="BodyText"/>
        <w:spacing w:line="227" w:lineRule="exact"/>
        <w:ind w:right="0"/>
        <w:jc w:val="left"/>
      </w:pPr>
      <w:r>
        <w:rPr/>
        <w:t>之一，为规范代理商管理，公司每年定期召开代理商大会，对代理商进行分级管理。</w:t>
      </w:r>
    </w:p>
    <w:p>
      <w:pPr>
        <w:spacing w:line="240" w:lineRule="auto" w:before="10"/>
        <w:rPr>
          <w:rFonts w:ascii="宋体" w:hAnsi="宋体" w:cs="宋体" w:eastAsia="宋体" w:hint="default"/>
          <w:sz w:val="16"/>
          <w:szCs w:val="16"/>
        </w:rPr>
      </w:pPr>
    </w:p>
    <w:p>
      <w:pPr>
        <w:pStyle w:val="BodyText"/>
        <w:spacing w:line="326" w:lineRule="auto"/>
        <w:ind w:right="0" w:firstLine="420"/>
        <w:jc w:val="left"/>
      </w:pPr>
      <w:r>
        <w:rPr>
          <w:spacing w:val="-1"/>
        </w:rPr>
        <w:t>研发管理方面：成立了“产品战略委员会”，作为公司产品战略的决策机构，明确公司产品、技术研</w:t>
      </w:r>
      <w:r>
        <w:rPr/>
        <w:t> 发总体方向，协调研发资源，进一步提升研发效率和质量。</w:t>
      </w:r>
    </w:p>
    <w:p>
      <w:pPr>
        <w:pStyle w:val="BodyText"/>
        <w:spacing w:line="309" w:lineRule="auto" w:before="144"/>
        <w:ind w:right="172" w:firstLine="420"/>
        <w:jc w:val="left"/>
      </w:pPr>
      <w:r>
        <w:rPr/>
        <w:t>财务管理方面：</w:t>
      </w:r>
      <w:r>
        <w:rPr>
          <w:rFonts w:ascii="Times New Roman" w:hAnsi="Times New Roman" w:cs="Times New Roman" w:eastAsia="Times New Roman" w:hint="default"/>
        </w:rPr>
        <w:t>2014</w:t>
      </w:r>
      <w:r>
        <w:rPr/>
        <w:t>年公司更加精细化地推进全面预算管理工作，引起了各中心对预算管理的重视， 全面预算管理概念逐步深入人心，有效的降低了超计划、超预算的支出，费用控制效果显著。</w:t>
      </w:r>
    </w:p>
    <w:p>
      <w:pPr>
        <w:pStyle w:val="BodyText"/>
        <w:spacing w:line="326" w:lineRule="auto" w:before="158"/>
        <w:ind w:right="0" w:firstLine="420"/>
        <w:jc w:val="left"/>
      </w:pPr>
      <w:r>
        <w:rPr>
          <w:spacing w:val="-1"/>
        </w:rPr>
        <w:t>子公司管理方面：加强全资子公司和控股子公司的规范管理和内部审计工作，完善子公司的内控体系</w:t>
      </w:r>
      <w:r>
        <w:rPr/>
        <w:t> 建设，重点规范各子公司的财务管理、安全保密管理。</w:t>
      </w:r>
    </w:p>
    <w:p>
      <w:pPr>
        <w:spacing w:line="408" w:lineRule="auto" w:before="144"/>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）核心竞争力不断提升</w:t>
      </w:r>
      <w:r>
        <w:rPr>
          <w:rFonts w:ascii="宋体" w:hAnsi="宋体" w:cs="宋体" w:eastAsia="宋体" w:hint="default"/>
          <w:b/>
          <w:bCs/>
          <w:w w:val="99"/>
          <w:sz w:val="21"/>
          <w:szCs w:val="21"/>
        </w:rPr>
        <w:t> </w:t>
      </w:r>
      <w:r>
        <w:rPr>
          <w:rFonts w:ascii="宋体" w:hAnsi="宋体" w:cs="宋体" w:eastAsia="宋体" w:hint="default"/>
          <w:spacing w:val="-1"/>
          <w:sz w:val="21"/>
          <w:szCs w:val="21"/>
        </w:rPr>
        <w:t>通过持续加大研发投入和市场推广力度，公司产品和技术不断创新，核心竞争力不断提升，主要表现</w:t>
      </w:r>
    </w:p>
    <w:p>
      <w:pPr>
        <w:pStyle w:val="BodyText"/>
        <w:spacing w:line="227" w:lineRule="exact"/>
        <w:ind w:right="0"/>
        <w:jc w:val="left"/>
      </w:pPr>
      <w:r>
        <w:rPr/>
        <w:t>如下：</w:t>
      </w:r>
    </w:p>
    <w:p>
      <w:pPr>
        <w:spacing w:line="240" w:lineRule="auto" w:before="10"/>
        <w:rPr>
          <w:rFonts w:ascii="宋体" w:hAnsi="宋体" w:cs="宋体" w:eastAsia="宋体" w:hint="default"/>
          <w:sz w:val="16"/>
          <w:szCs w:val="16"/>
        </w:rPr>
      </w:pPr>
    </w:p>
    <w:p>
      <w:pPr>
        <w:pStyle w:val="BodyText"/>
        <w:spacing w:line="309" w:lineRule="auto"/>
        <w:ind w:right="0" w:firstLine="420"/>
        <w:jc w:val="left"/>
      </w:pPr>
      <w:r>
        <w:rPr/>
        <w:t>①无形资产情况：</w:t>
      </w:r>
      <w:r>
        <w:rPr>
          <w:rFonts w:ascii="Times New Roman" w:hAnsi="Times New Roman" w:cs="Times New Roman" w:eastAsia="Times New Roman" w:hint="default"/>
        </w:rPr>
        <w:t>2014</w:t>
      </w:r>
      <w:r>
        <w:rPr/>
        <w:t>年度，公司新增授权专利</w:t>
      </w:r>
      <w:r>
        <w:rPr>
          <w:rFonts w:ascii="Times New Roman" w:hAnsi="Times New Roman" w:cs="Times New Roman" w:eastAsia="Times New Roman" w:hint="default"/>
        </w:rPr>
        <w:t>22</w:t>
      </w:r>
      <w:r>
        <w:rPr/>
        <w:t>项，其中发明专利</w:t>
      </w:r>
      <w:r>
        <w:rPr>
          <w:rFonts w:ascii="Times New Roman" w:hAnsi="Times New Roman" w:cs="Times New Roman" w:eastAsia="Times New Roman" w:hint="default"/>
        </w:rPr>
        <w:t>13</w:t>
      </w:r>
      <w:r>
        <w:rPr/>
        <w:t>项，实用新型专利</w:t>
      </w:r>
      <w:r>
        <w:rPr>
          <w:rFonts w:ascii="Times New Roman" w:hAnsi="Times New Roman" w:cs="Times New Roman" w:eastAsia="Times New Roman" w:hint="default"/>
        </w:rPr>
        <w:t>4</w:t>
      </w:r>
      <w:r>
        <w:rPr/>
        <w:t>项，外观 设计专利</w:t>
      </w:r>
      <w:r>
        <w:rPr>
          <w:rFonts w:ascii="Times New Roman" w:hAnsi="Times New Roman" w:cs="Times New Roman" w:eastAsia="Times New Roman" w:hint="default"/>
        </w:rPr>
        <w:t>5</w:t>
      </w:r>
      <w:r>
        <w:rPr/>
        <w:t>项；新提交申请的专利</w:t>
      </w:r>
      <w:r>
        <w:rPr>
          <w:rFonts w:ascii="Times New Roman" w:hAnsi="Times New Roman" w:cs="Times New Roman" w:eastAsia="Times New Roman" w:hint="default"/>
        </w:rPr>
        <w:t>33</w:t>
      </w:r>
      <w:r>
        <w:rPr/>
        <w:t>项，其中发明专利</w:t>
      </w:r>
      <w:r>
        <w:rPr>
          <w:rFonts w:ascii="Times New Roman" w:hAnsi="Times New Roman" w:cs="Times New Roman" w:eastAsia="Times New Roman" w:hint="default"/>
        </w:rPr>
        <w:t>26</w:t>
      </w:r>
      <w:r>
        <w:rPr/>
        <w:t>项，实用新型专利</w:t>
      </w:r>
      <w:r>
        <w:rPr>
          <w:rFonts w:ascii="Times New Roman" w:hAnsi="Times New Roman" w:cs="Times New Roman" w:eastAsia="Times New Roman" w:hint="default"/>
        </w:rPr>
        <w:t>3</w:t>
      </w:r>
      <w:r>
        <w:rPr/>
        <w:t>项，外观设计专利</w:t>
      </w:r>
      <w:r>
        <w:rPr>
          <w:rFonts w:ascii="Times New Roman" w:hAnsi="Times New Roman" w:cs="Times New Roman" w:eastAsia="Times New Roman" w:hint="default"/>
        </w:rPr>
        <w:t>4</w:t>
      </w:r>
      <w:r>
        <w:rPr/>
        <w:t>项；截至 </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日，公司共取得授权专利</w:t>
      </w:r>
      <w:r>
        <w:rPr>
          <w:rFonts w:ascii="Times New Roman" w:hAnsi="Times New Roman" w:cs="Times New Roman" w:eastAsia="Times New Roman" w:hint="default"/>
          <w:spacing w:val="-3"/>
        </w:rPr>
        <w:t>82</w:t>
      </w:r>
      <w:r>
        <w:rPr>
          <w:spacing w:val="-3"/>
        </w:rPr>
        <w:t>项，其中发明专利</w:t>
      </w:r>
      <w:r>
        <w:rPr>
          <w:rFonts w:ascii="Times New Roman" w:hAnsi="Times New Roman" w:cs="Times New Roman" w:eastAsia="Times New Roman" w:hint="default"/>
          <w:spacing w:val="-3"/>
        </w:rPr>
        <w:t>33</w:t>
      </w:r>
      <w:r>
        <w:rPr>
          <w:spacing w:val="-3"/>
        </w:rPr>
        <w:t>项，实用新型专利</w:t>
      </w:r>
      <w:r>
        <w:rPr>
          <w:rFonts w:ascii="Times New Roman" w:hAnsi="Times New Roman" w:cs="Times New Roman" w:eastAsia="Times New Roman" w:hint="default"/>
          <w:spacing w:val="-3"/>
        </w:rPr>
        <w:t>33</w:t>
      </w:r>
      <w:r>
        <w:rPr>
          <w:spacing w:val="-3"/>
        </w:rPr>
        <w:t>项，外观设计专利</w:t>
      </w:r>
      <w:r>
        <w:rPr>
          <w:rFonts w:ascii="Times New Roman" w:hAnsi="Times New Roman" w:cs="Times New Roman" w:eastAsia="Times New Roman" w:hint="default"/>
          <w:spacing w:val="-3"/>
        </w:rPr>
        <w:t>16</w:t>
      </w:r>
      <w:r>
        <w:rPr>
          <w:spacing w:val="-3"/>
        </w:rPr>
        <w:t>项。</w:t>
      </w:r>
      <w:r>
        <w:rPr>
          <w:spacing w:val="-87"/>
        </w:rPr>
        <w:t> </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日，公司共取得注册商标</w:t>
      </w:r>
      <w:r>
        <w:rPr>
          <w:rFonts w:ascii="Times New Roman" w:hAnsi="Times New Roman" w:cs="Times New Roman" w:eastAsia="Times New Roman" w:hint="default"/>
        </w:rPr>
        <w:t>27</w:t>
      </w:r>
      <w:r>
        <w:rPr/>
        <w:t>项；国家工商行政管理总局商标局已受理、正在审核过程中 的商标注册申请共有</w:t>
      </w:r>
      <w:r>
        <w:rPr>
          <w:rFonts w:ascii="Times New Roman" w:hAnsi="Times New Roman" w:cs="Times New Roman" w:eastAsia="Times New Roman" w:hint="default"/>
        </w:rPr>
        <w:t>5</w:t>
      </w:r>
      <w:r>
        <w:rPr/>
        <w:t>项。截至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日，公司共取得软件著作权</w:t>
      </w:r>
      <w:r>
        <w:rPr>
          <w:rFonts w:ascii="Times New Roman" w:hAnsi="Times New Roman" w:cs="Times New Roman" w:eastAsia="Times New Roman" w:hint="default"/>
        </w:rPr>
        <w:t>148</w:t>
      </w:r>
      <w:r>
        <w:rPr/>
        <w:t>项，其中报告期内新增软件著 作权</w:t>
      </w:r>
      <w:r>
        <w:rPr>
          <w:rFonts w:ascii="Times New Roman" w:hAnsi="Times New Roman" w:cs="Times New Roman" w:eastAsia="Times New Roman" w:hint="default"/>
        </w:rPr>
        <w:t>30</w:t>
      </w:r>
      <w:r>
        <w:rPr/>
        <w:t>项，均为自主研发所得。</w:t>
      </w:r>
    </w:p>
    <w:p>
      <w:pPr>
        <w:pStyle w:val="BodyText"/>
        <w:spacing w:line="319" w:lineRule="auto" w:before="136"/>
        <w:ind w:right="0" w:firstLine="420"/>
        <w:jc w:val="left"/>
      </w:pPr>
      <w:r>
        <w:rPr/>
        <w:t>②重要资质方面：</w:t>
      </w:r>
      <w:r>
        <w:rPr>
          <w:spacing w:val="-2"/>
        </w:rPr>
        <w:t> </w:t>
      </w:r>
      <w:r>
        <w:rPr/>
        <w:t>公司及子公司厦门市美亚柏科信息安全研究所有限公司获得高新技术企业认定，</w:t>
      </w:r>
      <w:r>
        <w:rPr/>
        <w:t> </w:t>
      </w:r>
      <w:r>
        <w:rPr>
          <w:spacing w:val="-3"/>
        </w:rPr>
        <w:t>其中美亚柏科为该资质已满三年，到期重新认定，新证书编号：</w:t>
      </w:r>
      <w:r>
        <w:rPr>
          <w:rFonts w:ascii="Times New Roman" w:hAnsi="Times New Roman" w:cs="Times New Roman" w:eastAsia="Times New Roman" w:hint="default"/>
          <w:spacing w:val="-3"/>
        </w:rPr>
        <w:t>GR201435100149</w:t>
      </w:r>
      <w:r>
        <w:rPr>
          <w:spacing w:val="-3"/>
        </w:rPr>
        <w:t>；美亚柏科信息安全研究</w:t>
      </w:r>
      <w:r>
        <w:rPr>
          <w:spacing w:val="-60"/>
        </w:rPr>
        <w:t> </w:t>
      </w:r>
      <w:r>
        <w:rPr>
          <w:spacing w:val="-60"/>
        </w:rPr>
      </w:r>
      <w:r>
        <w:rPr/>
        <w:t>所为初次认定，证书编号：</w:t>
      </w:r>
      <w:r>
        <w:rPr>
          <w:rFonts w:ascii="Times New Roman" w:hAnsi="Times New Roman" w:cs="Times New Roman" w:eastAsia="Times New Roman" w:hint="default"/>
        </w:rPr>
        <w:t>GR201435100154</w:t>
      </w:r>
      <w:r>
        <w:rPr/>
        <w:t>，发证日期为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日，有效期</w:t>
      </w:r>
      <w:r>
        <w:rPr>
          <w:rFonts w:ascii="Times New Roman" w:hAnsi="Times New Roman" w:cs="Times New Roman" w:eastAsia="Times New Roman" w:hint="default"/>
        </w:rPr>
        <w:t>3</w:t>
      </w:r>
      <w:r>
        <w:rPr/>
        <w:t>年。</w:t>
      </w:r>
    </w:p>
    <w:p>
      <w:pPr>
        <w:pStyle w:val="BodyText"/>
        <w:spacing w:line="314" w:lineRule="auto" w:before="127"/>
        <w:ind w:right="107" w:firstLine="420"/>
        <w:jc w:val="left"/>
      </w:pPr>
      <w:r>
        <w:rPr/>
        <w:t>公司控股子公司新德汇获得广东安防系统</w:t>
      </w:r>
      <w:r>
        <w:rPr>
          <w:rFonts w:ascii="Times New Roman" w:hAnsi="Times New Roman" w:cs="Times New Roman" w:eastAsia="Times New Roman" w:hint="default"/>
        </w:rPr>
        <w:t>-</w:t>
      </w:r>
      <w:r>
        <w:rPr/>
        <w:t>设计、施工、维修资格证（一级）和</w:t>
      </w:r>
      <w:r>
        <w:rPr>
          <w:rFonts w:ascii="Times New Roman" w:hAnsi="Times New Roman" w:cs="Times New Roman" w:eastAsia="Times New Roman" w:hint="default"/>
        </w:rPr>
        <w:t>CMMI</w:t>
      </w:r>
      <w:r>
        <w:rPr>
          <w:rFonts w:ascii="Times New Roman" w:hAnsi="Times New Roman" w:cs="Times New Roman" w:eastAsia="Times New Roman" w:hint="default"/>
          <w:spacing w:val="7"/>
        </w:rPr>
        <w:t> </w:t>
      </w:r>
      <w:r>
        <w:rPr/>
        <w:t>三级认定证书。 </w:t>
      </w:r>
      <w:r>
        <w:rPr>
          <w:spacing w:val="-2"/>
        </w:rPr>
        <w:t>安防系统</w:t>
      </w:r>
      <w:r>
        <w:rPr>
          <w:rFonts w:ascii="Times New Roman" w:hAnsi="Times New Roman" w:cs="Times New Roman" w:eastAsia="Times New Roman" w:hint="default"/>
          <w:spacing w:val="-2"/>
        </w:rPr>
        <w:t>-</w:t>
      </w:r>
      <w:r>
        <w:rPr>
          <w:spacing w:val="-2"/>
        </w:rPr>
        <w:t>设计、施工、维修资格证系公安机关对技防系统的设计、施工和维修单位实行资格等级管理，持</w:t>
      </w:r>
      <w:r>
        <w:rPr/>
        <w:t> 一级《资格证》的单位可承接任何技防系统，而未取得相应等级资格证书的，不得从事技防系统的设计、 施工和维修业务。</w:t>
      </w:r>
    </w:p>
    <w:p>
      <w:pPr>
        <w:pStyle w:val="BodyText"/>
        <w:spacing w:line="319" w:lineRule="auto" w:before="154"/>
        <w:ind w:left="153" w:right="0" w:firstLine="420"/>
        <w:jc w:val="left"/>
      </w:pPr>
      <w:r>
        <w:rPr>
          <w:spacing w:val="-1"/>
        </w:rPr>
        <w:t>③产品及品牌方面：凭借强大的自主研发创新能力，公司荣获中国软件行业协会“</w:t>
      </w:r>
      <w:r>
        <w:rPr>
          <w:rFonts w:ascii="Times New Roman" w:hAnsi="Times New Roman" w:cs="Times New Roman" w:eastAsia="Times New Roman" w:hint="default"/>
          <w:spacing w:val="-1"/>
        </w:rPr>
        <w:t>2014</w:t>
      </w:r>
      <w:r>
        <w:rPr>
          <w:spacing w:val="-1"/>
        </w:rPr>
        <w:t>年度自主可靠</w:t>
      </w:r>
      <w:r>
        <w:rPr/>
        <w:t> 企业核心软件品牌”荣誉称号。“移动终端采集分析系统”荣获“厦门市科技进步奖”一等奖、 “手机 </w:t>
      </w:r>
      <w:r>
        <w:rPr>
          <w:spacing w:val="-1"/>
        </w:rPr>
        <w:t>数据采集分析系统”荣获“</w:t>
      </w:r>
      <w:r>
        <w:rPr>
          <w:rFonts w:ascii="Times New Roman" w:hAnsi="Times New Roman" w:cs="Times New Roman" w:eastAsia="Times New Roman" w:hint="default"/>
          <w:spacing w:val="-1"/>
        </w:rPr>
        <w:t>2014</w:t>
      </w:r>
      <w:r>
        <w:rPr>
          <w:spacing w:val="-1"/>
        </w:rPr>
        <w:t>年度公安部科学技术奖”三等奖，并有一项产品获得由国家信息安全产品</w:t>
      </w:r>
    </w:p>
    <w:p>
      <w:pPr>
        <w:spacing w:after="0" w:line="319" w:lineRule="auto"/>
        <w:jc w:val="left"/>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309" w:lineRule="auto" w:before="35"/>
        <w:ind w:left="153" w:right="290"/>
        <w:jc w:val="left"/>
      </w:pPr>
      <w:r>
        <w:rPr/>
        <w:t>测评中心颁发的</w:t>
      </w:r>
      <w:r>
        <w:rPr>
          <w:rFonts w:ascii="Times New Roman" w:hAnsi="Times New Roman" w:cs="Times New Roman" w:eastAsia="Times New Roman" w:hint="default"/>
        </w:rPr>
        <w:t>EAL3</w:t>
      </w:r>
      <w:r>
        <w:rPr/>
        <w:t>级证书，充分体现了公司在设计、开发、生产、销售、管理和交付等各个环节具备 了较高的信息安全保障能力。</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w:t>
      </w:r>
      <w:r>
        <w:rPr/>
        <w:t>、报告期</w:t>
      </w:r>
      <w:bookmarkStart w:name="2、报告期内主要经营情况" w:id="22"/>
      <w:bookmarkEnd w:id="22"/>
      <w:r>
        <w:rPr/>
        <w:t>内</w:t>
      </w:r>
      <w:r>
        <w:rPr/>
        <w:t>主要经营情况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0"/>
        <w:rPr>
          <w:rFonts w:ascii="宋体" w:hAnsi="宋体" w:cs="宋体" w:eastAsia="宋体" w:hint="default"/>
          <w:b/>
          <w:bCs/>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pStyle w:val="BodyText"/>
        <w:spacing w:line="309" w:lineRule="auto" w:before="122"/>
        <w:ind w:right="206" w:firstLine="420"/>
        <w:jc w:val="left"/>
      </w:pPr>
      <w:r>
        <w:rPr>
          <w:spacing w:val="-1"/>
        </w:rPr>
        <w:t>报告期内，</w:t>
      </w:r>
      <w:bookmarkStart w:name="（1）主营业务分析" w:id="23"/>
      <w:bookmarkEnd w:id="23"/>
      <w:r>
        <w:rPr>
          <w:spacing w:val="-1"/>
        </w:rPr>
        <w:t>公司实现营业收入</w:t>
      </w:r>
      <w:r>
        <w:rPr>
          <w:rFonts w:ascii="Times New Roman" w:hAnsi="Times New Roman" w:cs="Times New Roman" w:eastAsia="Times New Roman" w:hint="default"/>
          <w:spacing w:val="-1"/>
        </w:rPr>
        <w:t>60,309.52</w:t>
      </w:r>
      <w:r>
        <w:rPr>
          <w:spacing w:val="-1"/>
        </w:rPr>
        <w:t>万元，较上年同期增长</w:t>
      </w:r>
      <w:r>
        <w:rPr>
          <w:rFonts w:ascii="Times New Roman" w:hAnsi="Times New Roman" w:cs="Times New Roman" w:eastAsia="Times New Roman" w:hint="default"/>
          <w:spacing w:val="-1"/>
        </w:rPr>
        <w:t>54.48%</w:t>
      </w:r>
      <w:r>
        <w:rPr>
          <w:spacing w:val="-1"/>
        </w:rPr>
        <w:t>，主要是由于公司在研发方面持</w:t>
      </w:r>
      <w:r>
        <w:rPr/>
        <w:t> 续的加大投入及市场拓展方面取得一定的成效，保障了公司营业收入稳步增长。</w:t>
      </w:r>
    </w:p>
    <w:p>
      <w:pPr>
        <w:pStyle w:val="BodyText"/>
        <w:spacing w:line="309" w:lineRule="auto" w:before="158"/>
        <w:ind w:right="206" w:firstLine="420"/>
        <w:jc w:val="left"/>
      </w:pPr>
      <w:r>
        <w:rPr>
          <w:spacing w:val="-1"/>
        </w:rPr>
        <w:t>报告期内，公司营业成本为</w:t>
      </w:r>
      <w:r>
        <w:rPr>
          <w:rFonts w:ascii="Times New Roman" w:hAnsi="Times New Roman" w:cs="Times New Roman" w:eastAsia="Times New Roman" w:hint="default"/>
          <w:spacing w:val="-1"/>
        </w:rPr>
        <w:t>21,871.84</w:t>
      </w:r>
      <w:r>
        <w:rPr>
          <w:spacing w:val="-1"/>
        </w:rPr>
        <w:t>万元，较上年同期增长</w:t>
      </w:r>
      <w:r>
        <w:rPr>
          <w:rFonts w:ascii="Times New Roman" w:hAnsi="Times New Roman" w:cs="Times New Roman" w:eastAsia="Times New Roman" w:hint="default"/>
          <w:spacing w:val="-1"/>
        </w:rPr>
        <w:t>45.28%</w:t>
      </w:r>
      <w:r>
        <w:rPr>
          <w:spacing w:val="-1"/>
        </w:rPr>
        <w:t>，主要是由于公司营业收入增加所</w:t>
      </w:r>
      <w:r>
        <w:rPr/>
        <w:t> 致。</w:t>
      </w:r>
    </w:p>
    <w:p>
      <w:pPr>
        <w:pStyle w:val="BodyText"/>
        <w:spacing w:line="309" w:lineRule="auto" w:before="78"/>
        <w:ind w:right="204" w:firstLine="420"/>
        <w:jc w:val="left"/>
      </w:pPr>
      <w:r>
        <w:rPr>
          <w:spacing w:val="-2"/>
        </w:rPr>
        <w:t>报告期内，公司营业税金及附加为</w:t>
      </w:r>
      <w:r>
        <w:rPr>
          <w:rFonts w:ascii="Times New Roman" w:hAnsi="Times New Roman" w:cs="Times New Roman" w:eastAsia="Times New Roman" w:hint="default"/>
          <w:spacing w:val="-2"/>
        </w:rPr>
        <w:t>792.86</w:t>
      </w:r>
      <w:r>
        <w:rPr>
          <w:spacing w:val="-2"/>
        </w:rPr>
        <w:t>万元，较上年同期增长</w:t>
      </w:r>
      <w:r>
        <w:rPr>
          <w:rFonts w:ascii="Times New Roman" w:hAnsi="Times New Roman" w:cs="Times New Roman" w:eastAsia="Times New Roman" w:hint="default"/>
          <w:spacing w:val="-2"/>
        </w:rPr>
        <w:t>101.81%</w:t>
      </w:r>
      <w:r>
        <w:rPr>
          <w:spacing w:val="-2"/>
        </w:rPr>
        <w:t>，主要是由于公司营业收入增</w:t>
      </w:r>
      <w:r>
        <w:rPr/>
        <w:t> 加所致。</w:t>
      </w:r>
    </w:p>
    <w:p>
      <w:pPr>
        <w:pStyle w:val="BodyText"/>
        <w:spacing w:line="309" w:lineRule="auto" w:before="77"/>
        <w:ind w:right="204" w:firstLine="420"/>
        <w:jc w:val="left"/>
      </w:pPr>
      <w:r>
        <w:rPr>
          <w:spacing w:val="-2"/>
        </w:rPr>
        <w:t>报告期内，公司销售费用为</w:t>
      </w:r>
      <w:r>
        <w:rPr>
          <w:rFonts w:ascii="Times New Roman" w:hAnsi="Times New Roman" w:cs="Times New Roman" w:eastAsia="Times New Roman" w:hint="default"/>
          <w:spacing w:val="-2"/>
        </w:rPr>
        <w:t>8388.47</w:t>
      </w:r>
      <w:r>
        <w:rPr>
          <w:spacing w:val="-2"/>
        </w:rPr>
        <w:t>万元，较上年同期增长</w:t>
      </w:r>
      <w:r>
        <w:rPr>
          <w:rFonts w:ascii="Times New Roman" w:hAnsi="Times New Roman" w:cs="Times New Roman" w:eastAsia="Times New Roman" w:hint="default"/>
          <w:spacing w:val="-2"/>
        </w:rPr>
        <w:t>14.88%</w:t>
      </w:r>
      <w:r>
        <w:rPr>
          <w:spacing w:val="-2"/>
        </w:rPr>
        <w:t>，主要是由于人员人工费增加及本年</w:t>
      </w:r>
      <w:r>
        <w:rPr/>
        <w:t> 合并新德汇公司合并时间较去年长所致。</w:t>
      </w:r>
    </w:p>
    <w:p>
      <w:pPr>
        <w:pStyle w:val="BodyText"/>
        <w:spacing w:line="309" w:lineRule="auto" w:before="77"/>
        <w:ind w:right="207" w:firstLine="420"/>
        <w:jc w:val="left"/>
      </w:pPr>
      <w:r>
        <w:rPr/>
        <w:t>报告期内，公司管理费用为</w:t>
      </w:r>
      <w:r>
        <w:rPr>
          <w:rFonts w:ascii="Times New Roman" w:hAnsi="Times New Roman" w:cs="Times New Roman" w:eastAsia="Times New Roman" w:hint="default"/>
        </w:rPr>
        <w:t>17175.39</w:t>
      </w:r>
      <w:r>
        <w:rPr/>
        <w:t>万元，较上年同期增长</w:t>
      </w:r>
      <w:r>
        <w:rPr>
          <w:rFonts w:ascii="Times New Roman" w:hAnsi="Times New Roman" w:cs="Times New Roman" w:eastAsia="Times New Roman" w:hint="default"/>
        </w:rPr>
        <w:t>46.24%</w:t>
      </w:r>
      <w:r>
        <w:rPr/>
        <w:t>，主要是由于固定资产折旧、资本 化摊销费用较上年度增加及本年合并新德汇公司合并时间较去年长所致。</w:t>
      </w:r>
    </w:p>
    <w:p>
      <w:pPr>
        <w:pStyle w:val="BodyText"/>
        <w:spacing w:line="340" w:lineRule="auto" w:before="79"/>
        <w:ind w:left="574" w:right="106"/>
        <w:jc w:val="both"/>
      </w:pPr>
      <w:r>
        <w:rPr>
          <w:spacing w:val="-4"/>
        </w:rPr>
        <w:t>报告期内，公司财务费用较上年同期下降</w:t>
      </w:r>
      <w:r>
        <w:rPr>
          <w:rFonts w:ascii="Times New Roman" w:hAnsi="Times New Roman" w:cs="Times New Roman" w:eastAsia="Times New Roman" w:hint="default"/>
          <w:spacing w:val="-4"/>
        </w:rPr>
        <w:t>27.39%</w:t>
      </w:r>
      <w:r>
        <w:rPr>
          <w:spacing w:val="-4"/>
        </w:rPr>
        <w:t>，主要是由于本年度公司利息收入较上年度增加所致。</w:t>
      </w:r>
      <w:r>
        <w:rPr>
          <w:spacing w:val="-62"/>
        </w:rPr>
        <w:t> </w:t>
      </w:r>
      <w:r>
        <w:rPr>
          <w:spacing w:val="-62"/>
        </w:rPr>
      </w:r>
      <w:r>
        <w:rPr>
          <w:spacing w:val="-4"/>
        </w:rPr>
        <w:t>报告期内，公司所得税费用较上年同期增长</w:t>
      </w:r>
      <w:r>
        <w:rPr>
          <w:rFonts w:ascii="Times New Roman" w:hAnsi="Times New Roman" w:cs="Times New Roman" w:eastAsia="Times New Roman" w:hint="default"/>
          <w:spacing w:val="-4"/>
        </w:rPr>
        <w:t>52.32%</w:t>
      </w:r>
      <w:r>
        <w:rPr>
          <w:spacing w:val="-4"/>
        </w:rPr>
        <w:t>，主要是由于本年公司利润总额较上年度增加所致。</w:t>
      </w:r>
      <w:r>
        <w:rPr>
          <w:spacing w:val="-61"/>
        </w:rPr>
        <w:t> </w:t>
      </w:r>
      <w:r>
        <w:rPr>
          <w:spacing w:val="-61"/>
        </w:rPr>
      </w:r>
      <w:r>
        <w:rPr/>
        <w:t>报告期内，公司投资收益较上年同期下降</w:t>
      </w:r>
      <w:r>
        <w:rPr>
          <w:rFonts w:ascii="Times New Roman" w:hAnsi="Times New Roman" w:cs="Times New Roman" w:eastAsia="Times New Roman" w:hint="default"/>
        </w:rPr>
        <w:t>191.68%</w:t>
      </w:r>
      <w:r>
        <w:rPr/>
        <w:t>，主要是由于本年度参股公司北京万诚和厦门服云</w:t>
      </w:r>
    </w:p>
    <w:p>
      <w:pPr>
        <w:pStyle w:val="BodyText"/>
        <w:spacing w:line="262" w:lineRule="exact"/>
        <w:ind w:right="0"/>
        <w:jc w:val="left"/>
      </w:pPr>
      <w:r>
        <w:rPr/>
        <w:t>亏损所致。</w:t>
      </w:r>
    </w:p>
    <w:p>
      <w:pPr>
        <w:pStyle w:val="BodyText"/>
        <w:spacing w:line="309" w:lineRule="auto" w:before="139"/>
        <w:ind w:right="0" w:firstLine="420"/>
        <w:jc w:val="left"/>
      </w:pPr>
      <w:r>
        <w:rPr>
          <w:spacing w:val="-1"/>
        </w:rPr>
        <w:t>报告期内，公司研发投入金额为</w:t>
      </w:r>
      <w:r>
        <w:rPr>
          <w:rFonts w:ascii="Times New Roman" w:hAnsi="Times New Roman" w:cs="Times New Roman" w:eastAsia="Times New Roman" w:hint="default"/>
          <w:spacing w:val="-1"/>
        </w:rPr>
        <w:t>8,783.70</w:t>
      </w:r>
      <w:r>
        <w:rPr>
          <w:spacing w:val="-1"/>
        </w:rPr>
        <w:t>万元，占当期营业收入的</w:t>
      </w:r>
      <w:r>
        <w:rPr>
          <w:rFonts w:ascii="Times New Roman" w:hAnsi="Times New Roman" w:cs="Times New Roman" w:eastAsia="Times New Roman" w:hint="default"/>
          <w:spacing w:val="-1"/>
        </w:rPr>
        <w:t>14.56%</w:t>
      </w:r>
      <w:r>
        <w:rPr>
          <w:spacing w:val="-1"/>
        </w:rPr>
        <w:t>，同比增长</w:t>
      </w:r>
      <w:r>
        <w:rPr>
          <w:rFonts w:ascii="Times New Roman" w:hAnsi="Times New Roman" w:cs="Times New Roman" w:eastAsia="Times New Roman" w:hint="default"/>
          <w:spacing w:val="-1"/>
        </w:rPr>
        <w:t>30.36%</w:t>
      </w:r>
      <w:r>
        <w:rPr>
          <w:spacing w:val="-1"/>
        </w:rPr>
        <w:t>，主要是</w:t>
      </w:r>
      <w:r>
        <w:rPr/>
        <w:t> 由于公司为增强公司的市场竟争力，持续加大了研发投入所致。</w:t>
      </w:r>
    </w:p>
    <w:p>
      <w:pPr>
        <w:pStyle w:val="BodyText"/>
        <w:spacing w:line="309" w:lineRule="auto" w:before="77"/>
        <w:ind w:right="259" w:firstLine="420"/>
        <w:jc w:val="left"/>
      </w:pPr>
      <w:r>
        <w:rPr/>
        <w:t>报告期内，公司经营活动产生的现金流量净额为</w:t>
      </w:r>
      <w:r>
        <w:rPr>
          <w:rFonts w:ascii="Times New Roman" w:hAnsi="Times New Roman" w:cs="Times New Roman" w:eastAsia="Times New Roman" w:hint="default"/>
        </w:rPr>
        <w:t>17,366,12</w:t>
      </w:r>
      <w:r>
        <w:rPr/>
        <w:t>万元，同比增长</w:t>
      </w:r>
      <w:r>
        <w:rPr>
          <w:rFonts w:ascii="Times New Roman" w:hAnsi="Times New Roman" w:cs="Times New Roman" w:eastAsia="Times New Roman" w:hint="default"/>
        </w:rPr>
        <w:t>254.47%</w:t>
      </w:r>
      <w:r>
        <w:rPr/>
        <w:t>，主要是由于报告 期内公司收到销售商品、提供劳务收到的现金较去年同期有所增加所致。</w:t>
      </w:r>
    </w:p>
    <w:p>
      <w:pPr>
        <w:pStyle w:val="Heading4"/>
        <w:spacing w:line="240" w:lineRule="auto" w:before="157"/>
        <w:ind w:right="0"/>
        <w:jc w:val="left"/>
        <w:rPr>
          <w:b w:val="0"/>
          <w:bCs w:val="0"/>
        </w:rPr>
      </w:pPr>
      <w:r>
        <w:rPr>
          <w:rFonts w:ascii="Times New Roman" w:hAnsi="Times New Roman" w:cs="Times New Roman" w:eastAsia="Times New Roman" w:hint="default"/>
        </w:rPr>
        <w:t>2</w:t>
      </w:r>
      <w:r>
        <w:rPr/>
        <w:t>）报告期利润构成或利润来源发生重大变动的说明</w:t>
      </w:r>
      <w:r>
        <w:rPr>
          <w:b w:val="0"/>
          <w:bCs w:val="0"/>
        </w:rPr>
      </w:r>
    </w:p>
    <w:p>
      <w:pPr>
        <w:pStyle w:val="BodyText"/>
        <w:spacing w:line="240" w:lineRule="auto" w:before="12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7"/>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3</w:t>
      </w:r>
      <w:r>
        <w:rPr/>
        <w:t>）收入</w:t>
      </w:r>
      <w:r>
        <w:rPr>
          <w:b w:val="0"/>
          <w:bCs w:val="0"/>
        </w:rPr>
      </w:r>
    </w:p>
    <w:p>
      <w:pPr>
        <w:spacing w:line="240" w:lineRule="auto" w:before="2"/>
        <w:rPr>
          <w:rFonts w:ascii="宋体" w:hAnsi="宋体" w:cs="宋体" w:eastAsia="宋体" w:hint="default"/>
          <w:b/>
          <w:bCs/>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240" w:right="0"/>
              <w:jc w:val="left"/>
              <w:rPr>
                <w:rFonts w:ascii="Times New Roman" w:hAnsi="Times New Roman" w:cs="Times New Roman" w:eastAsia="Times New Roman" w:hint="default"/>
                <w:sz w:val="18"/>
                <w:szCs w:val="18"/>
              </w:rPr>
            </w:pPr>
            <w:r>
              <w:rPr>
                <w:rFonts w:ascii="Times New Roman"/>
                <w:sz w:val="18"/>
              </w:rPr>
              <w:t>603,095,207.02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390,413,350.38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54.48%</w:t>
            </w:r>
          </w:p>
        </w:tc>
      </w:tr>
    </w:tbl>
    <w:p>
      <w:pPr>
        <w:pStyle w:val="BodyText"/>
        <w:spacing w:line="362" w:lineRule="auto" w:before="57"/>
        <w:ind w:left="574" w:right="206" w:hanging="420"/>
        <w:jc w:val="left"/>
      </w:pPr>
      <w:r>
        <w:rPr/>
        <w:t>驱动收入变化的因素： </w:t>
      </w:r>
      <w:r>
        <w:rPr>
          <w:spacing w:val="-1"/>
        </w:rPr>
        <w:t>报告期，公司实现营业收入</w:t>
      </w:r>
      <w:r>
        <w:rPr>
          <w:rFonts w:ascii="Times New Roman" w:hAnsi="Times New Roman" w:cs="Times New Roman" w:eastAsia="Times New Roman" w:hint="default"/>
          <w:spacing w:val="-1"/>
        </w:rPr>
        <w:t>60,309.52</w:t>
      </w:r>
      <w:r>
        <w:rPr>
          <w:spacing w:val="-1"/>
        </w:rPr>
        <w:t>万元，较去年同期增长</w:t>
      </w:r>
      <w:r>
        <w:rPr>
          <w:rFonts w:ascii="Times New Roman" w:hAnsi="Times New Roman" w:cs="Times New Roman" w:eastAsia="Times New Roman" w:hint="default"/>
          <w:spacing w:val="-1"/>
        </w:rPr>
        <w:t>54.48%</w:t>
      </w:r>
      <w:r>
        <w:rPr>
          <w:spacing w:val="-1"/>
        </w:rPr>
        <w:t>，其中：电子数据取证产品实现收</w:t>
      </w:r>
    </w:p>
    <w:p>
      <w:pPr>
        <w:pStyle w:val="BodyText"/>
        <w:spacing w:line="256" w:lineRule="exact"/>
        <w:ind w:left="153" w:right="0"/>
        <w:jc w:val="left"/>
      </w:pPr>
      <w:r>
        <w:rPr/>
        <w:t>入</w:t>
      </w:r>
      <w:r>
        <w:rPr>
          <w:rFonts w:ascii="Times New Roman" w:hAnsi="Times New Roman" w:cs="Times New Roman" w:eastAsia="Times New Roman" w:hint="default"/>
        </w:rPr>
        <w:t>45,729.96</w:t>
      </w:r>
      <w:r>
        <w:rPr/>
        <w:t>万元，较去年同期增长</w:t>
      </w:r>
      <w:r>
        <w:rPr>
          <w:rFonts w:ascii="Times New Roman" w:hAnsi="Times New Roman" w:cs="Times New Roman" w:eastAsia="Times New Roman" w:hint="default"/>
        </w:rPr>
        <w:t>54.24%</w:t>
      </w:r>
      <w:r>
        <w:rPr/>
        <w:t>；网络信息安全产品实现收入</w:t>
      </w:r>
      <w:r>
        <w:rPr>
          <w:rFonts w:ascii="Times New Roman" w:hAnsi="Times New Roman" w:cs="Times New Roman" w:eastAsia="Times New Roman" w:hint="default"/>
        </w:rPr>
        <w:t>2,701.43</w:t>
      </w:r>
      <w:r>
        <w:rPr/>
        <w:t>万元，较去年同期下降</w:t>
      </w:r>
    </w:p>
    <w:p>
      <w:pPr>
        <w:pStyle w:val="BodyText"/>
        <w:spacing w:line="240" w:lineRule="auto" w:before="83"/>
        <w:ind w:left="153" w:right="0"/>
        <w:jc w:val="left"/>
      </w:pPr>
      <w:r>
        <w:rPr>
          <w:rFonts w:ascii="Times New Roman" w:hAnsi="Times New Roman" w:cs="Times New Roman" w:eastAsia="Times New Roman" w:hint="default"/>
        </w:rPr>
        <w:t>4.18%</w:t>
      </w:r>
      <w:r>
        <w:rPr/>
        <w:t>；电子数据鉴定及互联网知识产权保护等服务实现收入</w:t>
      </w:r>
      <w:r>
        <w:rPr>
          <w:rFonts w:ascii="Times New Roman" w:hAnsi="Times New Roman" w:cs="Times New Roman" w:eastAsia="Times New Roman" w:hint="default"/>
        </w:rPr>
        <w:t>8,066.36</w:t>
      </w:r>
      <w:r>
        <w:rPr/>
        <w:t>万元，较去年同期增长</w:t>
      </w:r>
      <w:r>
        <w:rPr>
          <w:rFonts w:ascii="Times New Roman" w:hAnsi="Times New Roman" w:cs="Times New Roman" w:eastAsia="Times New Roman" w:hint="default"/>
        </w:rPr>
        <w:t>73.79%</w:t>
      </w:r>
      <w:r>
        <w:rPr/>
        <w:t>；刑事</w:t>
      </w:r>
    </w:p>
    <w:p>
      <w:pPr>
        <w:spacing w:after="0" w:line="240" w:lineRule="auto"/>
        <w:jc w:val="left"/>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314" w:lineRule="auto" w:before="35"/>
        <w:ind w:left="153" w:right="209"/>
        <w:jc w:val="both"/>
      </w:pPr>
      <w:r>
        <w:rPr/>
        <w:t>技术产品线实现收入</w:t>
      </w:r>
      <w:r>
        <w:rPr>
          <w:rFonts w:ascii="Times New Roman" w:hAnsi="Times New Roman" w:cs="Times New Roman" w:eastAsia="Times New Roman" w:hint="default"/>
        </w:rPr>
        <w:t>3,191.72</w:t>
      </w:r>
      <w:r>
        <w:rPr/>
        <w:t>万元，较去年同期增长</w:t>
      </w:r>
      <w:r>
        <w:rPr>
          <w:rFonts w:ascii="Times New Roman" w:hAnsi="Times New Roman" w:cs="Times New Roman" w:eastAsia="Times New Roman" w:hint="default"/>
        </w:rPr>
        <w:t>107.61%</w:t>
      </w:r>
      <w:r>
        <w:rPr/>
        <w:t>；工程业务实现收入</w:t>
      </w:r>
      <w:r>
        <w:rPr>
          <w:rFonts w:ascii="Times New Roman" w:hAnsi="Times New Roman" w:cs="Times New Roman" w:eastAsia="Times New Roman" w:hint="default"/>
        </w:rPr>
        <w:t>493.74</w:t>
      </w:r>
      <w:r>
        <w:rPr/>
        <w:t>万元，较去年同期 </w:t>
      </w:r>
      <w:r>
        <w:rPr>
          <w:spacing w:val="-1"/>
        </w:rPr>
        <w:t>增长</w:t>
      </w:r>
      <w:r>
        <w:rPr>
          <w:rFonts w:ascii="Times New Roman" w:hAnsi="Times New Roman" w:cs="Times New Roman" w:eastAsia="Times New Roman" w:hint="default"/>
          <w:spacing w:val="-1"/>
        </w:rPr>
        <w:t>46.01%</w:t>
      </w:r>
      <w:r>
        <w:rPr>
          <w:spacing w:val="-1"/>
        </w:rPr>
        <w:t>，其他业务产品收入</w:t>
      </w:r>
      <w:r>
        <w:rPr>
          <w:rFonts w:ascii="Times New Roman" w:hAnsi="Times New Roman" w:cs="Times New Roman" w:eastAsia="Times New Roman" w:hint="default"/>
          <w:spacing w:val="-1"/>
        </w:rPr>
        <w:t>88.21</w:t>
      </w:r>
      <w:r>
        <w:rPr>
          <w:spacing w:val="-1"/>
        </w:rPr>
        <w:t>万元，较去年同期增长</w:t>
      </w:r>
      <w:r>
        <w:rPr>
          <w:rFonts w:ascii="Times New Roman" w:hAnsi="Times New Roman" w:cs="Times New Roman" w:eastAsia="Times New Roman" w:hint="default"/>
          <w:spacing w:val="-1"/>
        </w:rPr>
        <w:t>340.33%</w:t>
      </w:r>
      <w:r>
        <w:rPr>
          <w:spacing w:val="-1"/>
        </w:rPr>
        <w:t>。公司前期在研发及市场拓展方面的</w:t>
      </w:r>
      <w:r>
        <w:rPr>
          <w:spacing w:val="-69"/>
        </w:rPr>
        <w:t> </w:t>
      </w:r>
      <w:r>
        <w:rPr>
          <w:spacing w:val="-69"/>
        </w:rPr>
      </w:r>
      <w:r>
        <w:rPr>
          <w:spacing w:val="-5"/>
        </w:rPr>
        <w:t>加大投入取得一定的成效，同时合并珠海新德汇公司后协同效益显现，有效的补充了业务渠道，保障了</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1"/>
        </w:rPr>
        <w:t>年度公司营业收入较上年同期有较大幅度的增长。随着服务市场推广力度加大及网络信息安全产品向服务</w:t>
      </w:r>
      <w:r>
        <w:rPr>
          <w:spacing w:val="-81"/>
        </w:rPr>
        <w:t> </w:t>
      </w:r>
      <w:r>
        <w:rPr>
          <w:spacing w:val="-81"/>
        </w:rPr>
      </w:r>
      <w:r>
        <w:rPr/>
        <w:t>转型，公司服务收入有较大增长，但同时网络信息安全产品收入较去年同期有所下降。</w:t>
      </w:r>
    </w:p>
    <w:p>
      <w:pPr>
        <w:pStyle w:val="BodyText"/>
        <w:spacing w:line="240" w:lineRule="auto" w:before="153"/>
        <w:ind w:left="153" w:right="0"/>
        <w:jc w:val="both"/>
      </w:pPr>
      <w:r>
        <w:rPr/>
        <w:t>公司实物销售收入是否大于劳务收入：</w:t>
      </w:r>
    </w:p>
    <w:p>
      <w:pPr>
        <w:pStyle w:val="BodyText"/>
        <w:spacing w:line="240" w:lineRule="auto" w:before="140"/>
        <w:ind w:left="15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571"/>
        <w:gridCol w:w="1606"/>
        <w:gridCol w:w="1594"/>
        <w:gridCol w:w="1594"/>
        <w:gridCol w:w="1595"/>
      </w:tblGrid>
      <w:tr>
        <w:trPr>
          <w:trHeight w:val="402" w:hRule="exact"/>
        </w:trPr>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7"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15,069</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8,735</w:t>
            </w:r>
            <w:r>
              <w:rPr>
                <w:rFonts w:ascii="Times New Roman"/>
                <w:sz w:val="20"/>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72.51%</w:t>
            </w:r>
          </w:p>
        </w:tc>
      </w:tr>
      <w:tr>
        <w:trPr>
          <w:trHeight w:val="402" w:hRule="exact"/>
        </w:trPr>
        <w:tc>
          <w:tcPr>
            <w:tcW w:w="1607" w:type="dxa"/>
            <w:vMerge/>
            <w:tcBorders>
              <w:left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17,367</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9,434</w:t>
            </w:r>
            <w:r>
              <w:rPr>
                <w:rFonts w:ascii="Times New Roman"/>
                <w:sz w:val="20"/>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84.09%</w:t>
            </w:r>
          </w:p>
        </w:tc>
      </w:tr>
      <w:tr>
        <w:trPr>
          <w:trHeight w:val="402" w:hRule="exact"/>
        </w:trPr>
        <w:tc>
          <w:tcPr>
            <w:tcW w:w="1607"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9,530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7,232</w:t>
            </w:r>
            <w:r>
              <w:rPr>
                <w:rFonts w:ascii="Times New Roman"/>
                <w:sz w:val="20"/>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31.78%</w:t>
            </w:r>
          </w:p>
        </w:tc>
      </w:tr>
      <w:tr>
        <w:trPr>
          <w:trHeight w:val="402" w:hRule="exact"/>
        </w:trPr>
        <w:tc>
          <w:tcPr>
            <w:tcW w:w="1607"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网络信息安全产品</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spacing w:val="-1"/>
                <w:sz w:val="20"/>
              </w:rPr>
              <w:t>1050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202</w:t>
            </w:r>
            <w:r>
              <w:rPr>
                <w:rFonts w:ascii="Times New Roman"/>
                <w:sz w:val="20"/>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-48.02%</w:t>
            </w:r>
          </w:p>
        </w:tc>
      </w:tr>
      <w:tr>
        <w:trPr>
          <w:trHeight w:val="402" w:hRule="exact"/>
        </w:trPr>
        <w:tc>
          <w:tcPr>
            <w:tcW w:w="1607" w:type="dxa"/>
            <w:vMerge/>
            <w:tcBorders>
              <w:left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21.52%</w:t>
            </w:r>
          </w:p>
        </w:tc>
      </w:tr>
      <w:tr>
        <w:trPr>
          <w:trHeight w:val="402" w:hRule="exact"/>
        </w:trPr>
        <w:tc>
          <w:tcPr>
            <w:tcW w:w="1607"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-14.29%</w:t>
            </w:r>
          </w:p>
        </w:tc>
      </w:tr>
      <w:tr>
        <w:trPr>
          <w:trHeight w:val="402" w:hRule="exact"/>
        </w:trPr>
        <w:tc>
          <w:tcPr>
            <w:tcW w:w="1607"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刑事技术产品</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271</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2"/>
                <w:szCs w:val="22"/>
              </w:rPr>
            </w:pPr>
            <w:r>
              <w:rPr>
                <w:rFonts w:ascii="Times New Roman"/>
                <w:w w:val="95"/>
                <w:sz w:val="22"/>
              </w:rPr>
              <w:t>41</w:t>
            </w:r>
            <w:r>
              <w:rPr>
                <w:rFonts w:ascii="Times New Roman"/>
                <w:sz w:val="22"/>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20"/>
                <w:szCs w:val="20"/>
              </w:rPr>
            </w:pPr>
            <w:r>
              <w:rPr>
                <w:rFonts w:ascii="Times New Roman"/>
                <w:spacing w:val="-1"/>
                <w:sz w:val="20"/>
              </w:rPr>
              <w:t>386.30%</w:t>
            </w:r>
          </w:p>
        </w:tc>
      </w:tr>
      <w:tr>
        <w:trPr>
          <w:trHeight w:val="402" w:hRule="exact"/>
        </w:trPr>
        <w:tc>
          <w:tcPr>
            <w:tcW w:w="1607" w:type="dxa"/>
            <w:vMerge/>
            <w:tcBorders>
              <w:left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355</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20"/>
                <w:szCs w:val="20"/>
              </w:rPr>
            </w:pPr>
            <w:r>
              <w:rPr>
                <w:rFonts w:ascii="Times New Roman"/>
                <w:spacing w:val="-1"/>
                <w:sz w:val="20"/>
              </w:rPr>
              <w:t>262.50%</w:t>
            </w:r>
          </w:p>
        </w:tc>
      </w:tr>
      <w:tr>
        <w:trPr>
          <w:trHeight w:val="402" w:hRule="exact"/>
        </w:trPr>
        <w:tc>
          <w:tcPr>
            <w:tcW w:w="1607"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3"/>
                <w:sz w:val="20"/>
              </w:rPr>
              <w:t>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20"/>
                <w:szCs w:val="20"/>
              </w:rPr>
            </w:pPr>
            <w:r>
              <w:rPr>
                <w:rFonts w:ascii="Times New Roman"/>
                <w:spacing w:val="-1"/>
                <w:sz w:val="20"/>
              </w:rPr>
              <w:t>560.00%</w:t>
            </w:r>
          </w:p>
        </w:tc>
      </w:tr>
    </w:tbl>
    <w:p>
      <w:pPr>
        <w:spacing w:line="240" w:lineRule="auto" w:before="11"/>
        <w:rPr>
          <w:rFonts w:ascii="宋体" w:hAnsi="宋体" w:cs="宋体" w:eastAsia="宋体" w:hint="default"/>
          <w:sz w:val="7"/>
          <w:szCs w:val="7"/>
        </w:rPr>
      </w:pPr>
    </w:p>
    <w:p>
      <w:pPr>
        <w:pStyle w:val="BodyText"/>
        <w:spacing w:line="340" w:lineRule="auto" w:before="35"/>
        <w:ind w:left="573" w:right="0" w:hanging="420"/>
        <w:jc w:val="left"/>
      </w:pPr>
      <w:r>
        <w:rPr/>
        <w:t>相关数据同比发生变动</w:t>
      </w:r>
      <w:r>
        <w:rPr>
          <w:spacing w:val="-53"/>
        </w:rPr>
        <w:t> </w:t>
      </w:r>
      <w:r>
        <w:rPr>
          <w:rFonts w:ascii="Times New Roman" w:hAnsi="Times New Roman" w:cs="Times New Roman" w:eastAsia="Times New Roman" w:hint="default"/>
        </w:rPr>
        <w:t>30%</w:t>
      </w:r>
      <w:r>
        <w:rPr/>
        <w:t>以上的原因说明： </w:t>
      </w:r>
      <w:r>
        <w:rPr>
          <w:spacing w:val="-3"/>
        </w:rPr>
        <w:t>电子数据取证产品项目销售量、生产量、库存量较去年同期分别增长</w:t>
      </w:r>
      <w:r>
        <w:rPr>
          <w:rFonts w:ascii="Times New Roman" w:hAnsi="Times New Roman" w:cs="Times New Roman" w:eastAsia="Times New Roman" w:hint="default"/>
          <w:spacing w:val="-3"/>
        </w:rPr>
        <w:t>72.51%</w:t>
      </w:r>
      <w:r>
        <w:rPr>
          <w:spacing w:val="-3"/>
        </w:rPr>
        <w:t>、</w:t>
      </w:r>
      <w:r>
        <w:rPr>
          <w:rFonts w:ascii="Times New Roman" w:hAnsi="Times New Roman" w:cs="Times New Roman" w:eastAsia="Times New Roman" w:hint="default"/>
          <w:spacing w:val="-3"/>
        </w:rPr>
        <w:t>84.09%</w:t>
      </w:r>
      <w:r>
        <w:rPr>
          <w:spacing w:val="-3"/>
        </w:rPr>
        <w:t>、</w:t>
      </w:r>
      <w:r>
        <w:rPr>
          <w:rFonts w:ascii="Times New Roman" w:hAnsi="Times New Roman" w:cs="Times New Roman" w:eastAsia="Times New Roman" w:hint="default"/>
          <w:spacing w:val="-3"/>
        </w:rPr>
        <w:t>31.78%</w:t>
      </w:r>
      <w:r>
        <w:rPr>
          <w:spacing w:val="-3"/>
        </w:rPr>
        <w:t>，主要</w:t>
      </w:r>
      <w:r>
        <w:rPr/>
      </w:r>
    </w:p>
    <w:p>
      <w:pPr>
        <w:pStyle w:val="BodyText"/>
        <w:spacing w:line="277" w:lineRule="exact"/>
        <w:ind w:left="153" w:right="0"/>
        <w:jc w:val="left"/>
      </w:pPr>
      <w:r>
        <w:rPr/>
        <w:t>是由于该类产品业务量较去年同期增长较多所致。网络信息安全产品项目销售量较去年同期下降</w:t>
      </w:r>
      <w:r>
        <w:rPr>
          <w:rFonts w:ascii="Times New Roman" w:hAnsi="Times New Roman" w:cs="Times New Roman" w:eastAsia="Times New Roman" w:hint="default"/>
        </w:rPr>
        <w:t>48.02%</w:t>
      </w:r>
      <w:r>
        <w:rPr/>
        <w:t>，</w:t>
      </w:r>
    </w:p>
    <w:p>
      <w:pPr>
        <w:pStyle w:val="BodyText"/>
        <w:spacing w:line="240" w:lineRule="auto" w:before="83"/>
        <w:ind w:left="153" w:right="0"/>
        <w:jc w:val="left"/>
      </w:pPr>
      <w:r>
        <w:rPr>
          <w:spacing w:val="-5"/>
        </w:rPr>
        <w:t>主要是由于该类产品向服务转化；刑事技术产品项目销售量、生产量、库存量较去年同期分别增长</w:t>
      </w:r>
      <w:r>
        <w:rPr>
          <w:rFonts w:ascii="Times New Roman" w:hAnsi="Times New Roman" w:cs="Times New Roman" w:eastAsia="Times New Roman" w:hint="default"/>
          <w:spacing w:val="-5"/>
        </w:rPr>
        <w:t>386.30%</w:t>
      </w:r>
      <w:r>
        <w:rPr>
          <w:spacing w:val="-5"/>
        </w:rPr>
        <w:t>、</w:t>
      </w:r>
    </w:p>
    <w:p>
      <w:pPr>
        <w:pStyle w:val="BodyText"/>
        <w:spacing w:line="408" w:lineRule="auto" w:before="85"/>
        <w:ind w:left="153" w:right="1661"/>
        <w:jc w:val="left"/>
      </w:pPr>
      <w:r>
        <w:rPr>
          <w:rFonts w:ascii="Times New Roman" w:hAnsi="Times New Roman" w:cs="Times New Roman" w:eastAsia="Times New Roman" w:hint="default"/>
        </w:rPr>
        <w:t>262.50%</w:t>
      </w:r>
      <w:r>
        <w:rPr/>
        <w:t>、</w:t>
      </w:r>
      <w:r>
        <w:rPr>
          <w:rFonts w:ascii="Times New Roman" w:hAnsi="Times New Roman" w:cs="Times New Roman" w:eastAsia="Times New Roman" w:hint="default"/>
        </w:rPr>
        <w:t>560%</w:t>
      </w:r>
      <w:r>
        <w:rPr/>
        <w:t>，主要是由于该类产品去年基数较小，本期业务量较去年同期增长较多。 公司重大的在手订单情况：</w:t>
      </w:r>
    </w:p>
    <w:p>
      <w:pPr>
        <w:pStyle w:val="BodyText"/>
        <w:spacing w:line="408" w:lineRule="auto"/>
        <w:ind w:left="153" w:right="7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数量分散的订单情况：</w:t>
      </w:r>
    </w:p>
    <w:p>
      <w:pPr>
        <w:pStyle w:val="BodyText"/>
        <w:spacing w:line="408" w:lineRule="auto"/>
        <w:ind w:left="153" w:right="45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公司报告期内产品或服务发生重大变化或调整有关情况：</w:t>
      </w:r>
    </w:p>
    <w:p>
      <w:pPr>
        <w:pStyle w:val="BodyText"/>
        <w:spacing w:line="284" w:lineRule="exact"/>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7" w:footer="980" w:top="1060" w:bottom="1180" w:left="980" w:right="920"/>
        </w:sectPr>
      </w:pPr>
    </w:p>
    <w:p>
      <w:pPr>
        <w:pStyle w:val="Heading4"/>
        <w:spacing w:line="240" w:lineRule="auto" w:before="35"/>
        <w:ind w:left="153" w:right="-18"/>
        <w:jc w:val="left"/>
        <w:rPr>
          <w:b w:val="0"/>
          <w:bCs w:val="0"/>
        </w:rPr>
      </w:pPr>
      <w:r>
        <w:rPr>
          <w:rFonts w:ascii="Times New Roman" w:hAnsi="Times New Roman" w:cs="Times New Roman" w:eastAsia="Times New Roman" w:hint="default"/>
        </w:rPr>
        <w:t>4</w:t>
      </w:r>
      <w:r>
        <w:rPr/>
        <w:t>）成本</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20"/>
          <w:cols w:num="2" w:equalWidth="0">
            <w:col w:w="894" w:space="8025"/>
            <w:col w:w="109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200,189,939.31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91.53%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140,415,248.35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93.27%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7" w:right="0"/>
              <w:jc w:val="left"/>
              <w:rPr>
                <w:rFonts w:ascii="Times New Roman" w:hAnsi="Times New Roman" w:cs="Times New Roman" w:eastAsia="Times New Roman" w:hint="default"/>
                <w:sz w:val="18"/>
                <w:szCs w:val="18"/>
              </w:rPr>
            </w:pPr>
            <w:r>
              <w:rPr>
                <w:rFonts w:ascii="Times New Roman"/>
                <w:sz w:val="18"/>
              </w:rPr>
              <w:t>-1.74%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20"/>
        </w:sect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7" w:footer="980" w:top="1060" w:bottom="1180" w:left="980" w:right="980"/>
        </w:sectPr>
      </w:pPr>
    </w:p>
    <w:p>
      <w:pPr>
        <w:pStyle w:val="Heading4"/>
        <w:spacing w:line="240" w:lineRule="auto" w:before="35"/>
        <w:ind w:right="-19"/>
        <w:jc w:val="left"/>
        <w:rPr>
          <w:b w:val="0"/>
          <w:bCs w:val="0"/>
        </w:rPr>
      </w:pPr>
      <w:r>
        <w:rPr>
          <w:rFonts w:ascii="Times New Roman" w:hAnsi="Times New Roman" w:cs="Times New Roman" w:eastAsia="Times New Roman" w:hint="default"/>
        </w:rPr>
        <w:t>5</w:t>
      </w:r>
      <w:r>
        <w:rPr/>
        <w:t>）费用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894" w:space="8025"/>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4"/>
        <w:gridCol w:w="1430"/>
        <w:gridCol w:w="1417"/>
        <w:gridCol w:w="1276"/>
        <w:gridCol w:w="4181"/>
      </w:tblGrid>
      <w:tr>
        <w:trPr>
          <w:trHeight w:val="402" w:hRule="exact"/>
        </w:trPr>
        <w:tc>
          <w:tcPr>
            <w:tcW w:w="12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264" w:type="dxa"/>
            <w:tcBorders>
              <w:top w:val="single" w:sz="4" w:space="0" w:color="000000"/>
              <w:left w:val="single" w:sz="4" w:space="0" w:color="000000"/>
              <w:bottom w:val="nil" w:sz="6" w:space="0" w:color="auto"/>
              <w:right w:val="single" w:sz="4" w:space="0" w:color="000000"/>
            </w:tcBorders>
            <w:shd w:val="clear" w:color="auto" w:fill="D4D4D4"/>
          </w:tcPr>
          <w:p>
            <w:pPr/>
          </w:p>
        </w:tc>
        <w:tc>
          <w:tcPr>
            <w:tcW w:w="1430"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83,884,737.84</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73,017,128.91</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14.88%</w:t>
            </w:r>
          </w:p>
        </w:tc>
        <w:tc>
          <w:tcPr>
            <w:tcW w:w="418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主要是由于人员人工费增加及本年新德汇公司合并 时间较去年长所致</w:t>
            </w:r>
          </w:p>
        </w:tc>
      </w:tr>
      <w:tr>
        <w:trPr>
          <w:trHeight w:val="392" w:hRule="exact"/>
        </w:trPr>
        <w:tc>
          <w:tcPr>
            <w:tcW w:w="126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30" w:type="dxa"/>
            <w:vMerge/>
            <w:tcBorders>
              <w:left w:val="single" w:sz="9" w:space="0" w:color="D4D4D4"/>
              <w:right w:val="single" w:sz="4" w:space="0" w:color="000000"/>
            </w:tcBorders>
          </w:tcPr>
          <w:p>
            <w:pPr/>
          </w:p>
        </w:tc>
        <w:tc>
          <w:tcPr>
            <w:tcW w:w="1417"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4181" w:type="dxa"/>
            <w:vMerge/>
            <w:tcBorders>
              <w:left w:val="single" w:sz="4" w:space="0" w:color="000000"/>
              <w:right w:val="single" w:sz="4" w:space="0" w:color="000000"/>
            </w:tcBorders>
          </w:tcPr>
          <w:p>
            <w:pPr/>
          </w:p>
        </w:tc>
      </w:tr>
      <w:tr>
        <w:trPr>
          <w:trHeight w:val="161" w:hRule="exact"/>
        </w:trPr>
        <w:tc>
          <w:tcPr>
            <w:tcW w:w="12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430" w:type="dxa"/>
            <w:vMerge/>
            <w:tcBorders>
              <w:left w:val="single" w:sz="9" w:space="0" w:color="D4D4D4"/>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4181" w:type="dxa"/>
            <w:vMerge/>
            <w:tcBorders>
              <w:left w:val="single" w:sz="4" w:space="0" w:color="000000"/>
              <w:bottom w:val="single" w:sz="4" w:space="0" w:color="000000"/>
              <w:right w:val="single" w:sz="4" w:space="0" w:color="000000"/>
            </w:tcBorders>
          </w:tcPr>
          <w:p>
            <w:pPr/>
          </w:p>
        </w:tc>
      </w:tr>
      <w:tr>
        <w:trPr>
          <w:trHeight w:val="161" w:hRule="exact"/>
        </w:trPr>
        <w:tc>
          <w:tcPr>
            <w:tcW w:w="1264" w:type="dxa"/>
            <w:tcBorders>
              <w:top w:val="single" w:sz="4" w:space="0" w:color="000000"/>
              <w:left w:val="single" w:sz="4" w:space="0" w:color="000000"/>
              <w:bottom w:val="nil" w:sz="6" w:space="0" w:color="auto"/>
              <w:right w:val="single" w:sz="4" w:space="0" w:color="000000"/>
            </w:tcBorders>
            <w:shd w:val="clear" w:color="auto" w:fill="D4D4D4"/>
          </w:tcPr>
          <w:p>
            <w:pPr/>
          </w:p>
        </w:tc>
        <w:tc>
          <w:tcPr>
            <w:tcW w:w="1430"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171,753,866.36</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117,448,882.90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46.24%</w:t>
            </w:r>
          </w:p>
        </w:tc>
        <w:tc>
          <w:tcPr>
            <w:tcW w:w="418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主要是由于固定资产折旧、资本化摊销费用较上年度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增加及本年合并新德汇公司合并时间较去年长所致</w:t>
            </w:r>
          </w:p>
        </w:tc>
      </w:tr>
      <w:tr>
        <w:trPr>
          <w:trHeight w:val="392" w:hRule="exact"/>
        </w:trPr>
        <w:tc>
          <w:tcPr>
            <w:tcW w:w="126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30" w:type="dxa"/>
            <w:vMerge/>
            <w:tcBorders>
              <w:left w:val="single" w:sz="9" w:space="0" w:color="D4D4D4"/>
              <w:right w:val="single" w:sz="4" w:space="0" w:color="000000"/>
            </w:tcBorders>
          </w:tcPr>
          <w:p>
            <w:pPr/>
          </w:p>
        </w:tc>
        <w:tc>
          <w:tcPr>
            <w:tcW w:w="1417"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4181" w:type="dxa"/>
            <w:vMerge/>
            <w:tcBorders>
              <w:left w:val="single" w:sz="4" w:space="0" w:color="000000"/>
              <w:right w:val="single" w:sz="4" w:space="0" w:color="000000"/>
            </w:tcBorders>
          </w:tcPr>
          <w:p>
            <w:pPr/>
          </w:p>
        </w:tc>
      </w:tr>
      <w:tr>
        <w:trPr>
          <w:trHeight w:val="161" w:hRule="exact"/>
        </w:trPr>
        <w:tc>
          <w:tcPr>
            <w:tcW w:w="12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430" w:type="dxa"/>
            <w:vMerge/>
            <w:tcBorders>
              <w:left w:val="single" w:sz="9" w:space="0" w:color="D4D4D4"/>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4181" w:type="dxa"/>
            <w:vMerge/>
            <w:tcBorders>
              <w:left w:val="single" w:sz="4" w:space="0" w:color="000000"/>
              <w:bottom w:val="single" w:sz="4" w:space="0" w:color="000000"/>
              <w:right w:val="single" w:sz="4" w:space="0" w:color="000000"/>
            </w:tcBorders>
          </w:tcPr>
          <w:p>
            <w:pPr/>
          </w:p>
        </w:tc>
      </w:tr>
      <w:tr>
        <w:trPr>
          <w:trHeight w:val="402" w:hRule="exact"/>
        </w:trPr>
        <w:tc>
          <w:tcPr>
            <w:tcW w:w="12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3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-7,328,182.25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-5,752,334.76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-27.39%</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主要是由于本年公司利息收入增加所致</w:t>
            </w:r>
          </w:p>
        </w:tc>
      </w:tr>
      <w:tr>
        <w:trPr>
          <w:trHeight w:val="402" w:hRule="exact"/>
        </w:trPr>
        <w:tc>
          <w:tcPr>
            <w:tcW w:w="12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43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14,065,351.40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9,234,094.58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52.32%</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主要是由于公司本年利润总额较上年度增加所致</w:t>
            </w:r>
          </w:p>
        </w:tc>
      </w:tr>
    </w:tbl>
    <w:p>
      <w:pPr>
        <w:spacing w:line="240" w:lineRule="auto" w:before="11"/>
        <w:rPr>
          <w:rFonts w:ascii="宋体" w:hAnsi="宋体" w:cs="宋体" w:eastAsia="宋体" w:hint="default"/>
          <w:sz w:val="7"/>
          <w:szCs w:val="7"/>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）研发投入</w:t>
      </w:r>
      <w:r>
        <w:rPr>
          <w:b w:val="0"/>
          <w:bCs w:val="0"/>
        </w:rPr>
      </w:r>
    </w:p>
    <w:p>
      <w:pPr>
        <w:pStyle w:val="BodyText"/>
        <w:spacing w:line="240" w:lineRule="auto" w:before="122"/>
        <w:ind w:left="573" w:right="0"/>
        <w:jc w:val="left"/>
      </w:pPr>
      <w:r>
        <w:rPr>
          <w:rFonts w:ascii="Times New Roman" w:hAnsi="Times New Roman" w:cs="Times New Roman" w:eastAsia="Times New Roman" w:hint="default"/>
        </w:rPr>
        <w:t>2014</w:t>
      </w:r>
      <w:r>
        <w:rPr/>
        <w:t>年度公司研发投入总额</w:t>
      </w:r>
      <w:r>
        <w:rPr>
          <w:rFonts w:ascii="Times New Roman" w:hAnsi="Times New Roman" w:cs="Times New Roman" w:eastAsia="Times New Roman" w:hint="default"/>
        </w:rPr>
        <w:t>8,783.70</w:t>
      </w:r>
      <w:r>
        <w:rPr/>
        <w:t>万元，其中：资本化支出金额</w:t>
      </w:r>
      <w:r>
        <w:rPr>
          <w:rFonts w:ascii="Times New Roman" w:hAnsi="Times New Roman" w:cs="Times New Roman" w:eastAsia="Times New Roman" w:hint="default"/>
        </w:rPr>
        <w:t>1,977.32</w:t>
      </w:r>
      <w:r>
        <w:rPr/>
        <w:t>万元，占研发投入总额</w:t>
      </w:r>
    </w:p>
    <w:p>
      <w:pPr>
        <w:pStyle w:val="BodyText"/>
        <w:spacing w:line="319" w:lineRule="auto" w:before="83"/>
        <w:ind w:left="153" w:right="0"/>
        <w:jc w:val="left"/>
      </w:pPr>
      <w:r>
        <w:rPr>
          <w:rFonts w:ascii="Times New Roman" w:hAnsi="Times New Roman" w:cs="Times New Roman" w:eastAsia="Times New Roman" w:hint="default"/>
          <w:spacing w:val="-2"/>
        </w:rPr>
        <w:t>22.51%</w:t>
      </w:r>
      <w:r>
        <w:rPr>
          <w:spacing w:val="-2"/>
        </w:rPr>
        <w:t>；研发投入总额较去年同期增长</w:t>
      </w:r>
      <w:r>
        <w:rPr>
          <w:rFonts w:ascii="Times New Roman" w:hAnsi="Times New Roman" w:cs="Times New Roman" w:eastAsia="Times New Roman" w:hint="default"/>
          <w:spacing w:val="-2"/>
        </w:rPr>
        <w:t>30.36%</w:t>
      </w:r>
      <w:r>
        <w:rPr>
          <w:spacing w:val="-2"/>
        </w:rPr>
        <w:t>，占营业收入</w:t>
      </w:r>
      <w:r>
        <w:rPr>
          <w:rFonts w:ascii="Times New Roman" w:hAnsi="Times New Roman" w:cs="Times New Roman" w:eastAsia="Times New Roman" w:hint="default"/>
          <w:spacing w:val="-2"/>
        </w:rPr>
        <w:t>14.56%</w:t>
      </w:r>
      <w:r>
        <w:rPr>
          <w:spacing w:val="-2"/>
        </w:rPr>
        <w:t>。研发支出较去年同期增长主要是由于</w:t>
      </w:r>
      <w:r>
        <w:rPr>
          <w:spacing w:val="-83"/>
        </w:rPr>
        <w:t> </w:t>
      </w:r>
      <w:r>
        <w:rPr>
          <w:spacing w:val="-83"/>
        </w:rPr>
      </w:r>
      <w:r>
        <w:rPr/>
        <w:t>公司为增强公司的市场竟争力，公司持续加大了研发投入及合并新德汇公司研发费用期间较去年增长所 致。</w:t>
      </w:r>
    </w:p>
    <w:p>
      <w:pPr>
        <w:pStyle w:val="BodyText"/>
        <w:spacing w:line="240" w:lineRule="auto" w:before="150"/>
        <w:ind w:left="153" w:right="0"/>
        <w:jc w:val="left"/>
      </w:pPr>
      <w:r>
        <w:rPr/>
        <w:t>近三年公司研发投入金额及占营业收入的比例：</w:t>
      </w:r>
    </w:p>
    <w:p>
      <w:pPr>
        <w:spacing w:line="240" w:lineRule="auto" w:before="5"/>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805"/>
        <w:gridCol w:w="1995"/>
        <w:gridCol w:w="1986"/>
        <w:gridCol w:w="1770"/>
      </w:tblGrid>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87,837,042.55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67,377,869.00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49,110,179.00</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19,773,197.75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29,725,462.99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15,472,603.03</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31.51%</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19.69%</w:t>
            </w:r>
          </w:p>
        </w:tc>
      </w:tr>
    </w:tbl>
    <w:p>
      <w:pPr>
        <w:spacing w:line="240" w:lineRule="auto" w:before="11"/>
        <w:rPr>
          <w:rFonts w:ascii="宋体" w:hAnsi="宋体" w:cs="宋体" w:eastAsia="宋体" w:hint="default"/>
          <w:sz w:val="7"/>
          <w:szCs w:val="7"/>
        </w:rPr>
      </w:pPr>
    </w:p>
    <w:p>
      <w:pPr>
        <w:pStyle w:val="BodyText"/>
        <w:spacing w:line="360" w:lineRule="auto" w:before="35"/>
        <w:ind w:left="731" w:right="165" w:hanging="578"/>
        <w:jc w:val="left"/>
      </w:pPr>
      <w:r>
        <w:rPr/>
        <w:t>研发投入资本化率大幅变动的原因及其合理性说明： 本年度公司研发费用资本化比例较上年度有所下降，主要是由于公司处于费用化阶段的新项目比重</w:t>
      </w:r>
    </w:p>
    <w:p>
      <w:pPr>
        <w:pStyle w:val="BodyText"/>
        <w:spacing w:line="328" w:lineRule="auto"/>
        <w:ind w:left="153" w:right="0"/>
        <w:jc w:val="left"/>
      </w:pPr>
      <w:r>
        <w:rPr>
          <w:spacing w:val="-1"/>
        </w:rPr>
        <w:t>较大，为谨慎核算研发投入对后期的影响，公司对相对不成熟的新项目及子公司的研发项目进行费用化核</w:t>
      </w:r>
      <w:r>
        <w:rPr>
          <w:spacing w:val="-81"/>
        </w:rPr>
        <w:t> </w:t>
      </w:r>
      <w:r>
        <w:rPr>
          <w:spacing w:val="-81"/>
        </w:rPr>
      </w:r>
      <w:r>
        <w:rPr/>
        <w:t>算。</w:t>
      </w:r>
    </w:p>
    <w:p>
      <w:pPr>
        <w:pStyle w:val="BodyText"/>
        <w:spacing w:line="240" w:lineRule="auto" w:before="62"/>
        <w:ind w:left="573" w:right="0"/>
        <w:jc w:val="left"/>
      </w:pPr>
      <w:r>
        <w:rPr/>
        <w:t>报告期内，公司开展的重要研发项目情况如下：</w:t>
      </w:r>
    </w:p>
    <w:p>
      <w:pPr>
        <w:spacing w:line="240" w:lineRule="auto" w:before="4"/>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572"/>
        <w:gridCol w:w="2130"/>
        <w:gridCol w:w="4586"/>
        <w:gridCol w:w="916"/>
        <w:gridCol w:w="1453"/>
      </w:tblGrid>
      <w:tr>
        <w:trPr>
          <w:trHeight w:val="470"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96"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功能简介</w:t>
            </w:r>
            <w:r>
              <w:rPr>
                <w:rFonts w:ascii="宋体" w:hAnsi="宋体" w:cs="宋体" w:eastAsia="宋体" w:hint="default"/>
                <w:sz w:val="18"/>
                <w:szCs w:val="18"/>
              </w:rPr>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9"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7" w:right="0"/>
              <w:jc w:val="left"/>
              <w:rPr>
                <w:rFonts w:ascii="宋体" w:hAnsi="宋体" w:cs="宋体" w:eastAsia="宋体" w:hint="default"/>
                <w:sz w:val="18"/>
                <w:szCs w:val="18"/>
              </w:rPr>
            </w:pPr>
            <w:r>
              <w:rPr>
                <w:rFonts w:ascii="宋体" w:hAnsi="宋体" w:cs="宋体" w:eastAsia="宋体" w:hint="default"/>
                <w:b/>
                <w:bCs/>
                <w:sz w:val="18"/>
                <w:szCs w:val="18"/>
              </w:rPr>
              <w:t>当前进展</w:t>
            </w:r>
            <w:r>
              <w:rPr>
                <w:rFonts w:ascii="宋体" w:hAnsi="宋体" w:cs="宋体" w:eastAsia="宋体" w:hint="default"/>
                <w:sz w:val="18"/>
                <w:szCs w:val="18"/>
              </w:rPr>
            </w:r>
          </w:p>
        </w:tc>
      </w:tr>
      <w:tr>
        <w:trPr>
          <w:trHeight w:val="73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分布式存储系统</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pacing w:val="2"/>
                <w:sz w:val="18"/>
                <w:szCs w:val="18"/>
              </w:rPr>
              <w:t>用于大数据处理的分布式存储系统，可提高处理速度，满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足多路镜像数据的写入。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正在研发中</w:t>
            </w:r>
          </w:p>
        </w:tc>
      </w:tr>
      <w:tr>
        <w:trPr>
          <w:trHeight w:val="73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等级保护检查工具箱</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用于单位信息系统安全检查、管理检查、技术检查的保密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检查工具箱。</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正在研发中</w:t>
            </w:r>
          </w:p>
        </w:tc>
      </w:tr>
      <w:tr>
        <w:trPr>
          <w:trHeight w:val="73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工商现场执法检查箱</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一款根据工商业务的需求，结合公司成熟的现场取证设备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而量身定制的一体化综合产品。</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正在研发中</w:t>
            </w:r>
          </w:p>
        </w:tc>
      </w:tr>
      <w:tr>
        <w:trPr>
          <w:trHeight w:val="42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流动执法车系统</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用于自动对车辆违章情况进行执法取证。</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正在研发中</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572"/>
        <w:gridCol w:w="2130"/>
        <w:gridCol w:w="4586"/>
        <w:gridCol w:w="916"/>
        <w:gridCol w:w="1453"/>
      </w:tblGrid>
      <w:tr>
        <w:trPr>
          <w:trHeight w:val="42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智能手机仿真系统</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用于对智能手机进行仿真取证的系统。</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正在研发中</w:t>
            </w:r>
          </w:p>
        </w:tc>
      </w:tr>
      <w:tr>
        <w:trPr>
          <w:trHeight w:val="73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电子数据采集分析系统</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对来自各类存储介质的电子数据进行采集分析的综合取证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产品。</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正在研发中</w:t>
            </w:r>
          </w:p>
        </w:tc>
      </w:tr>
      <w:tr>
        <w:trPr>
          <w:trHeight w:val="73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电子物证现场重现系统</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一款适用于刑事技术现场勘查的电子物证专用系统。</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已完成研发，并进 入市场销售</w:t>
            </w:r>
          </w:p>
        </w:tc>
      </w:tr>
      <w:tr>
        <w:trPr>
          <w:trHeight w:val="73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光谱分析系统</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对物体进行光谱分析进行文档及痕迹检验、微量物证分析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的系统。</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已完成研发，并进 入市场销售</w:t>
            </w:r>
          </w:p>
        </w:tc>
      </w:tr>
      <w:tr>
        <w:trPr>
          <w:trHeight w:val="73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互联网信息巡查平台</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一款提供信息发现、研判、报送、考核一体化的网络信息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巡查系统。</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已完成研发，并进 入市场销售</w:t>
            </w:r>
          </w:p>
        </w:tc>
      </w:tr>
      <w:tr>
        <w:trPr>
          <w:trHeight w:val="73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手机取证塔</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一款适用于实验室支持六路并行取证的手机综合取证分析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工作站。</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已完成研发，并进 入市场销售</w:t>
            </w:r>
          </w:p>
        </w:tc>
      </w:tr>
      <w:tr>
        <w:trPr>
          <w:trHeight w:val="73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远程电子数据恢复系统</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用于对远程终端的电子数据进行恢复的系统。</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已完成研发，并进 入市场销售</w:t>
            </w:r>
          </w:p>
        </w:tc>
      </w:tr>
      <w:tr>
        <w:trPr>
          <w:trHeight w:val="73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光像传输系统</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用于内外网物理隔离情况下，从内网单向传输到外网的安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全传输系统。</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已研发完成，并进 入市场销售</w:t>
            </w:r>
          </w:p>
        </w:tc>
      </w:tr>
      <w:tr>
        <w:trPr>
          <w:trHeight w:val="73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视频取证系统</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pacing w:val="2"/>
                <w:sz w:val="18"/>
                <w:szCs w:val="18"/>
              </w:rPr>
              <w:t>用于视频取证，具备视频采集、视频分析、协同分析等功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能。</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6"/>
              <w:jc w:val="left"/>
              <w:rPr>
                <w:rFonts w:ascii="宋体" w:hAnsi="宋体" w:cs="宋体" w:eastAsia="宋体" w:hint="default"/>
                <w:sz w:val="18"/>
                <w:szCs w:val="18"/>
              </w:rPr>
            </w:pPr>
            <w:r>
              <w:rPr>
                <w:rFonts w:ascii="宋体" w:hAnsi="宋体" w:cs="宋体" w:eastAsia="宋体" w:hint="default"/>
                <w:spacing w:val="24"/>
                <w:sz w:val="18"/>
                <w:szCs w:val="18"/>
              </w:rPr>
              <w:t>阶段性成果进入</w:t>
            </w:r>
            <w:r>
              <w:rPr>
                <w:rFonts w:ascii="宋体" w:hAnsi="宋体" w:cs="宋体" w:eastAsia="宋体" w:hint="default"/>
                <w:spacing w:val="-62"/>
                <w:sz w:val="18"/>
                <w:szCs w:val="18"/>
              </w:rPr>
              <w:t> </w:t>
            </w:r>
            <w:r>
              <w:rPr>
                <w:rFonts w:ascii="宋体" w:hAnsi="宋体" w:cs="宋体" w:eastAsia="宋体" w:hint="default"/>
                <w:sz w:val="18"/>
                <w:szCs w:val="18"/>
              </w:rPr>
              <w:t>市场推广</w:t>
            </w:r>
          </w:p>
        </w:tc>
      </w:tr>
      <w:tr>
        <w:trPr>
          <w:trHeight w:val="73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警用无人机</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91"/>
              <w:jc w:val="left"/>
              <w:rPr>
                <w:rFonts w:ascii="宋体" w:hAnsi="宋体" w:cs="宋体" w:eastAsia="宋体" w:hint="default"/>
                <w:sz w:val="18"/>
                <w:szCs w:val="18"/>
              </w:rPr>
            </w:pPr>
            <w:r>
              <w:rPr>
                <w:rFonts w:ascii="宋体" w:hAnsi="宋体" w:cs="宋体" w:eastAsia="宋体" w:hint="default"/>
                <w:spacing w:val="-2"/>
                <w:sz w:val="18"/>
                <w:szCs w:val="18"/>
              </w:rPr>
              <w:t>用于现场勘查、抢险救灾、道路巡视等领域进行实时拍摄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图像传输的小型无人飞行器。</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阶段性成果</w:t>
            </w:r>
          </w:p>
        </w:tc>
      </w:tr>
      <w:tr>
        <w:trPr>
          <w:trHeight w:val="73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保密检查大师</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按照国家对计算机保密检查的技术要求而开发的一款保密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检查软件。</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新项目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6"/>
              <w:jc w:val="left"/>
              <w:rPr>
                <w:rFonts w:ascii="宋体" w:hAnsi="宋体" w:cs="宋体" w:eastAsia="宋体" w:hint="default"/>
                <w:sz w:val="18"/>
                <w:szCs w:val="18"/>
              </w:rPr>
            </w:pPr>
            <w:r>
              <w:rPr>
                <w:rFonts w:ascii="宋体" w:hAnsi="宋体" w:cs="宋体" w:eastAsia="宋体" w:hint="default"/>
                <w:spacing w:val="24"/>
                <w:sz w:val="18"/>
                <w:szCs w:val="18"/>
              </w:rPr>
              <w:t>阶段性成果进入</w:t>
            </w:r>
            <w:r>
              <w:rPr>
                <w:rFonts w:ascii="宋体" w:hAnsi="宋体" w:cs="宋体" w:eastAsia="宋体" w:hint="default"/>
                <w:spacing w:val="-62"/>
                <w:sz w:val="18"/>
                <w:szCs w:val="18"/>
              </w:rPr>
              <w:t> </w:t>
            </w:r>
            <w:r>
              <w:rPr>
                <w:rFonts w:ascii="宋体" w:hAnsi="宋体" w:cs="宋体" w:eastAsia="宋体" w:hint="default"/>
                <w:sz w:val="18"/>
                <w:szCs w:val="18"/>
              </w:rPr>
              <w:t>市场推广</w:t>
            </w:r>
          </w:p>
        </w:tc>
      </w:tr>
      <w:tr>
        <w:trPr>
          <w:trHeight w:val="73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网擎舆情监测系统</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基于搜索云资源，为新闻行业研发的专用舆情监测分析系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统。</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升级研发</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已完成研发，并进 入市场销售</w:t>
            </w:r>
          </w:p>
        </w:tc>
      </w:tr>
      <w:tr>
        <w:trPr>
          <w:trHeight w:val="73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手机数据采集系统</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2"/>
                <w:sz w:val="18"/>
                <w:szCs w:val="18"/>
              </w:rPr>
              <w:t>用于基层单位进行手机数据采集，并将数据上传到后端的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系统。</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升级研发</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已完成研发，并进 入市场销售</w:t>
            </w:r>
          </w:p>
        </w:tc>
      </w:tr>
      <w:tr>
        <w:trPr>
          <w:trHeight w:val="73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取证大师</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推出取证大师网络版及触屏版。</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升级研发</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6"/>
              <w:jc w:val="left"/>
              <w:rPr>
                <w:rFonts w:ascii="宋体" w:hAnsi="宋体" w:cs="宋体" w:eastAsia="宋体" w:hint="default"/>
                <w:sz w:val="18"/>
                <w:szCs w:val="18"/>
              </w:rPr>
            </w:pPr>
            <w:r>
              <w:rPr>
                <w:rFonts w:ascii="宋体" w:hAnsi="宋体" w:cs="宋体" w:eastAsia="宋体" w:hint="default"/>
                <w:spacing w:val="24"/>
                <w:sz w:val="18"/>
                <w:szCs w:val="18"/>
              </w:rPr>
              <w:t>阶段性成果进入</w:t>
            </w:r>
            <w:r>
              <w:rPr>
                <w:rFonts w:ascii="宋体" w:hAnsi="宋体" w:cs="宋体" w:eastAsia="宋体" w:hint="default"/>
                <w:spacing w:val="-62"/>
                <w:sz w:val="18"/>
                <w:szCs w:val="18"/>
              </w:rPr>
              <w:t> </w:t>
            </w:r>
            <w:r>
              <w:rPr>
                <w:rFonts w:ascii="宋体" w:hAnsi="宋体" w:cs="宋体" w:eastAsia="宋体" w:hint="default"/>
                <w:sz w:val="18"/>
                <w:szCs w:val="18"/>
              </w:rPr>
              <w:t>市场推广</w:t>
            </w:r>
          </w:p>
        </w:tc>
      </w:tr>
      <w:tr>
        <w:trPr>
          <w:trHeight w:val="73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可视化数据智能分析系统</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pacing w:val="2"/>
                <w:sz w:val="18"/>
                <w:szCs w:val="18"/>
              </w:rPr>
              <w:t>综合各种数据进行可视化分析的系统，适用于各类案件的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取证分析。</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升级研发</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正在研发中</w:t>
            </w:r>
          </w:p>
        </w:tc>
      </w:tr>
      <w:tr>
        <w:trPr>
          <w:trHeight w:val="740"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工商执法工作云系统</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针对工商执法工作中发现难和取证难问题，建设集线索发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现、分析研判、取证为一体的执法工作云平台 。</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升级研发</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正在研发中</w:t>
            </w:r>
          </w:p>
        </w:tc>
      </w:tr>
    </w:tbl>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747" w:footer="980" w:top="1060" w:bottom="1180" w:left="980" w:right="980"/>
        </w:sectPr>
      </w:pPr>
    </w:p>
    <w:p>
      <w:pPr>
        <w:pStyle w:val="Heading4"/>
        <w:spacing w:line="240" w:lineRule="auto" w:before="35"/>
        <w:ind w:right="-18"/>
        <w:jc w:val="left"/>
        <w:rPr>
          <w:b w:val="0"/>
          <w:bCs w:val="0"/>
        </w:rPr>
      </w:pPr>
      <w:r>
        <w:rPr>
          <w:rFonts w:ascii="Times New Roman" w:hAnsi="Times New Roman" w:cs="Times New Roman" w:eastAsia="Times New Roman" w:hint="default"/>
        </w:rPr>
        <w:t>7</w:t>
      </w:r>
      <w:r>
        <w:rPr/>
        <w:t>）现金流</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105" w:space="7813"/>
            <w:col w:w="1032"/>
          </w:cols>
        </w:sectPr>
      </w:pPr>
    </w:p>
    <w:p>
      <w:pPr>
        <w:spacing w:line="240" w:lineRule="auto" w:before="13"/>
        <w:rPr>
          <w:rFonts w:ascii="宋体" w:hAnsi="宋体" w:cs="宋体" w:eastAsia="宋体" w:hint="default"/>
          <w:sz w:val="7"/>
          <w:szCs w:val="7"/>
        </w:rPr>
      </w:pPr>
      <w:r>
        <w:rPr/>
        <w:pict>
          <v:shape style="position:absolute;margin-left:415.614014pt;margin-top:395.525604pt;width:50.35pt;height:22.1pt;mso-position-horizontal-relative:page;mso-position-vertical-relative:page;z-index:-94544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20.75pt;margin-top:389.639984pt;width:45.6pt;height:28pt;mso-position-horizontal-relative:page;mso-position-vertical-relative:page;z-index:-945424" coordorigin="8415,7793" coordsize="912,560">
            <v:group style="position:absolute;left:8420;top:7794;width:902;height:166" coordorigin="8420,7794" coordsize="902,166">
              <v:shape style="position:absolute;left:8420;top:7794;width:902;height:166" coordorigin="8420,7794" coordsize="902,166" path="m8420,7960l9322,7960,9322,7794,8420,7794,8420,7960xe" filled="true" fillcolor="#ffffff" stroked="false">
                <v:path arrowok="t"/>
                <v:fill type="solid"/>
              </v:shape>
            </v:group>
            <v:group style="position:absolute;left:8423;top:7960;width:897;height:393" coordorigin="8423,7960" coordsize="897,393">
              <v:shape style="position:absolute;left:8423;top:7960;width:897;height:393" coordorigin="8423,7960" coordsize="897,393" path="m8423,8352l9319,8352,9319,7960,8423,7960,8423,8352xe" filled="true" fillcolor="#ffffff" stroked="false">
                <v:path arrowok="t"/>
                <v:fill type="solid"/>
              </v:shape>
            </v:group>
            <v:group style="position:absolute;left:8420;top:7798;width:902;height:2" coordorigin="8420,7798" coordsize="902,2">
              <v:shape style="position:absolute;left:8420;top:7798;width:902;height:2" coordorigin="8420,7798" coordsize="902,0" path="m8420,7798l9322,7798e" filled="false" stroked="true" strokeweight=".54pt" strokecolor="#ffffff">
                <v:path arrowok="t"/>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805"/>
        <w:gridCol w:w="1995"/>
        <w:gridCol w:w="1986"/>
        <w:gridCol w:w="1770"/>
      </w:tblGrid>
      <w:tr>
        <w:trPr>
          <w:trHeight w:val="403" w:hRule="exact"/>
        </w:trPr>
        <w:tc>
          <w:tcPr>
            <w:tcW w:w="3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786,660,633.42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513,258,195.16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53.27%</w:t>
            </w:r>
          </w:p>
        </w:tc>
      </w:tr>
      <w:tr>
        <w:trPr>
          <w:trHeight w:val="403" w:hRule="exact"/>
        </w:trPr>
        <w:tc>
          <w:tcPr>
            <w:tcW w:w="38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612,999,476.01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464,266,174.95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17"/>
        <w:gridCol w:w="1995"/>
        <w:gridCol w:w="1986"/>
        <w:gridCol w:w="1770"/>
      </w:tblGrid>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173,661,157.41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48,992,020.21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254.47%</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178,078,262.02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329,683,788.95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-45.99%</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311,717,720.39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345,332,306.11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-133,639,458.37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-15,648,517.16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-754.01%</w:t>
            </w:r>
            <w:r>
              <w:rPr>
                <w:rFonts w:ascii="Times New Roman"/>
                <w:sz w:val="18"/>
              </w:rPr>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1,206,968.00</w:t>
            </w:r>
          </w:p>
        </w:tc>
        <w:tc>
          <w:tcPr>
            <w:tcW w:w="1986"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7,315,476.00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16,635,990.00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-56.03%</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-6,108,508.00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-16,635,990.00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63.28%</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33,883,805.82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16,804,789.05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101.63%</w:t>
            </w:r>
          </w:p>
        </w:tc>
      </w:tr>
    </w:tbl>
    <w:p>
      <w:pPr>
        <w:spacing w:line="240" w:lineRule="auto" w:before="11"/>
        <w:rPr>
          <w:rFonts w:ascii="宋体" w:hAnsi="宋体" w:cs="宋体" w:eastAsia="宋体" w:hint="default"/>
          <w:sz w:val="7"/>
          <w:szCs w:val="7"/>
        </w:rPr>
      </w:pPr>
    </w:p>
    <w:p>
      <w:pPr>
        <w:pStyle w:val="BodyText"/>
        <w:spacing w:line="340" w:lineRule="auto" w:before="35"/>
        <w:ind w:left="573" w:right="200" w:hanging="420"/>
        <w:jc w:val="left"/>
      </w:pPr>
      <w:r>
        <w:rPr/>
        <w:t>相关数据同比发生变动</w:t>
      </w:r>
      <w:r>
        <w:rPr>
          <w:spacing w:val="-53"/>
        </w:rPr>
        <w:t> </w:t>
      </w:r>
      <w:r>
        <w:rPr>
          <w:rFonts w:ascii="Times New Roman" w:hAnsi="Times New Roman" w:cs="Times New Roman" w:eastAsia="Times New Roman" w:hint="default"/>
        </w:rPr>
        <w:t>30%</w:t>
      </w:r>
      <w:r>
        <w:rPr/>
        <w:t>以上的原因说明： </w:t>
      </w:r>
      <w:r>
        <w:rPr>
          <w:rFonts w:ascii="Times New Roman" w:hAnsi="Times New Roman" w:cs="Times New Roman" w:eastAsia="Times New Roman" w:hint="default"/>
        </w:rPr>
        <w:t>1</w:t>
      </w:r>
      <w:r>
        <w:rPr/>
        <w:t>、经营活动现金流入较去年同期增长</w:t>
      </w:r>
      <w:r>
        <w:rPr>
          <w:rFonts w:ascii="Times New Roman" w:hAnsi="Times New Roman" w:cs="Times New Roman" w:eastAsia="Times New Roman" w:hint="default"/>
        </w:rPr>
        <w:t>53.27%</w:t>
      </w:r>
      <w:r>
        <w:rPr/>
        <w:t>，主要是由于报告期内公司销售商品、提供劳务收到的</w:t>
      </w:r>
    </w:p>
    <w:p>
      <w:pPr>
        <w:pStyle w:val="BodyText"/>
        <w:spacing w:line="277" w:lineRule="exact"/>
        <w:ind w:left="153" w:right="0"/>
        <w:jc w:val="left"/>
      </w:pPr>
      <w:r>
        <w:rPr/>
        <w:t>现金较去年同期有所增加所致；经营活动现金流出较去年同期增长</w:t>
      </w:r>
      <w:r>
        <w:rPr>
          <w:rFonts w:ascii="Times New Roman" w:hAnsi="Times New Roman" w:cs="Times New Roman" w:eastAsia="Times New Roman" w:hint="default"/>
        </w:rPr>
        <w:t>32.04%</w:t>
      </w:r>
      <w:r>
        <w:rPr/>
        <w:t>，主要是由于报告期公司经营规</w:t>
      </w:r>
    </w:p>
    <w:p>
      <w:pPr>
        <w:pStyle w:val="BodyText"/>
        <w:spacing w:line="309" w:lineRule="auto" w:before="83"/>
        <w:ind w:left="153" w:right="200"/>
        <w:jc w:val="left"/>
      </w:pPr>
      <w:r>
        <w:rPr/>
        <w:t>模扩大采购量较去年同期增加所致。经营活动产生的现金流量净额较去年同期增长</w:t>
      </w:r>
      <w:r>
        <w:rPr>
          <w:rFonts w:ascii="Times New Roman" w:hAnsi="Times New Roman" w:cs="Times New Roman" w:eastAsia="Times New Roman" w:hint="default"/>
        </w:rPr>
        <w:t>254.47%</w:t>
      </w:r>
      <w:r>
        <w:rPr/>
        <w:t>，主要是由于 报告期内公司销售商品、提供劳务收到的现金较去年同期有所增加所致。</w:t>
      </w:r>
    </w:p>
    <w:p>
      <w:pPr>
        <w:pStyle w:val="BodyText"/>
        <w:spacing w:line="309" w:lineRule="auto" w:before="77"/>
        <w:ind w:left="153" w:right="217" w:firstLine="420"/>
        <w:jc w:val="both"/>
      </w:pPr>
      <w:r>
        <w:rPr>
          <w:rFonts w:ascii="Times New Roman" w:hAnsi="Times New Roman" w:cs="Times New Roman" w:eastAsia="Times New Roman" w:hint="default"/>
        </w:rPr>
        <w:t>2</w:t>
      </w:r>
      <w:r>
        <w:rPr/>
        <w:t>、投资活动现金流入较去年同期下降</w:t>
      </w:r>
      <w:r>
        <w:rPr>
          <w:rFonts w:ascii="Times New Roman" w:hAnsi="Times New Roman" w:cs="Times New Roman" w:eastAsia="Times New Roman" w:hint="default"/>
        </w:rPr>
        <w:t>45.99%</w:t>
      </w:r>
      <w:r>
        <w:rPr/>
        <w:t>，主要为累计收回到期定期存款较去年同期减少所致。 投资活动现金流出较去年同期下降</w:t>
      </w:r>
      <w:r>
        <w:rPr>
          <w:rFonts w:ascii="Times New Roman" w:hAnsi="Times New Roman" w:cs="Times New Roman" w:eastAsia="Times New Roman" w:hint="default"/>
        </w:rPr>
        <w:t>9.73%</w:t>
      </w:r>
      <w:r>
        <w:rPr/>
        <w:t>，主要为本年公司定期存款累计支出金额去年同期减少及</w:t>
      </w:r>
      <w:r>
        <w:rPr>
          <w:rFonts w:ascii="Times New Roman" w:hAnsi="Times New Roman" w:cs="Times New Roman" w:eastAsia="Times New Roman" w:hint="default"/>
        </w:rPr>
        <w:t>2013</w:t>
      </w:r>
      <w:r>
        <w:rPr/>
        <w:t>年 度支付新德汇股权转让款所致。投资活动产生的现金流量净额较去年同期减少</w:t>
      </w:r>
      <w:r>
        <w:rPr>
          <w:rFonts w:ascii="Times New Roman" w:hAnsi="Times New Roman" w:cs="Times New Roman" w:eastAsia="Times New Roman" w:hint="default"/>
        </w:rPr>
        <w:t>754.01%</w:t>
      </w:r>
      <w:r>
        <w:rPr/>
        <w:t>，主要是由于报告 期累计收回到期定期存款较去年同期减少所致。</w:t>
      </w:r>
    </w:p>
    <w:p>
      <w:pPr>
        <w:pStyle w:val="BodyText"/>
        <w:spacing w:line="309" w:lineRule="auto" w:before="77"/>
        <w:ind w:left="153" w:right="153" w:firstLine="420"/>
        <w:jc w:val="both"/>
      </w:pPr>
      <w:r>
        <w:rPr>
          <w:rFonts w:ascii="Times New Roman" w:hAnsi="Times New Roman" w:cs="Times New Roman" w:eastAsia="Times New Roman" w:hint="default"/>
          <w:spacing w:val="-2"/>
        </w:rPr>
        <w:t>3</w:t>
      </w:r>
      <w:r>
        <w:rPr>
          <w:spacing w:val="-2"/>
        </w:rPr>
        <w:t>、筹资活动现金流入较去年同期增加</w:t>
      </w:r>
      <w:r>
        <w:rPr>
          <w:rFonts w:ascii="Times New Roman" w:hAnsi="Times New Roman" w:cs="Times New Roman" w:eastAsia="Times New Roman" w:hint="default"/>
          <w:spacing w:val="-2"/>
        </w:rPr>
        <w:t>120.70</w:t>
      </w:r>
      <w:r>
        <w:rPr>
          <w:spacing w:val="-2"/>
        </w:rPr>
        <w:t>万元，主要是由于子公司香港鼎永吸收少数股东权益性投</w:t>
      </w:r>
      <w:r>
        <w:rPr/>
        <w:t> 资收到的现金所致。</w:t>
      </w:r>
    </w:p>
    <w:p>
      <w:pPr>
        <w:pStyle w:val="BodyText"/>
        <w:spacing w:line="309" w:lineRule="auto" w:before="78"/>
        <w:ind w:left="153" w:right="219" w:firstLine="420"/>
        <w:jc w:val="both"/>
      </w:pPr>
      <w:r>
        <w:rPr>
          <w:rFonts w:ascii="Times New Roman" w:hAnsi="Times New Roman" w:cs="Times New Roman" w:eastAsia="Times New Roman" w:hint="default"/>
        </w:rPr>
        <w:t>4</w:t>
      </w:r>
      <w:r>
        <w:rPr/>
        <w:t>、筹资活动现金流出较去年同期下降</w:t>
      </w:r>
      <w:r>
        <w:rPr>
          <w:rFonts w:ascii="Times New Roman" w:hAnsi="Times New Roman" w:cs="Times New Roman" w:eastAsia="Times New Roman" w:hint="default"/>
        </w:rPr>
        <w:t>56.03%</w:t>
      </w:r>
      <w:r>
        <w:rPr/>
        <w:t>，主要是由于公司利润分配金额</w:t>
      </w:r>
      <w:r>
        <w:rPr>
          <w:rFonts w:ascii="Times New Roman" w:hAnsi="Times New Roman" w:cs="Times New Roman" w:eastAsia="Times New Roman" w:hint="default"/>
        </w:rPr>
        <w:t>2013</w:t>
      </w:r>
      <w:r>
        <w:rPr/>
        <w:t>年度较</w:t>
      </w:r>
      <w:r>
        <w:rPr>
          <w:rFonts w:ascii="Times New Roman" w:hAnsi="Times New Roman" w:cs="Times New Roman" w:eastAsia="Times New Roman" w:hint="default"/>
        </w:rPr>
        <w:t>2012</w:t>
      </w:r>
      <w:r>
        <w:rPr/>
        <w:t>年度减 少所致。</w:t>
      </w:r>
    </w:p>
    <w:p>
      <w:pPr>
        <w:pStyle w:val="BodyText"/>
        <w:spacing w:line="309" w:lineRule="auto" w:before="77"/>
        <w:ind w:left="153" w:right="153" w:firstLine="420"/>
        <w:jc w:val="both"/>
      </w:pPr>
      <w:r>
        <w:rPr>
          <w:rFonts w:ascii="Times New Roman" w:hAnsi="Times New Roman" w:cs="Times New Roman" w:eastAsia="Times New Roman" w:hint="default"/>
          <w:spacing w:val="-2"/>
        </w:rPr>
        <w:t>5</w:t>
      </w:r>
      <w:r>
        <w:rPr>
          <w:spacing w:val="-2"/>
        </w:rPr>
        <w:t>、现金及现金等价物净增加额较去年同期增加</w:t>
      </w:r>
      <w:r>
        <w:rPr>
          <w:rFonts w:ascii="Times New Roman" w:hAnsi="Times New Roman" w:cs="Times New Roman" w:eastAsia="Times New Roman" w:hint="default"/>
          <w:spacing w:val="-2"/>
        </w:rPr>
        <w:t>101.63%</w:t>
      </w:r>
      <w:r>
        <w:rPr>
          <w:spacing w:val="-2"/>
        </w:rPr>
        <w:t>，主要是由于本年度公司收到销售款较去年同</w:t>
      </w:r>
      <w:r>
        <w:rPr/>
        <w:t> 期增所致。</w:t>
      </w:r>
    </w:p>
    <w:p>
      <w:pPr>
        <w:pStyle w:val="BodyText"/>
        <w:spacing w:line="240" w:lineRule="auto" w:before="157"/>
        <w:ind w:left="153" w:right="0"/>
        <w:jc w:val="left"/>
      </w:pPr>
      <w:r>
        <w:rPr/>
        <w:t>报告期内公司经营活动的现金流量与本年度净利润存在重大差异的原因说明：</w:t>
      </w:r>
    </w:p>
    <w:p>
      <w:pPr>
        <w:spacing w:line="396" w:lineRule="auto" w:before="109"/>
        <w:ind w:left="153" w:right="69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不适用 </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）公司主要供应商、客户情况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公司主要销售客户情况：</w:t>
      </w: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18"/>
                <w:szCs w:val="18"/>
              </w:rPr>
            </w:pPr>
            <w:r>
              <w:rPr>
                <w:rFonts w:ascii="Times New Roman"/>
                <w:spacing w:val="-1"/>
                <w:sz w:val="18"/>
              </w:rPr>
              <w:t>117,698,969.32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18"/>
                <w:szCs w:val="18"/>
              </w:rPr>
            </w:pPr>
            <w:r>
              <w:rPr>
                <w:rFonts w:ascii="Times New Roman"/>
                <w:sz w:val="18"/>
              </w:rPr>
              <w:t>19.52%</w:t>
            </w:r>
          </w:p>
        </w:tc>
      </w:tr>
    </w:tbl>
    <w:p>
      <w:pPr>
        <w:spacing w:line="240" w:lineRule="auto" w:before="10"/>
        <w:rPr>
          <w:rFonts w:ascii="宋体" w:hAnsi="宋体" w:cs="宋体" w:eastAsia="宋体" w:hint="default"/>
          <w:sz w:val="6"/>
          <w:szCs w:val="6"/>
        </w:rPr>
      </w:pPr>
    </w:p>
    <w:p>
      <w:pPr>
        <w:pStyle w:val="BodyText"/>
        <w:spacing w:line="240" w:lineRule="auto" w:before="35"/>
        <w:ind w:right="0"/>
        <w:jc w:val="left"/>
      </w:pPr>
      <w:r>
        <w:rPr/>
        <w:t>向单一客户销售比例超过</w:t>
      </w:r>
      <w:r>
        <w:rPr>
          <w:spacing w:val="-57"/>
        </w:rPr>
        <w:t> </w:t>
      </w:r>
      <w:r>
        <w:rPr>
          <w:rFonts w:ascii="Times New Roman" w:hAnsi="Times New Roman" w:cs="Times New Roman" w:eastAsia="Times New Roman" w:hint="default"/>
        </w:rPr>
        <w:t>30%</w:t>
      </w:r>
      <w:r>
        <w:rPr/>
        <w:t>的客户资料：</w:t>
      </w:r>
    </w:p>
    <w:p>
      <w:pPr>
        <w:pStyle w:val="BodyText"/>
        <w:spacing w:line="381" w:lineRule="auto" w:before="92"/>
        <w:ind w:left="153" w:right="7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81,303,439.87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29.01%</w:t>
            </w:r>
          </w:p>
        </w:tc>
      </w:tr>
    </w:tbl>
    <w:p>
      <w:pPr>
        <w:spacing w:line="240" w:lineRule="auto" w:before="11"/>
        <w:rPr>
          <w:rFonts w:ascii="宋体" w:hAnsi="宋体" w:cs="宋体" w:eastAsia="宋体" w:hint="default"/>
          <w:sz w:val="7"/>
          <w:szCs w:val="7"/>
        </w:rPr>
      </w:pPr>
    </w:p>
    <w:p>
      <w:pPr>
        <w:pStyle w:val="BodyText"/>
        <w:spacing w:line="240" w:lineRule="auto" w:before="35"/>
        <w:ind w:right="0"/>
        <w:jc w:val="left"/>
      </w:pPr>
      <w:r>
        <w:rPr/>
        <w:t>向单一供应商采购比例超过</w:t>
      </w:r>
      <w:r>
        <w:rPr>
          <w:spacing w:val="-56"/>
        </w:rPr>
        <w:t> </w:t>
      </w:r>
      <w:r>
        <w:rPr>
          <w:rFonts w:ascii="Times New Roman" w:hAnsi="Times New Roman" w:cs="Times New Roman" w:eastAsia="Times New Roman" w:hint="default"/>
        </w:rPr>
        <w:t>30%</w:t>
      </w:r>
      <w:r>
        <w:rPr/>
        <w:t>的客户资料：</w:t>
      </w:r>
    </w:p>
    <w:p>
      <w:pPr>
        <w:pStyle w:val="BodyText"/>
        <w:spacing w:line="240" w:lineRule="auto" w:before="9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pStyle w:val="Heading4"/>
        <w:spacing w:line="381" w:lineRule="auto" w:before="171"/>
        <w:ind w:right="0" w:hanging="1"/>
        <w:jc w:val="left"/>
        <w:rPr>
          <w:b w:val="0"/>
          <w:bCs w:val="0"/>
        </w:rPr>
      </w:pPr>
      <w:r>
        <w:rPr>
          <w:rFonts w:ascii="Times New Roman" w:hAnsi="Times New Roman" w:cs="Times New Roman" w:eastAsia="Times New Roman" w:hint="default"/>
        </w:rPr>
        <w:t>9</w:t>
      </w:r>
      <w:r>
        <w:rPr/>
        <w:t>）公司未来发展与规划延续至报告期的说明</w:t>
      </w:r>
      <w:r>
        <w:rPr>
          <w:spacing w:val="1"/>
          <w:w w:val="99"/>
        </w:rPr>
        <w:t> </w:t>
      </w:r>
      <w:r>
        <w:rPr>
          <w:w w:val="95"/>
        </w:rPr>
        <w:t>首次公开发行招股说明书中披露的未来发展与规划在本报告期的实施情况：</w:t>
      </w:r>
      <w:r>
        <w:rPr>
          <w:b w:val="0"/>
          <w:bCs w:val="0"/>
        </w:rPr>
      </w:r>
    </w:p>
    <w:p>
      <w:pPr>
        <w:pStyle w:val="BodyText"/>
        <w:spacing w:line="326" w:lineRule="auto" w:before="64"/>
        <w:ind w:right="0" w:firstLine="420"/>
        <w:jc w:val="left"/>
      </w:pPr>
      <w:r>
        <w:rPr>
          <w:spacing w:val="-1"/>
        </w:rPr>
        <w:t>报告期内，公司沿着招股说明书中的发展战略继续推进公司的经营管理，以内生式增长和外延式扩张</w:t>
      </w:r>
      <w:r>
        <w:rPr/>
        <w:t> 相结合的模式，围绕技术、行业、区域几个维度全面促进公司业务快速增长。</w:t>
      </w:r>
    </w:p>
    <w:p>
      <w:pPr>
        <w:pStyle w:val="BodyText"/>
        <w:spacing w:line="326" w:lineRule="auto" w:before="144"/>
        <w:ind w:right="0" w:firstLine="420"/>
        <w:jc w:val="left"/>
      </w:pPr>
      <w:r>
        <w:rPr>
          <w:spacing w:val="-1"/>
        </w:rPr>
        <w:t>技术创新方面，围绕移动互联网、大数据、视频取证等最新技术领域，完成了多项重要项目的研发和</w:t>
      </w:r>
      <w:r>
        <w:rPr/>
        <w:t> 升级开发，进一步推进平台战略，提升大数据处理分析能力。</w:t>
      </w:r>
    </w:p>
    <w:p>
      <w:pPr>
        <w:pStyle w:val="BodyText"/>
        <w:spacing w:line="326" w:lineRule="auto" w:before="144"/>
        <w:ind w:right="0" w:firstLine="420"/>
        <w:jc w:val="left"/>
      </w:pPr>
      <w:r>
        <w:rPr>
          <w:spacing w:val="-1"/>
        </w:rPr>
        <w:t>行业拓展方面，报告期内公司在公安新业务，检察、工商、海关等新行业拓展中取得显著进展。通过</w:t>
      </w:r>
      <w:r>
        <w:rPr>
          <w:spacing w:val="1"/>
        </w:rPr>
        <w:t> </w:t>
      </w:r>
      <w:r>
        <w:rPr/>
        <w:t>投资万诚信用，公司业务已延伸至检验检疫领域及食品安全领域。</w:t>
      </w:r>
    </w:p>
    <w:p>
      <w:pPr>
        <w:spacing w:line="405" w:lineRule="auto" w:before="144"/>
        <w:ind w:left="154" w:right="2002" w:firstLine="420"/>
        <w:jc w:val="left"/>
        <w:rPr>
          <w:rFonts w:ascii="宋体" w:hAnsi="宋体" w:cs="宋体" w:eastAsia="宋体" w:hint="default"/>
          <w:sz w:val="21"/>
          <w:szCs w:val="21"/>
        </w:rPr>
      </w:pPr>
      <w:r>
        <w:rPr>
          <w:rFonts w:ascii="宋体" w:hAnsi="宋体" w:cs="宋体" w:eastAsia="宋体" w:hint="default"/>
          <w:sz w:val="21"/>
          <w:szCs w:val="21"/>
        </w:rPr>
        <w:t>区域方面，随着公司区县战略的进一步实施，公司区县市场渗透率进一步提升。 </w:t>
      </w:r>
      <w:r>
        <w:rPr>
          <w:rFonts w:ascii="宋体" w:hAnsi="宋体" w:cs="宋体" w:eastAsia="宋体" w:hint="default"/>
          <w:b/>
          <w:bCs/>
          <w:sz w:val="21"/>
          <w:szCs w:val="21"/>
        </w:rPr>
        <w:t>前期披露的发展战略和经营计划在报告期内的进展情况：</w:t>
      </w:r>
      <w:r>
        <w:rPr>
          <w:rFonts w:ascii="宋体" w:hAnsi="宋体" w:cs="宋体" w:eastAsia="宋体" w:hint="default"/>
          <w:sz w:val="21"/>
          <w:szCs w:val="21"/>
        </w:rPr>
      </w:r>
    </w:p>
    <w:p>
      <w:pPr>
        <w:pStyle w:val="BodyText"/>
        <w:spacing w:line="309" w:lineRule="auto" w:before="42"/>
        <w:ind w:left="153" w:right="0" w:firstLine="420"/>
        <w:jc w:val="left"/>
      </w:pPr>
      <w:r>
        <w:rPr>
          <w:spacing w:val="-1"/>
        </w:rPr>
        <w:t>报告期内，在公司管理层和全体员工的奋力拼搏下，顺利完成了</w:t>
      </w:r>
      <w:r>
        <w:rPr>
          <w:rFonts w:ascii="Times New Roman" w:hAnsi="Times New Roman" w:cs="Times New Roman" w:eastAsia="Times New Roman" w:hint="default"/>
          <w:spacing w:val="-1"/>
        </w:rPr>
        <w:t>2014</w:t>
      </w:r>
      <w:r>
        <w:rPr>
          <w:spacing w:val="-1"/>
        </w:rPr>
        <w:t>年度的主要经营计划，促使公司</w:t>
      </w:r>
      <w:r>
        <w:rPr/>
        <w:t> 业绩实现快速增长。详见本节“一、管理层讨论与分析”之“</w:t>
      </w:r>
      <w:r>
        <w:rPr>
          <w:rFonts w:ascii="Times New Roman" w:hAnsi="Times New Roman" w:cs="Times New Roman" w:eastAsia="Times New Roman" w:hint="default"/>
        </w:rPr>
        <w:t>1</w:t>
      </w:r>
      <w:r>
        <w:rPr/>
        <w:t>、报告期内主要业务回顾”。</w:t>
      </w:r>
    </w:p>
    <w:p>
      <w:pPr>
        <w:pStyle w:val="Heading4"/>
        <w:spacing w:line="240" w:lineRule="auto" w:before="106"/>
        <w:ind w:right="0"/>
        <w:jc w:val="left"/>
        <w:rPr>
          <w:b w:val="0"/>
          <w:bCs w:val="0"/>
        </w:rPr>
      </w:pPr>
      <w:r>
        <w:rPr/>
        <w:t>公司实际经营业绩较曾公开披露过的本年度盈利预测低于或高于</w:t>
      </w:r>
      <w:r>
        <w:rPr>
          <w:spacing w:val="-72"/>
        </w:rPr>
        <w:t> </w:t>
      </w:r>
      <w:r>
        <w:rPr>
          <w:rFonts w:ascii="Times New Roman" w:hAnsi="Times New Roman" w:cs="Times New Roman" w:eastAsia="Times New Roman" w:hint="default"/>
        </w:rPr>
        <w:t>20%</w:t>
      </w:r>
      <w:r>
        <w:rPr/>
        <w:t>以上的差异原因：</w:t>
      </w:r>
      <w:r>
        <w:rPr>
          <w:b w:val="0"/>
          <w:bCs w:val="0"/>
        </w:rPr>
      </w:r>
    </w:p>
    <w:p>
      <w:pPr>
        <w:pStyle w:val="BodyText"/>
        <w:spacing w:line="240" w:lineRule="auto" w:before="6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80" w:top="1060" w:bottom="1180" w:left="980" w:right="980"/>
        </w:sectPr>
      </w:pPr>
    </w:p>
    <w:p>
      <w:pPr>
        <w:pStyle w:val="BodyText"/>
        <w:spacing w:line="240" w:lineRule="auto" w:before="35"/>
        <w:ind w:right="0"/>
        <w:jc w:val="left"/>
      </w:pPr>
      <w:r>
        <w:rPr>
          <w:rFonts w:ascii="Times New Roman" w:hAnsi="Times New Roman" w:cs="Times New Roman" w:eastAsia="Times New Roman" w:hint="default"/>
          <w:spacing w:val="-1"/>
        </w:rPr>
        <w:t>1</w:t>
      </w:r>
      <w:r>
        <w:rPr>
          <w:spacing w:val="-1"/>
        </w:rPr>
        <w:t>）报告期主营业务收入及主营业务利润的构成：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bookmarkStart w:name="（2）主营业务分部报告" w:id="24"/>
      <w:bookmarkEnd w:id="24"/>
      <w:r>
        <w:rPr/>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669" w:space="425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3120"/>
        <w:gridCol w:w="2905"/>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9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司法机关</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289,103,005.20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155,874,785.04</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行政执法部门</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77,498,310.21</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55,729,168.52</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225,235,629.48</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166,449, 469.85</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10,877,334.13</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6,260,691.42</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602,714,279.02</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384,314,114.83</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457,299,553.61</w:t>
            </w:r>
            <w:r>
              <w:rPr>
                <w:rFonts w:ascii="Times New Roman"/>
                <w:sz w:val="18"/>
              </w:rPr>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273,075,208.01</w:t>
            </w:r>
            <w:r>
              <w:rPr>
                <w:rFonts w:ascii="Times New Roman"/>
                <w:sz w:val="18"/>
              </w:rPr>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网络信息安全产品</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27,014,252.64</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16,299,809.00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电子数据鉴定及互联网知识产权保护等服务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80,663,611.88</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68,929,119.05</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刑事技术产品</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31,917,231.78</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24,335,315.31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44"/>
        <w:gridCol w:w="3120"/>
        <w:gridCol w:w="2905"/>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工程业务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4,937,484.71</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1,204,231.96</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882,144.40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470,431.50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602,714,279.02</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384,314,114.83</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东北及华北</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194,829,033.29</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123,862,476.55</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华东及华南</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272,461,945.70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179,560,693.07</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西南及西北</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85,343,045.33</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51,895,096.79</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华中及其他</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50,080,254.70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28,796,074.41</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602,714,279.02</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384,314,114.83</w:t>
            </w:r>
          </w:p>
        </w:tc>
      </w:tr>
    </w:tbl>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747" w:footer="980" w:top="1060" w:bottom="1180" w:left="980" w:right="980"/>
        </w:sectPr>
      </w:pPr>
    </w:p>
    <w:p>
      <w:pPr>
        <w:pStyle w:val="BodyText"/>
        <w:spacing w:line="240" w:lineRule="auto" w:before="35"/>
        <w:ind w:right="-18"/>
        <w:jc w:val="left"/>
      </w:pPr>
      <w:r>
        <w:rPr>
          <w:rFonts w:ascii="Times New Roman" w:hAnsi="Times New Roman" w:cs="Times New Roman" w:eastAsia="Times New Roman" w:hint="default"/>
        </w:rPr>
        <w:t>2</w:t>
      </w:r>
      <w:r>
        <w:rPr/>
        <w:t>）占比</w:t>
      </w:r>
      <w:r>
        <w:rPr>
          <w:spacing w:val="-55"/>
        </w:rPr>
        <w:t> </w:t>
      </w:r>
      <w:r>
        <w:rPr>
          <w:rFonts w:ascii="Times New Roman" w:hAnsi="Times New Roman" w:cs="Times New Roman" w:eastAsia="Times New Roman" w:hint="default"/>
        </w:rPr>
        <w:t>10%</w:t>
      </w:r>
      <w:r>
        <w:rPr/>
        <w:t>以上的产品、行业或地区情况：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67" w:space="4651"/>
            <w:col w:w="103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1417"/>
        <w:gridCol w:w="1418"/>
        <w:gridCol w:w="1134"/>
        <w:gridCol w:w="1276"/>
        <w:gridCol w:w="1276"/>
        <w:gridCol w:w="1066"/>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77" w:right="77"/>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司法机关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289,103,005.20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133,228,220.16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行政执法部门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77,498,310.21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21,769,141.69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225,235,629.48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58,786,159.63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10,877,334.13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4,616,642.71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457,299,553.61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184,224,345.60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网络信息安全产品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27,014,252.64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10,714,443.64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电子数据鉴定及互联网 知识产权保护等服务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80,663,611.88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11,734,492.83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刑事技术产品收入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31,917,231.78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7,581,916.47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工程业务收入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4,937,484.71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3,733,252.75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882,144.40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411,712.90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东北及华北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194,829,033.29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70,966,556.73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华东及华南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272,461,945.70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92,701,478.63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西南及西北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85,343,045.33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33,447,948.54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华中及其他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50,080,254.70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21,284,180.29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r>
    </w:tbl>
    <w:p>
      <w:pPr>
        <w:spacing w:line="240" w:lineRule="auto" w:before="10"/>
        <w:rPr>
          <w:rFonts w:ascii="宋体" w:hAnsi="宋体" w:cs="宋体" w:eastAsia="宋体" w:hint="default"/>
          <w:sz w:val="7"/>
          <w:szCs w:val="7"/>
        </w:rPr>
      </w:pPr>
    </w:p>
    <w:p>
      <w:pPr>
        <w:pStyle w:val="BodyText"/>
        <w:spacing w:line="309" w:lineRule="auto" w:before="35"/>
        <w:ind w:left="153" w:right="222"/>
        <w:jc w:val="left"/>
      </w:pPr>
      <w:r>
        <w:rPr>
          <w:rFonts w:ascii="Times New Roman" w:hAnsi="Times New Roman" w:cs="Times New Roman" w:eastAsia="Times New Roman" w:hint="default"/>
        </w:rPr>
        <w:t>3</w:t>
      </w:r>
      <w:r>
        <w:rPr/>
        <w:t>）公司主营业务数据统计口径在报告期发生调整的情况下，公司最近</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年按报告期末口径调整后的主营 业务数据：</w:t>
      </w:r>
    </w:p>
    <w:p>
      <w:pPr>
        <w:pStyle w:val="BodyText"/>
        <w:spacing w:line="240" w:lineRule="auto" w:before="4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公司竞争能力重大变化分析" w:id="25"/>
      <w:bookmarkEnd w:id="25"/>
      <w:r>
        <w:rPr>
          <w:b w:val="0"/>
          <w:bCs w:val="0"/>
        </w:rPr>
      </w:r>
      <w:r>
        <w:rPr/>
        <w:t>（</w:t>
      </w:r>
      <w:r>
        <w:rPr>
          <w:rFonts w:ascii="Times New Roman" w:hAnsi="Times New Roman" w:cs="Times New Roman" w:eastAsia="Times New Roman" w:hint="default"/>
        </w:rPr>
        <w:t>3</w:t>
      </w:r>
      <w:r>
        <w:rPr/>
        <w:t>）</w:t>
      </w:r>
      <w:bookmarkStart w:name="（3）资产、负债状况分析" w:id="26"/>
      <w:bookmarkEnd w:id="26"/>
      <w:r>
        <w:rPr/>
        <w:t>资</w:t>
      </w:r>
      <w:r>
        <w:rPr/>
        <w:t>产、负债状况分析</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80" w:top="1060" w:bottom="1180" w:left="980" w:right="980"/>
        </w:sectPr>
      </w:pPr>
    </w:p>
    <w:p>
      <w:pPr>
        <w:pStyle w:val="BodyText"/>
        <w:spacing w:line="240" w:lineRule="auto" w:before="35"/>
        <w:ind w:right="-8"/>
        <w:jc w:val="left"/>
      </w:pPr>
      <w:r>
        <w:rPr>
          <w:rFonts w:ascii="Times New Roman" w:hAnsi="Times New Roman" w:cs="Times New Roman" w:eastAsia="Times New Roman" w:hint="default"/>
          <w:spacing w:val="-1"/>
        </w:rPr>
        <w:t>1</w:t>
      </w:r>
      <w:r>
        <w:rPr>
          <w:spacing w:val="-1"/>
        </w:rPr>
        <w:t>）资产项目重大变动情况：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779" w:space="614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367"/>
        <w:gridCol w:w="892"/>
        <w:gridCol w:w="798"/>
        <w:gridCol w:w="2917"/>
      </w:tblGrid>
      <w:tr>
        <w:trPr>
          <w:trHeight w:val="385"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291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78" w:hRule="exact"/>
        </w:trPr>
        <w:tc>
          <w:tcPr>
            <w:tcW w:w="1368" w:type="dxa"/>
            <w:vMerge w:val="restart"/>
            <w:tcBorders>
              <w:top w:val="nil" w:sz="6" w:space="0" w:color="auto"/>
              <w:left w:val="single" w:sz="4" w:space="0" w:color="000000"/>
              <w:right w:val="single" w:sz="4" w:space="0" w:color="000000"/>
            </w:tcBorders>
            <w:shd w:val="clear" w:color="auto" w:fill="D4D4D4"/>
          </w:tcPr>
          <w:p>
            <w:pPr/>
          </w:p>
        </w:tc>
        <w:tc>
          <w:tcPr>
            <w:tcW w:w="1326" w:type="dxa"/>
            <w:tcBorders>
              <w:top w:val="single" w:sz="4" w:space="0" w:color="000000"/>
              <w:left w:val="single" w:sz="4" w:space="0" w:color="000000"/>
              <w:bottom w:val="nil" w:sz="6" w:space="0" w:color="auto"/>
              <w:right w:val="single" w:sz="4" w:space="0" w:color="000000"/>
            </w:tcBorders>
            <w:shd w:val="clear" w:color="auto" w:fill="D4D4D4"/>
          </w:tcPr>
          <w:p>
            <w:pPr/>
          </w:p>
        </w:tc>
        <w:tc>
          <w:tcPr>
            <w:tcW w:w="90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68"/>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4D4D4"/>
          </w:tcPr>
          <w:p>
            <w:pPr/>
          </w:p>
        </w:tc>
        <w:tc>
          <w:tcPr>
            <w:tcW w:w="89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68"/>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4D4D4"/>
          </w:tcPr>
          <w:p>
            <w:pPr/>
          </w:p>
        </w:tc>
        <w:tc>
          <w:tcPr>
            <w:tcW w:w="136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4D4D4"/>
          </w:tcPr>
          <w:p>
            <w:pPr/>
          </w:p>
        </w:tc>
        <w:tc>
          <w:tcPr>
            <w:tcW w:w="798" w:type="dxa"/>
            <w:vMerge/>
            <w:tcBorders>
              <w:left w:val="single" w:sz="4" w:space="0" w:color="000000"/>
              <w:bottom w:val="nil" w:sz="6" w:space="0" w:color="auto"/>
              <w:right w:val="single" w:sz="4" w:space="0" w:color="000000"/>
            </w:tcBorders>
            <w:shd w:val="clear" w:color="auto" w:fill="D4D4D4"/>
          </w:tcPr>
          <w:p>
            <w:pPr/>
          </w:p>
        </w:tc>
        <w:tc>
          <w:tcPr>
            <w:tcW w:w="2917"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4D4D4"/>
          </w:tcPr>
          <w:p>
            <w:pPr/>
          </w:p>
        </w:tc>
        <w:tc>
          <w:tcPr>
            <w:tcW w:w="1326" w:type="dxa"/>
            <w:vMerge/>
            <w:tcBorders>
              <w:left w:val="single" w:sz="4" w:space="0" w:color="000000"/>
              <w:bottom w:val="nil" w:sz="6" w:space="0" w:color="auto"/>
              <w:right w:val="single" w:sz="4" w:space="0" w:color="000000"/>
            </w:tcBorders>
            <w:shd w:val="clear" w:color="auto" w:fill="D4D4D4"/>
          </w:tcPr>
          <w:p>
            <w:pPr/>
          </w:p>
        </w:tc>
        <w:tc>
          <w:tcPr>
            <w:tcW w:w="901" w:type="dxa"/>
            <w:vMerge/>
            <w:tcBorders>
              <w:left w:val="single" w:sz="4" w:space="0" w:color="000000"/>
              <w:right w:val="single" w:sz="4" w:space="0" w:color="000000"/>
            </w:tcBorders>
            <w:shd w:val="clear" w:color="auto" w:fill="D4D4D4"/>
          </w:tcPr>
          <w:p>
            <w:pPr/>
          </w:p>
        </w:tc>
        <w:tc>
          <w:tcPr>
            <w:tcW w:w="1367" w:type="dxa"/>
            <w:vMerge/>
            <w:tcBorders>
              <w:left w:val="single" w:sz="4" w:space="0" w:color="000000"/>
              <w:bottom w:val="nil" w:sz="6" w:space="0" w:color="auto"/>
              <w:right w:val="single" w:sz="4" w:space="0" w:color="000000"/>
            </w:tcBorders>
            <w:shd w:val="clear" w:color="auto" w:fill="D4D4D4"/>
          </w:tcPr>
          <w:p>
            <w:pPr/>
          </w:p>
        </w:tc>
        <w:tc>
          <w:tcPr>
            <w:tcW w:w="892" w:type="dxa"/>
            <w:vMerge/>
            <w:tcBorders>
              <w:left w:val="single" w:sz="4" w:space="0" w:color="000000"/>
              <w:right w:val="single" w:sz="4" w:space="0" w:color="000000"/>
            </w:tcBorders>
            <w:shd w:val="clear" w:color="auto" w:fill="D4D4D4"/>
          </w:tcPr>
          <w:p>
            <w:pPr/>
          </w:p>
        </w:tc>
        <w:tc>
          <w:tcPr>
            <w:tcW w:w="798" w:type="dxa"/>
            <w:vMerge w:val="restart"/>
            <w:tcBorders>
              <w:top w:val="nil" w:sz="6" w:space="0" w:color="auto"/>
              <w:left w:val="single" w:sz="4" w:space="0" w:color="000000"/>
              <w:right w:val="single" w:sz="4" w:space="0" w:color="000000"/>
            </w:tcBorders>
            <w:shd w:val="clear" w:color="auto" w:fill="D4D4D4"/>
          </w:tcPr>
          <w:p>
            <w:pPr/>
          </w:p>
        </w:tc>
        <w:tc>
          <w:tcPr>
            <w:tcW w:w="2917"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26" w:type="dxa"/>
            <w:tcBorders>
              <w:top w:val="nil" w:sz="6" w:space="0" w:color="auto"/>
              <w:left w:val="single" w:sz="4" w:space="0" w:color="000000"/>
              <w:bottom w:val="single" w:sz="4" w:space="0" w:color="000000"/>
              <w:right w:val="single" w:sz="4" w:space="0" w:color="000000"/>
            </w:tcBorders>
            <w:shd w:val="clear" w:color="auto" w:fill="D4D4D4"/>
          </w:tcPr>
          <w:p>
            <w:pPr/>
          </w:p>
        </w:tc>
        <w:tc>
          <w:tcPr>
            <w:tcW w:w="901" w:type="dxa"/>
            <w:vMerge/>
            <w:tcBorders>
              <w:left w:val="single" w:sz="4" w:space="0" w:color="000000"/>
              <w:bottom w:val="single" w:sz="4" w:space="0" w:color="000000"/>
              <w:right w:val="single" w:sz="4" w:space="0" w:color="000000"/>
            </w:tcBorders>
            <w:shd w:val="clear" w:color="auto" w:fill="D4D4D4"/>
          </w:tcPr>
          <w:p>
            <w:pPr/>
          </w:p>
        </w:tc>
        <w:tc>
          <w:tcPr>
            <w:tcW w:w="1367" w:type="dxa"/>
            <w:tcBorders>
              <w:top w:val="nil" w:sz="6" w:space="0" w:color="auto"/>
              <w:left w:val="single" w:sz="4" w:space="0" w:color="000000"/>
              <w:bottom w:val="single" w:sz="4" w:space="0" w:color="000000"/>
              <w:right w:val="single" w:sz="4" w:space="0" w:color="000000"/>
            </w:tcBorders>
            <w:shd w:val="clear" w:color="auto" w:fill="D4D4D4"/>
          </w:tcPr>
          <w:p>
            <w:pPr/>
          </w:p>
        </w:tc>
        <w:tc>
          <w:tcPr>
            <w:tcW w:w="892" w:type="dxa"/>
            <w:vMerge/>
            <w:tcBorders>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c>
          <w:tcPr>
            <w:tcW w:w="2917"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26"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521,675,111.47</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39.69%</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390,544,835.41</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37.36%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2.33%</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主要是由于本报告期公司营业收入 增加收到货款较上年同期增加所致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vMerge/>
            <w:tcBorders>
              <w:left w:val="single" w:sz="9" w:space="0" w:color="D4D4D4"/>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6" w:type="dxa"/>
            <w:vMerge/>
            <w:tcBorders>
              <w:left w:val="single" w:sz="9" w:space="0" w:color="D4D4D4"/>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26"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172,468,410.78</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13.12%</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125,143,124.91</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11.97%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1.15%</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主要是由于本报告期公司业务量增 加所致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vMerge/>
            <w:tcBorders>
              <w:left w:val="single" w:sz="9" w:space="0" w:color="D4D4D4"/>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6" w:type="dxa"/>
            <w:vMerge/>
            <w:tcBorders>
              <w:left w:val="single" w:sz="9" w:space="0" w:color="D4D4D4"/>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26"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185,015,384.88</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14.08%</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118,570,260.06</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11.34%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2.74%</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主要是由于公司经营规模扩大，备货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需求和发货尚未验收增加所致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vMerge/>
            <w:tcBorders>
              <w:left w:val="single" w:sz="9" w:space="0" w:color="D4D4D4"/>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6" w:type="dxa"/>
            <w:vMerge/>
            <w:tcBorders>
              <w:left w:val="single" w:sz="9" w:space="0" w:color="D4D4D4"/>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26"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9,749,104.35</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0.74%</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26,078,363.61</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2.49%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-1.75%</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主要是由于本报告期公司合并抵消 了合并范围内的房产租赁所致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6" w:type="dxa"/>
            <w:vMerge/>
            <w:tcBorders>
              <w:left w:val="single" w:sz="9" w:space="0" w:color="D4D4D4"/>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6" w:type="dxa"/>
            <w:vMerge/>
            <w:tcBorders>
              <w:left w:val="single" w:sz="9" w:space="0" w:color="D4D4D4"/>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26"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3,850,530.97</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0.29%</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4,624,940.96</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0.44%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-0.15%</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主要是由于公司参股公司厦门服云 和北京万诚亏损所致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vMerge/>
            <w:tcBorders>
              <w:left w:val="single" w:sz="9" w:space="0" w:color="D4D4D4"/>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6" w:type="dxa"/>
            <w:vMerge/>
            <w:tcBorders>
              <w:left w:val="single" w:sz="9" w:space="0" w:color="D4D4D4"/>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244,151,252.04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231,628,903.65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322,487.67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43,856,030.99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43,856,030.99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060" w:bottom="1180" w:left="980" w:right="980"/>
        </w:sectPr>
      </w:pPr>
    </w:p>
    <w:p>
      <w:pPr>
        <w:pStyle w:val="BodyText"/>
        <w:spacing w:line="240" w:lineRule="auto" w:before="35"/>
        <w:ind w:right="-8"/>
        <w:jc w:val="left"/>
      </w:pPr>
      <w:r>
        <w:rPr>
          <w:rFonts w:ascii="Times New Roman" w:hAnsi="Times New Roman" w:cs="Times New Roman" w:eastAsia="Times New Roman" w:hint="default"/>
          <w:spacing w:val="-1"/>
        </w:rPr>
        <w:t>2</w:t>
      </w:r>
      <w:r>
        <w:rPr>
          <w:spacing w:val="-1"/>
        </w:rPr>
        <w:t>）负债项目重大变动情况：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779" w:space="6140"/>
            <w:col w:w="103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37"/>
        <w:gridCol w:w="1702"/>
        <w:gridCol w:w="1274"/>
        <w:gridCol w:w="1276"/>
        <w:gridCol w:w="1134"/>
        <w:gridCol w:w="148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C0C0C0"/>
          </w:tcPr>
          <w:p>
            <w:pPr/>
          </w:p>
        </w:tc>
        <w:tc>
          <w:tcPr>
            <w:tcW w:w="3039" w:type="dxa"/>
            <w:gridSpan w:val="2"/>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50" w:type="dxa"/>
            <w:gridSpan w:val="2"/>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nil" w:sz="6" w:space="0" w:color="auto"/>
              <w:right w:val="single" w:sz="4" w:space="0" w:color="000000"/>
            </w:tcBorders>
            <w:shd w:val="clear" w:color="auto" w:fill="C0C0C0"/>
          </w:tcPr>
          <w:p>
            <w:pPr/>
          </w:p>
        </w:tc>
        <w:tc>
          <w:tcPr>
            <w:tcW w:w="1489" w:type="dxa"/>
            <w:tcBorders>
              <w:top w:val="single" w:sz="4" w:space="0" w:color="000000"/>
              <w:left w:val="single" w:sz="4" w:space="0" w:color="000000"/>
              <w:bottom w:val="nil" w:sz="6" w:space="0" w:color="auto"/>
              <w:right w:val="single" w:sz="4" w:space="0" w:color="000000"/>
            </w:tcBorders>
            <w:shd w:val="clear" w:color="auto" w:fill="C0C0C0"/>
          </w:tcPr>
          <w:p>
            <w:pPr/>
          </w:p>
        </w:tc>
      </w:tr>
      <w:tr>
        <w:trPr>
          <w:trHeight w:val="191" w:hRule="exact"/>
        </w:trPr>
        <w:tc>
          <w:tcPr>
            <w:tcW w:w="1345" w:type="dxa"/>
            <w:vMerge w:val="restart"/>
            <w:tcBorders>
              <w:top w:val="nil" w:sz="6" w:space="0" w:color="auto"/>
              <w:left w:val="single" w:sz="4" w:space="0" w:color="000000"/>
              <w:right w:val="single" w:sz="4" w:space="0" w:color="000000"/>
            </w:tcBorders>
            <w:shd w:val="clear" w:color="auto" w:fill="C0C0C0"/>
          </w:tcPr>
          <w:p>
            <w:pPr/>
          </w:p>
        </w:tc>
        <w:tc>
          <w:tcPr>
            <w:tcW w:w="3039" w:type="dxa"/>
            <w:gridSpan w:val="2"/>
            <w:vMerge/>
            <w:tcBorders>
              <w:left w:val="single" w:sz="4" w:space="0" w:color="000000"/>
              <w:bottom w:val="single" w:sz="4" w:space="0" w:color="000000"/>
              <w:right w:val="single" w:sz="4" w:space="0" w:color="000000"/>
            </w:tcBorders>
            <w:shd w:val="clear" w:color="auto" w:fill="C0C0C0"/>
          </w:tcPr>
          <w:p>
            <w:pPr/>
          </w:p>
        </w:tc>
        <w:tc>
          <w:tcPr>
            <w:tcW w:w="2550" w:type="dxa"/>
            <w:gridSpan w:val="2"/>
            <w:vMerge/>
            <w:tcBorders>
              <w:left w:val="single" w:sz="4" w:space="0" w:color="000000"/>
              <w:bottom w:val="single" w:sz="4" w:space="0" w:color="000000"/>
              <w:right w:val="single" w:sz="4" w:space="0" w:color="000000"/>
            </w:tcBorders>
            <w:shd w:val="clear" w:color="auto" w:fill="C0C0C0"/>
          </w:tcPr>
          <w:p>
            <w:pPr/>
          </w:p>
        </w:tc>
        <w:tc>
          <w:tcPr>
            <w:tcW w:w="1134" w:type="dxa"/>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89" w:type="dxa"/>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1345" w:type="dxa"/>
            <w:vMerge/>
            <w:tcBorders>
              <w:left w:val="single" w:sz="4" w:space="0" w:color="000000"/>
              <w:bottom w:val="nil" w:sz="6" w:space="0" w:color="auto"/>
              <w:right w:val="single" w:sz="4" w:space="0" w:color="000000"/>
            </w:tcBorders>
            <w:shd w:val="clear" w:color="auto" w:fill="C0C0C0"/>
          </w:tcPr>
          <w:p>
            <w:pPr/>
          </w:p>
        </w:tc>
        <w:tc>
          <w:tcPr>
            <w:tcW w:w="133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6"/>
              <w:ind w:left="304"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nil" w:sz="6" w:space="0" w:color="auto"/>
              <w:right w:val="single" w:sz="4" w:space="0" w:color="000000"/>
            </w:tcBorders>
            <w:shd w:val="clear" w:color="auto" w:fill="C0C0C0"/>
          </w:tcPr>
          <w:p>
            <w:pPr/>
          </w:p>
        </w:tc>
        <w:tc>
          <w:tcPr>
            <w:tcW w:w="1489" w:type="dxa"/>
            <w:vMerge/>
            <w:tcBorders>
              <w:left w:val="single" w:sz="4" w:space="0" w:color="000000"/>
              <w:bottom w:val="nil" w:sz="6" w:space="0" w:color="auto"/>
              <w:right w:val="single" w:sz="4" w:space="0" w:color="000000"/>
            </w:tcBorders>
            <w:shd w:val="clear" w:color="auto" w:fill="C0C0C0"/>
          </w:tcPr>
          <w:p>
            <w:pP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C0C0C0"/>
          </w:tcPr>
          <w:p>
            <w:pPr/>
          </w:p>
        </w:tc>
        <w:tc>
          <w:tcPr>
            <w:tcW w:w="1337" w:type="dxa"/>
            <w:vMerge/>
            <w:tcBorders>
              <w:left w:val="single" w:sz="4" w:space="0" w:color="000000"/>
              <w:bottom w:val="single" w:sz="4" w:space="0" w:color="000000"/>
              <w:right w:val="single" w:sz="4" w:space="0" w:color="000000"/>
            </w:tcBorders>
            <w:shd w:val="clear" w:color="auto" w:fill="C0C0C0"/>
          </w:tcPr>
          <w:p>
            <w:pPr/>
          </w:p>
        </w:tc>
        <w:tc>
          <w:tcPr>
            <w:tcW w:w="1702" w:type="dxa"/>
            <w:vMerge/>
            <w:tcBorders>
              <w:left w:val="single" w:sz="4" w:space="0" w:color="000000"/>
              <w:bottom w:val="single" w:sz="4" w:space="0" w:color="000000"/>
              <w:right w:val="single" w:sz="4" w:space="0" w:color="000000"/>
            </w:tcBorders>
            <w:shd w:val="clear" w:color="auto" w:fill="C0C0C0"/>
          </w:tcPr>
          <w:p>
            <w:pPr/>
          </w:p>
        </w:tc>
        <w:tc>
          <w:tcPr>
            <w:tcW w:w="1274" w:type="dxa"/>
            <w:vMerge/>
            <w:tcBorders>
              <w:left w:val="single" w:sz="4" w:space="0" w:color="000000"/>
              <w:bottom w:val="single" w:sz="4" w:space="0" w:color="000000"/>
              <w:right w:val="single" w:sz="4" w:space="0" w:color="000000"/>
            </w:tcBorders>
            <w:shd w:val="clear" w:color="auto" w:fill="C0C0C0"/>
          </w:tcPr>
          <w:p>
            <w:pPr/>
          </w:p>
        </w:tc>
        <w:tc>
          <w:tcPr>
            <w:tcW w:w="1276" w:type="dxa"/>
            <w:vMerge/>
            <w:tcBorders>
              <w:left w:val="single" w:sz="4" w:space="0" w:color="000000"/>
              <w:bottom w:val="single" w:sz="4" w:space="0" w:color="000000"/>
              <w:right w:val="single" w:sz="4" w:space="0" w:color="000000"/>
            </w:tcBorders>
            <w:shd w:val="clear" w:color="auto" w:fill="C0C0C0"/>
          </w:tcPr>
          <w:p>
            <w:pPr/>
          </w:p>
        </w:tc>
        <w:tc>
          <w:tcPr>
            <w:tcW w:w="1134" w:type="dxa"/>
            <w:tcBorders>
              <w:top w:val="nil" w:sz="6" w:space="0" w:color="auto"/>
              <w:left w:val="single" w:sz="4" w:space="0" w:color="000000"/>
              <w:bottom w:val="single" w:sz="4" w:space="0" w:color="000000"/>
              <w:right w:val="single" w:sz="4" w:space="0" w:color="000000"/>
            </w:tcBorders>
            <w:shd w:val="clear" w:color="auto" w:fill="C0C0C0"/>
          </w:tcPr>
          <w:p>
            <w:pPr/>
          </w:p>
        </w:tc>
        <w:tc>
          <w:tcPr>
            <w:tcW w:w="1489" w:type="dxa"/>
            <w:tcBorders>
              <w:top w:val="nil" w:sz="6" w:space="0" w:color="auto"/>
              <w:left w:val="single" w:sz="4" w:space="0" w:color="000000"/>
              <w:bottom w:val="single" w:sz="4" w:space="0" w:color="000000"/>
              <w:right w:val="single" w:sz="4" w:space="0" w:color="000000"/>
            </w:tcBorders>
            <w:shd w:val="clear" w:color="auto" w:fill="C0C0C0"/>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3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67,241,518.83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39,361,222.22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3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131,387,990.19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67,935,758.25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3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53,043,033.07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39,091,267.21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3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45,011,195.19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14,070,168.56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3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22,302,918.52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16,542,594.91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4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7"/>
          <w:szCs w:val="7"/>
        </w:rPr>
      </w:pPr>
    </w:p>
    <w:p>
      <w:pPr>
        <w:pStyle w:val="BodyText"/>
        <w:spacing w:line="240" w:lineRule="auto" w:before="35"/>
        <w:ind w:right="0"/>
        <w:jc w:val="left"/>
      </w:pPr>
      <w:r>
        <w:rPr>
          <w:rFonts w:ascii="Times New Roman" w:hAnsi="Times New Roman" w:cs="Times New Roman" w:eastAsia="Times New Roman" w:hint="default"/>
        </w:rPr>
        <w:t>3</w:t>
      </w:r>
      <w:r>
        <w:rPr/>
        <w:t>）以公允价值计量的资产和负债：</w:t>
      </w:r>
    </w:p>
    <w:p>
      <w:pPr>
        <w:pStyle w:val="BodyText"/>
        <w:spacing w:line="381" w:lineRule="auto" w:before="92"/>
        <w:ind w:right="49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报告期内公司主要资产计量属性是否发生重大变化：</w:t>
      </w:r>
    </w:p>
    <w:p>
      <w:pPr>
        <w:pStyle w:val="BodyText"/>
        <w:spacing w:line="276" w:lineRule="exact"/>
        <w:ind w:right="0"/>
        <w:jc w:val="left"/>
      </w:pPr>
      <w:r>
        <w:rPr>
          <w:rFonts w:ascii="Times New Roman" w:hAnsi="Times New Roman" w:cs="Times New Roman" w:eastAsia="Times New Roman" w:hint="default"/>
        </w:rPr>
        <w:t>□  </w:t>
      </w:r>
      <w:r>
        <w:rPr/>
        <w:t>是</w:t>
      </w:r>
      <w:r>
        <w:rPr>
          <w:spacing w:val="1"/>
        </w:rPr>
        <w:t> </w:t>
      </w:r>
      <w:r>
        <w:rPr>
          <w:rFonts w:ascii="Times New Roman" w:hAnsi="Times New Roman" w:cs="Times New Roman" w:eastAsia="Times New Roman" w:hint="default"/>
        </w:rPr>
        <w:t>√</w:t>
      </w:r>
      <w:r>
        <w:rPr/>
        <w:t>否</w:t>
      </w:r>
    </w:p>
    <w:p>
      <w:pPr>
        <w:spacing w:line="240" w:lineRule="auto" w:before="6"/>
        <w:rPr>
          <w:rFonts w:ascii="宋体" w:hAnsi="宋体" w:cs="宋体" w:eastAsia="宋体" w:hint="default"/>
          <w:sz w:val="24"/>
          <w:szCs w:val="24"/>
        </w:rPr>
      </w:pPr>
    </w:p>
    <w:p>
      <w:pPr>
        <w:spacing w:line="532" w:lineRule="auto" w:before="0"/>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）公司竞争能力重大变化分析</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通过持续加大研发投入和市场推广力度，公司产品和技术不断创新，核心竞争力不断提升，主要表现</w:t>
      </w:r>
    </w:p>
    <w:p>
      <w:pPr>
        <w:spacing w:after="0" w:line="532" w:lineRule="auto"/>
        <w:jc w:val="left"/>
        <w:rPr>
          <w:rFonts w:ascii="宋体" w:hAnsi="宋体" w:cs="宋体" w:eastAsia="宋体" w:hint="default"/>
          <w:sz w:val="21"/>
          <w:szCs w:val="21"/>
        </w:rPr>
        <w:sectPr>
          <w:type w:val="continuous"/>
          <w:pgSz w:w="11910" w:h="16840"/>
          <w:pgMar w:top="1060" w:bottom="1180" w:left="980" w:right="980"/>
        </w:sectPr>
      </w:pPr>
    </w:p>
    <w:p>
      <w:pPr>
        <w:spacing w:line="240" w:lineRule="auto" w:before="1"/>
        <w:rPr>
          <w:rFonts w:ascii="宋体" w:hAnsi="宋体" w:cs="宋体" w:eastAsia="宋体" w:hint="default"/>
          <w:sz w:val="27"/>
          <w:szCs w:val="27"/>
        </w:rPr>
      </w:pPr>
    </w:p>
    <w:p>
      <w:pPr>
        <w:pStyle w:val="BodyText"/>
        <w:spacing w:line="240" w:lineRule="auto" w:before="35"/>
        <w:ind w:right="0"/>
        <w:jc w:val="left"/>
      </w:pPr>
      <w:r>
        <w:rPr/>
        <w:t>如下：</w:t>
      </w:r>
    </w:p>
    <w:p>
      <w:pPr>
        <w:spacing w:line="240" w:lineRule="auto" w:before="10"/>
        <w:rPr>
          <w:rFonts w:ascii="宋体" w:hAnsi="宋体" w:cs="宋体" w:eastAsia="宋体" w:hint="default"/>
          <w:sz w:val="16"/>
          <w:szCs w:val="16"/>
        </w:rPr>
      </w:pPr>
    </w:p>
    <w:p>
      <w:pPr>
        <w:pStyle w:val="BodyText"/>
        <w:spacing w:line="309" w:lineRule="auto"/>
        <w:ind w:left="153" w:right="0" w:firstLine="420"/>
        <w:jc w:val="left"/>
      </w:pPr>
      <w:r>
        <w:rPr>
          <w:spacing w:val="-1"/>
        </w:rPr>
        <w:t>（</w:t>
      </w:r>
      <w:r>
        <w:rPr>
          <w:rFonts w:ascii="Times New Roman" w:hAnsi="Times New Roman" w:cs="Times New Roman" w:eastAsia="Times New Roman" w:hint="default"/>
          <w:spacing w:val="-1"/>
        </w:rPr>
        <w:t>1</w:t>
      </w:r>
      <w:r>
        <w:rPr>
          <w:spacing w:val="-1"/>
        </w:rPr>
        <w:t>）无形资产情况：</w:t>
      </w:r>
      <w:r>
        <w:rPr>
          <w:rFonts w:ascii="Times New Roman" w:hAnsi="Times New Roman" w:cs="Times New Roman" w:eastAsia="Times New Roman" w:hint="default"/>
          <w:spacing w:val="-1"/>
        </w:rPr>
        <w:t>2014</w:t>
      </w:r>
      <w:r>
        <w:rPr>
          <w:spacing w:val="-1"/>
        </w:rPr>
        <w:t>年度，公司新增授权专利</w:t>
      </w:r>
      <w:r>
        <w:rPr>
          <w:rFonts w:ascii="Times New Roman" w:hAnsi="Times New Roman" w:cs="Times New Roman" w:eastAsia="Times New Roman" w:hint="default"/>
          <w:spacing w:val="-1"/>
        </w:rPr>
        <w:t>22</w:t>
      </w:r>
      <w:r>
        <w:rPr>
          <w:spacing w:val="-1"/>
        </w:rPr>
        <w:t>项，其中发明专利</w:t>
      </w:r>
      <w:r>
        <w:rPr>
          <w:rFonts w:ascii="Times New Roman" w:hAnsi="Times New Roman" w:cs="Times New Roman" w:eastAsia="Times New Roman" w:hint="default"/>
          <w:spacing w:val="-1"/>
        </w:rPr>
        <w:t>13</w:t>
      </w:r>
      <w:r>
        <w:rPr>
          <w:spacing w:val="-1"/>
        </w:rPr>
        <w:t>项，实用新型专利</w:t>
      </w:r>
      <w:r>
        <w:rPr>
          <w:rFonts w:ascii="Times New Roman" w:hAnsi="Times New Roman" w:cs="Times New Roman" w:eastAsia="Times New Roman" w:hint="default"/>
          <w:spacing w:val="-1"/>
        </w:rPr>
        <w:t>4</w:t>
      </w:r>
      <w:r>
        <w:rPr>
          <w:spacing w:val="-1"/>
        </w:rPr>
        <w:t>项，外</w:t>
      </w:r>
      <w:r>
        <w:rPr>
          <w:spacing w:val="-4"/>
        </w:rPr>
        <w:t> </w:t>
      </w:r>
      <w:r>
        <w:rPr/>
        <w:t>观设计专利</w:t>
      </w:r>
      <w:r>
        <w:rPr>
          <w:rFonts w:ascii="Times New Roman" w:hAnsi="Times New Roman" w:cs="Times New Roman" w:eastAsia="Times New Roman" w:hint="default"/>
        </w:rPr>
        <w:t>5</w:t>
      </w:r>
      <w:r>
        <w:rPr/>
        <w:t>项；新提交申请的专利</w:t>
      </w:r>
      <w:r>
        <w:rPr>
          <w:rFonts w:ascii="Times New Roman" w:hAnsi="Times New Roman" w:cs="Times New Roman" w:eastAsia="Times New Roman" w:hint="default"/>
        </w:rPr>
        <w:t>33</w:t>
      </w:r>
      <w:r>
        <w:rPr/>
        <w:t>项，其中发明专利</w:t>
      </w:r>
      <w:r>
        <w:rPr>
          <w:rFonts w:ascii="Times New Roman" w:hAnsi="Times New Roman" w:cs="Times New Roman" w:eastAsia="Times New Roman" w:hint="default"/>
        </w:rPr>
        <w:t>26</w:t>
      </w:r>
      <w:r>
        <w:rPr/>
        <w:t>项，实用新型专利</w:t>
      </w:r>
      <w:r>
        <w:rPr>
          <w:rFonts w:ascii="Times New Roman" w:hAnsi="Times New Roman" w:cs="Times New Roman" w:eastAsia="Times New Roman" w:hint="default"/>
        </w:rPr>
        <w:t>3</w:t>
      </w:r>
      <w:r>
        <w:rPr/>
        <w:t>项，外观设计专利</w:t>
      </w:r>
      <w:r>
        <w:rPr>
          <w:rFonts w:ascii="Times New Roman" w:hAnsi="Times New Roman" w:cs="Times New Roman" w:eastAsia="Times New Roman" w:hint="default"/>
        </w:rPr>
        <w:t>4</w:t>
      </w:r>
      <w:r>
        <w:rPr/>
        <w:t>项；截 </w:t>
      </w:r>
      <w:r>
        <w:rPr>
          <w:spacing w:val="-1"/>
        </w:rPr>
        <w:t>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日，公司共取得授权专利</w:t>
      </w:r>
      <w:r>
        <w:rPr>
          <w:rFonts w:ascii="Times New Roman" w:hAnsi="Times New Roman" w:cs="Times New Roman" w:eastAsia="Times New Roman" w:hint="default"/>
          <w:spacing w:val="-1"/>
        </w:rPr>
        <w:t>82</w:t>
      </w:r>
      <w:r>
        <w:rPr>
          <w:spacing w:val="-1"/>
        </w:rPr>
        <w:t>项，其中发明专利</w:t>
      </w:r>
      <w:r>
        <w:rPr>
          <w:rFonts w:ascii="Times New Roman" w:hAnsi="Times New Roman" w:cs="Times New Roman" w:eastAsia="Times New Roman" w:hint="default"/>
          <w:spacing w:val="-1"/>
        </w:rPr>
        <w:t>33</w:t>
      </w:r>
      <w:r>
        <w:rPr>
          <w:spacing w:val="-1"/>
        </w:rPr>
        <w:t>项，实用新型专利</w:t>
      </w:r>
      <w:r>
        <w:rPr>
          <w:rFonts w:ascii="Times New Roman" w:hAnsi="Times New Roman" w:cs="Times New Roman" w:eastAsia="Times New Roman" w:hint="default"/>
          <w:spacing w:val="-1"/>
        </w:rPr>
        <w:t>33</w:t>
      </w:r>
      <w:r>
        <w:rPr>
          <w:spacing w:val="-1"/>
        </w:rPr>
        <w:t>项，外观设计专利</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37"/>
        </w:rPr>
        <w:t> </w:t>
      </w:r>
      <w:r>
        <w:rPr>
          <w:spacing w:val="-1"/>
        </w:rPr>
        <w:t>项。截至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日，公司共取得注册商标</w:t>
      </w:r>
      <w:r>
        <w:rPr>
          <w:rFonts w:ascii="Times New Roman" w:hAnsi="Times New Roman" w:cs="Times New Roman" w:eastAsia="Times New Roman" w:hint="default"/>
          <w:spacing w:val="-1"/>
        </w:rPr>
        <w:t>27</w:t>
      </w:r>
      <w:r>
        <w:rPr>
          <w:spacing w:val="-1"/>
        </w:rPr>
        <w:t>项；国家工商行政管理总局商标局已受理、正在审核过</w:t>
      </w:r>
      <w:r>
        <w:rPr>
          <w:spacing w:val="-87"/>
        </w:rPr>
        <w:t> </w:t>
      </w:r>
      <w:r>
        <w:rPr>
          <w:spacing w:val="-87"/>
        </w:rPr>
      </w:r>
      <w:r>
        <w:rPr>
          <w:spacing w:val="-1"/>
        </w:rPr>
        <w:t>程中的商标注册申请共有</w:t>
      </w:r>
      <w:r>
        <w:rPr>
          <w:rFonts w:ascii="Times New Roman" w:hAnsi="Times New Roman" w:cs="Times New Roman" w:eastAsia="Times New Roman" w:hint="default"/>
          <w:spacing w:val="-1"/>
        </w:rPr>
        <w:t>5</w:t>
      </w:r>
      <w:r>
        <w:rPr>
          <w:spacing w:val="-1"/>
        </w:rPr>
        <w:t>项。截至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日，公司共取得软件著作权</w:t>
      </w:r>
      <w:r>
        <w:rPr>
          <w:rFonts w:ascii="Times New Roman" w:hAnsi="Times New Roman" w:cs="Times New Roman" w:eastAsia="Times New Roman" w:hint="default"/>
          <w:spacing w:val="-1"/>
        </w:rPr>
        <w:t>148</w:t>
      </w:r>
      <w:r>
        <w:rPr>
          <w:spacing w:val="-1"/>
        </w:rPr>
        <w:t>项，其中报告期内新增软</w:t>
      </w:r>
      <w:r>
        <w:rPr>
          <w:spacing w:val="-88"/>
        </w:rPr>
        <w:t> </w:t>
      </w:r>
      <w:r>
        <w:rPr>
          <w:spacing w:val="-88"/>
        </w:rPr>
      </w:r>
      <w:r>
        <w:rPr/>
        <w:t>件著作权</w:t>
      </w:r>
      <w:r>
        <w:rPr>
          <w:rFonts w:ascii="Times New Roman" w:hAnsi="Times New Roman" w:cs="Times New Roman" w:eastAsia="Times New Roman" w:hint="default"/>
        </w:rPr>
        <w:t>30</w:t>
      </w:r>
      <w:r>
        <w:rPr/>
        <w:t>项，均为自主研发所得。</w:t>
      </w:r>
    </w:p>
    <w:p>
      <w:pPr>
        <w:pStyle w:val="BodyText"/>
        <w:spacing w:line="309" w:lineRule="auto" w:before="136"/>
        <w:ind w:left="153" w:right="91" w:firstLine="420"/>
        <w:jc w:val="left"/>
      </w:pPr>
      <w:r>
        <w:rPr>
          <w:spacing w:val="-7"/>
        </w:rPr>
        <w:t>（</w:t>
      </w:r>
      <w:r>
        <w:rPr>
          <w:rFonts w:ascii="Times New Roman" w:hAnsi="Times New Roman" w:cs="Times New Roman" w:eastAsia="Times New Roman" w:hint="default"/>
          <w:spacing w:val="-7"/>
        </w:rPr>
        <w:t>2</w:t>
      </w:r>
      <w:r>
        <w:rPr>
          <w:spacing w:val="-7"/>
        </w:rPr>
        <w:t>）重要资质方面：</w:t>
      </w:r>
      <w:r>
        <w:rPr>
          <w:spacing w:val="-58"/>
        </w:rPr>
        <w:t> </w:t>
      </w:r>
      <w:r>
        <w:rPr/>
        <w:t>公司及子公司厦门市美亚柏科信息安全研究所有限公司获得高新技术企业认定，</w:t>
      </w:r>
      <w:r>
        <w:rPr/>
        <w:t> </w:t>
      </w:r>
      <w:r>
        <w:rPr>
          <w:spacing w:val="-3"/>
        </w:rPr>
        <w:t>其中美亚柏科为该资质已满三年，到期重新认定，新证书编号：</w:t>
      </w:r>
      <w:r>
        <w:rPr>
          <w:rFonts w:ascii="Times New Roman" w:hAnsi="Times New Roman" w:cs="Times New Roman" w:eastAsia="Times New Roman" w:hint="default"/>
          <w:spacing w:val="-3"/>
        </w:rPr>
        <w:t>GR201435100149</w:t>
      </w:r>
      <w:r>
        <w:rPr>
          <w:spacing w:val="-3"/>
        </w:rPr>
        <w:t>；美亚柏科信息安全研究</w:t>
      </w:r>
      <w:r>
        <w:rPr>
          <w:spacing w:val="-60"/>
        </w:rPr>
        <w:t> </w:t>
      </w:r>
      <w:r>
        <w:rPr>
          <w:spacing w:val="-60"/>
        </w:rPr>
      </w:r>
      <w:r>
        <w:rPr/>
        <w:t>所为初次认定，证书编号：</w:t>
      </w:r>
      <w:r>
        <w:rPr>
          <w:rFonts w:ascii="Times New Roman" w:hAnsi="Times New Roman" w:cs="Times New Roman" w:eastAsia="Times New Roman" w:hint="default"/>
        </w:rPr>
        <w:t>GR201435100154</w:t>
      </w:r>
      <w:r>
        <w:rPr/>
        <w:t>，发证日期为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日，有效期</w:t>
      </w:r>
      <w:r>
        <w:rPr>
          <w:rFonts w:ascii="Times New Roman" w:hAnsi="Times New Roman" w:cs="Times New Roman" w:eastAsia="Times New Roman" w:hint="default"/>
        </w:rPr>
        <w:t>3</w:t>
      </w:r>
      <w:r>
        <w:rPr/>
        <w:t>年。</w:t>
      </w:r>
    </w:p>
    <w:p>
      <w:pPr>
        <w:pStyle w:val="BodyText"/>
        <w:spacing w:line="240" w:lineRule="auto" w:before="136"/>
        <w:ind w:left="573" w:right="0"/>
        <w:jc w:val="left"/>
      </w:pPr>
      <w:r>
        <w:rPr/>
        <w:t>公司控股子公司新德汇获得广东安防系统</w:t>
      </w:r>
      <w:r>
        <w:rPr>
          <w:rFonts w:ascii="Times New Roman" w:hAnsi="Times New Roman" w:cs="Times New Roman" w:eastAsia="Times New Roman" w:hint="default"/>
        </w:rPr>
        <w:t>-</w:t>
      </w:r>
      <w:r>
        <w:rPr/>
        <w:t>设计、施工、维修资格证（一级）和</w:t>
      </w:r>
      <w:r>
        <w:rPr>
          <w:rFonts w:ascii="Times New Roman" w:hAnsi="Times New Roman" w:cs="Times New Roman" w:eastAsia="Times New Roman" w:hint="default"/>
        </w:rPr>
        <w:t>CMMI</w:t>
      </w:r>
      <w:r>
        <w:rPr>
          <w:rFonts w:ascii="Times New Roman" w:hAnsi="Times New Roman" w:cs="Times New Roman" w:eastAsia="Times New Roman" w:hint="default"/>
          <w:spacing w:val="2"/>
        </w:rPr>
        <w:t> </w:t>
      </w:r>
      <w:r>
        <w:rPr/>
        <w:t>三级认定证书。</w:t>
      </w:r>
    </w:p>
    <w:p>
      <w:pPr>
        <w:spacing w:line="240" w:lineRule="auto" w:before="7"/>
        <w:rPr>
          <w:rFonts w:ascii="宋体" w:hAnsi="宋体" w:cs="宋体" w:eastAsia="宋体" w:hint="default"/>
          <w:sz w:val="15"/>
          <w:szCs w:val="15"/>
        </w:rPr>
      </w:pPr>
    </w:p>
    <w:p>
      <w:pPr>
        <w:pStyle w:val="BodyText"/>
        <w:spacing w:line="314" w:lineRule="auto"/>
        <w:ind w:left="153" w:right="197" w:firstLine="420"/>
        <w:jc w:val="left"/>
      </w:pPr>
      <w:r>
        <w:rPr/>
        <w:t>（</w:t>
      </w:r>
      <w:r>
        <w:rPr>
          <w:rFonts w:ascii="Times New Roman" w:hAnsi="Times New Roman" w:cs="Times New Roman" w:eastAsia="Times New Roman" w:hint="default"/>
        </w:rPr>
        <w:t>3</w:t>
      </w:r>
      <w:r>
        <w:rPr/>
        <w:t>）产品及品牌方面：凭借强大的自主研发创新能力，公司荣获中国软件行业协会“</w:t>
      </w:r>
      <w:r>
        <w:rPr>
          <w:rFonts w:ascii="Times New Roman" w:hAnsi="Times New Roman" w:cs="Times New Roman" w:eastAsia="Times New Roman" w:hint="default"/>
        </w:rPr>
        <w:t>2014</w:t>
      </w:r>
      <w:r>
        <w:rPr/>
        <w:t>年度自主 可靠企业核心软件品牌”荣誉称号。</w:t>
      </w:r>
      <w:r>
        <w:rPr>
          <w:spacing w:val="-39"/>
        </w:rPr>
        <w:t> </w:t>
      </w:r>
      <w:r>
        <w:rPr>
          <w:spacing w:val="-3"/>
        </w:rPr>
        <w:t>“移动终端采集分析系统”荣获“厦门市科技进步奖”一等奖、“手</w:t>
      </w:r>
      <w:r>
        <w:rPr/>
        <w:t> </w:t>
      </w:r>
      <w:r>
        <w:rPr>
          <w:spacing w:val="-1"/>
        </w:rPr>
        <w:t>机数据采集分析系统”荣获“</w:t>
      </w:r>
      <w:r>
        <w:rPr>
          <w:rFonts w:ascii="Times New Roman" w:hAnsi="Times New Roman" w:cs="Times New Roman" w:eastAsia="Times New Roman" w:hint="default"/>
          <w:spacing w:val="-1"/>
        </w:rPr>
        <w:t>2014</w:t>
      </w:r>
      <w:r>
        <w:rPr>
          <w:spacing w:val="-1"/>
        </w:rPr>
        <w:t>年度公安部科学技术奖”三等奖，并有一项产品获得由国家信息安全产</w:t>
      </w:r>
      <w:r>
        <w:rPr>
          <w:spacing w:val="-84"/>
        </w:rPr>
        <w:t> </w:t>
      </w:r>
      <w:r>
        <w:rPr>
          <w:spacing w:val="-84"/>
        </w:rPr>
      </w:r>
      <w:r>
        <w:rPr/>
        <w:t>品测评中心颁发的</w:t>
      </w:r>
      <w:r>
        <w:rPr>
          <w:rFonts w:ascii="Times New Roman" w:hAnsi="Times New Roman" w:cs="Times New Roman" w:eastAsia="Times New Roman" w:hint="default"/>
        </w:rPr>
        <w:t>EAL3</w:t>
      </w:r>
      <w:r>
        <w:rPr/>
        <w:t>级证书，充分体现了公司在设计、开发、生产、销售、管理和交付等各个环节具 备了较高的信息安全保障能力。</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1</w:t>
      </w:r>
      <w:r>
        <w:rPr/>
        <w:t>）对外投资情况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1772"/>
        <w:gridCol w:w="1345"/>
        <w:gridCol w:w="1418"/>
        <w:gridCol w:w="426"/>
        <w:gridCol w:w="565"/>
        <w:gridCol w:w="992"/>
        <w:gridCol w:w="1134"/>
        <w:gridCol w:w="497"/>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bookmarkStart w:name="（5）投资状况分析" w:id="27"/>
            <w:bookmarkEnd w:id="27"/>
            <w:r>
              <w:rPr/>
            </w:r>
            <w:r>
              <w:rPr>
                <w:rFonts w:ascii="宋体" w:hAnsi="宋体" w:cs="宋体" w:eastAsia="宋体" w:hint="default"/>
                <w:sz w:val="18"/>
                <w:szCs w:val="18"/>
              </w:rPr>
              <w:t>变动幅度</w:t>
            </w:r>
          </w:p>
        </w:tc>
      </w:tr>
      <w:tr>
        <w:trPr>
          <w:trHeight w:val="403"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63,115,535.20</w:t>
            </w:r>
          </w:p>
        </w:tc>
        <w:tc>
          <w:tcPr>
            <w:tcW w:w="31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-92.08%</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73" w:right="73"/>
              <w:jc w:val="left"/>
              <w:rPr>
                <w:rFonts w:ascii="宋体" w:hAnsi="宋体" w:cs="宋体" w:eastAsia="宋体" w:hint="default"/>
                <w:sz w:val="18"/>
                <w:szCs w:val="18"/>
              </w:rPr>
            </w:pPr>
            <w:r>
              <w:rPr>
                <w:rFonts w:ascii="宋体" w:hAnsi="宋体" w:cs="宋体" w:eastAsia="宋体" w:hint="default"/>
                <w:sz w:val="18"/>
                <w:szCs w:val="18"/>
              </w:rPr>
              <w:t>上市公司占被投 资公司权益比例</w:t>
            </w:r>
          </w:p>
        </w:tc>
        <w:tc>
          <w:tcPr>
            <w:tcW w:w="99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01" w:right="110" w:hanging="90"/>
              <w:jc w:val="left"/>
              <w:rPr>
                <w:rFonts w:ascii="宋体" w:hAnsi="宋体" w:cs="宋体" w:eastAsia="宋体" w:hint="default"/>
                <w:sz w:val="18"/>
                <w:szCs w:val="18"/>
              </w:rPr>
            </w:pPr>
            <w:r>
              <w:rPr>
                <w:rFonts w:ascii="宋体" w:hAnsi="宋体" w:cs="宋体" w:eastAsia="宋体" w:hint="default"/>
                <w:sz w:val="18"/>
                <w:szCs w:val="18"/>
              </w:rPr>
              <w:t>本期投资盈 亏（元）</w:t>
            </w:r>
          </w:p>
        </w:tc>
        <w:tc>
          <w:tcPr>
            <w:tcW w:w="4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63" w:right="61"/>
              <w:jc w:val="left"/>
              <w:rPr>
                <w:rFonts w:ascii="宋体" w:hAnsi="宋体" w:cs="宋体" w:eastAsia="宋体" w:hint="default"/>
                <w:sz w:val="18"/>
                <w:szCs w:val="18"/>
              </w:rPr>
            </w:pPr>
            <w:r>
              <w:rPr>
                <w:rFonts w:ascii="宋体" w:hAnsi="宋体" w:cs="宋体" w:eastAsia="宋体" w:hint="default"/>
                <w:sz w:val="18"/>
                <w:szCs w:val="18"/>
              </w:rPr>
              <w:t>是否 涉诉</w:t>
            </w:r>
          </w:p>
        </w:tc>
      </w:tr>
      <w:tr>
        <w:trPr>
          <w:trHeight w:val="196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5"/>
              <w:jc w:val="left"/>
              <w:rPr>
                <w:rFonts w:ascii="宋体" w:hAnsi="宋体" w:cs="宋体" w:eastAsia="宋体" w:hint="default"/>
                <w:sz w:val="18"/>
                <w:szCs w:val="18"/>
              </w:rPr>
            </w:pPr>
            <w:r>
              <w:rPr>
                <w:rFonts w:ascii="宋体" w:hAnsi="宋体" w:cs="宋体" w:eastAsia="宋体" w:hint="default"/>
                <w:sz w:val="18"/>
                <w:szCs w:val="18"/>
              </w:rPr>
              <w:t>北京万诚信用评 价有限公司</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进出口商品及内销商品的生态原产地产 品评定服务，利用移动互联网和物联网 技术为监管机构、消费者和生产者提供 溯源鉴别的整体服务和解决方案；为客 户提供质量信用评级、风险管理咨询培 训等增值服务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30" w:right="0"/>
              <w:jc w:val="left"/>
              <w:rPr>
                <w:rFonts w:ascii="Times New Roman" w:hAnsi="Times New Roman" w:cs="Times New Roman" w:eastAsia="Times New Roman" w:hint="default"/>
                <w:sz w:val="18"/>
                <w:szCs w:val="18"/>
              </w:rPr>
            </w:pPr>
            <w:r>
              <w:rPr>
                <w:rFonts w:ascii="Times New Roman"/>
                <w:sz w:val="18"/>
              </w:rPr>
              <w:t>28.00%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北京陆桥质 检等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-3,042,876.57</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1"/>
        <w:rPr>
          <w:rFonts w:ascii="宋体" w:hAnsi="宋体" w:cs="宋体" w:eastAsia="宋体" w:hint="default"/>
          <w:sz w:val="7"/>
          <w:szCs w:val="7"/>
        </w:rPr>
      </w:pPr>
    </w:p>
    <w:p>
      <w:pPr>
        <w:pStyle w:val="BodyText"/>
        <w:spacing w:line="240" w:lineRule="auto" w:before="35"/>
        <w:ind w:right="0"/>
        <w:jc w:val="left"/>
      </w:pPr>
      <w:r>
        <w:rPr>
          <w:rFonts w:ascii="Times New Roman" w:hAnsi="Times New Roman" w:cs="Times New Roman" w:eastAsia="Times New Roman" w:hint="default"/>
        </w:rPr>
        <w:t>2</w:t>
      </w:r>
      <w:r>
        <w:rPr/>
        <w:t>）募集资金使用情况</w:t>
      </w:r>
    </w:p>
    <w:p>
      <w:pPr>
        <w:spacing w:line="240" w:lineRule="auto" w:before="10"/>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7" w:footer="980" w:top="1060" w:bottom="1180" w:left="980" w:right="920"/>
        </w:sectPr>
      </w:pPr>
    </w:p>
    <w:p>
      <w:pPr>
        <w:pStyle w:val="BodyText"/>
        <w:spacing w:line="240" w:lineRule="auto" w:before="35"/>
        <w:ind w:right="-9"/>
        <w:jc w:val="left"/>
      </w:pPr>
      <w:r>
        <w:rPr>
          <w:rFonts w:ascii="Times New Roman" w:hAnsi="Times New Roman" w:cs="Times New Roman" w:eastAsia="Times New Roman" w:hint="default"/>
          <w:spacing w:val="-1"/>
        </w:rPr>
        <w:t>1.</w:t>
      </w:r>
      <w:r>
        <w:rPr>
          <w:spacing w:val="-1"/>
        </w:rPr>
        <w:t>募集资金总体使用情况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920"/>
          <w:cols w:num="2" w:equalWidth="0">
            <w:col w:w="2412" w:space="6327"/>
            <w:col w:w="127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0"/>
        <w:gridCol w:w="5468"/>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50,140.6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077"/>
        <w:gridCol w:w="5479"/>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2,098.44</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46,662.84</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4"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日，公司募集资金累计直接投入募投项目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46,662.84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万元（其中募集资金累计直接投入募投项目</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46,515.23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万元）尚未使用的金额为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3477.76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万元，尚未使用的募集资金存储与专户中。</w:t>
            </w:r>
          </w:p>
        </w:tc>
      </w:tr>
    </w:tbl>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747" w:footer="980" w:top="1060" w:bottom="1180" w:left="980" w:right="980"/>
        </w:sectPr>
      </w:pPr>
    </w:p>
    <w:p>
      <w:pPr>
        <w:pStyle w:val="BodyText"/>
        <w:spacing w:line="240" w:lineRule="auto" w:before="35"/>
        <w:ind w:right="-9"/>
        <w:jc w:val="left"/>
      </w:pPr>
      <w:r>
        <w:rPr>
          <w:rFonts w:ascii="Times New Roman" w:hAnsi="Times New Roman" w:cs="Times New Roman" w:eastAsia="Times New Roman" w:hint="default"/>
          <w:spacing w:val="-1"/>
        </w:rPr>
        <w:t>2.</w:t>
      </w:r>
      <w:r>
        <w:rPr>
          <w:spacing w:val="-1"/>
        </w:rPr>
        <w:t>募集资金承诺项目情况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412" w:space="6327"/>
            <w:col w:w="12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737"/>
        <w:gridCol w:w="782"/>
        <w:gridCol w:w="893"/>
        <w:gridCol w:w="709"/>
        <w:gridCol w:w="851"/>
        <w:gridCol w:w="706"/>
        <w:gridCol w:w="851"/>
        <w:gridCol w:w="570"/>
        <w:gridCol w:w="709"/>
        <w:gridCol w:w="484"/>
        <w:gridCol w:w="722"/>
      </w:tblGrid>
      <w:tr>
        <w:trPr>
          <w:trHeight w:val="1650"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24" w:right="54"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32" w:right="-25"/>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4" w:right="85"/>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8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5"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78"/>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0"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2" w:right="61"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7"/>
              <w:ind w:left="112" w:right="0"/>
              <w:jc w:val="both"/>
              <w:rPr>
                <w:rFonts w:ascii="Times New Roman" w:hAnsi="Times New Roman" w:cs="Times New Roman" w:eastAsia="Times New Roman" w:hint="default"/>
                <w:sz w:val="18"/>
                <w:szCs w:val="18"/>
              </w:rPr>
            </w:pPr>
            <w:r>
              <w:rPr>
                <w:rFonts w:ascii="Times New Roman"/>
                <w:sz w:val="18"/>
              </w:rPr>
              <w:t>(2)/(1)</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0" w:right="5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5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99" w:right="98"/>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79" w:right="78"/>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6" w:right="55"/>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5"/>
              <w:jc w:val="left"/>
              <w:rPr>
                <w:rFonts w:ascii="宋体" w:hAnsi="宋体" w:cs="宋体" w:eastAsia="宋体" w:hint="default"/>
                <w:sz w:val="18"/>
                <w:szCs w:val="18"/>
              </w:rPr>
            </w:pPr>
            <w:r>
              <w:rPr>
                <w:rFonts w:ascii="宋体" w:hAnsi="宋体" w:cs="宋体" w:eastAsia="宋体" w:hint="default"/>
                <w:sz w:val="18"/>
                <w:szCs w:val="18"/>
              </w:rPr>
              <w:t>电子数据取证产品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6,993.29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6,939.62</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6,939.62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6,738.</w:t>
            </w:r>
          </w:p>
          <w:p>
            <w:pPr>
              <w:pStyle w:val="TableParagraph"/>
              <w:spacing w:line="240" w:lineRule="auto" w:before="106"/>
              <w:ind w:left="356" w:right="0"/>
              <w:jc w:val="left"/>
              <w:rPr>
                <w:rFonts w:ascii="Times New Roman" w:hAnsi="Times New Roman" w:cs="Times New Roman" w:eastAsia="Times New Roman" w:hint="default"/>
                <w:sz w:val="18"/>
                <w:szCs w:val="18"/>
              </w:rPr>
            </w:pPr>
            <w:r>
              <w:rPr>
                <w:rFonts w:ascii="Times New Roman"/>
                <w:sz w:val="18"/>
              </w:rPr>
              <w:t>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11,770.2</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网络信息安全产品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6,291.62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6,258.75</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6,258.75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430.61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3,115.43</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电子数据鉴定及知 识产权保护服务等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3,459.95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3,459.95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547.59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3,399.43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3,799.</w:t>
            </w:r>
          </w:p>
          <w:p>
            <w:pPr>
              <w:pStyle w:val="TableParagraph"/>
              <w:spacing w:line="240" w:lineRule="auto" w:before="106"/>
              <w:ind w:left="356" w:right="0"/>
              <w:jc w:val="left"/>
              <w:rPr>
                <w:rFonts w:ascii="Times New Roman" w:hAnsi="Times New Roman" w:cs="Times New Roman" w:eastAsia="Times New Roman" w:hint="default"/>
                <w:sz w:val="18"/>
                <w:szCs w:val="18"/>
              </w:rPr>
            </w:pPr>
            <w:r>
              <w:rPr>
                <w:rFonts w:ascii="Times New Roman"/>
                <w:sz w:val="18"/>
              </w:rPr>
              <w:t>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5,468.66</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节余募集资金永久 补充流动资金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4D4D4"/>
          </w:tcPr>
          <w:p>
            <w:pPr/>
          </w:p>
        </w:tc>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82"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16,744.86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16,744.86</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634.13</w:t>
            </w:r>
          </w:p>
        </w:tc>
        <w:tc>
          <w:tcPr>
            <w:tcW w:w="851" w:type="dxa"/>
            <w:vMerge w:val="restart"/>
            <w:tcBorders>
              <w:top w:val="single" w:sz="4" w:space="0" w:color="000000"/>
              <w:left w:val="single" w:sz="4" w:space="0" w:color="000000"/>
              <w:right w:val="single" w:sz="9"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16,684.34</w:t>
            </w:r>
          </w:p>
        </w:tc>
        <w:tc>
          <w:tcPr>
            <w:tcW w:w="706" w:type="dxa"/>
            <w:tcBorders>
              <w:top w:val="single" w:sz="4" w:space="0" w:color="000000"/>
              <w:left w:val="single" w:sz="4" w:space="0" w:color="000000"/>
              <w:bottom w:val="nil" w:sz="6" w:space="0" w:color="auto"/>
              <w:right w:val="single" w:sz="4" w:space="0" w:color="000000"/>
            </w:tcBorders>
            <w:shd w:val="clear" w:color="auto" w:fill="D4D4D4"/>
          </w:tcPr>
          <w:p>
            <w:pPr/>
          </w:p>
        </w:tc>
        <w:tc>
          <w:tcPr>
            <w:tcW w:w="851" w:type="dxa"/>
            <w:tcBorders>
              <w:top w:val="single" w:sz="4" w:space="0" w:color="000000"/>
              <w:left w:val="single" w:sz="4" w:space="0" w:color="000000"/>
              <w:bottom w:val="nil" w:sz="6" w:space="0" w:color="auto"/>
              <w:right w:val="single" w:sz="4" w:space="0" w:color="000000"/>
            </w:tcBorders>
            <w:shd w:val="clear" w:color="auto" w:fill="D4D4D4"/>
          </w:tcPr>
          <w:p>
            <w:pPr/>
          </w:p>
        </w:tc>
        <w:tc>
          <w:tcPr>
            <w:tcW w:w="570" w:type="dxa"/>
            <w:vMerge w:val="restart"/>
            <w:tcBorders>
              <w:top w:val="single" w:sz="4" w:space="0" w:color="000000"/>
              <w:left w:val="single" w:sz="10" w:space="0" w:color="D4D4D4"/>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10,968</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.28</w:t>
            </w:r>
          </w:p>
        </w:tc>
        <w:tc>
          <w:tcPr>
            <w:tcW w:w="709" w:type="dxa"/>
            <w:vMerge w:val="restart"/>
            <w:tcBorders>
              <w:top w:val="single" w:sz="4" w:space="0" w:color="000000"/>
              <w:left w:val="single" w:sz="4" w:space="0" w:color="000000"/>
              <w:right w:val="single" w:sz="9"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20,354.2</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9</w:t>
            </w:r>
          </w:p>
        </w:tc>
        <w:tc>
          <w:tcPr>
            <w:tcW w:w="484" w:type="dxa"/>
            <w:tcBorders>
              <w:top w:val="single" w:sz="4" w:space="0" w:color="000000"/>
              <w:left w:val="single" w:sz="4" w:space="0" w:color="000000"/>
              <w:bottom w:val="nil" w:sz="6" w:space="0" w:color="auto"/>
              <w:right w:val="single" w:sz="4" w:space="0" w:color="000000"/>
            </w:tcBorders>
            <w:shd w:val="clear" w:color="auto" w:fill="D4D4D4"/>
          </w:tcPr>
          <w:p>
            <w:pP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9"/>
              <w:jc w:val="center"/>
              <w:rPr>
                <w:rFonts w:ascii="Times New Roman" w:hAnsi="Times New Roman" w:cs="Times New Roman" w:eastAsia="Times New Roman" w:hint="default"/>
                <w:sz w:val="18"/>
                <w:szCs w:val="18"/>
              </w:rPr>
            </w:pPr>
            <w:r>
              <w:rPr>
                <w:rFonts w:ascii="Times New Roman"/>
                <w:sz w:val="18"/>
              </w:rPr>
              <w:t>--</w:t>
            </w:r>
          </w:p>
        </w:tc>
        <w:tc>
          <w:tcPr>
            <w:tcW w:w="782" w:type="dxa"/>
            <w:vMerge/>
            <w:tcBorders>
              <w:left w:val="single" w:sz="9" w:space="0" w:color="D4D4D4"/>
              <w:right w:val="single" w:sz="4" w:space="0" w:color="000000"/>
            </w:tcBorders>
          </w:tcPr>
          <w:p>
            <w:pPr/>
          </w:p>
        </w:tc>
        <w:tc>
          <w:tcPr>
            <w:tcW w:w="893"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9" w:space="0" w:color="D4D4D4"/>
            </w:tcBorders>
          </w:tcPr>
          <w:p>
            <w:pPr/>
          </w:p>
        </w:tc>
        <w:tc>
          <w:tcPr>
            <w:tcW w:w="70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70" w:type="dxa"/>
            <w:vMerge/>
            <w:tcBorders>
              <w:left w:val="single" w:sz="10" w:space="0" w:color="D4D4D4"/>
              <w:right w:val="single" w:sz="4" w:space="0" w:color="000000"/>
            </w:tcBorders>
          </w:tcPr>
          <w:p>
            <w:pPr/>
          </w:p>
        </w:tc>
        <w:tc>
          <w:tcPr>
            <w:tcW w:w="709" w:type="dxa"/>
            <w:vMerge/>
            <w:tcBorders>
              <w:left w:val="single" w:sz="4" w:space="0" w:color="000000"/>
              <w:right w:val="single" w:sz="9" w:space="0" w:color="D4D4D4"/>
            </w:tcBorders>
          </w:tcPr>
          <w:p>
            <w:pPr/>
          </w:p>
        </w:tc>
        <w:tc>
          <w:tcPr>
            <w:tcW w:w="4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560" w:type="dxa"/>
            <w:tcBorders>
              <w:top w:val="nil" w:sz="6" w:space="0" w:color="auto"/>
              <w:left w:val="single" w:sz="4" w:space="0" w:color="000000"/>
              <w:bottom w:val="single" w:sz="4" w:space="0" w:color="000000"/>
              <w:right w:val="single" w:sz="4" w:space="0" w:color="000000"/>
            </w:tcBorders>
            <w:shd w:val="clear" w:color="auto" w:fill="D4D4D4"/>
          </w:tcPr>
          <w:p>
            <w:pPr/>
          </w:p>
        </w:tc>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82" w:type="dxa"/>
            <w:vMerge/>
            <w:tcBorders>
              <w:left w:val="single" w:sz="9" w:space="0" w:color="D4D4D4"/>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9" w:space="0" w:color="D4D4D4"/>
            </w:tcBorders>
          </w:tcPr>
          <w:p>
            <w:pPr/>
          </w:p>
        </w:tc>
        <w:tc>
          <w:tcPr>
            <w:tcW w:w="706" w:type="dxa"/>
            <w:tcBorders>
              <w:top w:val="nil" w:sz="6" w:space="0" w:color="auto"/>
              <w:left w:val="single" w:sz="4" w:space="0" w:color="000000"/>
              <w:bottom w:val="single" w:sz="4" w:space="0" w:color="000000"/>
              <w:right w:val="single" w:sz="4" w:space="0" w:color="000000"/>
            </w:tcBorders>
            <w:shd w:val="clear" w:color="auto" w:fill="D4D4D4"/>
          </w:tcPr>
          <w:p>
            <w:pPr/>
          </w:p>
        </w:tc>
        <w:tc>
          <w:tcPr>
            <w:tcW w:w="851" w:type="dxa"/>
            <w:tcBorders>
              <w:top w:val="nil" w:sz="6" w:space="0" w:color="auto"/>
              <w:left w:val="single" w:sz="4" w:space="0" w:color="000000"/>
              <w:bottom w:val="single" w:sz="4" w:space="0" w:color="000000"/>
              <w:right w:val="single" w:sz="4" w:space="0" w:color="000000"/>
            </w:tcBorders>
            <w:shd w:val="clear" w:color="auto" w:fill="D4D4D4"/>
          </w:tcPr>
          <w:p>
            <w:pPr/>
          </w:p>
        </w:tc>
        <w:tc>
          <w:tcPr>
            <w:tcW w:w="570" w:type="dxa"/>
            <w:vMerge/>
            <w:tcBorders>
              <w:left w:val="single" w:sz="10" w:space="0" w:color="D4D4D4"/>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9" w:space="0" w:color="D4D4D4"/>
            </w:tcBorders>
          </w:tcPr>
          <w:p>
            <w:pPr/>
          </w:p>
        </w:tc>
        <w:tc>
          <w:tcPr>
            <w:tcW w:w="484" w:type="dxa"/>
            <w:tcBorders>
              <w:top w:val="nil" w:sz="6" w:space="0" w:color="auto"/>
              <w:left w:val="single" w:sz="4" w:space="0" w:color="000000"/>
              <w:bottom w:val="single" w:sz="4" w:space="0" w:color="000000"/>
              <w:right w:val="single" w:sz="4" w:space="0" w:color="000000"/>
            </w:tcBorders>
            <w:shd w:val="clear" w:color="auto" w:fill="D4D4D4"/>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7"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追加投资建设超级 计算中心（云计算 中心）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3,012.49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3,012.49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917.76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2,762.76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电子数据公证云项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1,363.15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1,302.08</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1,302.08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-216.60</w:t>
            </w:r>
          </w:p>
        </w:tc>
        <w:tc>
          <w:tcPr>
            <w:tcW w:w="48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购买研发大楼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16,468.61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15,968.75</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15,968.75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收购新德汇公司股 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5,854.8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4,883.84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4,883.84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813.38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1,358.49</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34.940002pt;margin-top:276.419983pt;width:400.15pt;height:25.4pt;mso-position-horizontal-relative:page;mso-position-vertical-relative:page;z-index:-945400" coordorigin="2699,5528" coordsize="8003,508">
            <v:group style="position:absolute;left:2699;top:5880;width:8003;height:156" coordorigin="2699,5880" coordsize="8003,156">
              <v:shape style="position:absolute;left:2699;top:5880;width:8003;height:156" coordorigin="2699,5880" coordsize="8003,156" path="m2699,6036l10702,6036,10702,5880,2699,5880,2699,6036xe" filled="true" fillcolor="#ffffff" stroked="false">
                <v:path arrowok="t"/>
                <v:fill type="solid"/>
              </v:shape>
            </v:group>
            <v:group style="position:absolute;left:2722;top:5528;width:7958;height:352" coordorigin="2722,5528" coordsize="7958,352">
              <v:shape style="position:absolute;left:2722;top:5528;width:7958;height:352" coordorigin="2722,5528" coordsize="7958,352" path="m2722,5880l10679,5880,10679,5528,2722,5528,2722,588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549"/>
        <w:gridCol w:w="708"/>
        <w:gridCol w:w="811"/>
        <w:gridCol w:w="893"/>
        <w:gridCol w:w="709"/>
        <w:gridCol w:w="851"/>
        <w:gridCol w:w="706"/>
        <w:gridCol w:w="851"/>
        <w:gridCol w:w="570"/>
        <w:gridCol w:w="709"/>
        <w:gridCol w:w="484"/>
        <w:gridCol w:w="722"/>
      </w:tblGrid>
      <w:tr>
        <w:trPr>
          <w:trHeight w:val="1026" w:hRule="exact"/>
        </w:trPr>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85"/>
              <w:jc w:val="both"/>
              <w:rPr>
                <w:rFonts w:ascii="宋体" w:hAnsi="宋体" w:cs="宋体" w:eastAsia="宋体" w:hint="default"/>
                <w:sz w:val="18"/>
                <w:szCs w:val="18"/>
              </w:rPr>
            </w:pPr>
            <w:r>
              <w:rPr>
                <w:rFonts w:ascii="宋体" w:hAnsi="宋体" w:cs="宋体" w:eastAsia="宋体" w:hint="default"/>
                <w:sz w:val="18"/>
                <w:szCs w:val="18"/>
              </w:rPr>
              <w:t>电子数据公证云项 目节余募集资金永 久补充流动资金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49"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11" w:right="85"/>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08" w:type="dxa"/>
            <w:tcBorders>
              <w:top w:val="single" w:sz="4" w:space="0" w:color="000000"/>
              <w:left w:val="single" w:sz="4" w:space="0" w:color="000000"/>
              <w:bottom w:val="nil" w:sz="6" w:space="0" w:color="auto"/>
              <w:right w:val="single" w:sz="4" w:space="0" w:color="000000"/>
            </w:tcBorders>
            <w:shd w:val="clear" w:color="auto" w:fill="D4D4D4"/>
          </w:tcPr>
          <w:p>
            <w:pPr/>
          </w:p>
        </w:tc>
        <w:tc>
          <w:tcPr>
            <w:tcW w:w="811" w:type="dxa"/>
            <w:vMerge w:val="restart"/>
            <w:tcBorders>
              <w:top w:val="single" w:sz="4" w:space="0" w:color="000000"/>
              <w:left w:val="single" w:sz="9" w:space="0" w:color="D4D4D4"/>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9" w:space="0" w:color="D4D4D4"/>
            </w:tcBorders>
          </w:tcPr>
          <w:p>
            <w:pPr/>
          </w:p>
        </w:tc>
        <w:tc>
          <w:tcPr>
            <w:tcW w:w="851" w:type="dxa"/>
            <w:tcBorders>
              <w:top w:val="single" w:sz="4" w:space="0" w:color="000000"/>
              <w:left w:val="single" w:sz="4" w:space="0" w:color="000000"/>
              <w:bottom w:val="nil" w:sz="6" w:space="0" w:color="auto"/>
              <w:right w:val="single" w:sz="4" w:space="0" w:color="000000"/>
            </w:tcBorders>
            <w:shd w:val="clear" w:color="auto" w:fill="D4D4D4"/>
          </w:tcPr>
          <w:p>
            <w:pPr/>
          </w:p>
        </w:tc>
        <w:tc>
          <w:tcPr>
            <w:tcW w:w="570" w:type="dxa"/>
            <w:tcBorders>
              <w:top w:val="single" w:sz="4" w:space="0" w:color="000000"/>
              <w:left w:val="single" w:sz="4" w:space="0" w:color="000000"/>
              <w:bottom w:val="nil" w:sz="6" w:space="0" w:color="auto"/>
              <w:right w:val="single" w:sz="4" w:space="0" w:color="000000"/>
            </w:tcBorders>
            <w:shd w:val="clear" w:color="auto" w:fill="D4D4D4"/>
          </w:tcPr>
          <w:p>
            <w:pP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c>
          <w:tcPr>
            <w:tcW w:w="484" w:type="dxa"/>
            <w:tcBorders>
              <w:top w:val="single" w:sz="4" w:space="0" w:color="000000"/>
              <w:left w:val="single" w:sz="4" w:space="0" w:color="000000"/>
              <w:bottom w:val="nil" w:sz="6" w:space="0" w:color="auto"/>
              <w:right w:val="single" w:sz="4" w:space="0" w:color="000000"/>
            </w:tcBorders>
            <w:shd w:val="clear" w:color="auto" w:fill="D4D4D4"/>
          </w:tcPr>
          <w:p>
            <w:pP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2" w:hRule="exact"/>
        </w:trPr>
        <w:tc>
          <w:tcPr>
            <w:tcW w:w="1549" w:type="dxa"/>
            <w:vMerge/>
            <w:tcBorders>
              <w:left w:val="single" w:sz="4" w:space="0" w:color="000000"/>
              <w:right w:val="single" w:sz="4" w:space="0" w:color="000000"/>
            </w:tcBorders>
            <w:shd w:val="clear" w:color="auto" w:fill="D4D4D4"/>
          </w:tcPr>
          <w:p>
            <w:pPr/>
          </w:p>
        </w:tc>
        <w:tc>
          <w:tcPr>
            <w:tcW w:w="70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w:t>
            </w:r>
          </w:p>
        </w:tc>
        <w:tc>
          <w:tcPr>
            <w:tcW w:w="811" w:type="dxa"/>
            <w:vMerge/>
            <w:tcBorders>
              <w:left w:val="single" w:sz="9" w:space="0" w:color="D4D4D4"/>
              <w:right w:val="single" w:sz="4" w:space="0" w:color="000000"/>
            </w:tcBorders>
          </w:tcPr>
          <w:p>
            <w:pPr/>
          </w:p>
        </w:tc>
        <w:tc>
          <w:tcPr>
            <w:tcW w:w="893"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6" w:type="dxa"/>
            <w:vMerge/>
            <w:tcBorders>
              <w:left w:val="single" w:sz="4" w:space="0" w:color="000000"/>
              <w:right w:val="single" w:sz="9" w:space="0" w:color="D4D4D4"/>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7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549" w:type="dxa"/>
            <w:vMerge/>
            <w:tcBorders>
              <w:left w:val="single" w:sz="4" w:space="0" w:color="000000"/>
              <w:bottom w:val="single" w:sz="4" w:space="0" w:color="000000"/>
              <w:right w:val="single" w:sz="4" w:space="0" w:color="000000"/>
            </w:tcBorders>
            <w:shd w:val="clear" w:color="auto" w:fill="D4D4D4"/>
          </w:tcPr>
          <w:p>
            <w:pPr/>
          </w:p>
        </w:tc>
        <w:tc>
          <w:tcPr>
            <w:tcW w:w="708" w:type="dxa"/>
            <w:tcBorders>
              <w:top w:val="nil" w:sz="6" w:space="0" w:color="auto"/>
              <w:left w:val="single" w:sz="4" w:space="0" w:color="000000"/>
              <w:bottom w:val="single" w:sz="4" w:space="0" w:color="000000"/>
              <w:right w:val="single" w:sz="4" w:space="0" w:color="000000"/>
            </w:tcBorders>
            <w:shd w:val="clear" w:color="auto" w:fill="D4D4D4"/>
          </w:tcPr>
          <w:p>
            <w:pPr/>
          </w:p>
        </w:tc>
        <w:tc>
          <w:tcPr>
            <w:tcW w:w="811" w:type="dxa"/>
            <w:vMerge/>
            <w:tcBorders>
              <w:left w:val="single" w:sz="9" w:space="0" w:color="D4D4D4"/>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9" w:space="0" w:color="D4D4D4"/>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D4D4D4"/>
          </w:tcPr>
          <w:p>
            <w:pPr/>
          </w:p>
        </w:tc>
        <w:tc>
          <w:tcPr>
            <w:tcW w:w="570" w:type="dxa"/>
            <w:tcBorders>
              <w:top w:val="nil" w:sz="6" w:space="0" w:color="auto"/>
              <w:left w:val="single" w:sz="4" w:space="0" w:color="000000"/>
              <w:bottom w:val="single" w:sz="4" w:space="0" w:color="000000"/>
              <w:right w:val="single" w:sz="4" w:space="0" w:color="000000"/>
            </w:tcBorders>
            <w:shd w:val="clear" w:color="auto" w:fill="D4D4D4"/>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c>
          <w:tcPr>
            <w:tcW w:w="484" w:type="dxa"/>
            <w:tcBorders>
              <w:top w:val="nil" w:sz="6" w:space="0" w:color="auto"/>
              <w:left w:val="single" w:sz="4" w:space="0" w:color="000000"/>
              <w:bottom w:val="single" w:sz="4" w:space="0" w:color="000000"/>
              <w:right w:val="single" w:sz="4" w:space="0" w:color="000000"/>
            </w:tcBorders>
            <w:shd w:val="clear" w:color="auto" w:fill="D4D4D4"/>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549"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11" w:right="85"/>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08" w:type="dxa"/>
            <w:tcBorders>
              <w:top w:val="single" w:sz="4" w:space="0" w:color="000000"/>
              <w:left w:val="single" w:sz="4" w:space="0" w:color="000000"/>
              <w:bottom w:val="nil" w:sz="6" w:space="0" w:color="auto"/>
              <w:right w:val="single" w:sz="4" w:space="0" w:color="000000"/>
            </w:tcBorders>
            <w:shd w:val="clear" w:color="auto" w:fill="D4D4D4"/>
          </w:tcPr>
          <w:p>
            <w:pPr/>
          </w:p>
        </w:tc>
        <w:tc>
          <w:tcPr>
            <w:tcW w:w="811" w:type="dxa"/>
            <w:vMerge w:val="restart"/>
            <w:tcBorders>
              <w:top w:val="single" w:sz="4" w:space="0" w:color="000000"/>
              <w:left w:val="single" w:sz="9" w:space="0" w:color="D4D4D4"/>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5,000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5,000</w:t>
            </w: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5,000</w:t>
            </w:r>
          </w:p>
        </w:tc>
        <w:tc>
          <w:tcPr>
            <w:tcW w:w="706" w:type="dxa"/>
            <w:vMerge w:val="restart"/>
            <w:tcBorders>
              <w:top w:val="single" w:sz="4" w:space="0" w:color="000000"/>
              <w:left w:val="single" w:sz="4" w:space="0" w:color="000000"/>
              <w:right w:val="single" w:sz="9" w:space="0" w:color="D4D4D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nil" w:sz="6" w:space="0" w:color="auto"/>
              <w:right w:val="single" w:sz="4" w:space="0" w:color="000000"/>
            </w:tcBorders>
            <w:shd w:val="clear" w:color="auto" w:fill="D4D4D4"/>
          </w:tcPr>
          <w:p>
            <w:pPr/>
          </w:p>
        </w:tc>
        <w:tc>
          <w:tcPr>
            <w:tcW w:w="570" w:type="dxa"/>
            <w:tcBorders>
              <w:top w:val="single" w:sz="4" w:space="0" w:color="000000"/>
              <w:left w:val="single" w:sz="4" w:space="0" w:color="000000"/>
              <w:bottom w:val="nil" w:sz="6" w:space="0" w:color="auto"/>
              <w:right w:val="single" w:sz="4" w:space="0" w:color="000000"/>
            </w:tcBorders>
            <w:shd w:val="clear" w:color="auto" w:fill="D4D4D4"/>
          </w:tcPr>
          <w:p>
            <w:pP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c>
          <w:tcPr>
            <w:tcW w:w="484" w:type="dxa"/>
            <w:tcBorders>
              <w:top w:val="single" w:sz="4" w:space="0" w:color="000000"/>
              <w:left w:val="single" w:sz="4" w:space="0" w:color="000000"/>
              <w:bottom w:val="nil" w:sz="6" w:space="0" w:color="auto"/>
              <w:right w:val="single" w:sz="4" w:space="0" w:color="000000"/>
            </w:tcBorders>
            <w:shd w:val="clear" w:color="auto" w:fill="D4D4D4"/>
          </w:tcPr>
          <w:p>
            <w:pP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2" w:hRule="exact"/>
        </w:trPr>
        <w:tc>
          <w:tcPr>
            <w:tcW w:w="1549" w:type="dxa"/>
            <w:vMerge/>
            <w:tcBorders>
              <w:left w:val="single" w:sz="4" w:space="0" w:color="000000"/>
              <w:right w:val="single" w:sz="4" w:space="0" w:color="000000"/>
            </w:tcBorders>
            <w:shd w:val="clear" w:color="auto" w:fill="D4D4D4"/>
          </w:tcPr>
          <w:p>
            <w:pPr/>
          </w:p>
        </w:tc>
        <w:tc>
          <w:tcPr>
            <w:tcW w:w="70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w:t>
            </w:r>
          </w:p>
        </w:tc>
        <w:tc>
          <w:tcPr>
            <w:tcW w:w="811" w:type="dxa"/>
            <w:vMerge/>
            <w:tcBorders>
              <w:left w:val="single" w:sz="9" w:space="0" w:color="D4D4D4"/>
              <w:right w:val="single" w:sz="4" w:space="0" w:color="000000"/>
            </w:tcBorders>
          </w:tcPr>
          <w:p>
            <w:pPr/>
          </w:p>
        </w:tc>
        <w:tc>
          <w:tcPr>
            <w:tcW w:w="893"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6" w:type="dxa"/>
            <w:vMerge/>
            <w:tcBorders>
              <w:left w:val="single" w:sz="4" w:space="0" w:color="000000"/>
              <w:right w:val="single" w:sz="9" w:space="0" w:color="D4D4D4"/>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7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549" w:type="dxa"/>
            <w:vMerge/>
            <w:tcBorders>
              <w:left w:val="single" w:sz="4" w:space="0" w:color="000000"/>
              <w:bottom w:val="single" w:sz="4" w:space="0" w:color="000000"/>
              <w:right w:val="single" w:sz="4" w:space="0" w:color="000000"/>
            </w:tcBorders>
            <w:shd w:val="clear" w:color="auto" w:fill="D4D4D4"/>
          </w:tcPr>
          <w:p>
            <w:pPr/>
          </w:p>
        </w:tc>
        <w:tc>
          <w:tcPr>
            <w:tcW w:w="708" w:type="dxa"/>
            <w:tcBorders>
              <w:top w:val="nil" w:sz="6" w:space="0" w:color="auto"/>
              <w:left w:val="single" w:sz="4" w:space="0" w:color="000000"/>
              <w:bottom w:val="single" w:sz="4" w:space="0" w:color="000000"/>
              <w:right w:val="single" w:sz="4" w:space="0" w:color="000000"/>
            </w:tcBorders>
            <w:shd w:val="clear" w:color="auto" w:fill="D4D4D4"/>
          </w:tcPr>
          <w:p>
            <w:pPr/>
          </w:p>
        </w:tc>
        <w:tc>
          <w:tcPr>
            <w:tcW w:w="811" w:type="dxa"/>
            <w:vMerge/>
            <w:tcBorders>
              <w:left w:val="single" w:sz="9" w:space="0" w:color="D4D4D4"/>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9" w:space="0" w:color="D4D4D4"/>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D4D4D4"/>
          </w:tcPr>
          <w:p>
            <w:pPr/>
          </w:p>
        </w:tc>
        <w:tc>
          <w:tcPr>
            <w:tcW w:w="570" w:type="dxa"/>
            <w:tcBorders>
              <w:top w:val="nil" w:sz="6" w:space="0" w:color="auto"/>
              <w:left w:val="single" w:sz="4" w:space="0" w:color="000000"/>
              <w:bottom w:val="single" w:sz="4" w:space="0" w:color="000000"/>
              <w:right w:val="single" w:sz="4" w:space="0" w:color="000000"/>
            </w:tcBorders>
            <w:shd w:val="clear" w:color="auto" w:fill="D4D4D4"/>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c>
          <w:tcPr>
            <w:tcW w:w="484" w:type="dxa"/>
            <w:tcBorders>
              <w:top w:val="nil" w:sz="6" w:space="0" w:color="auto"/>
              <w:left w:val="single" w:sz="4" w:space="0" w:color="000000"/>
              <w:bottom w:val="single" w:sz="4" w:space="0" w:color="000000"/>
              <w:right w:val="single" w:sz="4" w:space="0" w:color="000000"/>
            </w:tcBorders>
            <w:shd w:val="clear" w:color="auto" w:fill="D4D4D4"/>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15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w:t>
            </w:r>
          </w:p>
        </w:tc>
        <w:tc>
          <w:tcPr>
            <w:tcW w:w="81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31,699.05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30,228.23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1,464.31</w:t>
            </w:r>
          </w:p>
        </w:tc>
        <w:tc>
          <w:tcPr>
            <w:tcW w:w="85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29,978.5</w:t>
            </w:r>
          </w:p>
        </w:tc>
        <w:tc>
          <w:tcPr>
            <w:tcW w:w="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635.18</w:t>
            </w:r>
          </w:p>
        </w:tc>
        <w:tc>
          <w:tcPr>
            <w:tcW w:w="709"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1,141.89</w:t>
            </w:r>
          </w:p>
        </w:tc>
        <w:tc>
          <w:tcPr>
            <w:tcW w:w="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54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8" w:type="dxa"/>
            <w:tcBorders>
              <w:top w:val="single" w:sz="4" w:space="0" w:color="000000"/>
              <w:left w:val="single" w:sz="4" w:space="0" w:color="000000"/>
              <w:bottom w:val="nil" w:sz="6" w:space="0" w:color="auto"/>
              <w:right w:val="single" w:sz="4" w:space="0" w:color="000000"/>
            </w:tcBorders>
            <w:shd w:val="clear" w:color="auto" w:fill="D4D4D4"/>
          </w:tcPr>
          <w:p>
            <w:pPr/>
          </w:p>
        </w:tc>
        <w:tc>
          <w:tcPr>
            <w:tcW w:w="811" w:type="dxa"/>
            <w:vMerge w:val="restart"/>
            <w:tcBorders>
              <w:top w:val="single" w:sz="4" w:space="0" w:color="000000"/>
              <w:left w:val="single" w:sz="9" w:space="0" w:color="D4D4D4"/>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48,443.91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46,973.09</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2,098.44</w:t>
            </w:r>
          </w:p>
        </w:tc>
        <w:tc>
          <w:tcPr>
            <w:tcW w:w="851" w:type="dxa"/>
            <w:vMerge w:val="restart"/>
            <w:tcBorders>
              <w:top w:val="single" w:sz="4" w:space="0" w:color="000000"/>
              <w:left w:val="single" w:sz="4" w:space="0" w:color="000000"/>
              <w:right w:val="single" w:sz="9" w:space="0" w:color="D4D4D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46,662.84</w:t>
            </w:r>
          </w:p>
        </w:tc>
        <w:tc>
          <w:tcPr>
            <w:tcW w:w="706" w:type="dxa"/>
            <w:tcBorders>
              <w:top w:val="single" w:sz="4" w:space="0" w:color="000000"/>
              <w:left w:val="single" w:sz="4" w:space="0" w:color="000000"/>
              <w:bottom w:val="nil" w:sz="6" w:space="0" w:color="auto"/>
              <w:right w:val="single" w:sz="4" w:space="0" w:color="000000"/>
            </w:tcBorders>
            <w:shd w:val="clear" w:color="auto" w:fill="D4D4D4"/>
          </w:tcPr>
          <w:p>
            <w:pPr/>
          </w:p>
        </w:tc>
        <w:tc>
          <w:tcPr>
            <w:tcW w:w="851" w:type="dxa"/>
            <w:tcBorders>
              <w:top w:val="single" w:sz="4" w:space="0" w:color="000000"/>
              <w:left w:val="single" w:sz="4" w:space="0" w:color="000000"/>
              <w:bottom w:val="nil" w:sz="6" w:space="0" w:color="auto"/>
              <w:right w:val="single" w:sz="4" w:space="0" w:color="000000"/>
            </w:tcBorders>
            <w:shd w:val="clear" w:color="auto" w:fill="D4D4D4"/>
          </w:tcPr>
          <w:p>
            <w:pPr/>
          </w:p>
        </w:tc>
        <w:tc>
          <w:tcPr>
            <w:tcW w:w="570" w:type="dxa"/>
            <w:vMerge w:val="restart"/>
            <w:tcBorders>
              <w:top w:val="single" w:sz="4" w:space="0" w:color="000000"/>
              <w:left w:val="single" w:sz="10" w:space="0" w:color="D4D4D4"/>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11603.</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46</w:t>
            </w:r>
          </w:p>
        </w:tc>
        <w:tc>
          <w:tcPr>
            <w:tcW w:w="709" w:type="dxa"/>
            <w:vMerge w:val="restart"/>
            <w:tcBorders>
              <w:top w:val="single" w:sz="4" w:space="0" w:color="000000"/>
              <w:left w:val="single" w:sz="4" w:space="0" w:color="000000"/>
              <w:right w:val="single" w:sz="9"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21,496.1</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8</w:t>
            </w:r>
          </w:p>
        </w:tc>
        <w:tc>
          <w:tcPr>
            <w:tcW w:w="484" w:type="dxa"/>
            <w:tcBorders>
              <w:top w:val="single" w:sz="4" w:space="0" w:color="000000"/>
              <w:left w:val="single" w:sz="4" w:space="0" w:color="000000"/>
              <w:bottom w:val="nil" w:sz="6" w:space="0" w:color="auto"/>
              <w:right w:val="single" w:sz="4" w:space="0" w:color="000000"/>
            </w:tcBorders>
            <w:shd w:val="clear" w:color="auto" w:fill="D4D4D4"/>
          </w:tcPr>
          <w:p>
            <w:pP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2" w:hRule="exact"/>
        </w:trPr>
        <w:tc>
          <w:tcPr>
            <w:tcW w:w="154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w:t>
            </w:r>
          </w:p>
        </w:tc>
        <w:tc>
          <w:tcPr>
            <w:tcW w:w="811" w:type="dxa"/>
            <w:vMerge/>
            <w:tcBorders>
              <w:left w:val="single" w:sz="9" w:space="0" w:color="D4D4D4"/>
              <w:right w:val="single" w:sz="4" w:space="0" w:color="000000"/>
            </w:tcBorders>
          </w:tcPr>
          <w:p>
            <w:pPr/>
          </w:p>
        </w:tc>
        <w:tc>
          <w:tcPr>
            <w:tcW w:w="893"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9" w:space="0" w:color="D4D4D4"/>
            </w:tcBorders>
          </w:tcPr>
          <w:p>
            <w:pPr/>
          </w:p>
        </w:tc>
        <w:tc>
          <w:tcPr>
            <w:tcW w:w="70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70" w:type="dxa"/>
            <w:vMerge/>
            <w:tcBorders>
              <w:left w:val="single" w:sz="10" w:space="0" w:color="D4D4D4"/>
              <w:right w:val="single" w:sz="4" w:space="0" w:color="000000"/>
            </w:tcBorders>
          </w:tcPr>
          <w:p>
            <w:pPr/>
          </w:p>
        </w:tc>
        <w:tc>
          <w:tcPr>
            <w:tcW w:w="709" w:type="dxa"/>
            <w:vMerge/>
            <w:tcBorders>
              <w:left w:val="single" w:sz="4" w:space="0" w:color="000000"/>
              <w:right w:val="single" w:sz="9" w:space="0" w:color="D4D4D4"/>
            </w:tcBorders>
          </w:tcPr>
          <w:p>
            <w:pPr/>
          </w:p>
        </w:tc>
        <w:tc>
          <w:tcPr>
            <w:tcW w:w="4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549" w:type="dxa"/>
            <w:tcBorders>
              <w:top w:val="nil" w:sz="6" w:space="0" w:color="auto"/>
              <w:left w:val="single" w:sz="4" w:space="0" w:color="000000"/>
              <w:bottom w:val="single" w:sz="4" w:space="0" w:color="000000"/>
              <w:right w:val="single" w:sz="4" w:space="0" w:color="000000"/>
            </w:tcBorders>
            <w:shd w:val="clear" w:color="auto" w:fill="D4D4D4"/>
          </w:tcPr>
          <w:p>
            <w:pPr/>
          </w:p>
        </w:tc>
        <w:tc>
          <w:tcPr>
            <w:tcW w:w="708" w:type="dxa"/>
            <w:tcBorders>
              <w:top w:val="nil" w:sz="6" w:space="0" w:color="auto"/>
              <w:left w:val="single" w:sz="4" w:space="0" w:color="000000"/>
              <w:bottom w:val="single" w:sz="4" w:space="0" w:color="000000"/>
              <w:right w:val="single" w:sz="4" w:space="0" w:color="000000"/>
            </w:tcBorders>
            <w:shd w:val="clear" w:color="auto" w:fill="D4D4D4"/>
          </w:tcPr>
          <w:p>
            <w:pPr/>
          </w:p>
        </w:tc>
        <w:tc>
          <w:tcPr>
            <w:tcW w:w="811" w:type="dxa"/>
            <w:vMerge/>
            <w:tcBorders>
              <w:left w:val="single" w:sz="9" w:space="0" w:color="D4D4D4"/>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9" w:space="0" w:color="D4D4D4"/>
            </w:tcBorders>
          </w:tcPr>
          <w:p>
            <w:pPr/>
          </w:p>
        </w:tc>
        <w:tc>
          <w:tcPr>
            <w:tcW w:w="706" w:type="dxa"/>
            <w:tcBorders>
              <w:top w:val="nil" w:sz="6" w:space="0" w:color="auto"/>
              <w:left w:val="single" w:sz="4" w:space="0" w:color="000000"/>
              <w:bottom w:val="single" w:sz="4" w:space="0" w:color="000000"/>
              <w:right w:val="single" w:sz="4" w:space="0" w:color="000000"/>
            </w:tcBorders>
            <w:shd w:val="clear" w:color="auto" w:fill="D4D4D4"/>
          </w:tcPr>
          <w:p>
            <w:pPr/>
          </w:p>
        </w:tc>
        <w:tc>
          <w:tcPr>
            <w:tcW w:w="851" w:type="dxa"/>
            <w:tcBorders>
              <w:top w:val="nil" w:sz="6" w:space="0" w:color="auto"/>
              <w:left w:val="single" w:sz="4" w:space="0" w:color="000000"/>
              <w:bottom w:val="single" w:sz="4" w:space="0" w:color="000000"/>
              <w:right w:val="single" w:sz="4" w:space="0" w:color="000000"/>
            </w:tcBorders>
            <w:shd w:val="clear" w:color="auto" w:fill="D4D4D4"/>
          </w:tcPr>
          <w:p>
            <w:pPr/>
          </w:p>
        </w:tc>
        <w:tc>
          <w:tcPr>
            <w:tcW w:w="570" w:type="dxa"/>
            <w:vMerge/>
            <w:tcBorders>
              <w:left w:val="single" w:sz="10" w:space="0" w:color="D4D4D4"/>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9" w:space="0" w:color="D4D4D4"/>
            </w:tcBorders>
          </w:tcPr>
          <w:p>
            <w:pPr/>
          </w:p>
        </w:tc>
        <w:tc>
          <w:tcPr>
            <w:tcW w:w="484" w:type="dxa"/>
            <w:tcBorders>
              <w:top w:val="nil" w:sz="6" w:space="0" w:color="auto"/>
              <w:left w:val="single" w:sz="4" w:space="0" w:color="000000"/>
              <w:bottom w:val="single" w:sz="4" w:space="0" w:color="000000"/>
              <w:right w:val="single" w:sz="4" w:space="0" w:color="000000"/>
            </w:tcBorders>
            <w:shd w:val="clear" w:color="auto" w:fill="D4D4D4"/>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026" w:hRule="exact"/>
        </w:trPr>
        <w:tc>
          <w:tcPr>
            <w:tcW w:w="1549"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319" w:lineRule="auto" w:before="51"/>
              <w:ind w:left="11" w:right="74"/>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w:t>
            </w:r>
            <w:r>
              <w:rPr>
                <w:rFonts w:ascii="宋体" w:hAnsi="宋体" w:cs="宋体" w:eastAsia="宋体" w:hint="default"/>
                <w:spacing w:val="-4"/>
                <w:sz w:val="18"/>
                <w:szCs w:val="18"/>
              </w:rPr>
              <w:t>原因（分具体项目</w:t>
            </w:r>
          </w:p>
        </w:tc>
        <w:tc>
          <w:tcPr>
            <w:tcW w:w="8014" w:type="dxa"/>
            <w:gridSpan w:val="11"/>
            <w:tcBorders>
              <w:top w:val="single" w:sz="4" w:space="0" w:color="000000"/>
              <w:left w:val="single" w:sz="9" w:space="0" w:color="FFFFFF"/>
              <w:bottom w:val="single" w:sz="4" w:space="0" w:color="000000"/>
              <w:right w:val="single" w:sz="4" w:space="0" w:color="000000"/>
            </w:tcBorders>
          </w:tcPr>
          <w:p>
            <w:pPr>
              <w:pStyle w:val="TableParagraph"/>
              <w:spacing w:line="310" w:lineRule="atLeast" w:before="133"/>
              <w:ind w:left="16" w:right="138"/>
              <w:jc w:val="left"/>
              <w:rPr>
                <w:rFonts w:ascii="宋体" w:hAnsi="宋体" w:cs="宋体" w:eastAsia="宋体" w:hint="default"/>
                <w:sz w:val="18"/>
                <w:szCs w:val="18"/>
              </w:rPr>
            </w:pPr>
            <w:r>
              <w:rPr>
                <w:rFonts w:ascii="宋体" w:hAnsi="宋体" w:cs="宋体" w:eastAsia="宋体" w:hint="default"/>
                <w:sz w:val="18"/>
                <w:szCs w:val="18"/>
              </w:rPr>
              <w:t>网络信 安全产</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556" w:right="59"/>
              <w:jc w:val="left"/>
              <w:rPr>
                <w:rFonts w:ascii="宋体" w:hAnsi="宋体" w:cs="宋体" w:eastAsia="宋体" w:hint="default"/>
                <w:sz w:val="18"/>
                <w:szCs w:val="18"/>
              </w:rPr>
            </w:pPr>
            <w:r>
              <w:rPr>
                <w:rFonts w:ascii="宋体" w:hAnsi="宋体" w:cs="宋体" w:eastAsia="宋体" w:hint="default"/>
                <w:sz w:val="18"/>
                <w:szCs w:val="18"/>
              </w:rPr>
              <w:t>息安全产品项目，效益较低主要是由于公司“小产品、大服务”战略的进一步推进，网络信息 品继续向服务转化，产品收入有所下降所致。</w:t>
            </w:r>
          </w:p>
        </w:tc>
      </w:tr>
      <w:tr>
        <w:trPr>
          <w:trHeight w:val="714" w:hRule="exact"/>
        </w:trPr>
        <w:tc>
          <w:tcPr>
            <w:tcW w:w="15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8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014"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549" w:type="dxa"/>
            <w:vMerge w:val="restart"/>
            <w:tcBorders>
              <w:top w:val="single" w:sz="4" w:space="0" w:color="000000"/>
              <w:left w:val="single" w:sz="4" w:space="0" w:color="000000"/>
              <w:right w:val="single" w:sz="4" w:space="0" w:color="000000"/>
            </w:tcBorders>
            <w:shd w:val="clear" w:color="auto" w:fill="D4D4D4"/>
          </w:tcPr>
          <w:p>
            <w:pPr/>
          </w:p>
        </w:tc>
        <w:tc>
          <w:tcPr>
            <w:tcW w:w="801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40" w:hRule="exact"/>
        </w:trPr>
        <w:tc>
          <w:tcPr>
            <w:tcW w:w="1549" w:type="dxa"/>
            <w:vMerge/>
            <w:tcBorders>
              <w:left w:val="single" w:sz="4" w:space="0" w:color="000000"/>
              <w:bottom w:val="nil" w:sz="6" w:space="0" w:color="auto"/>
              <w:right w:val="single" w:sz="4" w:space="0" w:color="000000"/>
            </w:tcBorders>
            <w:shd w:val="clear" w:color="auto" w:fill="D4D4D4"/>
          </w:tcPr>
          <w:p>
            <w:pPr/>
          </w:p>
        </w:tc>
        <w:tc>
          <w:tcPr>
            <w:tcW w:w="8014" w:type="dxa"/>
            <w:gridSpan w:val="11"/>
            <w:vMerge w:val="restart"/>
            <w:tcBorders>
              <w:top w:val="single" w:sz="4" w:space="0" w:color="000000"/>
              <w:left w:val="single" w:sz="9" w:space="0" w:color="D4D4D4"/>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为合理利用好超募资金，公司制定了超募资金使用计划：①使用超募资金人民币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万元投资建</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设电子数据公证云项目；②使用超募资金人民币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3,012.49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万元追加投资建设超算中心（云计算中心）</w:t>
            </w:r>
          </w:p>
          <w:p>
            <w:pPr>
              <w:pStyle w:val="TableParagraph"/>
              <w:spacing w:line="240" w:lineRule="auto" w:before="62"/>
              <w:ind w:left="16"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项目；③使用超募资金人民币</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16,468.61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万元购买大楼用于建设研发生产中心项目，该项目经公司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2011</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年度股东大会审议通过，目前大楼已交房。④永久性补充流动资金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w:t>
            </w:r>
          </w:p>
          <w:p>
            <w:pPr>
              <w:pStyle w:val="TableParagraph"/>
              <w:spacing w:line="300" w:lineRule="auto" w:before="62"/>
              <w:ind w:left="16" w:right="44"/>
              <w:jc w:val="left"/>
              <w:rPr>
                <w:rFonts w:ascii="宋体" w:hAnsi="宋体" w:cs="宋体" w:eastAsia="宋体" w:hint="default"/>
                <w:sz w:val="18"/>
                <w:szCs w:val="18"/>
              </w:rPr>
            </w:pPr>
            <w:r>
              <w:rPr>
                <w:rFonts w:ascii="宋体" w:hAnsi="宋体" w:cs="宋体" w:eastAsia="宋体" w:hint="default"/>
                <w:sz w:val="18"/>
                <w:szCs w:val="18"/>
              </w:rPr>
              <w:t>东大会审议通过后实施，目前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万元超募资金已补充为流动资金。⑤使用超募资金人民币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5854.8 </w:t>
            </w:r>
            <w:r>
              <w:rPr>
                <w:rFonts w:ascii="宋体" w:hAnsi="宋体" w:cs="宋体" w:eastAsia="宋体" w:hint="default"/>
                <w:sz w:val="18"/>
                <w:szCs w:val="18"/>
              </w:rPr>
              <w:t>万元，收购珠海新德汇公司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股权，该项目已完成工商变更登记手续。公司剩余超募资金将主要用 </w:t>
            </w:r>
            <w:r>
              <w:rPr>
                <w:rFonts w:ascii="宋体" w:hAnsi="宋体" w:cs="宋体" w:eastAsia="宋体" w:hint="default"/>
                <w:spacing w:val="-4"/>
                <w:sz w:val="18"/>
                <w:szCs w:val="18"/>
              </w:rPr>
              <w:t>于以下几方面：（</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）增加在电子数据取证和网络信息安全产品研发销售方面的投入；（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）根据公司战</w:t>
            </w:r>
            <w:r>
              <w:rPr>
                <w:rFonts w:ascii="宋体" w:hAnsi="宋体" w:cs="宋体" w:eastAsia="宋体" w:hint="default"/>
                <w:spacing w:val="-86"/>
                <w:sz w:val="18"/>
                <w:szCs w:val="18"/>
              </w:rPr>
              <w:t> </w:t>
            </w:r>
            <w:r>
              <w:rPr>
                <w:rFonts w:ascii="宋体" w:hAnsi="宋体" w:cs="宋体" w:eastAsia="宋体" w:hint="default"/>
                <w:spacing w:val="-2"/>
                <w:sz w:val="18"/>
                <w:szCs w:val="18"/>
              </w:rPr>
              <w:t>略发展目标，适度并购有利于提升公司综合研发能力和开拓新市场的同行或上下游企业；（</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）补充公</w:t>
            </w:r>
            <w:r>
              <w:rPr>
                <w:rFonts w:ascii="宋体" w:hAnsi="宋体" w:cs="宋体" w:eastAsia="宋体" w:hint="default"/>
                <w:sz w:val="18"/>
                <w:szCs w:val="18"/>
              </w:rPr>
              <w:t> 司流动资金。</w:t>
            </w:r>
          </w:p>
        </w:tc>
      </w:tr>
      <w:tr>
        <w:trPr>
          <w:trHeight w:val="1015" w:hRule="exact"/>
        </w:trPr>
        <w:tc>
          <w:tcPr>
            <w:tcW w:w="154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51"/>
              <w:ind w:left="11" w:right="85"/>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8014" w:type="dxa"/>
            <w:gridSpan w:val="11"/>
            <w:vMerge/>
            <w:tcBorders>
              <w:left w:val="single" w:sz="9" w:space="0" w:color="D4D4D4"/>
              <w:right w:val="single" w:sz="4" w:space="0" w:color="000000"/>
            </w:tcBorders>
          </w:tcPr>
          <w:p>
            <w:pPr/>
          </w:p>
        </w:tc>
      </w:tr>
      <w:tr>
        <w:trPr>
          <w:trHeight w:val="1142" w:hRule="exact"/>
        </w:trPr>
        <w:tc>
          <w:tcPr>
            <w:tcW w:w="1549" w:type="dxa"/>
            <w:tcBorders>
              <w:top w:val="nil" w:sz="6" w:space="0" w:color="auto"/>
              <w:left w:val="single" w:sz="4" w:space="0" w:color="000000"/>
              <w:bottom w:val="single" w:sz="4" w:space="0" w:color="000000"/>
              <w:right w:val="single" w:sz="4" w:space="0" w:color="000000"/>
            </w:tcBorders>
            <w:shd w:val="clear" w:color="auto" w:fill="D4D4D4"/>
          </w:tcPr>
          <w:p>
            <w:pPr/>
          </w:p>
        </w:tc>
        <w:tc>
          <w:tcPr>
            <w:tcW w:w="8014" w:type="dxa"/>
            <w:gridSpan w:val="11"/>
            <w:vMerge/>
            <w:tcBorders>
              <w:left w:val="single" w:sz="9" w:space="0" w:color="D4D4D4"/>
              <w:bottom w:val="single" w:sz="4" w:space="0" w:color="000000"/>
              <w:right w:val="single" w:sz="4" w:space="0" w:color="000000"/>
            </w:tcBorders>
          </w:tcPr>
          <w:p>
            <w:pPr/>
          </w:p>
        </w:tc>
      </w:tr>
      <w:tr>
        <w:trPr>
          <w:trHeight w:val="827" w:hRule="exact"/>
        </w:trPr>
        <w:tc>
          <w:tcPr>
            <w:tcW w:w="15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107"/>
              <w:ind w:left="11" w:right="8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014"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5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8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014" w:type="dxa"/>
            <w:gridSpan w:val="11"/>
            <w:tcBorders>
              <w:top w:val="single" w:sz="4" w:space="0" w:color="000000"/>
              <w:left w:val="single" w:sz="13" w:space="0" w:color="D4D4D4"/>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4pt;height:675.1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014"/>
                  </w:tblGrid>
                  <w:tr>
                    <w:trPr>
                      <w:trHeight w:val="4236"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8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在首次公开发行股票募集资金到位之前，为保障募集资金投资项目的顺利进行，公司已使用自筹资金 投入部分募集资金投资项目的前期建设。截至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日止，公司以自筹资金预先投入募投项</w:t>
                        </w: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目累计金额为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64,759,485.59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元，其中向中国工商银行股份有限公司厦门东区支行借款</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761.00</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万元，其</w:t>
                        </w:r>
                        <w:r>
                          <w:rPr>
                            <w:rFonts w:ascii="宋体" w:hAnsi="宋体" w:cs="宋体" w:eastAsia="宋体" w:hint="default"/>
                            <w:sz w:val="18"/>
                            <w:szCs w:val="18"/>
                          </w:rPr>
                          <w:t> 余为公司自有资金。为提高资金利用率，降低财务成本，公司第一届董事会第十二次会议审议通过了</w:t>
                        </w:r>
                      </w:p>
                      <w:p>
                        <w:pPr>
                          <w:pStyle w:val="TableParagraph"/>
                          <w:spacing w:line="312" w:lineRule="auto" w:before="31"/>
                          <w:ind w:left="22" w:right="22"/>
                          <w:jc w:val="left"/>
                          <w:rPr>
                            <w:rFonts w:ascii="宋体" w:hAnsi="宋体" w:cs="宋体" w:eastAsia="宋体" w:hint="default"/>
                            <w:sz w:val="18"/>
                            <w:szCs w:val="18"/>
                          </w:rPr>
                        </w:pPr>
                        <w:r>
                          <w:rPr>
                            <w:rFonts w:ascii="宋体" w:hAnsi="宋体" w:cs="宋体" w:eastAsia="宋体" w:hint="default"/>
                            <w:sz w:val="18"/>
                            <w:szCs w:val="18"/>
                          </w:rPr>
                          <w:t>《关于使用募集资金置换公司预先已投入募集资金投资项目的自筹资金》的议案，拟置换人民币 </w:t>
                        </w:r>
                        <w:r>
                          <w:rPr>
                            <w:rFonts w:ascii="Times New Roman" w:hAnsi="Times New Roman" w:cs="Times New Roman" w:eastAsia="Times New Roman" w:hint="default"/>
                            <w:sz w:val="18"/>
                            <w:szCs w:val="18"/>
                          </w:rPr>
                          <w:t>64,759,485.59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元。天健正信会计师事务所有限公司对公司前期以自筹资金投入募集资金投资项目的情 况进行了专项审核，并出具了天健正信审（</w:t>
                        </w:r>
                        <w:r>
                          <w:rPr>
                            <w:rFonts w:ascii="Times New Roman" w:hAnsi="Times New Roman" w:cs="Times New Roman" w:eastAsia="Times New Roman" w:hint="default"/>
                            <w:sz w:val="18"/>
                            <w:szCs w:val="18"/>
                          </w:rPr>
                          <w:t>2011</w:t>
                        </w:r>
                        <w:r>
                          <w:rPr>
                            <w:rFonts w:ascii="宋体" w:hAnsi="宋体" w:cs="宋体" w:eastAsia="宋体" w:hint="default"/>
                            <w:sz w:val="18"/>
                            <w:szCs w:val="18"/>
                          </w:rPr>
                          <w:t>）专字第</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020621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号《关于厦门市美亚柏科信息股份有 </w:t>
                        </w:r>
                        <w:r>
                          <w:rPr>
                            <w:rFonts w:ascii="宋体" w:hAnsi="宋体" w:cs="宋体" w:eastAsia="宋体" w:hint="default"/>
                            <w:spacing w:val="-4"/>
                            <w:sz w:val="18"/>
                            <w:szCs w:val="18"/>
                          </w:rPr>
                          <w:t>限公司以自筹资金预先投入募投项目的鉴证报告》。监事会和独立董事发表了同意意见，履行了必要的</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审批程序。保荐机构国信证券股份有限公司进行了核查，对公司本次以募集资金置换预先已投入募集 资金投资项目的自筹资金事项发表无异议核查意见。以上事项公司已于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日在深圳证券</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交易所进行公告。截止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日，公司已办理完募集资金置换手续。除此之外，截至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日，发行人没有发生使用募集资金置换先期投入的情况。</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490"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2" w:right="8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日电子数据取证产品项目、网络信息安全产品项目，超募资金投资电子数据公证</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云项目均已达到预定可使用状态公司对上述三个项目实施结项</w:t>
                        </w:r>
                        <w:r>
                          <w:rPr>
                            <w:rFonts w:ascii="宋体" w:hAnsi="宋体" w:cs="宋体" w:eastAsia="宋体" w:hint="default"/>
                            <w:spacing w:val="-90"/>
                            <w:sz w:val="18"/>
                            <w:szCs w:val="18"/>
                          </w:rPr>
                          <w:t>；</w:t>
                        </w:r>
                        <w:r>
                          <w:rPr>
                            <w:rFonts w:ascii="宋体" w:hAnsi="宋体" w:cs="宋体" w:eastAsia="宋体" w:hint="default"/>
                            <w:sz w:val="18"/>
                            <w:szCs w:val="18"/>
                          </w:rPr>
                          <w:t>三个项目承诺投资总额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14648.06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项目累计投入资金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14500.45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万元，结余募集资金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万元（不含利息收入</w:t>
                        </w:r>
                        <w:r>
                          <w:rPr>
                            <w:rFonts w:ascii="宋体" w:hAnsi="宋体" w:cs="宋体" w:eastAsia="宋体" w:hint="default"/>
                            <w:spacing w:val="-90"/>
                            <w:sz w:val="18"/>
                            <w:szCs w:val="18"/>
                          </w:rPr>
                          <w:t>）</w:t>
                        </w:r>
                        <w:r>
                          <w:rPr>
                            <w:rFonts w:ascii="宋体" w:hAnsi="宋体" w:cs="宋体" w:eastAsia="宋体" w:hint="default"/>
                            <w:sz w:val="18"/>
                            <w:szCs w:val="18"/>
                          </w:rPr>
                          <w:t>，其中：电子数据取证</w:t>
                        </w:r>
                      </w:p>
                      <w:p>
                        <w:pPr>
                          <w:pStyle w:val="TableParagraph"/>
                          <w:spacing w:line="314"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产品项目节余资金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53.67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万元；网络信息安全产品项目结余资金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32.87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万元；电子数据公证云项目节余 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万元；结余金额占承诺投资募集资金的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宋体" w:hAnsi="宋体" w:cs="宋体" w:eastAsia="宋体" w:hint="default"/>
                            <w:sz w:val="18"/>
                            <w:szCs w:val="18"/>
                          </w:rPr>
                          <w:t>，不存在重大差异。 上述三个项目募集资金结余主要原因为公司充分结合自身的技术优势，经验及现有的设备配置，在资 源充分利用的前提下，对项目环节进行优化，减少了部分设备采购。截止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日公司已办 理完上述三个项目结余资金及利息永久补充公司流动资金，并注销相关募集资金专项账户手续。</w:t>
                        </w:r>
                      </w:p>
                      <w:p>
                        <w:pPr>
                          <w:pStyle w:val="TableParagraph"/>
                          <w:spacing w:line="240" w:lineRule="auto" w:before="59"/>
                          <w:ind w:left="22"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日，电子数据鉴定及互联网知识产权保护等服务项目、超募资金追加投资超算中</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心（云计算）项目已达预定可使用状态，公司拟对这两个项目实施结项，两个项目承诺投资总额</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6,472.44</w:t>
                        </w:r>
                      </w:p>
                      <w:p>
                        <w:pPr>
                          <w:pStyle w:val="TableParagraph"/>
                          <w:spacing w:line="300"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万元，项目累计投入资金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6,162.21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万元，结余募集资金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310.25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万元，结余金额占承诺投资募集资金的 </w:t>
                        </w:r>
                        <w:r>
                          <w:rPr>
                            <w:rFonts w:ascii="Times New Roman" w:hAnsi="Times New Roman" w:cs="Times New Roman" w:eastAsia="Times New Roman" w:hint="default"/>
                            <w:spacing w:val="-2"/>
                            <w:sz w:val="18"/>
                            <w:szCs w:val="18"/>
                          </w:rPr>
                          <w:t>4.79%</w:t>
                        </w:r>
                        <w:r>
                          <w:rPr>
                            <w:rFonts w:ascii="宋体" w:hAnsi="宋体" w:cs="宋体" w:eastAsia="宋体" w:hint="default"/>
                            <w:spacing w:val="-2"/>
                            <w:sz w:val="18"/>
                            <w:szCs w:val="18"/>
                          </w:rPr>
                          <w:t>，实际投入金额与计划投入金额不存在重大差异电子数据鉴定及互联网知识产权保护等服务项目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结余金额占承诺投资募集资金的  不存在重大差异。</w:t>
                        </w:r>
                      </w:p>
                      <w:p>
                        <w:pPr>
                          <w:pStyle w:val="TableParagraph"/>
                          <w:spacing w:line="319" w:lineRule="auto" w:before="71"/>
                          <w:ind w:left="22" w:right="59"/>
                          <w:jc w:val="both"/>
                          <w:rPr>
                            <w:rFonts w:ascii="宋体" w:hAnsi="宋体" w:cs="宋体" w:eastAsia="宋体" w:hint="default"/>
                            <w:sz w:val="18"/>
                            <w:szCs w:val="18"/>
                          </w:rPr>
                        </w:pPr>
                        <w:r>
                          <w:rPr>
                            <w:rFonts w:ascii="宋体" w:hAnsi="宋体" w:cs="宋体" w:eastAsia="宋体" w:hint="default"/>
                            <w:sz w:val="18"/>
                            <w:szCs w:val="18"/>
                          </w:rPr>
                          <w:t>电子数据鉴定及互联网知识产权保护等服务项目结余主要原因是由于公司充分结合自身的技术优势， 经验及现有的设备配置，在资源充分利用的前提下，对项目环节进行优化，减少了部分设备采购。超 募资金追加投资超算中心（云计算）项目结余主要原因是由于北方机房是固有机房，合作单位在线路 接入方面无法实现我们的要求，公司通过技术发展以及产品的架构优化，在厦门主机房内实现相关目 标，缩小了北方机房的投入。公司对项目建设前期和过程严格控制，加上自主建设节省了资金投入， 结余了项目预备费。</w:t>
                        </w:r>
                      </w:p>
                      <w:p>
                        <w:pPr>
                          <w:pStyle w:val="TableParagraph"/>
                          <w:spacing w:line="240" w:lineRule="auto" w:before="56"/>
                          <w:ind w:left="22" w:right="0"/>
                          <w:jc w:val="both"/>
                          <w:rPr>
                            <w:rFonts w:ascii="宋体" w:hAnsi="宋体" w:cs="宋体" w:eastAsia="宋体" w:hint="default"/>
                            <w:sz w:val="18"/>
                            <w:szCs w:val="18"/>
                          </w:rPr>
                        </w:pPr>
                        <w:r>
                          <w:rPr>
                            <w:rFonts w:ascii="宋体" w:hAnsi="宋体" w:cs="宋体" w:eastAsia="宋体" w:hint="default"/>
                            <w:sz w:val="18"/>
                            <w:szCs w:val="18"/>
                          </w:rPr>
                          <w:t>公司拟将上述两个项目结余募集资金及利息，转入超募资金账户管理。</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项目尚未实施完毕，尚未使用的募集资金全部存放在专项账户。</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8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spacing w:before="44"/>
        <w:ind w:left="0" w:right="15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right="0"/>
        <w:jc w:val="left"/>
      </w:pPr>
      <w:r>
        <w:rPr>
          <w:rFonts w:ascii="Times New Roman" w:hAnsi="Times New Roman" w:cs="Times New Roman" w:eastAsia="Times New Roman" w:hint="default"/>
        </w:rPr>
        <w:t>3.</w:t>
      </w:r>
      <w:r>
        <w:rPr/>
        <w:t>募集资金变更项目情况</w:t>
      </w:r>
    </w:p>
    <w:p>
      <w:pPr>
        <w:spacing w:after="0" w:line="240" w:lineRule="auto"/>
        <w:jc w:val="left"/>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47" w:footer="980" w:top="1060" w:bottom="1180" w:left="980" w:right="980"/>
        </w:sectPr>
      </w:pPr>
    </w:p>
    <w:p>
      <w:pPr>
        <w:pStyle w:val="BodyText"/>
        <w:spacing w:line="240" w:lineRule="auto" w:before="35"/>
        <w:ind w:right="-5"/>
        <w:jc w:val="left"/>
      </w:pPr>
      <w:r>
        <w:rPr>
          <w:rFonts w:ascii="Times New Roman" w:hAnsi="Times New Roman" w:cs="Times New Roman" w:eastAsia="Times New Roman" w:hint="default"/>
          <w:spacing w:val="-1"/>
        </w:rPr>
        <w:t>3</w:t>
      </w:r>
      <w:r>
        <w:rPr>
          <w:spacing w:val="-1"/>
        </w:rPr>
        <w:t>）非募集资金投资的重大项目情况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409" w:space="5330"/>
            <w:col w:w="1211"/>
          </w:cols>
        </w:sectPr>
      </w:pPr>
    </w:p>
    <w:p>
      <w:pPr>
        <w:spacing w:line="240" w:lineRule="auto" w:before="1"/>
        <w:rPr>
          <w:rFonts w:ascii="宋体" w:hAnsi="宋体" w:cs="宋体" w:eastAsia="宋体" w:hint="default"/>
          <w:sz w:val="8"/>
          <w:szCs w:val="8"/>
        </w:rPr>
      </w:pPr>
      <w:r>
        <w:rPr/>
        <w:pict>
          <v:group style="position:absolute;margin-left:252.240005pt;margin-top:744.690002pt;width:45.55pt;height:20.8pt;mso-position-horizontal-relative:page;mso-position-vertical-relative:page;z-index:-945352" coordorigin="5045,14894" coordsize="911,416">
            <v:group style="position:absolute;left:5056;top:14905;width:2;height:393" coordorigin="5056,14905" coordsize="2,393">
              <v:shape style="position:absolute;left:5056;top:14905;width:2;height:393" coordorigin="5056,14905" coordsize="0,393" path="m5056,14905l5056,15298e" filled="false" stroked="true" strokeweight="1.140pt" strokecolor="#ffffff">
                <v:path arrowok="t"/>
              </v:shape>
            </v:group>
            <v:group style="position:absolute;left:5068;top:14905;width:888;height:393" coordorigin="5068,14905" coordsize="888,393">
              <v:shape style="position:absolute;left:5068;top:14905;width:888;height:393" coordorigin="5068,14905" coordsize="888,393" path="m5068,15298l5956,15298,5956,14905,5068,14905,5068,1529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027"/>
        <w:gridCol w:w="1134"/>
        <w:gridCol w:w="1427"/>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4"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52" w:right="53"/>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0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8"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2" w:right="109"/>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14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47"/>
              <w:jc w:val="center"/>
              <w:rPr>
                <w:rFonts w:ascii="宋体" w:hAnsi="宋体" w:cs="宋体" w:eastAsia="宋体" w:hint="default"/>
                <w:sz w:val="18"/>
                <w:szCs w:val="18"/>
              </w:rPr>
            </w:pPr>
            <w:r>
              <w:rPr>
                <w:rFonts w:ascii="宋体" w:hAnsi="宋体" w:cs="宋体" w:eastAsia="宋体" w:hint="default"/>
                <w:sz w:val="18"/>
                <w:szCs w:val="18"/>
              </w:rPr>
              <w:t>披露日期（如有）</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北京万诚信用 评价有限公司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-304.29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巨潮资讯网公 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年第一 季度报告全文</w:t>
            </w:r>
          </w:p>
        </w:tc>
      </w:tr>
    </w:tbl>
    <w:p>
      <w:pPr>
        <w:spacing w:line="240" w:lineRule="auto" w:before="11"/>
        <w:rPr>
          <w:rFonts w:ascii="宋体" w:hAnsi="宋体" w:cs="宋体" w:eastAsia="宋体" w:hint="default"/>
          <w:sz w:val="7"/>
          <w:szCs w:val="7"/>
        </w:rPr>
      </w:pPr>
    </w:p>
    <w:p>
      <w:pPr>
        <w:pStyle w:val="BodyText"/>
        <w:spacing w:line="240" w:lineRule="auto" w:before="35"/>
        <w:ind w:right="0"/>
        <w:jc w:val="left"/>
      </w:pPr>
      <w:r>
        <w:rPr>
          <w:rFonts w:ascii="Times New Roman" w:hAnsi="Times New Roman" w:cs="Times New Roman" w:eastAsia="Times New Roman" w:hint="default"/>
        </w:rPr>
        <w:t>4</w:t>
      </w:r>
      <w:r>
        <w:rPr/>
        <w:t>）持有其他上市公司股权情况</w:t>
      </w:r>
    </w:p>
    <w:p>
      <w:pPr>
        <w:pStyle w:val="BodyText"/>
        <w:spacing w:line="240" w:lineRule="auto" w:before="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pStyle w:val="BodyText"/>
        <w:spacing w:line="240" w:lineRule="auto" w:before="172"/>
        <w:ind w:right="0"/>
        <w:jc w:val="left"/>
      </w:pPr>
      <w:r>
        <w:rPr>
          <w:rFonts w:ascii="Times New Roman" w:hAnsi="Times New Roman" w:cs="Times New Roman" w:eastAsia="Times New Roman" w:hint="default"/>
        </w:rPr>
        <w:t>5</w:t>
      </w:r>
      <w:r>
        <w:rPr/>
        <w:t>）持有金融企业股权情况</w:t>
      </w:r>
    </w:p>
    <w:p>
      <w:pPr>
        <w:pStyle w:val="BodyText"/>
        <w:spacing w:line="240" w:lineRule="auto" w:before="9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pStyle w:val="BodyText"/>
        <w:spacing w:line="240" w:lineRule="auto" w:before="171"/>
        <w:ind w:right="0"/>
        <w:jc w:val="left"/>
      </w:pPr>
      <w:r>
        <w:rPr>
          <w:rFonts w:ascii="Times New Roman" w:hAnsi="Times New Roman" w:cs="Times New Roman" w:eastAsia="Times New Roman" w:hint="default"/>
        </w:rPr>
        <w:t>6</w:t>
      </w:r>
      <w:r>
        <w:rPr/>
        <w:t>）买卖其他上市公司股份的情况</w:t>
      </w:r>
    </w:p>
    <w:p>
      <w:pPr>
        <w:pStyle w:val="BodyText"/>
        <w:spacing w:line="240" w:lineRule="auto" w:before="9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pStyle w:val="BodyText"/>
        <w:spacing w:line="240" w:lineRule="auto" w:before="171"/>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9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644" w:lineRule="exact" w:before="51"/>
        <w:ind w:left="154" w:right="704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）主要控股参股公司分析</w:t>
      </w:r>
      <w:r>
        <w:rPr>
          <w:rFonts w:ascii="宋体" w:hAnsi="宋体" w:cs="宋体" w:eastAsia="宋体" w:hint="default"/>
          <w:b/>
          <w:bCs/>
          <w:w w:val="99"/>
          <w:sz w:val="21"/>
          <w:szCs w:val="21"/>
        </w:rPr>
        <w:t> </w:t>
      </w:r>
      <w:r>
        <w:rPr>
          <w:rFonts w:ascii="宋体" w:hAnsi="宋体" w:cs="宋体" w:eastAsia="宋体" w:hint="default"/>
          <w:sz w:val="21"/>
          <w:szCs w:val="21"/>
        </w:rPr>
        <w:t>主要子公司、参股公司情况：</w:t>
      </w:r>
    </w:p>
    <w:p>
      <w:pPr>
        <w:spacing w:before="35"/>
        <w:ind w:left="0" w:right="152" w:firstLine="0"/>
        <w:jc w:val="right"/>
        <w:rPr>
          <w:rFonts w:ascii="宋体" w:hAnsi="宋体" w:cs="宋体" w:eastAsia="宋体" w:hint="default"/>
          <w:sz w:val="18"/>
          <w:szCs w:val="18"/>
        </w:rPr>
      </w:pPr>
      <w:bookmarkStart w:name="（6）主要控股参股公司分析" w:id="28"/>
      <w:bookmarkEnd w:id="28"/>
      <w:r>
        <w:rPr/>
      </w: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566"/>
        <w:gridCol w:w="568"/>
        <w:gridCol w:w="1778"/>
        <w:gridCol w:w="943"/>
        <w:gridCol w:w="944"/>
        <w:gridCol w:w="942"/>
        <w:gridCol w:w="1062"/>
        <w:gridCol w:w="850"/>
        <w:gridCol w:w="918"/>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1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主要产品或服务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厦门市美亚 柏科信息安 全研究所有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信息 安全</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0"/>
              <w:jc w:val="left"/>
              <w:rPr>
                <w:rFonts w:ascii="宋体" w:hAnsi="宋体" w:cs="宋体" w:eastAsia="宋体" w:hint="default"/>
                <w:sz w:val="18"/>
                <w:szCs w:val="18"/>
              </w:rPr>
            </w:pPr>
            <w:r>
              <w:rPr>
                <w:rFonts w:ascii="宋体" w:hAnsi="宋体" w:cs="宋体" w:eastAsia="宋体" w:hint="default"/>
                <w:spacing w:val="-8"/>
                <w:sz w:val="18"/>
                <w:szCs w:val="18"/>
              </w:rPr>
              <w:t>电子数据鉴定技术、服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务流程、标准的研究</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22,573,385.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11,247,027.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20,058,922.6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1,407,725.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1,376,508.9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珠海市新德 汇信息技术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信息 技术</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5"/>
              <w:jc w:val="left"/>
              <w:rPr>
                <w:rFonts w:ascii="宋体" w:hAnsi="宋体" w:cs="宋体" w:eastAsia="宋体" w:hint="default"/>
                <w:sz w:val="18"/>
                <w:szCs w:val="18"/>
              </w:rPr>
            </w:pPr>
            <w:r>
              <w:rPr>
                <w:rFonts w:ascii="宋体" w:hAnsi="宋体" w:cs="宋体" w:eastAsia="宋体" w:hint="default"/>
                <w:sz w:val="18"/>
                <w:szCs w:val="18"/>
              </w:rPr>
              <w:t>公安信息技术及应用 软件的研发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86,992,195.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55,444,798.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70,880,927.9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15,440,14</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2.95</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15,948,635.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厦门服云信 息科技有限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信息 安全</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服务器安全、网站安全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产品研发、服务推广</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11,184,800.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3,808,082.5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2,607,619.7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635,732.81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-5,121,481</w:t>
            </w:r>
            <w:r>
              <w:rPr>
                <w:rFonts w:ascii="Times New Roman"/>
                <w:sz w:val="18"/>
              </w:rPr>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-6,054,625.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厦门美亚中 敏电子科技 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电子 信息</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电子产品、电子元器件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的研发、生产和销售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38,618,545.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19,893,920.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113,878,331.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8,292,469.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7,567,834.4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6"/>
              <w:jc w:val="center"/>
              <w:rPr>
                <w:rFonts w:ascii="宋体" w:hAnsi="宋体" w:cs="宋体" w:eastAsia="宋体" w:hint="default"/>
                <w:sz w:val="18"/>
                <w:szCs w:val="18"/>
              </w:rPr>
            </w:pPr>
            <w:r>
              <w:rPr>
                <w:rFonts w:ascii="宋体" w:hAnsi="宋体" w:cs="宋体" w:eastAsia="宋体" w:hint="default"/>
                <w:sz w:val="18"/>
                <w:szCs w:val="18"/>
              </w:rPr>
              <w:t>香港鼎永泰</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刑事</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8"/>
              <w:jc w:val="center"/>
              <w:rPr>
                <w:rFonts w:ascii="宋体" w:hAnsi="宋体" w:cs="宋体" w:eastAsia="宋体" w:hint="default"/>
                <w:sz w:val="18"/>
                <w:szCs w:val="18"/>
              </w:rPr>
            </w:pPr>
            <w:r>
              <w:rPr>
                <w:rFonts w:ascii="宋体" w:hAnsi="宋体" w:cs="宋体" w:eastAsia="宋体" w:hint="default"/>
                <w:spacing w:val="-4"/>
                <w:sz w:val="18"/>
                <w:szCs w:val="18"/>
              </w:rPr>
              <w:t>文检</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视听、光学检测</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position w:val="-1"/>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万美元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3" w:right="0"/>
              <w:jc w:val="center"/>
              <w:rPr>
                <w:rFonts w:ascii="Times New Roman" w:hAnsi="Times New Roman" w:cs="Times New Roman" w:eastAsia="Times New Roman" w:hint="default"/>
                <w:sz w:val="18"/>
                <w:szCs w:val="18"/>
              </w:rPr>
            </w:pPr>
            <w:r>
              <w:rPr>
                <w:rFonts w:ascii="Times New Roman"/>
                <w:sz w:val="18"/>
              </w:rPr>
              <w:t>3,576,384.4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3" w:right="0"/>
              <w:jc w:val="center"/>
              <w:rPr>
                <w:rFonts w:ascii="Times New Roman" w:hAnsi="Times New Roman" w:cs="Times New Roman" w:eastAsia="Times New Roman" w:hint="default"/>
                <w:sz w:val="18"/>
                <w:szCs w:val="18"/>
              </w:rPr>
            </w:pPr>
            <w:r>
              <w:rPr>
                <w:rFonts w:ascii="Times New Roman"/>
                <w:sz w:val="18"/>
              </w:rPr>
              <w:t>1,880,886.9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4,623,515.46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371.79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371.79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566"/>
        <w:gridCol w:w="568"/>
        <w:gridCol w:w="1778"/>
        <w:gridCol w:w="943"/>
        <w:gridCol w:w="944"/>
        <w:gridCol w:w="942"/>
        <w:gridCol w:w="1062"/>
        <w:gridCol w:w="850"/>
        <w:gridCol w:w="918"/>
      </w:tblGrid>
      <w:tr>
        <w:trPr>
          <w:trHeight w:val="9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克科技有限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0"/>
              <w:jc w:val="both"/>
              <w:rPr>
                <w:rFonts w:ascii="宋体" w:hAnsi="宋体" w:cs="宋体" w:eastAsia="宋体" w:hint="default"/>
                <w:sz w:val="18"/>
                <w:szCs w:val="18"/>
              </w:rPr>
            </w:pPr>
            <w:r>
              <w:rPr>
                <w:rFonts w:ascii="宋体" w:hAnsi="宋体" w:cs="宋体" w:eastAsia="宋体" w:hint="default"/>
                <w:spacing w:val="-8"/>
                <w:sz w:val="18"/>
                <w:szCs w:val="18"/>
              </w:rPr>
              <w:t>理化、痕迹物证、法医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病理、</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检测等警 用装备的进出口销售</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厦门市巨龙 信息科技有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信息 技术</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司法机关及行政执法 部门信息化系统研发 及销售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31,536,359.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26,373,484.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33,142,304.3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2,194,617.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4,181,313.1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9"/>
              <w:jc w:val="left"/>
              <w:rPr>
                <w:rFonts w:ascii="宋体" w:hAnsi="宋体" w:cs="宋体" w:eastAsia="宋体" w:hint="default"/>
                <w:sz w:val="18"/>
                <w:szCs w:val="18"/>
              </w:rPr>
            </w:pPr>
            <w:r>
              <w:rPr>
                <w:rFonts w:ascii="宋体" w:hAnsi="宋体" w:cs="宋体" w:eastAsia="宋体" w:hint="default"/>
                <w:sz w:val="18"/>
                <w:szCs w:val="18"/>
              </w:rPr>
              <w:t>福建宏创科 技有限公司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信息 安全</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计算机软</w:t>
            </w:r>
            <w:r>
              <w:rPr>
                <w:rFonts w:ascii="Times New Roman" w:hAnsi="Times New Roman" w:cs="Times New Roman" w:eastAsia="Times New Roman" w:hint="default"/>
                <w:sz w:val="18"/>
                <w:szCs w:val="18"/>
              </w:rPr>
              <w:t>/</w:t>
            </w:r>
            <w:r>
              <w:rPr>
                <w:rFonts w:ascii="宋体" w:hAnsi="宋体" w:cs="宋体" w:eastAsia="宋体" w:hint="default"/>
                <w:sz w:val="18"/>
                <w:szCs w:val="18"/>
              </w:rPr>
              <w:t>硬件开发、 系统集成及技术服务 </w:t>
            </w:r>
            <w:r>
              <w:rPr>
                <w:rFonts w:ascii="宋体" w:hAnsi="宋体" w:cs="宋体" w:eastAsia="宋体" w:hint="default"/>
                <w:spacing w:val="-8"/>
                <w:sz w:val="18"/>
                <w:szCs w:val="18"/>
              </w:rPr>
              <w:t>业务；研发及代理销售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信息安全产品</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3,658,500.0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7,516,109.6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4,875,591.0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6,286,141.44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10,205.54</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110,406.79</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杭州攀克网 络技术有限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计算 机应 用</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生产、加工计算机软硬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件，网络设备，网络安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全系统</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1,272,800.0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2,062,594.2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1,579,417.3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1,960,245.85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-225,085.0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-225,085.0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32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北京万诚信 用评价有限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73"/>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73"/>
              <w:jc w:val="left"/>
              <w:rPr>
                <w:rFonts w:ascii="宋体" w:hAnsi="宋体" w:cs="宋体" w:eastAsia="宋体" w:hint="default"/>
                <w:sz w:val="18"/>
                <w:szCs w:val="18"/>
              </w:rPr>
            </w:pPr>
            <w:r>
              <w:rPr>
                <w:rFonts w:ascii="宋体" w:hAnsi="宋体" w:cs="宋体" w:eastAsia="宋体" w:hint="default"/>
                <w:sz w:val="18"/>
                <w:szCs w:val="18"/>
              </w:rPr>
              <w:t>信用 评价</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进出口商品及内销商 品的生态原产地产品 </w:t>
            </w:r>
            <w:r>
              <w:rPr>
                <w:rFonts w:ascii="宋体" w:hAnsi="宋体" w:cs="宋体" w:eastAsia="宋体" w:hint="default"/>
                <w:spacing w:val="-8"/>
                <w:sz w:val="18"/>
                <w:szCs w:val="18"/>
              </w:rPr>
              <w:t>评定服务，利用移动互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联网和物联网技术为 </w:t>
            </w:r>
            <w:r>
              <w:rPr>
                <w:rFonts w:ascii="宋体" w:hAnsi="宋体" w:cs="宋体" w:eastAsia="宋体" w:hint="default"/>
                <w:spacing w:val="-8"/>
                <w:sz w:val="18"/>
                <w:szCs w:val="18"/>
              </w:rPr>
              <w:t>监管机构、消费者和生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产者提供溯源鉴别的 整体服务和解决方案 为客户提供质量信用 </w:t>
            </w:r>
            <w:r>
              <w:rPr>
                <w:rFonts w:ascii="宋体" w:hAnsi="宋体" w:cs="宋体" w:eastAsia="宋体" w:hint="default"/>
                <w:spacing w:val="-8"/>
                <w:sz w:val="18"/>
                <w:szCs w:val="18"/>
              </w:rPr>
              <w:t>评级、风险管理咨询培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训等增值服务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6,250,000.0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4"/>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8,828,666.2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8,779,123.4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703,494.89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w w:val="95"/>
                <w:sz w:val="18"/>
              </w:rPr>
              <w:t>-3,042,420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-3,042,876.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r>
    </w:tbl>
    <w:p>
      <w:pPr>
        <w:spacing w:line="240" w:lineRule="auto" w:before="11"/>
        <w:rPr>
          <w:rFonts w:ascii="宋体" w:hAnsi="宋体" w:cs="宋体" w:eastAsia="宋体" w:hint="default"/>
          <w:sz w:val="7"/>
          <w:szCs w:val="7"/>
        </w:rPr>
      </w:pPr>
    </w:p>
    <w:p>
      <w:pPr>
        <w:pStyle w:val="BodyText"/>
        <w:spacing w:line="432" w:lineRule="auto" w:before="35"/>
        <w:ind w:right="6262"/>
        <w:jc w:val="left"/>
      </w:pPr>
      <w:r>
        <w:rPr/>
        <w:pict>
          <v:group style="position:absolute;margin-left:252.240005pt;margin-top:-68.006317pt;width:46.7pt;height:62.4pt;mso-position-horizontal-relative:page;mso-position-vertical-relative:paragraph;z-index:-945328" coordorigin="5045,-1360" coordsize="934,1248">
            <v:shape style="position:absolute;left:5045;top:-1360;width:934;height:1248" coordorigin="5045,-1360" coordsize="934,1248" path="m5045,-112l5978,-112,5978,-1360,5045,-1360,5045,-112xe" filled="true" fillcolor="#ffffff" stroked="false">
              <v:path arrowok="t"/>
              <v:fill type="solid"/>
            </v:shape>
            <w10:wrap type="none"/>
          </v:group>
        </w:pict>
      </w:r>
      <w:bookmarkStart w:name="（7）公司控制的特殊目的主体情况" w:id="29"/>
      <w:bookmarkEnd w:id="29"/>
      <w:r>
        <w:rPr/>
      </w:r>
      <w:bookmarkStart w:name="二、公司未来发展的展望" w:id="30"/>
      <w:bookmarkEnd w:id="30"/>
      <w:r>
        <w:rPr/>
      </w:r>
      <w:r>
        <w:rPr/>
        <w:t>主要子公司、参股公司情况说明：无。 报告期内取得和处置子公司的情况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0" w:right="221" w:firstLine="0"/>
        <w:jc w:val="right"/>
        <w:rPr>
          <w:rFonts w:ascii="宋体" w:hAnsi="宋体" w:cs="宋体" w:eastAsia="宋体" w:hint="default"/>
          <w:sz w:val="18"/>
          <w:szCs w:val="18"/>
        </w:rPr>
      </w:pPr>
      <w:r>
        <w:rPr/>
        <w:pict>
          <v:shape style="position:absolute;margin-left:56.459999pt;margin-top:-38.778275pt;width:479.1pt;height:87.5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2268"/>
                    <w:gridCol w:w="2693"/>
                    <w:gridCol w:w="3047"/>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948" w:right="48"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6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0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北京万诚信用评价 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结合公司业务和技术优势， 发挥协同效应</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使用自有资金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万元参股，当前</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日，万诚信用完成设立</w:t>
                        </w:r>
                        <w:r>
                          <w:rPr>
                            <w:rFonts w:ascii="宋体" w:hAnsi="宋体" w:cs="宋体" w:eastAsia="宋体" w:hint="default"/>
                            <w:sz w:val="18"/>
                            <w:szCs w:val="18"/>
                          </w:rPr>
                          <w:t> 报告期内，万诚信用实现营业收入 </w:t>
                        </w:r>
                        <w:r>
                          <w:rPr>
                            <w:rFonts w:ascii="Times New Roman" w:hAnsi="Times New Roman" w:cs="Times New Roman" w:eastAsia="Times New Roman" w:hint="default"/>
                            <w:sz w:val="18"/>
                            <w:szCs w:val="18"/>
                          </w:rPr>
                          <w:t>703,494.89 </w:t>
                        </w:r>
                        <w:r>
                          <w:rPr>
                            <w:rFonts w:ascii="宋体" w:hAnsi="宋体" w:cs="宋体" w:eastAsia="宋体" w:hint="default"/>
                            <w:spacing w:val="-5"/>
                            <w:sz w:val="18"/>
                            <w:szCs w:val="18"/>
                          </w:rPr>
                          <w:t>元，净利润</w:t>
                        </w:r>
                        <w:r>
                          <w:rPr>
                            <w:rFonts w:ascii="Times New Roman" w:hAnsi="Times New Roman" w:cs="Times New Roman" w:eastAsia="Times New Roman" w:hint="default"/>
                            <w:spacing w:val="-5"/>
                            <w:sz w:val="18"/>
                            <w:szCs w:val="18"/>
                          </w:rPr>
                          <w:t>-3,042,876.57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22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3"/>
        <w:rPr>
          <w:rFonts w:ascii="宋体" w:hAnsi="宋体" w:cs="宋体" w:eastAsia="宋体" w:hint="default"/>
          <w:sz w:val="27"/>
          <w:szCs w:val="27"/>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t>二、公司未来发展的展望</w:t>
      </w:r>
      <w:r>
        <w:rPr>
          <w:b w:val="0"/>
          <w:bCs w:val="0"/>
        </w:rPr>
      </w:r>
    </w:p>
    <w:p>
      <w:pPr>
        <w:spacing w:line="240" w:lineRule="auto" w:before="9"/>
        <w:rPr>
          <w:rFonts w:ascii="宋体" w:hAnsi="宋体" w:cs="宋体" w:eastAsia="宋体" w:hint="default"/>
          <w:b/>
          <w:bCs/>
          <w:sz w:val="24"/>
          <w:szCs w:val="24"/>
        </w:rPr>
      </w:pPr>
    </w:p>
    <w:p>
      <w:pPr>
        <w:pStyle w:val="BodyText"/>
        <w:spacing w:line="403" w:lineRule="auto"/>
        <w:ind w:left="574" w:right="97" w:hanging="420"/>
        <w:jc w:val="left"/>
      </w:pPr>
      <w:r>
        <w:rPr>
          <w:rFonts w:ascii="宋体" w:hAnsi="宋体" w:cs="宋体" w:eastAsia="宋体" w:hint="default"/>
          <w:b/>
          <w:bCs/>
        </w:rPr>
        <w:t>（一）行业发展展望</w:t>
      </w:r>
      <w:r>
        <w:rPr>
          <w:rFonts w:ascii="宋体" w:hAnsi="宋体" w:cs="宋体" w:eastAsia="宋体" w:hint="default"/>
          <w:b/>
          <w:bCs/>
          <w:spacing w:val="1"/>
          <w:w w:val="99"/>
        </w:rPr>
        <w:t> </w:t>
      </w:r>
      <w:r>
        <w:rPr>
          <w:spacing w:val="-3"/>
        </w:rPr>
        <w:t>中共中央总书记、中央网络安全和信息化领导小组组长习近平提出了“没有网络安全就没有国家安全，</w:t>
      </w:r>
    </w:p>
    <w:p>
      <w:pPr>
        <w:pStyle w:val="BodyText"/>
        <w:spacing w:line="232" w:lineRule="exact"/>
        <w:ind w:left="153" w:right="0"/>
        <w:jc w:val="left"/>
      </w:pPr>
      <w:r>
        <w:rPr/>
        <w:t>没有信息化就没有现代化”，“努力把我国建设成为网络强国”等重要论断，把对网络安全和信息化重要</w:t>
      </w:r>
    </w:p>
    <w:p>
      <w:pPr>
        <w:spacing w:after="0" w:line="232" w:lineRule="exact"/>
        <w:jc w:val="left"/>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240" w:lineRule="auto" w:before="35"/>
        <w:ind w:right="0"/>
        <w:jc w:val="left"/>
      </w:pPr>
      <w:r>
        <w:rPr/>
        <w:t>性的认识提到了一个新的高度，为下一步推进网络信息安全和信息化建设指明了方向。</w:t>
      </w:r>
    </w:p>
    <w:p>
      <w:pPr>
        <w:spacing w:line="240" w:lineRule="auto" w:before="10"/>
        <w:rPr>
          <w:rFonts w:ascii="宋体" w:hAnsi="宋体" w:cs="宋体" w:eastAsia="宋体" w:hint="default"/>
          <w:sz w:val="16"/>
          <w:szCs w:val="16"/>
        </w:rPr>
      </w:pPr>
    </w:p>
    <w:p>
      <w:pPr>
        <w:pStyle w:val="BodyText"/>
        <w:spacing w:line="319" w:lineRule="auto"/>
        <w:ind w:left="153" w:right="205" w:firstLine="420"/>
        <w:jc w:val="left"/>
      </w:pPr>
      <w:r>
        <w:rPr>
          <w:spacing w:val="-1"/>
        </w:rPr>
        <w:t>公司是所处的信息安全行业得到国家的高度重视和大力推动，工信部近日发布的一份报告显示，在我</w:t>
      </w:r>
      <w:r>
        <w:rPr/>
        <w:t> </w:t>
      </w:r>
      <w:r>
        <w:rPr>
          <w:spacing w:val="-1"/>
        </w:rPr>
        <w:t>国经济增长速度正从高速转向中高速的新常态下，信息消费成为了亮丽的新增长点。赛迪智库研究员肖拥</w:t>
      </w:r>
      <w:r>
        <w:rPr>
          <w:spacing w:val="-81"/>
        </w:rPr>
        <w:t> </w:t>
      </w:r>
      <w:r>
        <w:rPr>
          <w:spacing w:val="-81"/>
        </w:rPr>
      </w:r>
      <w:r>
        <w:rPr>
          <w:spacing w:val="-1"/>
        </w:rPr>
        <w:t>军认为，预计</w:t>
      </w:r>
      <w:r>
        <w:rPr>
          <w:rFonts w:ascii="Times New Roman" w:hAnsi="Times New Roman" w:cs="Times New Roman" w:eastAsia="Times New Roman" w:hint="default"/>
          <w:spacing w:val="-1"/>
        </w:rPr>
        <w:t>2015</w:t>
      </w:r>
      <w:r>
        <w:rPr>
          <w:spacing w:val="-1"/>
        </w:rPr>
        <w:t>年我国信息消费规模达到</w:t>
      </w:r>
      <w:r>
        <w:rPr>
          <w:rFonts w:ascii="Times New Roman" w:hAnsi="Times New Roman" w:cs="Times New Roman" w:eastAsia="Times New Roman" w:hint="default"/>
          <w:spacing w:val="-1"/>
        </w:rPr>
        <w:t>3.2</w:t>
      </w:r>
      <w:r>
        <w:rPr>
          <w:spacing w:val="-1"/>
        </w:rPr>
        <w:t>万亿元，较</w:t>
      </w:r>
      <w:r>
        <w:rPr>
          <w:rFonts w:ascii="Times New Roman" w:hAnsi="Times New Roman" w:cs="Times New Roman" w:eastAsia="Times New Roman" w:hint="default"/>
          <w:spacing w:val="-1"/>
        </w:rPr>
        <w:t>2014</w:t>
      </w:r>
      <w:r>
        <w:rPr>
          <w:spacing w:val="-1"/>
        </w:rPr>
        <w:t>年将增长</w:t>
      </w:r>
      <w:r>
        <w:rPr>
          <w:rFonts w:ascii="Times New Roman" w:hAnsi="Times New Roman" w:cs="Times New Roman" w:eastAsia="Times New Roman" w:hint="default"/>
          <w:spacing w:val="-1"/>
        </w:rPr>
        <w:t>20%</w:t>
      </w:r>
      <w:r>
        <w:rPr>
          <w:spacing w:val="-1"/>
        </w:rPr>
        <w:t>以上，带动相关行业新增产出</w:t>
      </w:r>
      <w:r>
        <w:rPr>
          <w:spacing w:val="-103"/>
        </w:rPr>
        <w:t> </w:t>
      </w:r>
      <w:r>
        <w:rPr>
          <w:spacing w:val="-103"/>
        </w:rPr>
      </w:r>
      <w:r>
        <w:rPr>
          <w:spacing w:val="-2"/>
        </w:rPr>
        <w:t>超过</w:t>
      </w:r>
      <w:r>
        <w:rPr>
          <w:rFonts w:ascii="Times New Roman" w:hAnsi="Times New Roman" w:cs="Times New Roman" w:eastAsia="Times New Roman" w:hint="default"/>
          <w:spacing w:val="-2"/>
        </w:rPr>
        <w:t>1.2</w:t>
      </w:r>
      <w:r>
        <w:rPr>
          <w:spacing w:val="-2"/>
        </w:rPr>
        <w:t>万亿元。其中，基于互联网的新型信息消费规模将达到</w:t>
      </w:r>
      <w:r>
        <w:rPr>
          <w:rFonts w:ascii="Times New Roman" w:hAnsi="Times New Roman" w:cs="Times New Roman" w:eastAsia="Times New Roman" w:hint="default"/>
          <w:spacing w:val="-2"/>
        </w:rPr>
        <w:t>2.4</w:t>
      </w:r>
      <w:r>
        <w:rPr>
          <w:spacing w:val="-2"/>
        </w:rPr>
        <w:t>万亿元，年均增长</w:t>
      </w:r>
      <w:r>
        <w:rPr>
          <w:rFonts w:ascii="Times New Roman" w:hAnsi="Times New Roman" w:cs="Times New Roman" w:eastAsia="Times New Roman" w:hint="default"/>
          <w:spacing w:val="-2"/>
        </w:rPr>
        <w:t>30%</w:t>
      </w:r>
      <w:r>
        <w:rPr>
          <w:spacing w:val="-2"/>
        </w:rPr>
        <w:t>以上；基于电子商</w:t>
      </w:r>
      <w:r>
        <w:rPr>
          <w:spacing w:val="-102"/>
        </w:rPr>
        <w:t> </w:t>
      </w:r>
      <w:r>
        <w:rPr>
          <w:spacing w:val="-102"/>
        </w:rPr>
      </w:r>
      <w:r>
        <w:rPr/>
        <w:t>务、云计算等信息平台的消费快速增长，电子商务交易额将超过</w:t>
      </w:r>
      <w:r>
        <w:rPr>
          <w:rFonts w:ascii="Times New Roman" w:hAnsi="Times New Roman" w:cs="Times New Roman" w:eastAsia="Times New Roman" w:hint="default"/>
        </w:rPr>
        <w:t>18</w:t>
      </w:r>
      <w:r>
        <w:rPr/>
        <w:t>万亿元，网络零售交易额将突破</w:t>
      </w:r>
      <w:r>
        <w:rPr>
          <w:rFonts w:ascii="Times New Roman" w:hAnsi="Times New Roman" w:cs="Times New Roman" w:eastAsia="Times New Roman" w:hint="default"/>
        </w:rPr>
        <w:t>3</w:t>
      </w:r>
      <w:r>
        <w:rPr/>
        <w:t>万亿 </w:t>
      </w:r>
      <w:r>
        <w:rPr>
          <w:spacing w:val="-1"/>
        </w:rPr>
        <w:t>元。信息化技术和网络技术的发展应用是促进公司业务发展的主要驱动因素，因此，相关行业和技术的发</w:t>
      </w:r>
      <w:r>
        <w:rPr>
          <w:spacing w:val="-83"/>
        </w:rPr>
        <w:t> </w:t>
      </w:r>
      <w:r>
        <w:rPr>
          <w:spacing w:val="-83"/>
        </w:rPr>
      </w:r>
      <w:r>
        <w:rPr>
          <w:spacing w:val="-1"/>
        </w:rPr>
        <w:t>展，对公司所处电子数据取证及网络信息安全产品和服务的发展具有重要导向作用。近两年，与移动互联</w:t>
      </w:r>
      <w:r>
        <w:rPr>
          <w:spacing w:val="-83"/>
        </w:rPr>
        <w:t> </w:t>
      </w:r>
      <w:r>
        <w:rPr>
          <w:spacing w:val="-83"/>
        </w:rPr>
      </w:r>
      <w:r>
        <w:rPr/>
        <w:t>网、大数据相关的技术和应用相结合，是公司业务发展的重点方向。</w:t>
      </w:r>
    </w:p>
    <w:p>
      <w:pPr>
        <w:pStyle w:val="BodyText"/>
        <w:spacing w:line="542" w:lineRule="exact" w:before="8"/>
        <w:ind w:left="573" w:right="225"/>
        <w:jc w:val="left"/>
      </w:pPr>
      <w:r>
        <w:rPr/>
        <w:t>（</w:t>
      </w:r>
      <w:r>
        <w:rPr>
          <w:rFonts w:ascii="Times New Roman" w:hAnsi="Times New Roman" w:cs="Times New Roman" w:eastAsia="Times New Roman" w:hint="default"/>
        </w:rPr>
        <w:t>1</w:t>
      </w:r>
      <w:r>
        <w:rPr/>
        <w:t>）移动互联网带动整体互联网应用的快速发展 根据中国互联网络信息中心的最新数据显示，截至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月，我国网民规模达</w:t>
      </w:r>
      <w:r>
        <w:rPr>
          <w:rFonts w:ascii="Times New Roman" w:hAnsi="Times New Roman" w:cs="Times New Roman" w:eastAsia="Times New Roman" w:hint="default"/>
        </w:rPr>
        <w:t>6.49</w:t>
      </w:r>
      <w:r>
        <w:rPr/>
        <w:t>亿，全年共计新</w:t>
      </w:r>
    </w:p>
    <w:p>
      <w:pPr>
        <w:pStyle w:val="BodyText"/>
        <w:spacing w:line="319" w:lineRule="auto" w:before="20"/>
        <w:ind w:left="153" w:right="173"/>
        <w:jc w:val="left"/>
      </w:pPr>
      <w:r>
        <w:rPr/>
        <w:t>增网民</w:t>
      </w:r>
      <w:r>
        <w:rPr>
          <w:rFonts w:ascii="Times New Roman" w:hAnsi="Times New Roman" w:cs="Times New Roman" w:eastAsia="Times New Roman" w:hint="default"/>
        </w:rPr>
        <w:t>3117</w:t>
      </w:r>
      <w:r>
        <w:rPr/>
        <w:t>万人。互联网普及率为</w:t>
      </w:r>
      <w:r>
        <w:rPr>
          <w:rFonts w:ascii="Times New Roman" w:hAnsi="Times New Roman" w:cs="Times New Roman" w:eastAsia="Times New Roman" w:hint="default"/>
        </w:rPr>
        <w:t>47.9%</w:t>
      </w:r>
      <w:r>
        <w:rPr/>
        <w:t>，较</w:t>
      </w:r>
      <w:r>
        <w:rPr>
          <w:rFonts w:ascii="Times New Roman" w:hAnsi="Times New Roman" w:cs="Times New Roman" w:eastAsia="Times New Roman" w:hint="default"/>
        </w:rPr>
        <w:t>2013</w:t>
      </w:r>
      <w:r>
        <w:rPr/>
        <w:t>年底继续提升了</w:t>
      </w:r>
      <w:r>
        <w:rPr>
          <w:rFonts w:ascii="Times New Roman" w:hAnsi="Times New Roman" w:cs="Times New Roman" w:eastAsia="Times New Roman" w:hint="default"/>
        </w:rPr>
        <w:t>2.1%</w:t>
      </w:r>
      <w:r>
        <w:rPr/>
        <w:t>。手机网民规模为</w:t>
      </w:r>
      <w:r>
        <w:rPr>
          <w:rFonts w:ascii="Times New Roman" w:hAnsi="Times New Roman" w:cs="Times New Roman" w:eastAsia="Times New Roman" w:hint="default"/>
        </w:rPr>
        <w:t>5.57</w:t>
      </w:r>
      <w:r>
        <w:rPr/>
        <w:t>亿，较</w:t>
      </w:r>
      <w:r>
        <w:rPr>
          <w:rFonts w:ascii="Times New Roman" w:hAnsi="Times New Roman" w:cs="Times New Roman" w:eastAsia="Times New Roman" w:hint="default"/>
        </w:rPr>
        <w:t>2013 </w:t>
      </w:r>
      <w:r>
        <w:rPr>
          <w:spacing w:val="-2"/>
        </w:rPr>
        <w:t>年增加</w:t>
      </w:r>
      <w:r>
        <w:rPr>
          <w:rFonts w:ascii="Times New Roman" w:hAnsi="Times New Roman" w:cs="Times New Roman" w:eastAsia="Times New Roman" w:hint="default"/>
          <w:spacing w:val="-2"/>
        </w:rPr>
        <w:t>5672</w:t>
      </w:r>
      <w:r>
        <w:rPr>
          <w:spacing w:val="-2"/>
        </w:rPr>
        <w:t>万人，网民中使用手机上网的人群占比由</w:t>
      </w:r>
      <w:r>
        <w:rPr>
          <w:rFonts w:ascii="Times New Roman" w:hAnsi="Times New Roman" w:cs="Times New Roman" w:eastAsia="Times New Roman" w:hint="default"/>
          <w:spacing w:val="-2"/>
        </w:rPr>
        <w:t>2013</w:t>
      </w:r>
      <w:r>
        <w:rPr>
          <w:spacing w:val="-2"/>
        </w:rPr>
        <w:t>年的</w:t>
      </w:r>
      <w:r>
        <w:rPr>
          <w:rFonts w:ascii="Times New Roman" w:hAnsi="Times New Roman" w:cs="Times New Roman" w:eastAsia="Times New Roman" w:hint="default"/>
          <w:spacing w:val="-2"/>
        </w:rPr>
        <w:t>81.0%</w:t>
      </w:r>
      <w:r>
        <w:rPr>
          <w:spacing w:val="-2"/>
        </w:rPr>
        <w:t>提升至</w:t>
      </w:r>
      <w:r>
        <w:rPr>
          <w:rFonts w:ascii="Times New Roman" w:hAnsi="Times New Roman" w:cs="Times New Roman" w:eastAsia="Times New Roman" w:hint="default"/>
          <w:spacing w:val="-2"/>
        </w:rPr>
        <w:t>85.8%</w:t>
      </w:r>
      <w:r>
        <w:rPr>
          <w:spacing w:val="-2"/>
        </w:rPr>
        <w:t>。</w:t>
      </w:r>
      <w:r>
        <w:rPr>
          <w:rFonts w:ascii="Times New Roman" w:hAnsi="Times New Roman" w:cs="Times New Roman" w:eastAsia="Times New Roman" w:hint="default"/>
          <w:spacing w:val="-2"/>
        </w:rPr>
        <w:t>2014</w:t>
      </w:r>
      <w:r>
        <w:rPr>
          <w:spacing w:val="-2"/>
        </w:rPr>
        <w:t>年新网民最主要的</w:t>
      </w:r>
      <w:r>
        <w:rPr>
          <w:spacing w:val="-63"/>
        </w:rPr>
        <w:t> </w:t>
      </w:r>
      <w:r>
        <w:rPr>
          <w:spacing w:val="-63"/>
        </w:rPr>
      </w:r>
      <w:r>
        <w:rPr>
          <w:spacing w:val="-1"/>
        </w:rPr>
        <w:t>上网设备是手机，手机作为第一大上网终端设备的地位更加巩固。同时网民在手机电子商务类、休闲娱乐</w:t>
      </w:r>
      <w:r>
        <w:rPr>
          <w:spacing w:val="-83"/>
        </w:rPr>
        <w:t> </w:t>
      </w:r>
      <w:r>
        <w:rPr>
          <w:spacing w:val="-83"/>
        </w:rPr>
      </w:r>
      <w:r>
        <w:rPr/>
        <w:t>类、信息获取类、交通沟流类等应用的使用率都在快速增长，移动互联网带动整体互联网各类应用发展， </w:t>
      </w:r>
      <w:r>
        <w:rPr>
          <w:spacing w:val="-1"/>
        </w:rPr>
        <w:t>众多传统互联网应用企业纷纷加入到移动互联网应用中来，基于移动互联网终端及应用的取证需求已成为</w:t>
      </w:r>
      <w:r>
        <w:rPr>
          <w:spacing w:val="-81"/>
        </w:rPr>
        <w:t> </w:t>
      </w:r>
      <w:r>
        <w:rPr>
          <w:spacing w:val="-81"/>
        </w:rPr>
      </w:r>
      <w:r>
        <w:rPr/>
        <w:t>市场的主要发展方向。</w:t>
      </w:r>
    </w:p>
    <w:p>
      <w:pPr>
        <w:pStyle w:val="BodyText"/>
        <w:spacing w:line="542" w:lineRule="exact" w:before="8"/>
        <w:ind w:left="573" w:right="0"/>
        <w:jc w:val="left"/>
      </w:pPr>
      <w:r>
        <w:rPr/>
        <w:t>（</w:t>
      </w:r>
      <w:r>
        <w:rPr>
          <w:rFonts w:ascii="Times New Roman" w:hAnsi="Times New Roman" w:cs="Times New Roman" w:eastAsia="Times New Roman" w:hint="default"/>
        </w:rPr>
        <w:t>2</w:t>
      </w:r>
      <w:r>
        <w:rPr/>
        <w:t>）网络安全和信息化已上升到国家安全战略高度，国内相关领域面临巨大的发展机遇 </w:t>
      </w:r>
      <w:r>
        <w:rPr>
          <w:spacing w:val="-1"/>
        </w:rPr>
        <w:t>网络和信息化浪潮对全球经济社会发展影响越来越大，已经成为推动人类社会进步的重要驱动力，同</w:t>
      </w:r>
    </w:p>
    <w:p>
      <w:pPr>
        <w:pStyle w:val="BodyText"/>
        <w:spacing w:line="319" w:lineRule="auto" w:before="20"/>
        <w:ind w:left="153" w:right="104"/>
        <w:jc w:val="left"/>
      </w:pPr>
      <w:r>
        <w:rPr/>
        <w:t>时，无论从政府、企业到个人也无时无刻不在面临着各种病毒和黑客攻击，全球化的互联网服务和信息正 面临着极大的安全隐患，目前全球已有</w:t>
      </w:r>
      <w:r>
        <w:rPr>
          <w:rFonts w:ascii="Times New Roman" w:hAnsi="Times New Roman" w:cs="Times New Roman" w:eastAsia="Times New Roman" w:hint="default"/>
        </w:rPr>
        <w:t>40</w:t>
      </w:r>
      <w:r>
        <w:rPr/>
        <w:t>多个国家颁布了网络空间国家安全战略。我国党和政府以着眼全 </w:t>
      </w:r>
      <w:r>
        <w:rPr>
          <w:spacing w:val="-3"/>
        </w:rPr>
        <w:t>局的战略眼光和智慧，将信息安全提升至国家安全的战略高度，国家也加大了对信息安全产业的扶持力度。</w:t>
      </w:r>
      <w:r>
        <w:rPr>
          <w:spacing w:val="-92"/>
        </w:rPr>
        <w:t> </w:t>
      </w:r>
      <w:r>
        <w:rPr>
          <w:spacing w:val="-92"/>
        </w:rPr>
      </w:r>
      <w:r>
        <w:rPr/>
        <w:t>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日中央网络安全和信息化领导小组成立以来，政府也已出台了一系列法律法规对信息安全 产业予以扶持。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月，中央军委印发了《关于进一步加强军队信息安全工作的意见》，将信息安全 作为网络强军的重要任务，工信部等行业主管机构也发布了《关于加强电信和互联网行业网络安全工作的 指导意见》等。未来网络安全产品国产化步伐将加速，这些都为国内相关行业带来了政策和资金方面的扶 持，并为相关产品和服务提供商带来巨大的发展机遇。</w:t>
      </w:r>
    </w:p>
    <w:p>
      <w:pPr>
        <w:pStyle w:val="BodyText"/>
        <w:spacing w:line="542" w:lineRule="exact" w:before="8"/>
        <w:ind w:left="574" w:right="0"/>
        <w:jc w:val="left"/>
      </w:pPr>
      <w:r>
        <w:rPr/>
        <w:t>（</w:t>
      </w:r>
      <w:r>
        <w:rPr>
          <w:rFonts w:ascii="Times New Roman" w:hAnsi="Times New Roman" w:cs="Times New Roman" w:eastAsia="Times New Roman" w:hint="default"/>
        </w:rPr>
        <w:t>3</w:t>
      </w:r>
      <w:r>
        <w:rPr/>
        <w:t>）大数据将引领产业技术革命，国际国内产业政策的出台为其发展保驾护航 </w:t>
      </w:r>
      <w:r>
        <w:rPr>
          <w:spacing w:val="-1"/>
        </w:rPr>
        <w:t>信息时代的快速发展带来了数据信息的爆炸式增长，对海量数据进行存储和技术分析的市场需求也在</w:t>
      </w:r>
    </w:p>
    <w:p>
      <w:pPr>
        <w:pStyle w:val="BodyText"/>
        <w:spacing w:line="314" w:lineRule="auto" w:before="20"/>
        <w:ind w:right="204"/>
        <w:jc w:val="left"/>
      </w:pPr>
      <w:r>
        <w:rPr>
          <w:spacing w:val="-2"/>
        </w:rPr>
        <w:t>飞速提升。前瞻产业研究院发布的《</w:t>
      </w:r>
      <w:r>
        <w:rPr>
          <w:rFonts w:ascii="Times New Roman" w:hAnsi="Times New Roman" w:cs="Times New Roman" w:eastAsia="Times New Roman" w:hint="default"/>
          <w:spacing w:val="-2"/>
        </w:rPr>
        <w:t>2014-2018</w:t>
      </w:r>
      <w:r>
        <w:rPr>
          <w:spacing w:val="-2"/>
        </w:rPr>
        <w:t>年中国大数据产业发展前景与投资战略规划分析报告》数据</w:t>
      </w:r>
      <w:r>
        <w:rPr>
          <w:spacing w:val="-103"/>
        </w:rPr>
        <w:t> </w:t>
      </w:r>
      <w:r>
        <w:rPr>
          <w:spacing w:val="-103"/>
        </w:rPr>
      </w:r>
      <w:r>
        <w:rPr>
          <w:spacing w:val="-1"/>
        </w:rPr>
        <w:t>显示，</w:t>
      </w:r>
      <w:r>
        <w:rPr>
          <w:rFonts w:ascii="Times New Roman" w:hAnsi="Times New Roman" w:cs="Times New Roman" w:eastAsia="Times New Roman" w:hint="default"/>
          <w:spacing w:val="-1"/>
        </w:rPr>
        <w:t>2012</w:t>
      </w:r>
      <w:r>
        <w:rPr>
          <w:spacing w:val="-1"/>
        </w:rPr>
        <w:t>年全球大数据产业总体规模</w:t>
      </w:r>
      <w:r>
        <w:rPr>
          <w:rFonts w:ascii="Times New Roman" w:hAnsi="Times New Roman" w:cs="Times New Roman" w:eastAsia="Times New Roman" w:hint="default"/>
          <w:spacing w:val="-1"/>
        </w:rPr>
        <w:t>114</w:t>
      </w:r>
      <w:r>
        <w:rPr>
          <w:spacing w:val="-1"/>
        </w:rPr>
        <w:t>亿美元，</w:t>
      </w:r>
      <w:r>
        <w:rPr>
          <w:rFonts w:ascii="Times New Roman" w:hAnsi="Times New Roman" w:cs="Times New Roman" w:eastAsia="Times New Roman" w:hint="default"/>
          <w:spacing w:val="-1"/>
        </w:rPr>
        <w:t>2013</w:t>
      </w:r>
      <w:r>
        <w:rPr>
          <w:spacing w:val="-1"/>
        </w:rPr>
        <w:t>年总体规模增长至</w:t>
      </w:r>
      <w:r>
        <w:rPr>
          <w:rFonts w:ascii="Times New Roman" w:hAnsi="Times New Roman" w:cs="Times New Roman" w:eastAsia="Times New Roman" w:hint="default"/>
          <w:spacing w:val="-1"/>
        </w:rPr>
        <w:t>180</w:t>
      </w:r>
      <w:r>
        <w:rPr>
          <w:spacing w:val="-1"/>
        </w:rPr>
        <w:t>亿美元，到</w:t>
      </w:r>
      <w:r>
        <w:rPr>
          <w:rFonts w:ascii="Times New Roman" w:hAnsi="Times New Roman" w:cs="Times New Roman" w:eastAsia="Times New Roman" w:hint="default"/>
          <w:spacing w:val="-1"/>
        </w:rPr>
        <w:t>2017</w:t>
      </w:r>
      <w:r>
        <w:rPr>
          <w:spacing w:val="-1"/>
        </w:rPr>
        <w:t>年大数据市</w:t>
      </w:r>
      <w:r>
        <w:rPr>
          <w:spacing w:val="-87"/>
        </w:rPr>
        <w:t> </w:t>
      </w:r>
      <w:r>
        <w:rPr>
          <w:spacing w:val="-4"/>
        </w:rPr>
        <w:t>场规模有望接近</w:t>
      </w:r>
      <w:r>
        <w:rPr>
          <w:rFonts w:ascii="Times New Roman" w:hAnsi="Times New Roman" w:cs="Times New Roman" w:eastAsia="Times New Roman" w:hint="default"/>
          <w:spacing w:val="-4"/>
        </w:rPr>
        <w:t>500</w:t>
      </w:r>
      <w:r>
        <w:rPr>
          <w:spacing w:val="-4"/>
        </w:rPr>
        <w:t>亿美元，大数据技术和服务市场从</w:t>
      </w:r>
      <w:r>
        <w:rPr>
          <w:rFonts w:ascii="Times New Roman" w:hAnsi="Times New Roman" w:cs="Times New Roman" w:eastAsia="Times New Roman" w:hint="default"/>
          <w:spacing w:val="-4"/>
        </w:rPr>
        <w:t>2013</w:t>
      </w:r>
      <w:r>
        <w:rPr>
          <w:spacing w:val="-4"/>
        </w:rPr>
        <w:t>年至</w:t>
      </w:r>
      <w:r>
        <w:rPr>
          <w:rFonts w:ascii="Times New Roman" w:hAnsi="Times New Roman" w:cs="Times New Roman" w:eastAsia="Times New Roman" w:hint="default"/>
          <w:spacing w:val="-4"/>
        </w:rPr>
        <w:t>2017</w:t>
      </w:r>
      <w:r>
        <w:rPr>
          <w:spacing w:val="-4"/>
        </w:rPr>
        <w:t>年的复合增长率预计将达到</w:t>
      </w:r>
      <w:r>
        <w:rPr>
          <w:rFonts w:ascii="Times New Roman" w:hAnsi="Times New Roman" w:cs="Times New Roman" w:eastAsia="Times New Roman" w:hint="default"/>
          <w:spacing w:val="-4"/>
        </w:rPr>
        <w:t>27%</w:t>
      </w:r>
      <w:r>
        <w:rPr>
          <w:spacing w:val="-4"/>
        </w:rPr>
        <w:t>。大数</w:t>
      </w:r>
      <w:r>
        <w:rPr>
          <w:spacing w:val="-87"/>
        </w:rPr>
        <w:t> </w:t>
      </w:r>
      <w:r>
        <w:rPr>
          <w:spacing w:val="-1"/>
        </w:rPr>
        <w:t>据将引领产业技术革命，潜在市场价值必将为整个产业链上的所有企业一起分享，各企业不断加大在大数</w:t>
      </w:r>
      <w:r>
        <w:rPr>
          <w:spacing w:val="-81"/>
        </w:rPr>
        <w:t> </w:t>
      </w:r>
      <w:r>
        <w:rPr>
          <w:spacing w:val="-81"/>
        </w:rPr>
      </w:r>
      <w:r>
        <w:rPr>
          <w:spacing w:val="-1"/>
        </w:rPr>
        <w:t>据领域的布局。在政策层面上：</w:t>
      </w:r>
      <w:r>
        <w:rPr>
          <w:rFonts w:ascii="Times New Roman" w:hAnsi="Times New Roman" w:cs="Times New Roman" w:eastAsia="Times New Roman" w:hint="default"/>
          <w:spacing w:val="-1"/>
        </w:rPr>
        <w:t>1</w:t>
      </w:r>
      <w:r>
        <w:rPr>
          <w:spacing w:val="-1"/>
        </w:rPr>
        <w:t>）欧盟正在制定大数据产业政策，助推大数据业务发展；</w:t>
      </w:r>
      <w:r>
        <w:rPr>
          <w:rFonts w:ascii="Times New Roman" w:hAnsi="Times New Roman" w:cs="Times New Roman" w:eastAsia="Times New Roman" w:hint="default"/>
          <w:spacing w:val="-1"/>
        </w:rPr>
        <w:t>2</w:t>
      </w:r>
      <w:r>
        <w:rPr>
          <w:spacing w:val="-1"/>
        </w:rPr>
        <w:t>）我国发布的</w:t>
      </w:r>
    </w:p>
    <w:p>
      <w:pPr>
        <w:spacing w:after="0" w:line="314" w:lineRule="auto"/>
        <w:jc w:val="left"/>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309" w:lineRule="auto" w:before="35"/>
        <w:ind w:left="153" w:right="0"/>
        <w:jc w:val="left"/>
      </w:pPr>
      <w:r>
        <w:rPr>
          <w:spacing w:val="-1"/>
        </w:rPr>
        <w:t>首个大数据交易行业规范于已于</w:t>
      </w:r>
      <w:r>
        <w:rPr>
          <w:rFonts w:ascii="Times New Roman" w:hAnsi="Times New Roman" w:cs="Times New Roman" w:eastAsia="Times New Roman" w:hint="default"/>
          <w:spacing w:val="-1"/>
        </w:rPr>
        <w:t>6</w:t>
      </w:r>
      <w:r>
        <w:rPr>
          <w:spacing w:val="-1"/>
        </w:rPr>
        <w:t>月发布。</w:t>
      </w:r>
      <w:r>
        <w:rPr>
          <w:rFonts w:ascii="Times New Roman" w:hAnsi="Times New Roman" w:cs="Times New Roman" w:eastAsia="Times New Roman" w:hint="default"/>
          <w:spacing w:val="-1"/>
        </w:rPr>
        <w:t>3</w:t>
      </w:r>
      <w:r>
        <w:rPr>
          <w:spacing w:val="-1"/>
        </w:rPr>
        <w:t>）地方政府相关政策不断出台，也在持续推动大数据概念的发</w:t>
      </w:r>
      <w:r>
        <w:rPr>
          <w:spacing w:val="-86"/>
        </w:rPr>
        <w:t> </w:t>
      </w:r>
      <w:r>
        <w:rPr>
          <w:spacing w:val="-86"/>
        </w:rPr>
      </w:r>
      <w:r>
        <w:rPr/>
        <w:t>展。</w:t>
      </w:r>
    </w:p>
    <w:p>
      <w:pPr>
        <w:pStyle w:val="BodyText"/>
        <w:spacing w:line="542" w:lineRule="exact" w:before="17"/>
        <w:ind w:left="573" w:right="0"/>
        <w:jc w:val="left"/>
      </w:pPr>
      <w:r>
        <w:rPr/>
        <w:t>（</w:t>
      </w:r>
      <w:r>
        <w:rPr>
          <w:rFonts w:ascii="Times New Roman" w:hAnsi="Times New Roman" w:cs="Times New Roman" w:eastAsia="Times New Roman" w:hint="default"/>
        </w:rPr>
        <w:t>4</w:t>
      </w:r>
      <w:r>
        <w:rPr/>
        <w:t>）云计算服务市场规模快速增长，国内诸多企业纷纷布局云计算 </w:t>
      </w:r>
      <w:r>
        <w:rPr>
          <w:spacing w:val="-1"/>
        </w:rPr>
        <w:t>云计算是继个人计算机变革和互联网变革之后的第三次</w:t>
      </w:r>
      <w:r>
        <w:rPr>
          <w:rFonts w:ascii="Times New Roman" w:hAnsi="Times New Roman" w:cs="Times New Roman" w:eastAsia="Times New Roman" w:hint="default"/>
          <w:spacing w:val="-1"/>
        </w:rPr>
        <w:t>IT</w:t>
      </w:r>
      <w:r>
        <w:rPr>
          <w:spacing w:val="-1"/>
        </w:rPr>
        <w:t>浪潮，也是中国战略性新兴产业的重要组成</w:t>
      </w:r>
    </w:p>
    <w:p>
      <w:pPr>
        <w:pStyle w:val="BodyText"/>
        <w:spacing w:line="319" w:lineRule="auto" w:before="20"/>
        <w:ind w:left="153" w:right="149"/>
        <w:jc w:val="left"/>
      </w:pPr>
      <w:r>
        <w:rPr>
          <w:spacing w:val="-2"/>
        </w:rPr>
        <w:t>部分。《</w:t>
      </w:r>
      <w:r>
        <w:rPr>
          <w:rFonts w:ascii="Times New Roman" w:hAnsi="Times New Roman" w:cs="Times New Roman" w:eastAsia="Times New Roman" w:hint="default"/>
          <w:spacing w:val="-2"/>
        </w:rPr>
        <w:t>2014-2015</w:t>
      </w:r>
      <w:r>
        <w:rPr>
          <w:spacing w:val="-2"/>
        </w:rPr>
        <w:t>年中国云计算市场现状与发展趋势研究报告》的数据表明：</w:t>
      </w:r>
      <w:r>
        <w:rPr>
          <w:rFonts w:ascii="Times New Roman" w:hAnsi="Times New Roman" w:cs="Times New Roman" w:eastAsia="Times New Roman" w:hint="default"/>
          <w:spacing w:val="-2"/>
        </w:rPr>
        <w:t>2014</w:t>
      </w:r>
      <w:r>
        <w:rPr>
          <w:spacing w:val="-2"/>
        </w:rPr>
        <w:t>年中国云建设市场规模</w:t>
      </w:r>
      <w:r>
        <w:rPr>
          <w:spacing w:val="-99"/>
        </w:rPr>
        <w:t> </w:t>
      </w:r>
      <w:r>
        <w:rPr/>
        <w:t>为</w:t>
      </w:r>
      <w:r>
        <w:rPr>
          <w:rFonts w:ascii="Times New Roman" w:hAnsi="Times New Roman" w:cs="Times New Roman" w:eastAsia="Times New Roman" w:hint="default"/>
        </w:rPr>
        <w:t>383.6</w:t>
      </w:r>
      <w:r>
        <w:rPr/>
        <w:t>亿元，同比</w:t>
      </w:r>
      <w:r>
        <w:rPr>
          <w:rFonts w:ascii="Times New Roman" w:hAnsi="Times New Roman" w:cs="Times New Roman" w:eastAsia="Times New Roman" w:hint="default"/>
        </w:rPr>
        <w:t>2013</w:t>
      </w:r>
      <w:r>
        <w:rPr/>
        <w:t>年增长达</w:t>
      </w:r>
      <w:r>
        <w:rPr>
          <w:rFonts w:ascii="Times New Roman" w:hAnsi="Times New Roman" w:cs="Times New Roman" w:eastAsia="Times New Roman" w:hint="default"/>
        </w:rPr>
        <w:t>44.1%</w:t>
      </w:r>
      <w:r>
        <w:rPr/>
        <w:t>；</w:t>
      </w:r>
      <w:r>
        <w:rPr>
          <w:rFonts w:ascii="Times New Roman" w:hAnsi="Times New Roman" w:cs="Times New Roman" w:eastAsia="Times New Roman" w:hint="default"/>
        </w:rPr>
        <w:t>2014</w:t>
      </w:r>
      <w:r>
        <w:rPr/>
        <w:t>年中国云服务市场规模达到</w:t>
      </w:r>
      <w:r>
        <w:rPr>
          <w:rFonts w:ascii="Times New Roman" w:hAnsi="Times New Roman" w:cs="Times New Roman" w:eastAsia="Times New Roman" w:hint="default"/>
        </w:rPr>
        <w:t>1,645.8</w:t>
      </w:r>
      <w:r>
        <w:rPr/>
        <w:t>亿元，同比增长</w:t>
      </w:r>
      <w:r>
        <w:rPr>
          <w:rFonts w:ascii="Times New Roman" w:hAnsi="Times New Roman" w:cs="Times New Roman" w:eastAsia="Times New Roman" w:hint="default"/>
        </w:rPr>
        <w:t>28.0%</w:t>
      </w:r>
      <w:r>
        <w:rPr/>
        <w:t>。 </w:t>
      </w:r>
      <w:r>
        <w:rPr>
          <w:spacing w:val="-1"/>
        </w:rPr>
        <w:t>近日，国务院印发了《关于促进云计算创新发展培育信息产业新业态的意见》，强调要完善市场环境，加</w:t>
      </w:r>
      <w:r>
        <w:rPr>
          <w:spacing w:val="-83"/>
        </w:rPr>
        <w:t> </w:t>
      </w:r>
      <w:r>
        <w:rPr>
          <w:spacing w:val="-83"/>
        </w:rPr>
      </w:r>
      <w:r>
        <w:rPr>
          <w:spacing w:val="-1"/>
        </w:rPr>
        <w:t>大对云计算骨干企业的培育扶持力度，以促进云计算创新发展，并带动信息技术产业快速发展。目前国内</w:t>
      </w:r>
      <w:r>
        <w:rPr>
          <w:spacing w:val="-83"/>
        </w:rPr>
        <w:t> </w:t>
      </w:r>
      <w:r>
        <w:rPr>
          <w:spacing w:val="-83"/>
        </w:rPr>
      </w:r>
      <w:r>
        <w:rPr/>
        <w:t>阿里、盛大、华为等诸多公司也都在纷纷布局云计算，云计算产业将进入快速发展期。</w:t>
      </w:r>
    </w:p>
    <w:p>
      <w:pPr>
        <w:pStyle w:val="BodyText"/>
        <w:spacing w:line="326" w:lineRule="auto" w:before="150"/>
        <w:ind w:left="153" w:right="130" w:firstLine="420"/>
        <w:jc w:val="both"/>
      </w:pPr>
      <w:r>
        <w:rPr/>
        <w:t>面对上述环境变化趋势，公司已从基础资源和研发投入等各方面进行了充分布局，如超算（云计算） </w:t>
      </w:r>
      <w:r>
        <w:rPr>
          <w:spacing w:val="-1"/>
        </w:rPr>
        <w:t>中心的建设，“硬件产品装备化、软件产品平台化”、“小产品、大服务”的发展战略，都将为新形势下</w:t>
      </w:r>
      <w:r>
        <w:rPr>
          <w:spacing w:val="-84"/>
        </w:rPr>
        <w:t> </w:t>
      </w:r>
      <w:r>
        <w:rPr>
          <w:spacing w:val="-84"/>
        </w:rPr>
      </w:r>
      <w:r>
        <w:rPr/>
        <w:t>市场竞争提供支撑。</w:t>
      </w:r>
    </w:p>
    <w:p>
      <w:pPr>
        <w:spacing w:line="403" w:lineRule="auto" w:before="114"/>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（二）市场前景及竞争格局</w:t>
      </w:r>
      <w:r>
        <w:rPr>
          <w:rFonts w:ascii="宋体" w:hAnsi="宋体" w:cs="宋体" w:eastAsia="宋体" w:hint="default"/>
          <w:b/>
          <w:bCs/>
          <w:w w:val="99"/>
          <w:sz w:val="21"/>
          <w:szCs w:val="21"/>
        </w:rPr>
        <w:t> </w:t>
      </w:r>
      <w:r>
        <w:rPr>
          <w:rFonts w:ascii="宋体" w:hAnsi="宋体" w:cs="宋体" w:eastAsia="宋体" w:hint="default"/>
          <w:spacing w:val="-1"/>
          <w:sz w:val="21"/>
          <w:szCs w:val="21"/>
        </w:rPr>
        <w:t>公司围绕“没有网络安全就没有国家安全，没有信息化就没有现代化”这个重要论断，在原有电子数</w:t>
      </w:r>
    </w:p>
    <w:p>
      <w:pPr>
        <w:pStyle w:val="BodyText"/>
        <w:spacing w:line="232" w:lineRule="exact"/>
        <w:ind w:left="153" w:right="0"/>
        <w:jc w:val="left"/>
      </w:pPr>
      <w:r>
        <w:rPr/>
        <w:t>据取证与信息安全方向，增加信息化方向，这个业务主要重点放在公安信息化及执法部门信息化方面，通</w:t>
      </w:r>
    </w:p>
    <w:p>
      <w:pPr>
        <w:pStyle w:val="BodyText"/>
        <w:spacing w:line="326" w:lineRule="auto" w:before="99"/>
        <w:ind w:left="153" w:right="152"/>
        <w:jc w:val="both"/>
      </w:pPr>
      <w:r>
        <w:rPr>
          <w:spacing w:val="-1"/>
        </w:rPr>
        <w:t>过并购及参股的新德汇及巨龙信息就是从事公安刑侦信息化、公安大情报、检察机关执法信息化等执法部</w:t>
      </w:r>
      <w:r>
        <w:rPr>
          <w:spacing w:val="-81"/>
        </w:rPr>
        <w:t> </w:t>
      </w:r>
      <w:r>
        <w:rPr>
          <w:spacing w:val="-81"/>
        </w:rPr>
      </w:r>
      <w:r>
        <w:rPr>
          <w:spacing w:val="-1"/>
        </w:rPr>
        <w:t>门信息化系统开发和建设，在去年两家公司的业务都取得较快的发展，在新的一年，这两家公司将和美亚</w:t>
      </w:r>
      <w:r>
        <w:rPr>
          <w:spacing w:val="-83"/>
        </w:rPr>
        <w:t> </w:t>
      </w:r>
      <w:r>
        <w:rPr>
          <w:spacing w:val="-83"/>
        </w:rPr>
      </w:r>
      <w:r>
        <w:rPr/>
        <w:t>柏科一起进一步整合行业的市场资源，共同拓展行业市场。</w:t>
      </w:r>
    </w:p>
    <w:p>
      <w:pPr>
        <w:pStyle w:val="BodyText"/>
        <w:spacing w:line="326" w:lineRule="auto" w:before="144"/>
        <w:ind w:left="153" w:right="152" w:firstLine="420"/>
        <w:jc w:val="both"/>
      </w:pPr>
      <w:r>
        <w:rPr>
          <w:spacing w:val="-1"/>
        </w:rPr>
        <w:t>电子数据是信息时代最重要的生产要素，以证明电子数据的客观有效性为目标的电子数据存取证技术</w:t>
      </w:r>
      <w:r>
        <w:rPr/>
        <w:t> 的应用市场非常广阔。</w:t>
      </w:r>
    </w:p>
    <w:p>
      <w:pPr>
        <w:pStyle w:val="BodyText"/>
        <w:spacing w:line="326" w:lineRule="auto" w:before="144"/>
        <w:ind w:left="153" w:right="152" w:firstLine="420"/>
        <w:jc w:val="both"/>
      </w:pPr>
      <w:r>
        <w:rPr>
          <w:spacing w:val="-1"/>
        </w:rPr>
        <w:t>在政府监管领域，公检法等司法机关每年受理的刑事案件和民事案件中，涉及电子数据的案件日益增</w:t>
      </w:r>
      <w:r>
        <w:rPr/>
        <w:t> </w:t>
      </w:r>
      <w:r>
        <w:rPr>
          <w:spacing w:val="-1"/>
        </w:rPr>
        <w:t>多。工商、税务、海关、质监、检验检疫等越来越多的政府行政执法部门的执法监管工作中，电子数据取</w:t>
      </w:r>
      <w:r>
        <w:rPr>
          <w:spacing w:val="-83"/>
        </w:rPr>
        <w:t> </w:t>
      </w:r>
      <w:r>
        <w:rPr>
          <w:spacing w:val="-83"/>
        </w:rPr>
      </w:r>
      <w:r>
        <w:rPr>
          <w:spacing w:val="-1"/>
        </w:rPr>
        <w:t>证分析已成为日益重要的工作内容，如商品交易监管、食品安全监管、检验检疫等传统执法监管领域，也</w:t>
      </w:r>
      <w:r>
        <w:rPr>
          <w:spacing w:val="-85"/>
        </w:rPr>
        <w:t> </w:t>
      </w:r>
      <w:r>
        <w:rPr>
          <w:spacing w:val="-85"/>
        </w:rPr>
      </w:r>
      <w:r>
        <w:rPr/>
        <w:t>已经开始转向信息化监管方向。</w:t>
      </w:r>
    </w:p>
    <w:p>
      <w:pPr>
        <w:pStyle w:val="BodyText"/>
        <w:spacing w:line="326" w:lineRule="auto" w:before="144"/>
        <w:ind w:right="152" w:firstLine="420"/>
        <w:jc w:val="both"/>
      </w:pPr>
      <w:r>
        <w:rPr>
          <w:spacing w:val="-1"/>
        </w:rPr>
        <w:t>在民用领域，信息化和网络化已大大改变了人们生产和生活方式，电子数据已成为人们生产和生活中</w:t>
      </w:r>
      <w:r>
        <w:rPr/>
        <w:t> </w:t>
      </w:r>
      <w:r>
        <w:rPr>
          <w:spacing w:val="-1"/>
        </w:rPr>
        <w:t>的重要元素，电子数据存取证需求已在各个领域凸显：电子商务纠纷的解决、数字知识产权的保护、企事</w:t>
      </w:r>
      <w:r>
        <w:rPr>
          <w:spacing w:val="-86"/>
        </w:rPr>
        <w:t> </w:t>
      </w:r>
      <w:r>
        <w:rPr>
          <w:spacing w:val="-86"/>
        </w:rPr>
      </w:r>
      <w:r>
        <w:rPr/>
        <w:t>业单位及个人重要数据存证等等。</w:t>
      </w:r>
    </w:p>
    <w:p>
      <w:pPr>
        <w:pStyle w:val="BodyText"/>
        <w:spacing w:line="326" w:lineRule="auto" w:before="144"/>
        <w:ind w:right="151" w:firstLine="420"/>
        <w:jc w:val="both"/>
      </w:pPr>
      <w:r>
        <w:rPr>
          <w:spacing w:val="-1"/>
        </w:rPr>
        <w:t>近两年来，随着社会信息化程度的不断提高，电子商务和电子政务的快速发展，政府各执法部门对本</w:t>
      </w:r>
      <w:r>
        <w:rPr/>
        <w:t> </w:t>
      </w:r>
      <w:r>
        <w:rPr>
          <w:spacing w:val="-1"/>
        </w:rPr>
        <w:t>行业执法监管不断朝着信息化方向发展，国内电子数据取证和信息网络安全市场进入快速发展阶段。与此</w:t>
      </w:r>
      <w:r>
        <w:rPr>
          <w:spacing w:val="-81"/>
        </w:rPr>
        <w:t> </w:t>
      </w:r>
      <w:r>
        <w:rPr>
          <w:spacing w:val="-81"/>
        </w:rPr>
      </w:r>
      <w:r>
        <w:rPr/>
        <w:t>同时，市场也呈现出了竞争日益激烈、行业划分更为细致的态势。</w:t>
      </w:r>
    </w:p>
    <w:p>
      <w:pPr>
        <w:pStyle w:val="BodyText"/>
        <w:spacing w:line="319" w:lineRule="auto" w:before="144"/>
        <w:ind w:left="153" w:right="153" w:firstLine="420"/>
        <w:jc w:val="both"/>
      </w:pPr>
      <w:r>
        <w:rPr/>
        <w:t>在电子数据取证领域，国外厂商主要有</w:t>
      </w:r>
      <w:r>
        <w:rPr>
          <w:rFonts w:ascii="Times New Roman" w:hAnsi="Times New Roman" w:cs="Times New Roman" w:eastAsia="Times New Roman" w:hint="default"/>
        </w:rPr>
        <w:t>Guidance</w:t>
      </w:r>
      <w:r>
        <w:rPr>
          <w:rFonts w:ascii="Times New Roman" w:hAnsi="Times New Roman" w:cs="Times New Roman" w:eastAsia="Times New Roman" w:hint="default"/>
          <w:spacing w:val="-18"/>
        </w:rPr>
        <w:t> </w:t>
      </w:r>
      <w:r>
        <w:rPr>
          <w:rFonts w:ascii="Times New Roman" w:hAnsi="Times New Roman" w:cs="Times New Roman" w:eastAsia="Times New Roman" w:hint="default"/>
        </w:rPr>
        <w:t>Software</w:t>
      </w:r>
      <w:r>
        <w:rPr/>
        <w:t>、</w:t>
      </w:r>
      <w:r>
        <w:rPr>
          <w:rFonts w:ascii="Times New Roman" w:hAnsi="Times New Roman" w:cs="Times New Roman" w:eastAsia="Times New Roman" w:hint="default"/>
        </w:rPr>
        <w:t>Cellebrite</w:t>
      </w:r>
      <w:r>
        <w:rPr/>
        <w:t>、</w:t>
      </w:r>
      <w:r>
        <w:rPr>
          <w:rFonts w:ascii="Times New Roman" w:hAnsi="Times New Roman" w:cs="Times New Roman" w:eastAsia="Times New Roman" w:hint="default"/>
        </w:rPr>
        <w:t>X-ways</w:t>
      </w:r>
      <w:r>
        <w:rPr/>
        <w:t>、</w:t>
      </w:r>
      <w:r>
        <w:rPr>
          <w:rFonts w:ascii="Times New Roman" w:hAnsi="Times New Roman" w:cs="Times New Roman" w:eastAsia="Times New Roman" w:hint="default"/>
        </w:rPr>
        <w:t>Oxygen</w:t>
      </w:r>
      <w:r>
        <w:rPr/>
        <w:t>等企业，国内 </w:t>
      </w:r>
      <w:r>
        <w:rPr>
          <w:spacing w:val="-1"/>
        </w:rPr>
        <w:t>竞争厂商主要有北京瑞源文德、上海盘石、广州高奈特、南京掌控、重庆爱思等企业。公司是国内电子数</w:t>
      </w:r>
      <w:r>
        <w:rPr>
          <w:spacing w:val="-83"/>
        </w:rPr>
        <w:t> </w:t>
      </w:r>
      <w:r>
        <w:rPr>
          <w:spacing w:val="-83"/>
        </w:rPr>
      </w:r>
      <w:r>
        <w:rPr/>
        <w:t>据取证行业的龙头企业，具有先发优势和深厚的技术储备，在国内电子数据取证领域保持领先地位。</w:t>
      </w:r>
    </w:p>
    <w:p>
      <w:pPr>
        <w:spacing w:after="0" w:line="319" w:lineRule="auto"/>
        <w:jc w:val="both"/>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326" w:lineRule="auto" w:before="35"/>
        <w:ind w:right="172" w:firstLine="420"/>
        <w:jc w:val="left"/>
      </w:pPr>
      <w:r>
        <w:rPr/>
        <w:t>在网络信息内容安全产品方面，公司主要产品为与搜索技术相关的舆情监测产品和网络信息监管产 </w:t>
      </w:r>
      <w:r>
        <w:rPr>
          <w:spacing w:val="-1"/>
        </w:rPr>
        <w:t>品。其中舆情监测产品是传统的执法部门需求，国内竞争企业主要有拓尔思、任子行和邦富等，各企业的</w:t>
      </w:r>
      <w:r>
        <w:rPr>
          <w:spacing w:val="-86"/>
        </w:rPr>
        <w:t> </w:t>
      </w:r>
      <w:r>
        <w:rPr>
          <w:spacing w:val="-86"/>
        </w:rPr>
      </w:r>
      <w:r>
        <w:rPr/>
        <w:t>竞争优势主要是对其所处细分行业的用户需求的深入了解。公司主要优势仍在于熟悉传统客户业务流程， </w:t>
      </w:r>
      <w:r>
        <w:rPr>
          <w:spacing w:val="-1"/>
        </w:rPr>
        <w:t>拥有多年积累的服务经验。网络信息监管产品是工商、税务、海关、检验检疫等各执法部门根据本行业网</w:t>
      </w:r>
      <w:r>
        <w:rPr>
          <w:spacing w:val="-85"/>
        </w:rPr>
        <w:t> </w:t>
      </w:r>
      <w:r>
        <w:rPr>
          <w:spacing w:val="-85"/>
        </w:rPr>
      </w:r>
      <w:r>
        <w:rPr>
          <w:spacing w:val="-1"/>
        </w:rPr>
        <w:t>络监管需求提出的，此行业的竞争对手是原行业内的软件企业，公司的主要优势是在多年积累的搜索技术</w:t>
      </w:r>
      <w:r>
        <w:rPr>
          <w:spacing w:val="-81"/>
        </w:rPr>
        <w:t> </w:t>
      </w:r>
      <w:r>
        <w:rPr>
          <w:spacing w:val="-81"/>
        </w:rPr>
      </w:r>
      <w:r>
        <w:rPr/>
        <w:t>和对业务部门需求的快速响应。</w:t>
      </w:r>
    </w:p>
    <w:p>
      <w:pPr>
        <w:pStyle w:val="BodyText"/>
        <w:spacing w:line="326" w:lineRule="auto" w:before="144"/>
        <w:ind w:right="0" w:firstLine="420"/>
        <w:jc w:val="left"/>
      </w:pPr>
      <w:r>
        <w:rPr>
          <w:spacing w:val="-1"/>
        </w:rPr>
        <w:t>此外，公司完善的技术支持和培训服务体系、超级计算中心（云计算中心）的资源优势，对于巩固公</w:t>
      </w:r>
      <w:r>
        <w:rPr/>
        <w:t> 司的市场地位，提升综合竞争力具有重要作用。</w:t>
      </w:r>
    </w:p>
    <w:p>
      <w:pPr>
        <w:spacing w:line="381" w:lineRule="auto" w:before="114"/>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（三）公司发展战略及</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2015</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年度经营计划</w:t>
      </w:r>
      <w:r>
        <w:rPr>
          <w:rFonts w:ascii="宋体" w:hAnsi="宋体" w:cs="宋体" w:eastAsia="宋体" w:hint="default"/>
          <w:b/>
          <w:bCs/>
          <w:w w:val="99"/>
          <w:sz w:val="21"/>
          <w:szCs w:val="21"/>
        </w:rPr>
        <w:t> </w:t>
      </w:r>
      <w:r>
        <w:rPr>
          <w:rFonts w:ascii="宋体" w:hAnsi="宋体" w:cs="宋体" w:eastAsia="宋体" w:hint="default"/>
          <w:spacing w:val="-1"/>
          <w:sz w:val="21"/>
          <w:szCs w:val="21"/>
        </w:rPr>
        <w:t>公司的长期战略目标是发展成为全球领先的电子数据取证和网络信息安全产品及服务提供商，巩固公</w:t>
      </w:r>
    </w:p>
    <w:p>
      <w:pPr>
        <w:pStyle w:val="BodyText"/>
        <w:spacing w:line="251" w:lineRule="exact"/>
        <w:ind w:right="0"/>
        <w:jc w:val="left"/>
      </w:pPr>
      <w:r>
        <w:rPr/>
        <w:t>司在国内市场领先地位的同时，不断提升在国际市场上的竞争力。</w:t>
      </w:r>
    </w:p>
    <w:p>
      <w:pPr>
        <w:spacing w:line="240" w:lineRule="auto" w:before="10"/>
        <w:rPr>
          <w:rFonts w:ascii="宋体" w:hAnsi="宋体" w:cs="宋体" w:eastAsia="宋体" w:hint="default"/>
          <w:sz w:val="16"/>
          <w:szCs w:val="16"/>
        </w:rPr>
      </w:pPr>
    </w:p>
    <w:p>
      <w:pPr>
        <w:pStyle w:val="BodyText"/>
        <w:spacing w:line="324" w:lineRule="auto"/>
        <w:ind w:right="97" w:firstLine="420"/>
        <w:jc w:val="left"/>
      </w:pPr>
      <w:r>
        <w:rPr>
          <w:spacing w:val="-3"/>
        </w:rPr>
        <w:t>中共中央总书记、中央网络安全和信息化领导小组组长习近平提出了“没有网络安全就没有国家安全，</w:t>
      </w:r>
      <w:r>
        <w:rPr/>
        <w:t> 没有信息化就没有现代化”，“努力把我国建设成为网络强国”等重要论断，把对网络安全和信息化重要 性的认识提到了一个新的高度，为下一步推进网络信息安全和信息化建设指明了方向。信息化技术和网络 技术的发展应用是促进公司业务发展的主要驱动因素，因此，相关行业和技术的发展，对公司所处电子数 据取证及网络信息安全产品和服务的发展具有重要导向作用。</w:t>
      </w:r>
      <w:r>
        <w:rPr>
          <w:rFonts w:ascii="Times New Roman" w:hAnsi="Times New Roman" w:cs="Times New Roman" w:eastAsia="Times New Roman" w:hint="default"/>
        </w:rPr>
        <w:t>2015</w:t>
      </w:r>
      <w:r>
        <w:rPr/>
        <w:t>年公司将继续推动各中心之间以及公司 与各子公司之间的资源整合，逐步实现公司的战略转型：计算机向移动互联网转型、单兵装备向平台化转 型、数据取证向数据分析转型、产品向服务转型。</w:t>
      </w:r>
      <w:r>
        <w:rPr>
          <w:rFonts w:ascii="Times New Roman" w:hAnsi="Times New Roman" w:cs="Times New Roman" w:eastAsia="Times New Roman" w:hint="default"/>
        </w:rPr>
        <w:t>2015</w:t>
      </w:r>
      <w:r>
        <w:rPr/>
        <w:t>年度主要经营计划：</w:t>
      </w:r>
    </w:p>
    <w:p>
      <w:pPr>
        <w:pStyle w:val="BodyText"/>
        <w:spacing w:line="408" w:lineRule="auto" w:before="122"/>
        <w:ind w:left="573" w:right="0" w:firstLine="2"/>
        <w:jc w:val="left"/>
      </w:pPr>
      <w:r>
        <w:rPr>
          <w:rFonts w:ascii="Times New Roman" w:hAnsi="Times New Roman" w:cs="Times New Roman" w:eastAsia="Times New Roman" w:hint="default"/>
          <w:b/>
          <w:bCs/>
        </w:rPr>
        <w:t>1</w:t>
      </w:r>
      <w:r>
        <w:rPr>
          <w:rFonts w:ascii="宋体" w:hAnsi="宋体" w:cs="宋体" w:eastAsia="宋体" w:hint="default"/>
          <w:b/>
          <w:bCs/>
        </w:rPr>
        <w:t>、产品与技术研发</w:t>
      </w:r>
      <w:r>
        <w:rPr>
          <w:rFonts w:ascii="宋体" w:hAnsi="宋体" w:cs="宋体" w:eastAsia="宋体" w:hint="default"/>
          <w:b/>
          <w:bCs/>
          <w:spacing w:val="1"/>
          <w:w w:val="99"/>
        </w:rPr>
        <w:t> </w:t>
      </w:r>
      <w:r>
        <w:rPr>
          <w:spacing w:val="-1"/>
        </w:rPr>
        <w:t>在产品方面，围绕市场开拓重点，新推出面向行业用户和区县用户的产品和解决方案。完成重点产品</w:t>
      </w:r>
    </w:p>
    <w:p>
      <w:pPr>
        <w:pStyle w:val="BodyText"/>
        <w:spacing w:line="227" w:lineRule="exact"/>
        <w:ind w:right="0"/>
        <w:jc w:val="left"/>
      </w:pPr>
      <w:r>
        <w:rPr/>
        <w:t>升级换代，保持相关产品和技术水平处于行业领先地位。增加预研投入的比例，提升技术储备，为长期可</w:t>
      </w:r>
    </w:p>
    <w:p>
      <w:pPr>
        <w:pStyle w:val="BodyText"/>
        <w:spacing w:line="240" w:lineRule="auto" w:before="99"/>
        <w:ind w:right="0"/>
        <w:jc w:val="left"/>
      </w:pPr>
      <w:r>
        <w:rPr/>
        <w:t>持续发展提供有效支撑。公司的三个研究院将分别从以下三个技术方向开展相关工作：</w:t>
      </w:r>
    </w:p>
    <w:p>
      <w:pPr>
        <w:spacing w:line="240" w:lineRule="auto" w:before="10"/>
        <w:rPr>
          <w:rFonts w:ascii="宋体" w:hAnsi="宋体" w:cs="宋体" w:eastAsia="宋体" w:hint="default"/>
          <w:sz w:val="16"/>
          <w:szCs w:val="16"/>
        </w:rPr>
      </w:pPr>
    </w:p>
    <w:p>
      <w:pPr>
        <w:pStyle w:val="BodyText"/>
        <w:spacing w:line="326" w:lineRule="auto"/>
        <w:ind w:right="0" w:firstLine="420"/>
        <w:jc w:val="left"/>
      </w:pPr>
      <w:r>
        <w:rPr>
          <w:spacing w:val="-1"/>
        </w:rPr>
        <w:t>平台技术研究院：继续加大大数据核心技术的研究，针对复杂结构、复杂关系、复杂计算的能力进一</w:t>
      </w:r>
      <w:r>
        <w:rPr/>
        <w:t> 步实现突破，持续提升数据挖掘能力，并研究大数据可视化技术，提高大数据的展示和互动能力。</w:t>
      </w:r>
    </w:p>
    <w:p>
      <w:pPr>
        <w:pStyle w:val="BodyText"/>
        <w:spacing w:line="326" w:lineRule="auto" w:before="144"/>
        <w:ind w:right="211" w:firstLine="420"/>
        <w:jc w:val="both"/>
      </w:pPr>
      <w:r>
        <w:rPr>
          <w:spacing w:val="-1"/>
        </w:rPr>
        <w:t>装备技术研究院：进一步推进平台化战略，成立分析产品线，从电子数据取证向数据分析转型。重点</w:t>
      </w:r>
      <w:r>
        <w:rPr/>
        <w:t> </w:t>
      </w:r>
      <w:r>
        <w:rPr>
          <w:spacing w:val="-1"/>
        </w:rPr>
        <w:t>发展智能移动终端取证产品，从计算机取证向移动互联网取证转型。加大视频分析技术的研发力度，以满</w:t>
      </w:r>
      <w:r>
        <w:rPr>
          <w:spacing w:val="-83"/>
        </w:rPr>
        <w:t> </w:t>
      </w:r>
      <w:r>
        <w:rPr>
          <w:spacing w:val="-83"/>
        </w:rPr>
      </w:r>
      <w:r>
        <w:rPr/>
        <w:t>足客户快速增长的视频取证方面的需求。</w:t>
      </w:r>
    </w:p>
    <w:p>
      <w:pPr>
        <w:pStyle w:val="BodyText"/>
        <w:spacing w:line="326" w:lineRule="auto" w:before="144"/>
        <w:ind w:right="211" w:firstLine="420"/>
        <w:jc w:val="both"/>
      </w:pPr>
      <w:r>
        <w:rPr>
          <w:spacing w:val="-1"/>
        </w:rPr>
        <w:t>搜索技术研究院：充分运用大数据的技术及架构，不断完善产品功能和提升产品性能，产品和服务向</w:t>
      </w:r>
      <w:r>
        <w:rPr/>
        <w:t> </w:t>
      </w:r>
      <w:r>
        <w:rPr>
          <w:spacing w:val="-1"/>
        </w:rPr>
        <w:t>工商、新闻监管、质监、检验检疫等更多具有互联网监管需求的部门推广。公司运营的厦门市超级计算中</w:t>
      </w:r>
      <w:r>
        <w:rPr>
          <w:spacing w:val="-85"/>
        </w:rPr>
        <w:t> </w:t>
      </w:r>
      <w:r>
        <w:rPr>
          <w:spacing w:val="-85"/>
        </w:rPr>
      </w:r>
      <w:r>
        <w:rPr>
          <w:spacing w:val="-1"/>
        </w:rPr>
        <w:t>心作为公司及这条产品线重要的研发和运营的基础设施，将进行一次全面升级，以适应互联网海量数据的</w:t>
      </w:r>
      <w:r>
        <w:rPr>
          <w:spacing w:val="-81"/>
        </w:rPr>
        <w:t> </w:t>
      </w:r>
      <w:r>
        <w:rPr>
          <w:spacing w:val="-81"/>
        </w:rPr>
      </w:r>
      <w:r>
        <w:rPr/>
        <w:t>存储，提升数据服务的全面性、及时性、可靠性。</w:t>
      </w:r>
    </w:p>
    <w:p>
      <w:pPr>
        <w:pStyle w:val="BodyText"/>
        <w:spacing w:line="408" w:lineRule="auto" w:before="144"/>
        <w:ind w:left="574" w:right="172" w:firstLine="2"/>
        <w:jc w:val="left"/>
      </w:pPr>
      <w:r>
        <w:rPr>
          <w:rFonts w:ascii="Times New Roman" w:hAnsi="Times New Roman" w:cs="Times New Roman" w:eastAsia="Times New Roman" w:hint="default"/>
          <w:b/>
          <w:bCs/>
        </w:rPr>
        <w:t>2</w:t>
      </w:r>
      <w:r>
        <w:rPr>
          <w:rFonts w:ascii="宋体" w:hAnsi="宋体" w:cs="宋体" w:eastAsia="宋体" w:hint="default"/>
          <w:b/>
          <w:bCs/>
        </w:rPr>
        <w:t>、销售与市场拓展</w:t>
      </w:r>
      <w:r>
        <w:rPr>
          <w:rFonts w:ascii="宋体" w:hAnsi="宋体" w:cs="宋体" w:eastAsia="宋体" w:hint="default"/>
          <w:b/>
          <w:bCs/>
          <w:spacing w:val="1"/>
          <w:w w:val="99"/>
        </w:rPr>
        <w:t> </w:t>
      </w:r>
      <w:r>
        <w:rPr/>
        <w:t>第一、深耕传统市场的同时，继续加强公安新业务和检察、工商、税务、海关、新闻、保密、质监、</w:t>
      </w:r>
    </w:p>
    <w:p>
      <w:pPr>
        <w:pStyle w:val="BodyText"/>
        <w:spacing w:line="227" w:lineRule="exact"/>
        <w:ind w:right="0"/>
        <w:jc w:val="left"/>
      </w:pPr>
      <w:r>
        <w:rPr/>
        <w:t>检验检疫等新行业及次新行业的拓展，并逐步向具有网络监管需求的部门大力推广网络舆情、互联网执法</w:t>
      </w:r>
    </w:p>
    <w:p>
      <w:pPr>
        <w:spacing w:after="0" w:line="227" w:lineRule="exact"/>
        <w:jc w:val="left"/>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240" w:lineRule="auto" w:before="35"/>
        <w:ind w:right="0"/>
        <w:jc w:val="left"/>
      </w:pPr>
      <w:r>
        <w:rPr/>
        <w:t>云及存证云等服务。</w:t>
      </w:r>
    </w:p>
    <w:p>
      <w:pPr>
        <w:spacing w:line="240" w:lineRule="auto" w:before="10"/>
        <w:rPr>
          <w:rFonts w:ascii="宋体" w:hAnsi="宋体" w:cs="宋体" w:eastAsia="宋体" w:hint="default"/>
          <w:sz w:val="16"/>
          <w:szCs w:val="16"/>
        </w:rPr>
      </w:pPr>
    </w:p>
    <w:p>
      <w:pPr>
        <w:pStyle w:val="BodyText"/>
        <w:spacing w:line="326" w:lineRule="auto"/>
        <w:ind w:left="153" w:right="0" w:firstLine="420"/>
        <w:jc w:val="left"/>
      </w:pPr>
      <w:r>
        <w:rPr>
          <w:spacing w:val="-1"/>
        </w:rPr>
        <w:t>第二、继续推进区县战略，有效整合公司内外部销售资源，从产品研发、市场活动、技术支持等多方</w:t>
      </w:r>
      <w:r>
        <w:rPr/>
        <w:t> 面共同努力提升区县市场渗透率。</w:t>
      </w:r>
    </w:p>
    <w:p>
      <w:pPr>
        <w:pStyle w:val="BodyText"/>
        <w:spacing w:line="326" w:lineRule="auto" w:before="144"/>
        <w:ind w:left="153" w:right="0" w:firstLine="420"/>
        <w:jc w:val="left"/>
      </w:pPr>
      <w:r>
        <w:rPr>
          <w:spacing w:val="-1"/>
        </w:rPr>
        <w:t>第三、重点项目拓展：加强移动终端取证分析系统、视频取证分析系统、大数据分析平台以及适合基</w:t>
      </w:r>
      <w:r>
        <w:rPr/>
        <w:t> 层勘察的取证装备等重点项目的推广。</w:t>
      </w:r>
    </w:p>
    <w:p>
      <w:pPr>
        <w:pStyle w:val="BodyText"/>
        <w:spacing w:line="326" w:lineRule="auto" w:before="144"/>
        <w:ind w:left="153" w:right="98" w:firstLine="420"/>
        <w:jc w:val="left"/>
      </w:pPr>
      <w:r>
        <w:rPr>
          <w:spacing w:val="-3"/>
        </w:rPr>
        <w:t>第四、重点区域拓展：针对市场需求强烈及产品覆盖率低的区域重点拓展，通过合理有效的激励措施，</w:t>
      </w:r>
      <w:r>
        <w:rPr/>
        <w:t> 进一步提升办事处的市场营销能力，同时充分提升及发挥代理商的渠道，合纵连横，力争实现全国销售区 域全覆盖。</w:t>
      </w:r>
    </w:p>
    <w:p>
      <w:pPr>
        <w:pStyle w:val="Heading4"/>
        <w:spacing w:line="240" w:lineRule="auto" w:before="144"/>
        <w:ind w:left="576" w:right="0"/>
        <w:jc w:val="left"/>
        <w:rPr>
          <w:b w:val="0"/>
          <w:bCs w:val="0"/>
        </w:rPr>
      </w:pPr>
      <w:r>
        <w:rPr>
          <w:rFonts w:ascii="Times New Roman" w:hAnsi="Times New Roman" w:cs="Times New Roman" w:eastAsia="Times New Roman" w:hint="default"/>
        </w:rPr>
        <w:t>3</w:t>
      </w:r>
      <w:r>
        <w:rPr/>
        <w:t>、服务运营与推广</w:t>
      </w:r>
      <w:r>
        <w:rPr>
          <w:b w:val="0"/>
          <w:bCs w:val="0"/>
        </w:rPr>
      </w:r>
    </w:p>
    <w:p>
      <w:pPr>
        <w:spacing w:line="240" w:lineRule="auto" w:before="7"/>
        <w:rPr>
          <w:rFonts w:ascii="宋体" w:hAnsi="宋体" w:cs="宋体" w:eastAsia="宋体" w:hint="default"/>
          <w:b/>
          <w:bCs/>
          <w:sz w:val="15"/>
          <w:szCs w:val="15"/>
        </w:rPr>
      </w:pPr>
    </w:p>
    <w:p>
      <w:pPr>
        <w:pStyle w:val="BodyText"/>
        <w:spacing w:line="321" w:lineRule="auto"/>
        <w:ind w:left="153" w:right="0" w:firstLine="420"/>
        <w:jc w:val="left"/>
      </w:pPr>
      <w:r>
        <w:rPr/>
        <w:t>服务方面着重放在“互联网</w:t>
      </w:r>
      <w:r>
        <w:rPr>
          <w:rFonts w:ascii="Times New Roman" w:hAnsi="Times New Roman" w:cs="Times New Roman" w:eastAsia="Times New Roman" w:hint="default"/>
        </w:rPr>
        <w:t>+</w:t>
      </w:r>
      <w:r>
        <w:rPr/>
        <w:t>”项目，引入互联网思维，发展针对行业应用及社会大众应用的信息安 </w:t>
      </w:r>
      <w:r>
        <w:rPr>
          <w:spacing w:val="-1"/>
        </w:rPr>
        <w:t>全服务。针对行业应用，重点推广电子数据鉴定服务、取证云服务、搜索云服务、信息安全检测服务、企</w:t>
      </w:r>
      <w:r>
        <w:rPr>
          <w:spacing w:val="-83"/>
        </w:rPr>
        <w:t> </w:t>
      </w:r>
      <w:r>
        <w:rPr>
          <w:spacing w:val="-83"/>
        </w:rPr>
      </w:r>
      <w:r>
        <w:rPr>
          <w:spacing w:val="-1"/>
        </w:rPr>
        <w:t>业调查服务等。针对社会大众应用，重点推广存证云、数字知识产权保护服务，并依托分子公司，开展食</w:t>
      </w:r>
      <w:r>
        <w:rPr>
          <w:spacing w:val="-83"/>
        </w:rPr>
        <w:t> </w:t>
      </w:r>
      <w:r>
        <w:rPr>
          <w:spacing w:val="-83"/>
        </w:rPr>
      </w:r>
      <w:r>
        <w:rPr/>
        <w:t>品安全溯源、版权交易、电子身份认证、服务器安全等业务。</w:t>
      </w:r>
    </w:p>
    <w:p>
      <w:pPr>
        <w:pStyle w:val="BodyText"/>
        <w:spacing w:line="309" w:lineRule="auto" w:before="148"/>
        <w:ind w:left="153" w:right="284" w:firstLine="420"/>
        <w:jc w:val="left"/>
      </w:pPr>
      <w:r>
        <w:rPr/>
        <w:t>电子数据鉴定服务：</w:t>
      </w:r>
      <w:r>
        <w:rPr>
          <w:rFonts w:ascii="Times New Roman" w:hAnsi="Times New Roman" w:cs="Times New Roman" w:eastAsia="Times New Roman" w:hint="default"/>
        </w:rPr>
        <w:t>2015</w:t>
      </w:r>
      <w:r>
        <w:rPr/>
        <w:t>年将积极申请增加视音频鉴定业务，</w:t>
      </w:r>
      <w:r>
        <w:rPr>
          <w:spacing w:val="-6"/>
        </w:rPr>
        <w:t> </w:t>
      </w:r>
      <w:r>
        <w:rPr/>
        <w:t>以适应用户对视频、图片、音频信息</w:t>
      </w:r>
      <w:r>
        <w:rPr/>
        <w:t> 的取证及鉴定的需求。同时继续依托公司办事处及分支机构，做好本地鉴定业务的拓展和服务。</w:t>
      </w:r>
    </w:p>
    <w:p>
      <w:pPr>
        <w:pStyle w:val="BodyText"/>
        <w:spacing w:line="494" w:lineRule="exact" w:before="8"/>
        <w:ind w:left="573" w:right="0"/>
        <w:jc w:val="left"/>
      </w:pPr>
      <w:r>
        <w:rPr/>
        <w:t>数字知识产权保护服务：围绕移动互联网监测需求，提升数字知识产权保护服务技术维权能力。 </w:t>
      </w:r>
      <w:r>
        <w:rPr>
          <w:spacing w:val="-1"/>
        </w:rPr>
        <w:t>存证云服务：继续推进典型行业应用，重点围绕网络消费保护、在线签约、版权在线登记、食品安全</w:t>
      </w:r>
    </w:p>
    <w:p>
      <w:pPr>
        <w:pStyle w:val="BodyText"/>
        <w:spacing w:line="432" w:lineRule="auto" w:before="30"/>
        <w:ind w:left="573" w:right="173" w:hanging="420"/>
        <w:jc w:val="left"/>
        <w:rPr>
          <w:rFonts w:ascii="宋体" w:hAnsi="宋体" w:cs="宋体" w:eastAsia="宋体" w:hint="default"/>
        </w:rPr>
      </w:pPr>
      <w:r>
        <w:rPr/>
        <w:t>溯源等方面开展相关服务。 搜索云服务：完善服务功能，提升易用性；重点围绕新媒体和行业应用，加大培训及市场拓展力度。 取证云服务：进一步整合公司的各类数据资源，为公司的各个业务系统提供数据支撑服务。 </w:t>
      </w:r>
      <w:r>
        <w:rPr>
          <w:rFonts w:ascii="Times New Roman" w:hAnsi="Times New Roman" w:cs="Times New Roman" w:eastAsia="Times New Roman" w:hint="default"/>
          <w:b/>
          <w:bCs/>
        </w:rPr>
        <w:t>4</w:t>
      </w:r>
      <w:r>
        <w:rPr>
          <w:rFonts w:ascii="宋体" w:hAnsi="宋体" w:cs="宋体" w:eastAsia="宋体" w:hint="default"/>
          <w:b/>
          <w:bCs/>
        </w:rPr>
        <w:t>、投资并购</w:t>
      </w:r>
      <w:r>
        <w:rPr>
          <w:rFonts w:ascii="宋体" w:hAnsi="宋体" w:cs="宋体" w:eastAsia="宋体" w:hint="default"/>
        </w:rPr>
      </w:r>
    </w:p>
    <w:p>
      <w:pPr>
        <w:pStyle w:val="BodyText"/>
        <w:spacing w:line="326" w:lineRule="auto" w:before="17"/>
        <w:ind w:right="211" w:firstLine="420"/>
        <w:jc w:val="both"/>
      </w:pPr>
      <w:r>
        <w:rPr>
          <w:spacing w:val="-1"/>
        </w:rPr>
        <w:t>持续服务于公司的战略布局，继续推行积极和稳健的投资并购策略，围绕公司主营业务相关领域，寻</w:t>
      </w:r>
      <w:r>
        <w:rPr/>
        <w:t> </w:t>
      </w:r>
      <w:r>
        <w:rPr>
          <w:spacing w:val="-1"/>
        </w:rPr>
        <w:t>找行业互补或者产品互补的公司，在适当时机进行投资并购活动，不断完善公司产品结构和扩大产品销售</w:t>
      </w:r>
      <w:r>
        <w:rPr>
          <w:spacing w:val="-81"/>
        </w:rPr>
        <w:t> </w:t>
      </w:r>
      <w:r>
        <w:rPr>
          <w:spacing w:val="-81"/>
        </w:rPr>
      </w:r>
      <w:r>
        <w:rPr/>
        <w:t>渠道，提高市场占有率和竞争力，保障公司持续稳定的发展。</w:t>
      </w:r>
    </w:p>
    <w:p>
      <w:pPr>
        <w:pStyle w:val="BodyText"/>
        <w:spacing w:line="240" w:lineRule="auto" w:before="144"/>
        <w:ind w:left="574" w:right="0"/>
        <w:jc w:val="left"/>
      </w:pPr>
      <w:r>
        <w:rPr/>
        <w:t>完善投资战略，争取成立产业投资基金为内部创业和产业布局创造条件。</w:t>
      </w:r>
    </w:p>
    <w:p>
      <w:pPr>
        <w:spacing w:line="240" w:lineRule="auto" w:before="10"/>
        <w:rPr>
          <w:rFonts w:ascii="宋体" w:hAnsi="宋体" w:cs="宋体" w:eastAsia="宋体" w:hint="default"/>
          <w:sz w:val="16"/>
          <w:szCs w:val="16"/>
        </w:rPr>
      </w:pPr>
    </w:p>
    <w:p>
      <w:pPr>
        <w:pStyle w:val="BodyText"/>
        <w:spacing w:line="408" w:lineRule="auto"/>
        <w:ind w:left="574" w:right="0" w:firstLine="2"/>
        <w:jc w:val="left"/>
      </w:pPr>
      <w:r>
        <w:rPr>
          <w:rFonts w:ascii="Times New Roman" w:hAnsi="Times New Roman" w:cs="Times New Roman" w:eastAsia="Times New Roman" w:hint="default"/>
          <w:b/>
          <w:bCs/>
        </w:rPr>
        <w:t>5</w:t>
      </w:r>
      <w:r>
        <w:rPr>
          <w:rFonts w:ascii="宋体" w:hAnsi="宋体" w:cs="宋体" w:eastAsia="宋体" w:hint="default"/>
          <w:b/>
          <w:bCs/>
        </w:rPr>
        <w:t>、公司管理</w:t>
      </w:r>
      <w:r>
        <w:rPr>
          <w:rFonts w:ascii="宋体" w:hAnsi="宋体" w:cs="宋体" w:eastAsia="宋体" w:hint="default"/>
          <w:b/>
          <w:bCs/>
          <w:w w:val="99"/>
        </w:rPr>
        <w:t> </w:t>
      </w:r>
      <w:r>
        <w:rPr>
          <w:spacing w:val="-1"/>
        </w:rPr>
        <w:t>加强内部审计和内控管理，对销售管理、采购管理等重点流程进行专项审计；内控评价应用落实，加</w:t>
      </w:r>
    </w:p>
    <w:p>
      <w:pPr>
        <w:pStyle w:val="BodyText"/>
        <w:spacing w:line="227" w:lineRule="exact"/>
        <w:ind w:right="0"/>
        <w:jc w:val="left"/>
      </w:pPr>
      <w:r>
        <w:rPr/>
        <w:t>强对内控执行情况的检查力度，督促各部门完善内控制度，确保对重要业务流程进行有效监管，以防范内</w:t>
      </w:r>
    </w:p>
    <w:p>
      <w:pPr>
        <w:pStyle w:val="BodyText"/>
        <w:spacing w:line="240" w:lineRule="auto" w:before="99"/>
        <w:ind w:right="0"/>
        <w:jc w:val="left"/>
      </w:pPr>
      <w:r>
        <w:rPr/>
        <w:t>部控制风险。</w:t>
      </w:r>
    </w:p>
    <w:p>
      <w:pPr>
        <w:spacing w:line="240" w:lineRule="auto" w:before="10"/>
        <w:rPr>
          <w:rFonts w:ascii="宋体" w:hAnsi="宋体" w:cs="宋体" w:eastAsia="宋体" w:hint="default"/>
          <w:sz w:val="16"/>
          <w:szCs w:val="16"/>
        </w:rPr>
      </w:pPr>
    </w:p>
    <w:p>
      <w:pPr>
        <w:pStyle w:val="BodyText"/>
        <w:spacing w:line="326" w:lineRule="auto"/>
        <w:ind w:right="0" w:firstLine="420"/>
        <w:jc w:val="left"/>
      </w:pPr>
      <w:r>
        <w:rPr>
          <w:spacing w:val="-1"/>
        </w:rPr>
        <w:t>安全保密工作：提升各子公司对保密工作的重视，提升安全保密的有效技术手段，落实安全保密的日</w:t>
      </w:r>
      <w:r>
        <w:rPr/>
        <w:t> 常监督检查工作。</w:t>
      </w:r>
    </w:p>
    <w:p>
      <w:pPr>
        <w:spacing w:after="0" w:line="326" w:lineRule="auto"/>
        <w:jc w:val="left"/>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326" w:lineRule="auto" w:before="35"/>
        <w:ind w:right="213" w:firstLine="420"/>
        <w:jc w:val="both"/>
      </w:pPr>
      <w:r>
        <w:rPr>
          <w:spacing w:val="-1"/>
        </w:rPr>
        <w:t>财务管理：细化财务核算和管理，继续推动内部结算工作，完善以利润指标的预算管理，同时探讨项</w:t>
      </w:r>
      <w:r>
        <w:rPr/>
        <w:t> 目管理型预算控制，完善内部控制，完成新费用报销系统和预算系统上线，完善控制点建设。</w:t>
      </w:r>
    </w:p>
    <w:p>
      <w:pPr>
        <w:pStyle w:val="Heading4"/>
        <w:spacing w:line="240" w:lineRule="auto" w:before="144"/>
        <w:ind w:left="576" w:right="0"/>
        <w:jc w:val="left"/>
        <w:rPr>
          <w:b w:val="0"/>
          <w:bCs w:val="0"/>
        </w:rPr>
      </w:pPr>
      <w:r>
        <w:rPr>
          <w:rFonts w:ascii="Times New Roman" w:hAnsi="Times New Roman" w:cs="Times New Roman" w:eastAsia="Times New Roman" w:hint="default"/>
        </w:rPr>
        <w:t>6</w:t>
      </w:r>
      <w:r>
        <w:rPr/>
        <w:t>、人力资源</w:t>
      </w:r>
      <w:r>
        <w:rPr>
          <w:b w:val="0"/>
          <w:bCs w:val="0"/>
        </w:rPr>
      </w:r>
    </w:p>
    <w:p>
      <w:pPr>
        <w:spacing w:line="240" w:lineRule="auto" w:before="7"/>
        <w:rPr>
          <w:rFonts w:ascii="宋体" w:hAnsi="宋体" w:cs="宋体" w:eastAsia="宋体" w:hint="default"/>
          <w:b/>
          <w:bCs/>
          <w:sz w:val="15"/>
          <w:szCs w:val="15"/>
        </w:rPr>
      </w:pPr>
    </w:p>
    <w:p>
      <w:pPr>
        <w:pStyle w:val="BodyText"/>
        <w:spacing w:line="319" w:lineRule="auto"/>
        <w:ind w:right="211" w:firstLine="420"/>
        <w:jc w:val="both"/>
      </w:pPr>
      <w:r>
        <w:rPr>
          <w:rFonts w:ascii="Times New Roman" w:hAnsi="Times New Roman" w:cs="Times New Roman" w:eastAsia="Times New Roman" w:hint="default"/>
          <w:spacing w:val="-1"/>
        </w:rPr>
        <w:t>2015</w:t>
      </w:r>
      <w:r>
        <w:rPr>
          <w:spacing w:val="-1"/>
        </w:rPr>
        <w:t>年公司将加大人才挖掘和储备投入，和高校共同培养信息安全人才，并形成人才梯队。充分发挥</w:t>
      </w:r>
      <w:r>
        <w:rPr/>
        <w:t> </w:t>
      </w:r>
      <w:r>
        <w:rPr>
          <w:spacing w:val="-1"/>
        </w:rPr>
        <w:t>博士后工作站的资源，引进高端专业人才，预研行业最前沿技术，储备高端人才，以保持公司强大的研发</w:t>
      </w:r>
      <w:r>
        <w:rPr>
          <w:spacing w:val="-86"/>
        </w:rPr>
        <w:t> </w:t>
      </w:r>
      <w:r>
        <w:rPr>
          <w:spacing w:val="-86"/>
        </w:rPr>
      </w:r>
      <w:r>
        <w:rPr/>
        <w:t>能力和创新能力。</w:t>
      </w:r>
    </w:p>
    <w:p>
      <w:pPr>
        <w:pStyle w:val="BodyText"/>
        <w:spacing w:line="326" w:lineRule="auto" w:before="150"/>
        <w:ind w:right="211" w:firstLine="420"/>
        <w:jc w:val="both"/>
      </w:pPr>
      <w:r>
        <w:rPr>
          <w:spacing w:val="-1"/>
        </w:rPr>
        <w:t>绩效考核方面，继续推行战略绩效管理模式和工作目标责任制，紧密结合公司战略目标及预算管理设</w:t>
      </w:r>
      <w:r>
        <w:rPr/>
        <w:t> </w:t>
      </w:r>
      <w:r>
        <w:rPr>
          <w:spacing w:val="-1"/>
        </w:rPr>
        <w:t>定各项考核指标，形成综合考评与目标考核、短期考核与长期考核、过程考核与结果考核相结合的考核体</w:t>
      </w:r>
      <w:r>
        <w:rPr>
          <w:spacing w:val="-83"/>
        </w:rPr>
        <w:t> </w:t>
      </w:r>
      <w:r>
        <w:rPr>
          <w:spacing w:val="-83"/>
        </w:rPr>
      </w:r>
      <w:r>
        <w:rPr/>
        <w:t>系，使得各级员工能准确定位，变被动考核为主动管理，促进上下一致，实现共赢。</w:t>
      </w:r>
    </w:p>
    <w:p>
      <w:pPr>
        <w:pStyle w:val="BodyText"/>
        <w:spacing w:line="326" w:lineRule="auto" w:before="144"/>
        <w:ind w:right="103" w:firstLine="420"/>
        <w:jc w:val="left"/>
      </w:pPr>
      <w:r>
        <w:rPr/>
        <w:t>薪酬福利方面，公司将根据市场行情及时调整和完善薪酬结构，保证核心员工的综合收入水平达到同 </w:t>
      </w:r>
      <w:r>
        <w:rPr>
          <w:spacing w:val="-3"/>
        </w:rPr>
        <w:t>行业较高水平；引入弹性福利政策，让员工能够选择更适合自己的福利产品；持续完善公司长效激励机制。</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三、董事会、监事会对会计师事务所本报告期</w:t>
      </w:r>
      <w:r>
        <w:rPr>
          <w:rFonts w:ascii="Times New Roman" w:hAnsi="Times New Roman" w:cs="Times New Roman" w:eastAsia="Times New Roman" w:hint="default"/>
        </w:rPr>
        <w:t>“</w:t>
      </w:r>
      <w:bookmarkStart w:name="三、董事会、监事会对会计师事务所本报告期“非标准审计报告”的说明" w:id="31"/>
      <w:bookmarkEnd w:id="31"/>
      <w:r>
        <w:rPr>
          <w:rFonts w:ascii="Times New Roman" w:hAnsi="Times New Roman" w:cs="Times New Roman" w:eastAsia="Times New Roman" w:hint="default"/>
        </w:rPr>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t>四、董事会关于报告期会计政策、会计估计变更</w:t>
      </w:r>
      <w:bookmarkStart w:name="四、董事会关于报告期会计政策、会计估计变更或重要前期差错更正的说明" w:id="32"/>
      <w:bookmarkEnd w:id="32"/>
      <w:r>
        <w:rPr/>
        <w:t>或重要前</w:t>
      </w:r>
      <w:r>
        <w:rPr/>
        <w:t>期差错更正的说明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w:t>
      </w:r>
      <w:r>
        <w:rPr>
          <w:rFonts w:ascii="Times New Roman" w:hAnsi="Times New Roman" w:cs="Times New Roman" w:eastAsia="Times New Roman" w:hint="default"/>
        </w:rPr>
        <w:t>1</w:t>
      </w:r>
      <w:r>
        <w:rPr/>
        <w:t>）重要会计政策变更</w:t>
      </w:r>
    </w:p>
    <w:p>
      <w:pPr>
        <w:spacing w:line="240" w:lineRule="auto" w:before="6"/>
        <w:rPr>
          <w:rFonts w:ascii="宋体" w:hAnsi="宋体" w:cs="宋体" w:eastAsia="宋体" w:hint="default"/>
          <w:sz w:val="15"/>
          <w:szCs w:val="15"/>
        </w:rPr>
      </w:pPr>
    </w:p>
    <w:p>
      <w:pPr>
        <w:pStyle w:val="BodyText"/>
        <w:spacing w:line="240" w:lineRule="auto"/>
        <w:ind w:left="57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7</w:t>
      </w:r>
      <w:r>
        <w:rPr/>
        <w:t>月，财政部发布了《企业会计准则第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公允价值计量》（简称</w:t>
      </w:r>
      <w:r>
        <w:rPr>
          <w:spacing w:val="-10"/>
        </w:rPr>
        <w:t> </w:t>
      </w:r>
      <w:r>
        <w:rPr/>
        <w:t>企业会计准则第</w:t>
      </w:r>
    </w:p>
    <w:p>
      <w:pPr>
        <w:pStyle w:val="BodyText"/>
        <w:spacing w:line="240" w:lineRule="auto" w:before="83"/>
        <w:ind w:right="0"/>
        <w:jc w:val="left"/>
      </w:pPr>
      <w:r>
        <w:rPr>
          <w:rFonts w:ascii="Times New Roman" w:hAnsi="Times New Roman" w:cs="Times New Roman" w:eastAsia="Times New Roman" w:hint="default"/>
        </w:rPr>
        <w:t>39</w:t>
      </w:r>
      <w:r>
        <w:rPr/>
        <w:t>号）、《企业会计准则第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合营安排》（简称</w:t>
      </w:r>
      <w:r>
        <w:rPr>
          <w:spacing w:val="-8"/>
        </w:rPr>
        <w:t> </w:t>
      </w:r>
      <w:r>
        <w:rPr/>
        <w:t>企业会计准则第</w:t>
      </w:r>
      <w:r>
        <w:rPr>
          <w:rFonts w:ascii="Times New Roman" w:hAnsi="Times New Roman" w:cs="Times New Roman" w:eastAsia="Times New Roman" w:hint="default"/>
        </w:rPr>
        <w:t>40</w:t>
      </w:r>
      <w:r>
        <w:rPr/>
        <w:t>号）和《企业会计准则第</w:t>
      </w:r>
      <w:r>
        <w:rPr>
          <w:rFonts w:ascii="Times New Roman" w:hAnsi="Times New Roman" w:cs="Times New Roman" w:eastAsia="Times New Roman" w:hint="default"/>
        </w:rPr>
        <w:t>41</w:t>
      </w:r>
      <w:r>
        <w:rPr/>
        <w:t>号</w:t>
      </w:r>
    </w:p>
    <w:p>
      <w:pPr>
        <w:pStyle w:val="BodyText"/>
        <w:spacing w:line="309" w:lineRule="auto" w:before="83"/>
        <w:ind w:left="153" w:right="199"/>
        <w:jc w:val="left"/>
      </w:pPr>
      <w:r>
        <w:rPr>
          <w:rFonts w:ascii="Times New Roman" w:hAnsi="Times New Roman" w:cs="Times New Roman" w:eastAsia="Times New Roman" w:hint="default"/>
        </w:rPr>
        <w:t>——</w:t>
      </w:r>
      <w:r>
        <w:rPr/>
        <w:t>在其他主体中权益的披露》（简称</w:t>
      </w:r>
      <w:r>
        <w:rPr>
          <w:spacing w:val="-26"/>
        </w:rPr>
        <w:t> </w:t>
      </w:r>
      <w:r>
        <w:rPr/>
        <w:t>企业会计准则第</w:t>
      </w:r>
      <w:r>
        <w:rPr>
          <w:rFonts w:ascii="Times New Roman" w:hAnsi="Times New Roman" w:cs="Times New Roman" w:eastAsia="Times New Roman" w:hint="default"/>
        </w:rPr>
        <w:t>41</w:t>
      </w:r>
      <w:r>
        <w:rPr/>
        <w:t>号），修订了《企业会计准则第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 权投资》（简称 企业会计准则第</w:t>
      </w:r>
      <w:r>
        <w:rPr>
          <w:rFonts w:ascii="Times New Roman" w:hAnsi="Times New Roman" w:cs="Times New Roman" w:eastAsia="Times New Roman" w:hint="default"/>
        </w:rPr>
        <w:t>2</w:t>
      </w:r>
      <w:r>
        <w:rPr/>
        <w:t>号）、《企业会计准则第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职工薪酬》（简称</w:t>
      </w:r>
      <w:r>
        <w:rPr>
          <w:spacing w:val="-5"/>
        </w:rPr>
        <w:t> </w:t>
      </w:r>
      <w:r>
        <w:rPr/>
        <w:t>企业会计准则第</w:t>
      </w:r>
      <w:r>
        <w:rPr>
          <w:rFonts w:ascii="Times New Roman" w:hAnsi="Times New Roman" w:cs="Times New Roman" w:eastAsia="Times New Roman" w:hint="default"/>
        </w:rPr>
        <w:t>9 </w:t>
      </w:r>
      <w:r>
        <w:rPr/>
        <w:t>号）、《企业会计准则第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财务报表列报》（简称</w:t>
      </w:r>
      <w:r>
        <w:rPr>
          <w:spacing w:val="-4"/>
        </w:rPr>
        <w:t> </w:t>
      </w:r>
      <w:r>
        <w:rPr/>
        <w:t>企业会计准则第</w:t>
      </w:r>
      <w:r>
        <w:rPr>
          <w:rFonts w:ascii="Times New Roman" w:hAnsi="Times New Roman" w:cs="Times New Roman" w:eastAsia="Times New Roman" w:hint="default"/>
        </w:rPr>
        <w:t>30</w:t>
      </w:r>
      <w:r>
        <w:rPr/>
        <w:t>号）、《企业会计准则第</w:t>
      </w:r>
      <w:r>
        <w:rPr>
          <w:rFonts w:ascii="Times New Roman" w:hAnsi="Times New Roman" w:cs="Times New Roman" w:eastAsia="Times New Roman" w:hint="default"/>
        </w:rPr>
        <w:t>33 </w:t>
      </w:r>
      <w:r>
        <w:rPr/>
        <w:t>号</w:t>
      </w:r>
      <w:r>
        <w:rPr>
          <w:rFonts w:ascii="Times New Roman" w:hAnsi="Times New Roman" w:cs="Times New Roman" w:eastAsia="Times New Roman" w:hint="default"/>
        </w:rPr>
        <w:t>——</w:t>
      </w:r>
      <w:r>
        <w:rPr/>
        <w:t>合并财务报表》（简称</w:t>
      </w:r>
      <w:r>
        <w:rPr>
          <w:spacing w:val="-4"/>
        </w:rPr>
        <w:t> </w:t>
      </w:r>
      <w:r>
        <w:rPr/>
        <w:t>企业会计准则第</w:t>
      </w:r>
      <w:r>
        <w:rPr>
          <w:rFonts w:ascii="Times New Roman" w:hAnsi="Times New Roman" w:cs="Times New Roman" w:eastAsia="Times New Roman" w:hint="default"/>
        </w:rPr>
        <w:t>33</w:t>
      </w:r>
      <w:r>
        <w:rPr/>
        <w:t>号）和《企业会计准则第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金融工具列报》（简 称</w:t>
      </w:r>
      <w:r>
        <w:rPr>
          <w:spacing w:val="-5"/>
        </w:rPr>
        <w:t> </w:t>
      </w:r>
      <w:r>
        <w:rPr/>
        <w:t>企业会计准则第</w:t>
      </w:r>
      <w:r>
        <w:rPr>
          <w:rFonts w:ascii="Times New Roman" w:hAnsi="Times New Roman" w:cs="Times New Roman" w:eastAsia="Times New Roman" w:hint="default"/>
        </w:rPr>
        <w:t>37</w:t>
      </w:r>
      <w:r>
        <w:rPr/>
        <w:t>号），除企业会计准则第</w:t>
      </w:r>
      <w:r>
        <w:rPr>
          <w:rFonts w:ascii="Times New Roman" w:hAnsi="Times New Roman" w:cs="Times New Roman" w:eastAsia="Times New Roman" w:hint="default"/>
        </w:rPr>
        <w:t>37</w:t>
      </w:r>
      <w:r>
        <w:rPr/>
        <w:t>号在</w:t>
      </w:r>
      <w:r>
        <w:rPr>
          <w:rFonts w:ascii="Times New Roman" w:hAnsi="Times New Roman" w:cs="Times New Roman" w:eastAsia="Times New Roman" w:hint="default"/>
        </w:rPr>
        <w:t>2014</w:t>
      </w:r>
      <w:r>
        <w:rPr/>
        <w:t>年年度及以后期间的财务报告中使用外，上述 其他准则于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日起施行。</w:t>
      </w:r>
    </w:p>
    <w:p>
      <w:pPr>
        <w:pStyle w:val="BodyText"/>
        <w:spacing w:line="240" w:lineRule="auto" w:before="136"/>
        <w:ind w:left="573" w:right="0"/>
        <w:jc w:val="left"/>
      </w:pPr>
      <w:r>
        <w:rPr/>
        <w:t>除下列事项外，其他因会计政策变更导致的影响不重大。</w:t>
      </w:r>
    </w:p>
    <w:p>
      <w:pPr>
        <w:spacing w:line="240" w:lineRule="auto" w:before="7"/>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263"/>
        <w:gridCol w:w="1699"/>
        <w:gridCol w:w="1559"/>
        <w:gridCol w:w="1277"/>
        <w:gridCol w:w="1262"/>
      </w:tblGrid>
      <w:tr>
        <w:trPr>
          <w:trHeight w:val="73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4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3" w:right="0"/>
              <w:jc w:val="left"/>
              <w:rPr>
                <w:rFonts w:ascii="宋体" w:hAnsi="宋体" w:cs="宋体" w:eastAsia="宋体" w:hint="default"/>
                <w:sz w:val="18"/>
                <w:szCs w:val="18"/>
              </w:rPr>
            </w:pPr>
            <w:r>
              <w:rPr>
                <w:rFonts w:ascii="宋体" w:hAnsi="宋体" w:cs="宋体" w:eastAsia="宋体" w:hint="default"/>
                <w:sz w:val="18"/>
                <w:szCs w:val="18"/>
              </w:rPr>
              <w:t>受影响的报表项目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日影响金额</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对</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日影响金额</w:t>
            </w:r>
          </w:p>
        </w:tc>
      </w:tr>
      <w:tr>
        <w:trPr>
          <w:trHeight w:val="1126" w:hRule="exact"/>
        </w:trPr>
        <w:tc>
          <w:tcPr>
            <w:tcW w:w="3263" w:type="dxa"/>
            <w:vMerge w:val="restart"/>
            <w:tcBorders>
              <w:top w:val="single" w:sz="4" w:space="0" w:color="000000"/>
              <w:left w:val="single" w:sz="4" w:space="0" w:color="000000"/>
              <w:right w:val="single" w:sz="4" w:space="0" w:color="000000"/>
            </w:tcBorders>
          </w:tcPr>
          <w:p>
            <w:pPr>
              <w:pStyle w:val="TableParagraph"/>
              <w:spacing w:line="324" w:lineRule="auto" w:before="61"/>
              <w:ind w:left="4" w:right="3"/>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号的要求： 对被投资单位不具有控制、共同控制或重 大影响，并且在活跃市场中没有报价、公 </w:t>
            </w:r>
            <w:r>
              <w:rPr>
                <w:rFonts w:ascii="宋体" w:hAnsi="宋体" w:cs="宋体" w:eastAsia="宋体" w:hint="default"/>
                <w:spacing w:val="-10"/>
                <w:sz w:val="18"/>
                <w:szCs w:val="18"/>
              </w:rPr>
              <w:t>允价值不能可靠计量的权益性投资，按《企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22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w:t>
            </w:r>
          </w:p>
          <w:p>
            <w:pPr>
              <w:pStyle w:val="TableParagraph"/>
              <w:spacing w:line="357" w:lineRule="auto"/>
              <w:ind w:left="4" w:right="3"/>
              <w:jc w:val="left"/>
              <w:rPr>
                <w:rFonts w:ascii="宋体" w:hAnsi="宋体" w:cs="宋体" w:eastAsia="宋体" w:hint="default"/>
                <w:sz w:val="18"/>
                <w:szCs w:val="18"/>
              </w:rPr>
            </w:pPr>
            <w:r>
              <w:rPr>
                <w:rFonts w:ascii="宋体" w:hAnsi="宋体" w:cs="宋体" w:eastAsia="宋体" w:hint="default"/>
                <w:sz w:val="18"/>
                <w:szCs w:val="18"/>
              </w:rPr>
              <w:t>计量》进行处理。 本公司对上述会计政策变更采用追溯调整</w:t>
            </w:r>
          </w:p>
        </w:tc>
        <w:tc>
          <w:tcPr>
            <w:tcW w:w="1699" w:type="dxa"/>
            <w:vMerge w:val="restart"/>
            <w:tcBorders>
              <w:top w:val="single" w:sz="4" w:space="0" w:color="000000"/>
              <w:left w:val="single" w:sz="4" w:space="0" w:color="000000"/>
              <w:right w:val="single" w:sz="4" w:space="0" w:color="000000"/>
            </w:tcBorders>
          </w:tcPr>
          <w:p>
            <w:pPr>
              <w:pStyle w:val="TableParagraph"/>
              <w:spacing w:line="312" w:lineRule="auto" w:before="61"/>
              <w:ind w:left="4"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 </w:t>
            </w:r>
            <w:r>
              <w:rPr>
                <w:rFonts w:ascii="宋体" w:hAnsi="宋体" w:cs="宋体" w:eastAsia="宋体" w:hint="default"/>
                <w:spacing w:val="7"/>
                <w:sz w:val="18"/>
                <w:szCs w:val="18"/>
              </w:rPr>
              <w:t>开了第二届董事会第</w:t>
            </w:r>
            <w:r>
              <w:rPr>
                <w:rFonts w:ascii="宋体" w:hAnsi="宋体" w:cs="宋体" w:eastAsia="宋体" w:hint="default"/>
                <w:spacing w:val="7"/>
                <w:sz w:val="18"/>
                <w:szCs w:val="18"/>
              </w:rPr>
              <w:t> 十八次会议、第二届 监事会第十七次会议 </w:t>
            </w:r>
            <w:r>
              <w:rPr>
                <w:rFonts w:ascii="宋体" w:hAnsi="宋体" w:cs="宋体" w:eastAsia="宋体" w:hint="default"/>
                <w:spacing w:val="-12"/>
                <w:sz w:val="18"/>
                <w:szCs w:val="18"/>
              </w:rPr>
              <w:t>决议，审议通过了《关</w:t>
            </w:r>
            <w:r>
              <w:rPr>
                <w:rFonts w:ascii="宋体" w:hAnsi="宋体" w:cs="宋体" w:eastAsia="宋体" w:hint="default"/>
                <w:sz w:val="18"/>
                <w:szCs w:val="18"/>
              </w:rPr>
              <w:t> 于执行</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年新颁布 </w:t>
            </w:r>
            <w:r>
              <w:rPr>
                <w:rFonts w:ascii="宋体" w:hAnsi="宋体" w:cs="宋体" w:eastAsia="宋体" w:hint="default"/>
                <w:spacing w:val="7"/>
                <w:sz w:val="18"/>
                <w:szCs w:val="18"/>
              </w:rPr>
              <w:t>或修订的相关企业会</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10"/>
              <w:jc w:val="left"/>
              <w:rPr>
                <w:rFonts w:ascii="宋体" w:hAnsi="宋体" w:cs="宋体" w:eastAsia="宋体" w:hint="default"/>
                <w:sz w:val="18"/>
                <w:szCs w:val="18"/>
              </w:rPr>
            </w:pPr>
            <w:r>
              <w:rPr>
                <w:rFonts w:ascii="宋体" w:hAnsi="宋体" w:cs="宋体" w:eastAsia="宋体" w:hint="default"/>
                <w:spacing w:val="13"/>
                <w:sz w:val="18"/>
                <w:szCs w:val="18"/>
              </w:rPr>
              <w:t>①可供出售金融资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 w:right="0"/>
              <w:jc w:val="left"/>
              <w:rPr>
                <w:rFonts w:ascii="Times New Roman" w:hAnsi="Times New Roman" w:cs="Times New Roman" w:eastAsia="Times New Roman" w:hint="default"/>
                <w:sz w:val="18"/>
                <w:szCs w:val="18"/>
              </w:rPr>
            </w:pPr>
            <w:r>
              <w:rPr>
                <w:rFonts w:ascii="Times New Roman"/>
                <w:sz w:val="18"/>
              </w:rPr>
              <w:t>7,880,000.00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1,000,000.00</w:t>
            </w:r>
          </w:p>
        </w:tc>
      </w:tr>
      <w:tr>
        <w:trPr>
          <w:trHeight w:val="1208" w:hRule="exact"/>
        </w:trPr>
        <w:tc>
          <w:tcPr>
            <w:tcW w:w="3263"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②长期股权投资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7" w:right="0"/>
              <w:jc w:val="left"/>
              <w:rPr>
                <w:rFonts w:ascii="Times New Roman" w:hAnsi="Times New Roman" w:cs="Times New Roman" w:eastAsia="Times New Roman" w:hint="default"/>
                <w:sz w:val="18"/>
                <w:szCs w:val="18"/>
              </w:rPr>
            </w:pPr>
            <w:r>
              <w:rPr>
                <w:rFonts w:ascii="Times New Roman"/>
                <w:sz w:val="18"/>
              </w:rPr>
              <w:t>-7,880,000.00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3" w:right="0"/>
              <w:jc w:val="left"/>
              <w:rPr>
                <w:rFonts w:ascii="Times New Roman" w:hAnsi="Times New Roman" w:cs="Times New Roman" w:eastAsia="Times New Roman" w:hint="default"/>
                <w:sz w:val="18"/>
                <w:szCs w:val="18"/>
              </w:rPr>
            </w:pPr>
            <w:r>
              <w:rPr>
                <w:rFonts w:ascii="Times New Roman"/>
                <w:sz w:val="18"/>
              </w:rPr>
              <w:t>-1,000,000.00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3"/>
        <w:gridCol w:w="1699"/>
        <w:gridCol w:w="1559"/>
        <w:gridCol w:w="1277"/>
        <w:gridCol w:w="1262"/>
      </w:tblGrid>
      <w:tr>
        <w:trPr>
          <w:trHeight w:val="42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法处理。</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计准则的议案》</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774" w:hRule="exact"/>
        </w:trPr>
        <w:tc>
          <w:tcPr>
            <w:tcW w:w="3263" w:type="dxa"/>
            <w:vMerge w:val="restart"/>
            <w:tcBorders>
              <w:top w:val="single" w:sz="4" w:space="0" w:color="000000"/>
              <w:left w:val="single" w:sz="4" w:space="0" w:color="000000"/>
              <w:right w:val="single" w:sz="4" w:space="0" w:color="000000"/>
            </w:tcBorders>
          </w:tcPr>
          <w:p>
            <w:pPr>
              <w:pStyle w:val="TableParagraph"/>
              <w:spacing w:line="333" w:lineRule="auto" w:before="61"/>
              <w:ind w:left="4" w:right="3" w:hanging="1"/>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号的要求： 将递延收益单独在报表中列示，从其他非 流动负债重分类至递延收益； 本公司对比较财务报表的列报进行了相应 调整。</w:t>
            </w:r>
          </w:p>
        </w:tc>
        <w:tc>
          <w:tcPr>
            <w:tcW w:w="1699" w:type="dxa"/>
            <w:vMerge/>
            <w:tcBorders>
              <w:left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①递延收益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16,542,594.91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18,268,980.83</w:t>
            </w:r>
          </w:p>
        </w:tc>
      </w:tr>
      <w:tr>
        <w:trPr>
          <w:trHeight w:val="976" w:hRule="exact"/>
        </w:trPr>
        <w:tc>
          <w:tcPr>
            <w:tcW w:w="3263"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②其他非流动负债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-16,542,594.91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-18,268,980.83</w:t>
            </w:r>
          </w:p>
        </w:tc>
      </w:tr>
    </w:tbl>
    <w:p>
      <w:pPr>
        <w:spacing w:line="240" w:lineRule="auto" w:before="11"/>
        <w:rPr>
          <w:rFonts w:ascii="宋体" w:hAnsi="宋体" w:cs="宋体" w:eastAsia="宋体" w:hint="default"/>
          <w:sz w:val="7"/>
          <w:szCs w:val="7"/>
        </w:rPr>
      </w:pPr>
    </w:p>
    <w:p>
      <w:pPr>
        <w:pStyle w:val="BodyText"/>
        <w:spacing w:line="408" w:lineRule="auto" w:before="35"/>
        <w:ind w:left="574" w:right="0" w:hanging="420"/>
        <w:jc w:val="left"/>
      </w:pPr>
      <w:r>
        <w:rPr/>
        <w:t>（</w:t>
      </w:r>
      <w:r>
        <w:rPr>
          <w:rFonts w:ascii="Times New Roman" w:hAnsi="Times New Roman" w:cs="Times New Roman" w:eastAsia="Times New Roman" w:hint="default"/>
        </w:rPr>
        <w:t>2</w:t>
      </w:r>
      <w:r>
        <w:rPr/>
        <w:t>）重要会计估计变更 </w:t>
      </w:r>
      <w:r>
        <w:rPr>
          <w:spacing w:val="-1"/>
        </w:rPr>
        <w:t>本公司主要客户为全国各级司法机关、行政执法部门等，由于政府部门付款审批周期以及合同质保期</w:t>
      </w:r>
    </w:p>
    <w:p>
      <w:pPr>
        <w:pStyle w:val="BodyText"/>
        <w:spacing w:line="226" w:lineRule="exact"/>
        <w:ind w:right="0"/>
        <w:jc w:val="left"/>
      </w:pPr>
      <w:r>
        <w:rPr/>
        <w:t>较长，导致本公司应收账款回收周期较长的特点，本公司根据历史坏账经验数据，结合客户构成性质、资</w:t>
      </w:r>
    </w:p>
    <w:p>
      <w:pPr>
        <w:pStyle w:val="BodyText"/>
        <w:spacing w:line="309" w:lineRule="auto" w:before="99"/>
        <w:ind w:left="153" w:right="148"/>
        <w:jc w:val="left"/>
      </w:pPr>
      <w:r>
        <w:rPr>
          <w:spacing w:val="-5"/>
        </w:rPr>
        <w:t>信状况、回款安全性等，变更了应收款项中账龄组合坏账准备计提比例。该会计估计变更业经本公司于</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日召开第二届董事会第十五次会议批准，变更生效时间：自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w:t>
      </w:r>
    </w:p>
    <w:p>
      <w:pPr>
        <w:pStyle w:val="BodyText"/>
        <w:spacing w:line="240" w:lineRule="auto" w:before="136"/>
        <w:ind w:left="153" w:right="0"/>
        <w:jc w:val="left"/>
      </w:pPr>
      <w:r>
        <w:rPr/>
        <w:t>变更前应收款项按账龄组合计提坏账准备计提比例如下：</w:t>
      </w:r>
    </w:p>
    <w:p>
      <w:pPr>
        <w:spacing w:line="240" w:lineRule="auto" w:before="7"/>
        <w:rPr>
          <w:rFonts w:ascii="宋体" w:hAnsi="宋体" w:cs="宋体" w:eastAsia="宋体" w:hint="default"/>
          <w:sz w:val="15"/>
          <w:szCs w:val="15"/>
        </w:rPr>
      </w:pPr>
    </w:p>
    <w:tbl>
      <w:tblPr>
        <w:tblW w:w="0" w:type="auto"/>
        <w:jc w:val="left"/>
        <w:tblInd w:w="144" w:type="dxa"/>
        <w:tblLayout w:type="fixed"/>
        <w:tblCellMar>
          <w:top w:w="0" w:type="dxa"/>
          <w:left w:w="0" w:type="dxa"/>
          <w:bottom w:w="0" w:type="dxa"/>
          <w:right w:w="0" w:type="dxa"/>
        </w:tblCellMar>
        <w:tblLook w:val="01E0"/>
      </w:tblPr>
      <w:tblGrid>
        <w:gridCol w:w="3772"/>
        <w:gridCol w:w="2754"/>
        <w:gridCol w:w="2755"/>
      </w:tblGrid>
      <w:tr>
        <w:trPr>
          <w:trHeight w:val="353"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5"/>
                <w:sz w:val="18"/>
                <w:szCs w:val="18"/>
              </w:rPr>
              <w:t> </w:t>
            </w:r>
            <w:r>
              <w:rPr>
                <w:rFonts w:ascii="宋体" w:hAnsi="宋体" w:cs="宋体" w:eastAsia="宋体" w:hint="default"/>
                <w:sz w:val="18"/>
                <w:szCs w:val="18"/>
              </w:rPr>
              <w:t>龄</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5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52"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w:t>
            </w:r>
          </w:p>
        </w:tc>
      </w:tr>
      <w:tr>
        <w:trPr>
          <w:trHeight w:val="352"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w:t>
            </w:r>
          </w:p>
        </w:tc>
      </w:tr>
      <w:tr>
        <w:trPr>
          <w:trHeight w:val="353"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w:t>
            </w:r>
          </w:p>
        </w:tc>
      </w:tr>
      <w:tr>
        <w:trPr>
          <w:trHeight w:val="353"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7"/>
        <w:ind w:right="0"/>
        <w:jc w:val="left"/>
      </w:pPr>
      <w:r>
        <w:rPr/>
        <w:t>变更后应收款项按账龄组合计提坏账准备计提比例如下：</w:t>
      </w:r>
    </w:p>
    <w:p>
      <w:pPr>
        <w:spacing w:line="240" w:lineRule="auto" w:before="4"/>
        <w:rPr>
          <w:rFonts w:ascii="宋体" w:hAnsi="宋体" w:cs="宋体" w:eastAsia="宋体" w:hint="default"/>
          <w:sz w:val="9"/>
          <w:szCs w:val="9"/>
        </w:rPr>
      </w:pPr>
    </w:p>
    <w:tbl>
      <w:tblPr>
        <w:tblW w:w="0" w:type="auto"/>
        <w:jc w:val="left"/>
        <w:tblInd w:w="144" w:type="dxa"/>
        <w:tblLayout w:type="fixed"/>
        <w:tblCellMar>
          <w:top w:w="0" w:type="dxa"/>
          <w:left w:w="0" w:type="dxa"/>
          <w:bottom w:w="0" w:type="dxa"/>
          <w:right w:w="0" w:type="dxa"/>
        </w:tblCellMar>
        <w:tblLook w:val="01E0"/>
      </w:tblPr>
      <w:tblGrid>
        <w:gridCol w:w="3772"/>
        <w:gridCol w:w="2754"/>
        <w:gridCol w:w="2755"/>
      </w:tblGrid>
      <w:tr>
        <w:trPr>
          <w:trHeight w:val="353"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5"/>
                <w:sz w:val="18"/>
                <w:szCs w:val="18"/>
              </w:rPr>
              <w:t> </w:t>
            </w:r>
            <w:r>
              <w:rPr>
                <w:rFonts w:ascii="宋体" w:hAnsi="宋体" w:cs="宋体" w:eastAsia="宋体" w:hint="default"/>
                <w:sz w:val="18"/>
                <w:szCs w:val="18"/>
              </w:rPr>
              <w:t>龄</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5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52"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w:t>
            </w:r>
          </w:p>
        </w:tc>
      </w:tr>
      <w:tr>
        <w:trPr>
          <w:trHeight w:val="352"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w:t>
            </w:r>
          </w:p>
        </w:tc>
      </w:tr>
      <w:tr>
        <w:trPr>
          <w:trHeight w:val="353"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w:t>
            </w:r>
          </w:p>
        </w:tc>
      </w:tr>
      <w:tr>
        <w:trPr>
          <w:trHeight w:val="352"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w:t>
            </w:r>
          </w:p>
        </w:tc>
      </w:tr>
      <w:tr>
        <w:trPr>
          <w:trHeight w:val="352"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w:t>
            </w:r>
          </w:p>
        </w:tc>
      </w:tr>
      <w:tr>
        <w:trPr>
          <w:trHeight w:val="353"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7"/>
        <w:ind w:right="0"/>
        <w:jc w:val="left"/>
      </w:pPr>
      <w:r>
        <w:rPr/>
        <w:t>本次会计估计变更受影响的报表项目及影响金额如下：</w:t>
      </w:r>
    </w:p>
    <w:p>
      <w:pPr>
        <w:pStyle w:val="BodyText"/>
        <w:spacing w:line="240" w:lineRule="auto" w:before="140"/>
        <w:ind w:left="0" w:right="152"/>
        <w:jc w:val="right"/>
      </w:pPr>
      <w:r>
        <w:rPr/>
        <w:t>单位：元</w:t>
      </w:r>
    </w:p>
    <w:p>
      <w:pPr>
        <w:spacing w:line="240" w:lineRule="auto" w:before="4"/>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410"/>
        <w:gridCol w:w="6871"/>
      </w:tblGrid>
      <w:tr>
        <w:trPr>
          <w:trHeight w:val="4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0" w:right="0"/>
              <w:jc w:val="left"/>
              <w:rPr>
                <w:rFonts w:ascii="宋体" w:hAnsi="宋体" w:cs="宋体" w:eastAsia="宋体" w:hint="default"/>
                <w:sz w:val="18"/>
                <w:szCs w:val="18"/>
              </w:rPr>
            </w:pPr>
            <w:r>
              <w:rPr>
                <w:rFonts w:ascii="宋体" w:hAnsi="宋体" w:cs="宋体" w:eastAsia="宋体" w:hint="default"/>
                <w:sz w:val="18"/>
                <w:szCs w:val="18"/>
              </w:rPr>
              <w:t>受影响的报表项目</w:t>
            </w:r>
          </w:p>
        </w:tc>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98"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年度相关财务报表项目的影响金额</w:t>
            </w:r>
          </w:p>
        </w:tc>
      </w:tr>
      <w:tr>
        <w:trPr>
          <w:trHeight w:val="4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①应收账款</w:t>
            </w:r>
          </w:p>
        </w:tc>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11,293,068.04</w:t>
            </w:r>
          </w:p>
        </w:tc>
      </w:tr>
      <w:tr>
        <w:trPr>
          <w:trHeight w:val="42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②其他应收款</w:t>
            </w:r>
          </w:p>
        </w:tc>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2,393,275.97</w:t>
            </w:r>
          </w:p>
        </w:tc>
      </w:tr>
      <w:tr>
        <w:trPr>
          <w:trHeight w:val="4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③递延所得税资产</w:t>
            </w:r>
          </w:p>
        </w:tc>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-1,401,738.45</w:t>
            </w:r>
          </w:p>
        </w:tc>
      </w:tr>
      <w:tr>
        <w:trPr>
          <w:trHeight w:val="4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④盈余公积</w:t>
            </w:r>
          </w:p>
        </w:tc>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1,149,452.26</w:t>
            </w:r>
          </w:p>
        </w:tc>
      </w:tr>
      <w:tr>
        <w:trPr>
          <w:trHeight w:val="42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⑤未分配利润</w:t>
            </w:r>
          </w:p>
        </w:tc>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10,966,651.63</w:t>
            </w:r>
          </w:p>
        </w:tc>
      </w:tr>
      <w:tr>
        <w:trPr>
          <w:trHeight w:val="4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⑥少数股东权益</w:t>
            </w:r>
          </w:p>
        </w:tc>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168,501.67</w:t>
            </w:r>
          </w:p>
        </w:tc>
      </w:tr>
      <w:tr>
        <w:trPr>
          <w:trHeight w:val="4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⑦资产减值损失</w:t>
            </w:r>
          </w:p>
        </w:tc>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-13,686,344.01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10"/>
        <w:gridCol w:w="6871"/>
      </w:tblGrid>
      <w:tr>
        <w:trPr>
          <w:trHeight w:val="4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⑧所得税费用</w:t>
            </w:r>
          </w:p>
        </w:tc>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1,401,738.45</w:t>
            </w:r>
          </w:p>
        </w:tc>
      </w:tr>
      <w:tr>
        <w:trPr>
          <w:trHeight w:val="42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⑨归属于母公司股东的净利润</w:t>
            </w:r>
          </w:p>
        </w:tc>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12,116,103.89</w:t>
            </w:r>
          </w:p>
        </w:tc>
      </w:tr>
      <w:tr>
        <w:trPr>
          <w:trHeight w:val="4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⑩少数股东损益</w:t>
            </w:r>
          </w:p>
        </w:tc>
        <w:tc>
          <w:tcPr>
            <w:tcW w:w="6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168,501.67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五、公司利润</w:t>
      </w:r>
      <w:bookmarkStart w:name="五、公司利润分配及分红派息情况" w:id="33"/>
      <w:bookmarkEnd w:id="33"/>
      <w:r>
        <w:rPr/>
        <w:t>分配及分</w:t>
      </w:r>
      <w:r>
        <w:rPr/>
        <w:t>红派息情况</w:t>
      </w:r>
      <w:r>
        <w:rPr>
          <w:b w:val="0"/>
          <w:bCs w:val="0"/>
        </w:rPr>
      </w:r>
    </w:p>
    <w:p>
      <w:pPr>
        <w:pStyle w:val="BodyText"/>
        <w:spacing w:line="510" w:lineRule="atLeast" w:before="118"/>
        <w:ind w:left="574" w:right="0" w:hanging="420"/>
        <w:jc w:val="left"/>
        <w:rPr>
          <w:rFonts w:ascii="Times New Roman" w:hAnsi="Times New Roman" w:cs="Times New Roman" w:eastAsia="Times New Roman" w:hint="default"/>
        </w:rPr>
      </w:pPr>
      <w:r>
        <w:rPr/>
        <w:t>报告期内利润分配政策特别是现金分红政策的制定、执行或调整情况： </w:t>
      </w:r>
      <w:r>
        <w:rPr>
          <w:spacing w:val="-1"/>
        </w:rPr>
        <w:t>报告期内，公司董事会根据公司</w:t>
      </w:r>
      <w:r>
        <w:rPr>
          <w:rFonts w:ascii="Times New Roman" w:hAnsi="Times New Roman" w:cs="Times New Roman" w:eastAsia="Times New Roman" w:hint="default"/>
          <w:spacing w:val="-1"/>
        </w:rPr>
        <w:t>2013</w:t>
      </w:r>
      <w:r>
        <w:rPr>
          <w:spacing w:val="-1"/>
        </w:rPr>
        <w:t>年度盈利情况及《利润分配政策及未来三年股东回报规划（</w:t>
      </w:r>
      <w:r>
        <w:rPr>
          <w:rFonts w:ascii="Times New Roman" w:hAnsi="Times New Roman" w:cs="Times New Roman" w:eastAsia="Times New Roman" w:hint="default"/>
          <w:spacing w:val="-1"/>
        </w:rPr>
        <w:t>2012</w:t>
      </w:r>
    </w:p>
    <w:p>
      <w:pPr>
        <w:pStyle w:val="BodyText"/>
        <w:spacing w:line="309" w:lineRule="auto" w:before="82"/>
        <w:ind w:left="153" w:right="130"/>
        <w:jc w:val="left"/>
      </w:pPr>
      <w:r>
        <w:rPr/>
        <w:t>年</w:t>
      </w:r>
      <w:r>
        <w:rPr>
          <w:rFonts w:ascii="Times New Roman" w:hAnsi="Times New Roman" w:cs="Times New Roman" w:eastAsia="Times New Roman" w:hint="default"/>
        </w:rPr>
        <w:t>-2014</w:t>
      </w:r>
      <w:r>
        <w:rPr/>
        <w:t>年》，并充分听取各方意见的基础上制定了公司</w:t>
      </w:r>
      <w:r>
        <w:rPr>
          <w:rFonts w:ascii="Times New Roman" w:hAnsi="Times New Roman" w:cs="Times New Roman" w:eastAsia="Times New Roman" w:hint="default"/>
        </w:rPr>
        <w:t>2013</w:t>
      </w:r>
      <w:r>
        <w:rPr/>
        <w:t>年度利润分配预案：以公司总股本</w:t>
      </w:r>
      <w:r>
        <w:rPr>
          <w:rFonts w:ascii="Times New Roman" w:hAnsi="Times New Roman" w:cs="Times New Roman" w:eastAsia="Times New Roman" w:hint="default"/>
        </w:rPr>
        <w:t>22,170.64</w:t>
      </w:r>
      <w:r>
        <w:rPr>
          <w:rFonts w:ascii="Times New Roman" w:hAnsi="Times New Roman" w:cs="Times New Roman" w:eastAsia="Times New Roman" w:hint="default"/>
          <w:spacing w:val="-1"/>
        </w:rPr>
        <w:t> </w:t>
      </w:r>
      <w:r>
        <w:rPr/>
        <w:t>万股为基数向全体股东每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w:t>
      </w:r>
      <w:r>
        <w:rPr/>
        <w:t>元人民币（含税）。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w:t>
      </w:r>
      <w:r>
        <w:rPr>
          <w:rFonts w:ascii="Times New Roman" w:hAnsi="Times New Roman" w:cs="Times New Roman" w:eastAsia="Times New Roman" w:hint="default"/>
        </w:rPr>
        <w:t>2013</w:t>
      </w:r>
      <w:r>
        <w:rPr/>
        <w:t>年年度股东 大会”审议通过了《</w:t>
      </w:r>
      <w:r>
        <w:rPr>
          <w:rFonts w:ascii="Times New Roman" w:hAnsi="Times New Roman" w:cs="Times New Roman" w:eastAsia="Times New Roman" w:hint="default"/>
        </w:rPr>
        <w:t>2013</w:t>
      </w:r>
      <w:r>
        <w:rPr/>
        <w:t>年度利润分配预案》；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日，公司完成了</w:t>
      </w:r>
      <w:r>
        <w:rPr>
          <w:rFonts w:ascii="Times New Roman" w:hAnsi="Times New Roman" w:cs="Times New Roman" w:eastAsia="Times New Roman" w:hint="default"/>
        </w:rPr>
        <w:t>2013</w:t>
      </w:r>
      <w:r>
        <w:rPr/>
        <w:t>年度利润分配方案的实 </w:t>
      </w:r>
      <w:r>
        <w:rPr>
          <w:spacing w:val="-5"/>
        </w:rPr>
        <w:t>施。公司实施的</w:t>
      </w:r>
      <w:r>
        <w:rPr>
          <w:rFonts w:ascii="Times New Roman" w:hAnsi="Times New Roman" w:cs="Times New Roman" w:eastAsia="Times New Roman" w:hint="default"/>
          <w:spacing w:val="-5"/>
        </w:rPr>
        <w:t>2013</w:t>
      </w:r>
      <w:r>
        <w:rPr>
          <w:spacing w:val="-5"/>
        </w:rPr>
        <w:t>年度利润分配方案符合《公司章程》及《利润分配政策及未来三年股东回报规划（</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spacing w:val="-2"/>
        </w:rPr>
        <w:t>年</w:t>
      </w:r>
      <w:r>
        <w:rPr>
          <w:rFonts w:ascii="Times New Roman" w:hAnsi="Times New Roman" w:cs="Times New Roman" w:eastAsia="Times New Roman" w:hint="default"/>
          <w:spacing w:val="-2"/>
        </w:rPr>
        <w:t>-2014</w:t>
      </w:r>
      <w:r>
        <w:rPr>
          <w:spacing w:val="-2"/>
        </w:rPr>
        <w:t>年》等的相关规定，符合股东大会的决议，分红标准和比例明确，决策程序符合规定。独立董事尽</w:t>
      </w:r>
      <w:r>
        <w:rPr/>
        <w:t> 职履责并发挥了应有的作用，中小股东具有充分表达意见和诉求的机会，其合法权益得到了充分地保护。</w:t>
      </w:r>
    </w:p>
    <w:p>
      <w:pPr>
        <w:pStyle w:val="BodyText"/>
        <w:spacing w:line="312" w:lineRule="auto" w:before="158"/>
        <w:ind w:left="153" w:right="113"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日公司第二届董事会第十七次（临时）会议审议通过了《关于修订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部分条款 的议案》，根据中国证监会发布的《上市公司股东大会规则（</w:t>
      </w:r>
      <w:r>
        <w:rPr>
          <w:rFonts w:ascii="Times New Roman" w:hAnsi="Times New Roman" w:cs="Times New Roman" w:eastAsia="Times New Roman" w:hint="default"/>
        </w:rPr>
        <w:t>2014</w:t>
      </w:r>
      <w:r>
        <w:rPr/>
        <w:t>年修订）》、《上市公司监管指引第</w:t>
      </w:r>
      <w:r>
        <w:rPr>
          <w:rFonts w:ascii="Times New Roman" w:hAnsi="Times New Roman" w:cs="Times New Roman" w:eastAsia="Times New Roman" w:hint="default"/>
        </w:rPr>
        <w:t>3 </w:t>
      </w:r>
      <w:r>
        <w:rPr/>
        <w:t>号</w:t>
      </w:r>
      <w:r>
        <w:rPr>
          <w:rFonts w:ascii="Times New Roman" w:hAnsi="Times New Roman" w:cs="Times New Roman" w:eastAsia="Times New Roman" w:hint="default"/>
        </w:rPr>
        <w:t>——</w:t>
      </w:r>
      <w:r>
        <w:rPr/>
        <w:t>上市公司现金分红》、《上市公司章程指引（</w:t>
      </w:r>
      <w:r>
        <w:rPr>
          <w:rFonts w:ascii="Times New Roman" w:hAnsi="Times New Roman" w:cs="Times New Roman" w:eastAsia="Times New Roman" w:hint="default"/>
        </w:rPr>
        <w:t>2014</w:t>
      </w:r>
      <w:r>
        <w:rPr/>
        <w:t>年修订）》等有关规定，结合公司的实际情况， 对《公司章程》中第</w:t>
      </w:r>
      <w:r>
        <w:rPr>
          <w:rFonts w:ascii="Times New Roman" w:hAnsi="Times New Roman" w:cs="Times New Roman" w:eastAsia="Times New Roman" w:hint="default"/>
        </w:rPr>
        <w:t>196</w:t>
      </w:r>
      <w:r>
        <w:rPr/>
        <w:t>条公司利润分配政策的有关内容进行了修订完善，包括利润分配的原则、利润分 </w:t>
      </w:r>
      <w:r>
        <w:rPr>
          <w:spacing w:val="-1"/>
        </w:rPr>
        <w:t>配的形式及期间间隔、现金分红的具体条件和比例、发放股票股利的具体条件、利润分配的决策程序和机</w:t>
      </w:r>
      <w:r>
        <w:rPr>
          <w:spacing w:val="-83"/>
        </w:rPr>
        <w:t> </w:t>
      </w:r>
      <w:r>
        <w:rPr>
          <w:spacing w:val="-83"/>
        </w:rPr>
      </w:r>
      <w:r>
        <w:rPr/>
        <w:t>制、利润分配信息披露机制、利润分配政策的调整或变更等。详见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日公司刊登于中国证监会 </w:t>
      </w:r>
      <w:r>
        <w:rPr>
          <w:spacing w:val="-2"/>
        </w:rPr>
        <w:t>指定创业板信息披露网站上的《</w:t>
      </w:r>
      <w:r>
        <w:rPr>
          <w:rFonts w:ascii="Times New Roman" w:hAnsi="Times New Roman" w:cs="Times New Roman" w:eastAsia="Times New Roman" w:hint="default"/>
          <w:spacing w:val="-2"/>
        </w:rPr>
        <w:t>&lt;</w:t>
      </w:r>
      <w:r>
        <w:rPr>
          <w:spacing w:val="-2"/>
        </w:rPr>
        <w:t>公司章程</w:t>
      </w:r>
      <w:r>
        <w:rPr>
          <w:rFonts w:ascii="Times New Roman" w:hAnsi="Times New Roman" w:cs="Times New Roman" w:eastAsia="Times New Roman" w:hint="default"/>
          <w:spacing w:val="-2"/>
        </w:rPr>
        <w:t>&gt;</w:t>
      </w:r>
      <w:r>
        <w:rPr>
          <w:spacing w:val="-2"/>
        </w:rPr>
        <w:t>修订对照表》及修订后的《公司章程》。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日公司</w:t>
      </w:r>
      <w:r>
        <w:rPr>
          <w:spacing w:val="-57"/>
        </w:rPr>
        <w:t> </w:t>
      </w:r>
      <w:r>
        <w:rPr/>
        <w:t>召开了</w:t>
      </w:r>
      <w:r>
        <w:rPr>
          <w:rFonts w:ascii="Times New Roman" w:hAnsi="Times New Roman" w:cs="Times New Roman" w:eastAsia="Times New Roman" w:hint="default"/>
        </w:rPr>
        <w:t>2014</w:t>
      </w:r>
      <w:r>
        <w:rPr/>
        <w:t>年第一次临时股东大会，审议通过了上述《关于修订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部分条款的议案》。</w:t>
      </w:r>
    </w:p>
    <w:p>
      <w:pPr>
        <w:spacing w:line="240" w:lineRule="auto" w:before="0"/>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5506"/>
        <w:gridCol w:w="4050"/>
      </w:tblGrid>
      <w:tr>
        <w:trPr>
          <w:trHeight w:val="397"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0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0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0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0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83"/>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 充分保护：</w:t>
            </w:r>
          </w:p>
        </w:tc>
        <w:tc>
          <w:tcPr>
            <w:tcW w:w="40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0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1"/>
        <w:rPr>
          <w:rFonts w:ascii="宋体" w:hAnsi="宋体" w:cs="宋体" w:eastAsia="宋体" w:hint="default"/>
          <w:sz w:val="7"/>
          <w:szCs w:val="7"/>
        </w:rPr>
      </w:pPr>
    </w:p>
    <w:p>
      <w:pPr>
        <w:pStyle w:val="BodyText"/>
        <w:spacing w:line="240" w:lineRule="auto" w:before="35"/>
        <w:ind w:right="0"/>
        <w:jc w:val="left"/>
      </w:pPr>
      <w:r>
        <w:rPr/>
        <w:t>公司报告期利润分配预案及资本公积金转增股本预案与公司章程和分红管理办法等的相关规定一致：</w:t>
      </w:r>
    </w:p>
    <w:p>
      <w:pPr>
        <w:pStyle w:val="BodyText"/>
        <w:spacing w:line="381" w:lineRule="auto" w:before="108"/>
        <w:ind w:right="22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 公司报告期利润分配预案及资本公积金转增股本预案符合公司章程等的相关规定。</w:t>
      </w:r>
    </w:p>
    <w:p>
      <w:pPr>
        <w:pStyle w:val="BodyText"/>
        <w:spacing w:line="240" w:lineRule="auto" w:before="95"/>
        <w:ind w:right="0"/>
        <w:jc w:val="left"/>
      </w:pPr>
      <w:r>
        <w:rPr/>
        <w:t>本年度利润分配及资本公积金转增股本预案：</w:t>
      </w:r>
    </w:p>
    <w:p>
      <w:pPr>
        <w:spacing w:after="0" w:line="240" w:lineRule="auto"/>
        <w:jc w:val="left"/>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694"/>
        <w:gridCol w:w="5862"/>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221,581,600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9,971,172.00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年度利润分配及资本公积金转增股本预案为：以截至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221,581,600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；同时，以资本公积金向全体股东每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11"/>
        <w:rPr>
          <w:rFonts w:ascii="宋体" w:hAnsi="宋体" w:cs="宋体" w:eastAsia="宋体" w:hint="default"/>
          <w:sz w:val="7"/>
          <w:szCs w:val="7"/>
        </w:rPr>
      </w:pPr>
    </w:p>
    <w:p>
      <w:pPr>
        <w:pStyle w:val="BodyText"/>
        <w:spacing w:line="240" w:lineRule="auto" w:before="35"/>
        <w:ind w:right="0"/>
        <w:jc w:val="left"/>
      </w:pPr>
      <w:bookmarkStart w:name="六、内幕信息知情人管理制度的建立和执行情况" w:id="34"/>
      <w:bookmarkEnd w:id="34"/>
      <w:r>
        <w:rPr/>
      </w:r>
      <w:r>
        <w:rPr/>
        <w:t>公司近</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spacing w:line="240" w:lineRule="auto" w:before="7"/>
        <w:rPr>
          <w:rFonts w:ascii="宋体" w:hAnsi="宋体" w:cs="宋体" w:eastAsia="宋体" w:hint="default"/>
          <w:sz w:val="15"/>
          <w:szCs w:val="15"/>
        </w:rPr>
      </w:pPr>
    </w:p>
    <w:p>
      <w:pPr>
        <w:pStyle w:val="BodyText"/>
        <w:spacing w:line="307" w:lineRule="auto"/>
        <w:ind w:left="153" w:right="0" w:firstLine="420"/>
        <w:jc w:val="left"/>
      </w:pP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2012</w:t>
      </w:r>
      <w:r>
        <w:rPr>
          <w:spacing w:val="-6"/>
        </w:rPr>
        <w:t>年度：以公司总股本</w:t>
      </w:r>
      <w:r>
        <w:rPr>
          <w:rFonts w:ascii="Times New Roman" w:hAnsi="Times New Roman" w:cs="Times New Roman" w:eastAsia="Times New Roman" w:hint="default"/>
          <w:spacing w:val="-6"/>
        </w:rPr>
        <w:t>110,906,600</w:t>
      </w:r>
      <w:r>
        <w:rPr>
          <w:spacing w:val="-6"/>
        </w:rPr>
        <w:t>股为基数向全体股东每</w:t>
      </w:r>
      <w:r>
        <w:rPr>
          <w:rFonts w:ascii="Times New Roman" w:hAnsi="Times New Roman" w:cs="Times New Roman" w:eastAsia="Times New Roman" w:hint="default"/>
          <w:spacing w:val="-6"/>
        </w:rPr>
        <w:t>10</w:t>
      </w:r>
      <w:r>
        <w:rPr>
          <w:spacing w:val="-6"/>
        </w:rPr>
        <w:t>股派发现金股利</w:t>
      </w:r>
      <w:r>
        <w:rPr>
          <w:rFonts w:ascii="Times New Roman" w:hAnsi="Times New Roman" w:cs="Times New Roman" w:eastAsia="Times New Roman" w:hint="default"/>
          <w:spacing w:val="-6"/>
        </w:rPr>
        <w:t>1.5</w:t>
      </w:r>
      <w:r>
        <w:rPr>
          <w:spacing w:val="-6"/>
        </w:rPr>
        <w:t>元人民币（含税），</w:t>
      </w:r>
      <w:r>
        <w:rPr/>
        <w:t> 同时进行资本公积金转增股本，以</w:t>
      </w:r>
      <w:r>
        <w:rPr>
          <w:rFonts w:ascii="Times New Roman" w:hAnsi="Times New Roman" w:cs="Times New Roman" w:eastAsia="Times New Roman" w:hint="default"/>
        </w:rPr>
        <w:t>110,906,600</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240" w:lineRule="auto" w:before="138"/>
        <w:ind w:left="573" w:right="0"/>
        <w:jc w:val="left"/>
      </w:pP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2013</w:t>
      </w:r>
      <w:r>
        <w:rPr>
          <w:spacing w:val="-6"/>
        </w:rPr>
        <w:t>年度：以公司总股本</w:t>
      </w:r>
      <w:r>
        <w:rPr>
          <w:rFonts w:ascii="Times New Roman" w:hAnsi="Times New Roman" w:cs="Times New Roman" w:eastAsia="Times New Roman" w:hint="default"/>
          <w:spacing w:val="-6"/>
        </w:rPr>
        <w:t>221,706,400</w:t>
      </w:r>
      <w:r>
        <w:rPr>
          <w:spacing w:val="-6"/>
        </w:rPr>
        <w:t>股为基数向全体股东每</w:t>
      </w:r>
      <w:r>
        <w:rPr>
          <w:rFonts w:ascii="Times New Roman" w:hAnsi="Times New Roman" w:cs="Times New Roman" w:eastAsia="Times New Roman" w:hint="default"/>
          <w:spacing w:val="-6"/>
        </w:rPr>
        <w:t>10</w:t>
      </w:r>
      <w:r>
        <w:rPr>
          <w:spacing w:val="-6"/>
        </w:rPr>
        <w:t>股派发现金股利</w:t>
      </w:r>
      <w:r>
        <w:rPr>
          <w:rFonts w:ascii="Times New Roman" w:hAnsi="Times New Roman" w:cs="Times New Roman" w:eastAsia="Times New Roman" w:hint="default"/>
          <w:spacing w:val="-6"/>
        </w:rPr>
        <w:t>0.3</w:t>
      </w:r>
      <w:r>
        <w:rPr>
          <w:spacing w:val="-6"/>
        </w:rPr>
        <w:t>元人民币（含税）。</w:t>
      </w:r>
    </w:p>
    <w:p>
      <w:pPr>
        <w:spacing w:line="240" w:lineRule="auto" w:before="7"/>
        <w:rPr>
          <w:rFonts w:ascii="宋体" w:hAnsi="宋体" w:cs="宋体" w:eastAsia="宋体" w:hint="default"/>
          <w:sz w:val="15"/>
          <w:szCs w:val="15"/>
        </w:rPr>
      </w:pPr>
    </w:p>
    <w:p>
      <w:pPr>
        <w:pStyle w:val="BodyText"/>
        <w:spacing w:line="309" w:lineRule="auto"/>
        <w:ind w:left="153" w:right="0" w:firstLine="42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2014</w:t>
      </w:r>
      <w:r>
        <w:rPr>
          <w:spacing w:val="-1"/>
        </w:rPr>
        <w:t>年度：以截至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221,581,600</w:t>
      </w:r>
      <w:r>
        <w:rPr>
          <w:spacing w:val="-1"/>
        </w:rPr>
        <w:t>股为基数，向全体股东按每</w:t>
      </w:r>
      <w:r>
        <w:rPr>
          <w:rFonts w:ascii="Times New Roman" w:hAnsi="Times New Roman" w:cs="Times New Roman" w:eastAsia="Times New Roman" w:hint="default"/>
          <w:spacing w:val="-1"/>
        </w:rPr>
        <w:t>10</w:t>
      </w:r>
      <w:r>
        <w:rPr>
          <w:spacing w:val="-1"/>
        </w:rPr>
        <w:t>股派发现</w:t>
      </w:r>
      <w:r>
        <w:rPr/>
        <w:t> 金股利人民币</w:t>
      </w:r>
      <w:r>
        <w:rPr>
          <w:rFonts w:ascii="Times New Roman" w:hAnsi="Times New Roman" w:cs="Times New Roman" w:eastAsia="Times New Roman" w:hint="default"/>
        </w:rPr>
        <w:t>0.45</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240" w:lineRule="auto" w:before="137"/>
        <w:ind w:left="153" w:right="0"/>
        <w:jc w:val="left"/>
      </w:pPr>
      <w:r>
        <w:rPr/>
        <w:t>公司近三年现金分红情况表：</w:t>
      </w:r>
    </w:p>
    <w:p>
      <w:pPr>
        <w:spacing w:before="135"/>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2"/>
        <w:gridCol w:w="2422"/>
        <w:gridCol w:w="2693"/>
        <w:gridCol w:w="2479"/>
      </w:tblGrid>
      <w:tr>
        <w:trPr>
          <w:trHeight w:val="161" w:hRule="exact"/>
        </w:trPr>
        <w:tc>
          <w:tcPr>
            <w:tcW w:w="1962" w:type="dxa"/>
            <w:tcBorders>
              <w:top w:val="single" w:sz="4" w:space="0" w:color="000000"/>
              <w:left w:val="single" w:sz="4" w:space="0" w:color="000000"/>
              <w:bottom w:val="nil" w:sz="6" w:space="0" w:color="auto"/>
              <w:right w:val="single" w:sz="4" w:space="0" w:color="000000"/>
            </w:tcBorders>
            <w:shd w:val="clear" w:color="auto" w:fill="D4D4D4"/>
          </w:tcPr>
          <w:p>
            <w:pPr/>
          </w:p>
        </w:tc>
        <w:tc>
          <w:tcPr>
            <w:tcW w:w="2422" w:type="dxa"/>
            <w:tcBorders>
              <w:top w:val="single" w:sz="4" w:space="0" w:color="000000"/>
              <w:left w:val="single" w:sz="4" w:space="0" w:color="000000"/>
              <w:bottom w:val="nil" w:sz="6" w:space="0" w:color="auto"/>
              <w:right w:val="single" w:sz="4" w:space="0" w:color="000000"/>
            </w:tcBorders>
            <w:shd w:val="clear" w:color="auto" w:fill="D4D4D4"/>
          </w:tcPr>
          <w:p>
            <w:pPr/>
          </w:p>
        </w:tc>
        <w:tc>
          <w:tcPr>
            <w:tcW w:w="2693"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351" w:right="79" w:hanging="270"/>
              <w:jc w:val="left"/>
              <w:rPr>
                <w:rFonts w:ascii="宋体" w:hAnsi="宋体" w:cs="宋体" w:eastAsia="宋体" w:hint="default"/>
                <w:sz w:val="18"/>
                <w:szCs w:val="18"/>
              </w:rPr>
            </w:pPr>
            <w:r>
              <w:rPr>
                <w:rFonts w:ascii="宋体" w:hAnsi="宋体" w:cs="宋体" w:eastAsia="宋体" w:hint="default"/>
                <w:sz w:val="18"/>
                <w:szCs w:val="18"/>
              </w:rPr>
              <w:t>分红年度合并报表中归属于上市 公司普通股股东的净利润</w:t>
            </w:r>
          </w:p>
        </w:tc>
        <w:tc>
          <w:tcPr>
            <w:tcW w:w="2479"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154" w:right="62" w:hanging="90"/>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r>
      <w:tr>
        <w:trPr>
          <w:trHeight w:val="392" w:hRule="exact"/>
        </w:trPr>
        <w:tc>
          <w:tcPr>
            <w:tcW w:w="196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4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693" w:type="dxa"/>
            <w:vMerge/>
            <w:tcBorders>
              <w:left w:val="single" w:sz="4" w:space="0" w:color="000000"/>
              <w:right w:val="single" w:sz="4" w:space="0" w:color="000000"/>
            </w:tcBorders>
            <w:shd w:val="clear" w:color="auto" w:fill="D4D4D4"/>
          </w:tcPr>
          <w:p>
            <w:pPr/>
          </w:p>
        </w:tc>
        <w:tc>
          <w:tcPr>
            <w:tcW w:w="2479" w:type="dxa"/>
            <w:vMerge/>
            <w:tcBorders>
              <w:left w:val="single" w:sz="4" w:space="0" w:color="000000"/>
              <w:right w:val="single" w:sz="4" w:space="0" w:color="000000"/>
            </w:tcBorders>
            <w:shd w:val="clear" w:color="auto" w:fill="D4D4D4"/>
          </w:tcPr>
          <w:p>
            <w:pPr/>
          </w:p>
        </w:tc>
      </w:tr>
      <w:tr>
        <w:trPr>
          <w:trHeight w:val="161" w:hRule="exact"/>
        </w:trPr>
        <w:tc>
          <w:tcPr>
            <w:tcW w:w="1962" w:type="dxa"/>
            <w:tcBorders>
              <w:top w:val="nil" w:sz="6" w:space="0" w:color="auto"/>
              <w:left w:val="single" w:sz="4" w:space="0" w:color="000000"/>
              <w:bottom w:val="single" w:sz="4" w:space="0" w:color="000000"/>
              <w:right w:val="single" w:sz="4" w:space="0" w:color="000000"/>
            </w:tcBorders>
            <w:shd w:val="clear" w:color="auto" w:fill="D4D4D4"/>
          </w:tcPr>
          <w:p>
            <w:pPr/>
          </w:p>
        </w:tc>
        <w:tc>
          <w:tcPr>
            <w:tcW w:w="2422" w:type="dxa"/>
            <w:tcBorders>
              <w:top w:val="nil" w:sz="6" w:space="0" w:color="auto"/>
              <w:left w:val="single" w:sz="4" w:space="0" w:color="000000"/>
              <w:bottom w:val="single" w:sz="4" w:space="0" w:color="000000"/>
              <w:right w:val="single" w:sz="4" w:space="0" w:color="000000"/>
            </w:tcBorders>
            <w:shd w:val="clear" w:color="auto" w:fill="D4D4D4"/>
          </w:tcPr>
          <w:p>
            <w:pPr/>
          </w:p>
        </w:tc>
        <w:tc>
          <w:tcPr>
            <w:tcW w:w="2693" w:type="dxa"/>
            <w:vMerge/>
            <w:tcBorders>
              <w:left w:val="single" w:sz="4" w:space="0" w:color="000000"/>
              <w:bottom w:val="single" w:sz="4" w:space="0" w:color="000000"/>
              <w:right w:val="single" w:sz="4" w:space="0" w:color="000000"/>
            </w:tcBorders>
            <w:shd w:val="clear" w:color="auto" w:fill="D4D4D4"/>
          </w:tcPr>
          <w:p>
            <w:pPr/>
          </w:p>
        </w:tc>
        <w:tc>
          <w:tcPr>
            <w:tcW w:w="2479"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9,971,172.00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114,602,055.27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6,651,192.00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56,286,872.37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11.82%</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16,635,990.00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78,431,616.50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21.21%</w:t>
            </w:r>
          </w:p>
        </w:tc>
      </w:tr>
    </w:tbl>
    <w:p>
      <w:pPr>
        <w:spacing w:line="240" w:lineRule="auto" w:before="11"/>
        <w:rPr>
          <w:rFonts w:ascii="宋体" w:hAnsi="宋体" w:cs="宋体" w:eastAsia="宋体" w:hint="default"/>
          <w:sz w:val="7"/>
          <w:szCs w:val="7"/>
        </w:rPr>
      </w:pPr>
    </w:p>
    <w:p>
      <w:pPr>
        <w:pStyle w:val="BodyText"/>
        <w:spacing w:line="240" w:lineRule="auto" w:before="35"/>
        <w:ind w:right="0"/>
        <w:jc w:val="both"/>
      </w:pPr>
      <w:r>
        <w:rPr/>
        <w:t>公司报告期内盈利且母公司未分配利润为正但未提出现金红利分配预案：</w:t>
      </w:r>
    </w:p>
    <w:p>
      <w:pPr>
        <w:pStyle w:val="BodyText"/>
        <w:spacing w:line="240" w:lineRule="auto" w:before="109"/>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9"/>
        <w:rPr>
          <w:rFonts w:ascii="宋体" w:hAnsi="宋体" w:cs="宋体" w:eastAsia="宋体" w:hint="default"/>
          <w:sz w:val="22"/>
          <w:szCs w:val="22"/>
        </w:rPr>
      </w:pPr>
    </w:p>
    <w:p>
      <w:pPr>
        <w:pStyle w:val="Heading2"/>
        <w:spacing w:line="240" w:lineRule="auto"/>
        <w:ind w:right="0"/>
        <w:jc w:val="both"/>
        <w:rPr>
          <w:b w:val="0"/>
          <w:bCs w:val="0"/>
        </w:rPr>
      </w:pPr>
      <w:r>
        <w:rPr/>
        <w:t>六、内幕信息知情人管理制度的建立和执行情况</w:t>
      </w:r>
      <w:r>
        <w:rPr>
          <w:b w:val="0"/>
          <w:bCs w:val="0"/>
        </w:rPr>
      </w:r>
    </w:p>
    <w:p>
      <w:pPr>
        <w:spacing w:line="240" w:lineRule="auto" w:before="9"/>
        <w:rPr>
          <w:rFonts w:ascii="宋体" w:hAnsi="宋体" w:cs="宋体" w:eastAsia="宋体" w:hint="default"/>
          <w:b/>
          <w:bCs/>
          <w:sz w:val="24"/>
          <w:szCs w:val="24"/>
        </w:rPr>
      </w:pPr>
    </w:p>
    <w:p>
      <w:pPr>
        <w:spacing w:line="403" w:lineRule="auto" w:before="0"/>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（一）内幕信息知情人管理制度的制定情况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为了规范公司的内幕信息管理，加强内幕信息保密工作，维护信息披露公平性原则，根据《中华人民</w:t>
      </w:r>
    </w:p>
    <w:p>
      <w:pPr>
        <w:pStyle w:val="BodyText"/>
        <w:spacing w:line="232" w:lineRule="exact"/>
        <w:ind w:right="0"/>
        <w:jc w:val="both"/>
      </w:pPr>
      <w:r>
        <w:rPr/>
        <w:t>共和国公司法》、《中华人民共和国证券法》、《上市公司信息披露管理办法》、《深圳证券交易所创业</w:t>
      </w:r>
    </w:p>
    <w:p>
      <w:pPr>
        <w:pStyle w:val="BodyText"/>
        <w:spacing w:line="309" w:lineRule="auto" w:before="99"/>
        <w:ind w:left="153" w:right="294"/>
        <w:jc w:val="both"/>
      </w:pPr>
      <w:r>
        <w:rPr/>
        <w:t>板股票上市规则》等有关法律、法规、规范性文件和《公司章程》的有关规定，公司于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日第 一届董事会第十二次会议审议制定了《内幕信息知情人登记制度》，并分别于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日第一届董事 会第十八次会议和</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日第二届董事会第五次会议对上述《内幕信息知情人登记制度》进行了修</w:t>
      </w:r>
    </w:p>
    <w:p>
      <w:pPr>
        <w:spacing w:after="0" w:line="309" w:lineRule="auto"/>
        <w:jc w:val="both"/>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240" w:lineRule="auto" w:before="35"/>
        <w:ind w:right="0"/>
        <w:jc w:val="left"/>
      </w:pPr>
      <w:r>
        <w:rPr/>
        <w:t>订、完善，并改名为《内幕信息知情人登记管理制度》。</w:t>
      </w:r>
    </w:p>
    <w:p>
      <w:pPr>
        <w:spacing w:line="240" w:lineRule="auto" w:before="6"/>
        <w:rPr>
          <w:rFonts w:ascii="宋体" w:hAnsi="宋体" w:cs="宋体" w:eastAsia="宋体" w:hint="default"/>
          <w:sz w:val="14"/>
          <w:szCs w:val="14"/>
        </w:rPr>
      </w:pPr>
    </w:p>
    <w:p>
      <w:pPr>
        <w:spacing w:line="403" w:lineRule="auto" w:before="0"/>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（二）内幕信息知情人管理制度的执行情况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报告期内，公司严格执行《内幕信息知情人登记管理制度》，对于未公开信息，严格控制内幕信息知</w:t>
      </w:r>
    </w:p>
    <w:p>
      <w:pPr>
        <w:pStyle w:val="BodyText"/>
        <w:spacing w:line="232" w:lineRule="exact"/>
        <w:ind w:left="153" w:right="0"/>
        <w:jc w:val="left"/>
      </w:pPr>
      <w:r>
        <w:rPr/>
        <w:t>情人范围并填写《内幕信息知情人登记表》，并由证券部按照相关规定向深交所和厦门证监局报备。</w:t>
      </w:r>
    </w:p>
    <w:p>
      <w:pPr>
        <w:spacing w:line="240" w:lineRule="auto" w:before="10"/>
        <w:rPr>
          <w:rFonts w:ascii="宋体" w:hAnsi="宋体" w:cs="宋体" w:eastAsia="宋体" w:hint="default"/>
          <w:sz w:val="16"/>
          <w:szCs w:val="16"/>
        </w:rPr>
      </w:pPr>
    </w:p>
    <w:p>
      <w:pPr>
        <w:pStyle w:val="BodyText"/>
        <w:spacing w:line="326" w:lineRule="auto"/>
        <w:ind w:left="153" w:right="98" w:firstLine="420"/>
        <w:jc w:val="left"/>
      </w:pPr>
      <w:r>
        <w:rPr>
          <w:spacing w:val="-3"/>
        </w:rPr>
        <w:t>在定期报告及重大事项披露敏感期内，公司尽量避免接待投资者调研。在日常接待投资者调研过程中，</w:t>
      </w:r>
      <w:r>
        <w:rPr/>
        <w:t> 所有调研人员均按要求登记身份信息并签署承诺函，详细调研记录由证券部按照相关规定及时向深交所报 备，并在互动易平台公布。</w:t>
      </w:r>
    </w:p>
    <w:p>
      <w:pPr>
        <w:spacing w:line="403" w:lineRule="auto" w:before="114"/>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（三）报告期内自查内幕信息知情人涉嫌内幕交易及监管部门的查处和整改情况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报告期内，未发生公司董事、监事及高级管理人员和其他相关内幕信息知情人利用内幕信息买卖本公</w:t>
      </w:r>
    </w:p>
    <w:p>
      <w:pPr>
        <w:pStyle w:val="BodyText"/>
        <w:spacing w:line="232" w:lineRule="exact"/>
        <w:ind w:left="153" w:right="0"/>
        <w:jc w:val="left"/>
      </w:pPr>
      <w:r>
        <w:rPr/>
        <w:t>司股票的情况。</w:t>
      </w:r>
    </w:p>
    <w:p>
      <w:pPr>
        <w:spacing w:line="240" w:lineRule="auto" w:before="6"/>
        <w:rPr>
          <w:rFonts w:ascii="宋体" w:hAnsi="宋体" w:cs="宋体" w:eastAsia="宋体" w:hint="default"/>
          <w:sz w:val="26"/>
          <w:szCs w:val="26"/>
        </w:rPr>
      </w:pPr>
    </w:p>
    <w:p>
      <w:pPr>
        <w:pStyle w:val="Heading2"/>
        <w:spacing w:line="240" w:lineRule="auto"/>
        <w:ind w:right="0"/>
        <w:jc w:val="left"/>
        <w:rPr>
          <w:b w:val="0"/>
          <w:bCs w:val="0"/>
        </w:rPr>
      </w:pPr>
      <w:r>
        <w:rPr/>
        <w:t>七、报告期内接待调研、沟通、采访</w:t>
      </w:r>
      <w:bookmarkStart w:name="七、报告期内接待调研、沟通、采访等活动登记表" w:id="35"/>
      <w:bookmarkEnd w:id="35"/>
      <w:r>
        <w:rPr/>
        <w:t>等活动登</w:t>
      </w:r>
      <w:r>
        <w:rPr/>
        <w:t>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34"/>
        <w:gridCol w:w="994"/>
        <w:gridCol w:w="850"/>
        <w:gridCol w:w="851"/>
        <w:gridCol w:w="1559"/>
        <w:gridCol w:w="4182"/>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4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国投瑞银基金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产品领域投入情况、今年整体形势、无人机应用领域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及使用率、业务拓展重点及未来发展方向、投资并购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情况及方向、大股东是否有减持计划。</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华创证券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了解公司产品和服务的基本情况、客户粘性维护、投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资并购方向、市场拓展重点、费用控制情况。</w:t>
            </w:r>
          </w:p>
        </w:tc>
      </w:tr>
      <w:tr>
        <w:trPr>
          <w:trHeight w:val="16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长城证券、新华资 产、光大资管、华 商基金、厦门恒兴 集团、银河证券、 建信基金共计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
              <w:jc w:val="both"/>
              <w:rPr>
                <w:rFonts w:ascii="宋体" w:hAnsi="宋体" w:cs="宋体" w:eastAsia="宋体" w:hint="default"/>
                <w:sz w:val="18"/>
                <w:szCs w:val="18"/>
              </w:rPr>
            </w:pPr>
            <w:r>
              <w:rPr>
                <w:rFonts w:ascii="宋体" w:hAnsi="宋体" w:cs="宋体" w:eastAsia="宋体" w:hint="default"/>
                <w:sz w:val="18"/>
                <w:szCs w:val="18"/>
              </w:rPr>
              <w:t>了解公司生产经营情况、产品行业拓展及市场需求、 产品和服务的销售模式、国内竞争对手情况、上半年 业绩情况、新德汇投资并购效果及公司未来投资并购 发展方向、公司未来工作重点及展望、客户的采购方 式、工商领域拓展进展、股票减持计划。</w:t>
            </w:r>
          </w:p>
        </w:tc>
      </w:tr>
      <w:tr>
        <w:trPr>
          <w:trHeight w:val="16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民生加银基金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取证产品市场规模、传统市场覆盖率、上半年市场拓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展情况、去年业绩下滑原因、股权激励摊销费用、搜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索云产品推广情况、公证云的优势及收费模式、合作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进展、与新德汇的合作情况、公司未来增长点及并购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计划。</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84"/>
              <w:jc w:val="left"/>
              <w:rPr>
                <w:rFonts w:ascii="宋体" w:hAnsi="宋体" w:cs="宋体" w:eastAsia="宋体" w:hint="default"/>
                <w:sz w:val="18"/>
                <w:szCs w:val="18"/>
              </w:rPr>
            </w:pPr>
            <w:r>
              <w:rPr>
                <w:rFonts w:ascii="宋体" w:hAnsi="宋体" w:cs="宋体" w:eastAsia="宋体" w:hint="default"/>
                <w:sz w:val="18"/>
                <w:szCs w:val="18"/>
              </w:rPr>
              <w:t>元富证券、诺德基 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了解公司生产经营情况、公司主要竞争对手、投资并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购方向、股权激励计划及税率、费用控制情况、研发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占比、万诚信用业务经营介绍。</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84"/>
              <w:jc w:val="left"/>
              <w:rPr>
                <w:rFonts w:ascii="宋体" w:hAnsi="宋体" w:cs="宋体" w:eastAsia="宋体" w:hint="default"/>
                <w:sz w:val="18"/>
                <w:szCs w:val="18"/>
              </w:rPr>
            </w:pPr>
            <w:r>
              <w:rPr>
                <w:rFonts w:ascii="宋体" w:hAnsi="宋体" w:cs="宋体" w:eastAsia="宋体" w:hint="default"/>
                <w:sz w:val="18"/>
                <w:szCs w:val="18"/>
              </w:rPr>
              <w:t>中信产业基金、信 达证券共计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人</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了解公司生产经营情况、公司产品市场细分及市场空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间、舆情监测系统销售模式及客户群体、公司未来业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务发展规划、大股东是否有减持计划、公证云盈利模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式及门槛、产品壁垒。</w:t>
            </w:r>
          </w:p>
        </w:tc>
      </w:tr>
      <w:tr>
        <w:trPr>
          <w:trHeight w:val="67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华商基金、信达澳 银、金鹰基金、东</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
              <w:jc w:val="left"/>
              <w:rPr>
                <w:rFonts w:ascii="宋体" w:hAnsi="宋体" w:cs="宋体" w:eastAsia="宋体" w:hint="default"/>
                <w:sz w:val="18"/>
                <w:szCs w:val="18"/>
              </w:rPr>
            </w:pPr>
            <w:r>
              <w:rPr>
                <w:rFonts w:ascii="宋体" w:hAnsi="宋体" w:cs="宋体" w:eastAsia="宋体" w:hint="default"/>
                <w:sz w:val="18"/>
                <w:szCs w:val="18"/>
              </w:rPr>
              <w:t>刑侦产品市场拓展及行业空间、民用市场开拓情况、 网络安全产品收入下滑原因、大股东减持探讨、公司</w:t>
            </w:r>
          </w:p>
        </w:tc>
      </w:tr>
    </w:tbl>
    <w:p>
      <w:pPr>
        <w:spacing w:after="0" w:line="316" w:lineRule="auto"/>
        <w:jc w:val="left"/>
        <w:rPr>
          <w:rFonts w:ascii="宋体" w:hAnsi="宋体" w:cs="宋体" w:eastAsia="宋体" w:hint="default"/>
          <w:sz w:val="18"/>
          <w:szCs w:val="18"/>
        </w:rPr>
        <w:sectPr>
          <w:pgSz w:w="11910" w:h="16840"/>
          <w:pgMar w:header="747" w:footer="980" w:top="1060" w:bottom="118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line="312" w:lineRule="exact"/>
        <w:ind w:left="556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10.85pt;height:15.6pt;mso-position-horizontal-relative:char;mso-position-vertical-relative:line" coordorigin="0,0" coordsize="4217,312">
            <v:group style="position:absolute;left:0;top:0;width:4127;height:312" coordorigin="0,0" coordsize="4127,312">
              <v:shape style="position:absolute;left:0;top:0;width:4127;height:312" coordorigin="0,0" coordsize="4127,312" path="m0,312l4127,312,4127,0,0,0,0,312xe" filled="true" fillcolor="#ffffff" stroked="false">
                <v:path arrowok="t"/>
                <v:fill type="solid"/>
              </v:shape>
              <v:shape style="position:absolute;left:4037;top:6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spacing w:line="312" w:lineRule="exact"/>
        <w:ind w:left="556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06.35pt;height:15.6pt;mso-position-horizontal-relative:char;mso-position-vertical-relative:line" coordorigin="0,0" coordsize="4127,312">
            <v:group style="position:absolute;left:0;top:0;width:4127;height:312" coordorigin="0,0" coordsize="4127,312">
              <v:shape style="position:absolute;left:0;top:0;width:4127;height:312" coordorigin="0,0" coordsize="4127,312" path="m0,312l4127,312,4127,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spacing w:before="44"/>
        <w:ind w:left="0" w:right="160" w:firstLine="0"/>
        <w:jc w:val="right"/>
        <w:rPr>
          <w:rFonts w:ascii="宋体" w:hAnsi="宋体" w:cs="宋体" w:eastAsia="宋体" w:hint="default"/>
          <w:sz w:val="18"/>
          <w:szCs w:val="18"/>
        </w:rPr>
      </w:pPr>
      <w:r>
        <w:rPr/>
        <w:pict>
          <v:shape style="position:absolute;margin-left:56.459999pt;margin-top:-230.76828pt;width:479.2pt;height:564.9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994"/>
                    <w:gridCol w:w="850"/>
                    <w:gridCol w:w="851"/>
                    <w:gridCol w:w="1559"/>
                    <w:gridCol w:w="4182"/>
                  </w:tblGrid>
                  <w:tr>
                    <w:trPr>
                      <w:trHeight w:val="98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兴证券共计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人</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pacing w:val="-1"/>
                            <w:sz w:val="18"/>
                            <w:szCs w:val="18"/>
                          </w:rPr>
                          <w:t>人才引进机制、存证云业务介绍、公司目前业务重点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及未来发展重点、外延式扩展情况、万诚信用盈利模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式。</w:t>
                        </w:r>
                      </w:p>
                    </w:tc>
                  </w:tr>
                  <w:tr>
                    <w:trPr>
                      <w:trHeight w:val="16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东方证券、国泰基 金、上投摩根、华 </w:t>
                        </w:r>
                        <w:r>
                          <w:rPr>
                            <w:rFonts w:ascii="宋体" w:hAnsi="宋体" w:cs="宋体" w:eastAsia="宋体" w:hint="default"/>
                            <w:spacing w:val="-7"/>
                            <w:sz w:val="18"/>
                            <w:szCs w:val="18"/>
                          </w:rPr>
                          <w:t>商基金、长盛基金、</w:t>
                        </w:r>
                        <w:r>
                          <w:rPr>
                            <w:rFonts w:ascii="宋体" w:hAnsi="宋体" w:cs="宋体" w:eastAsia="宋体" w:hint="default"/>
                            <w:spacing w:val="-34"/>
                            <w:sz w:val="18"/>
                            <w:szCs w:val="18"/>
                          </w:rPr>
                          <w:t> </w:t>
                        </w:r>
                        <w:r>
                          <w:rPr>
                            <w:rFonts w:ascii="宋体" w:hAnsi="宋体" w:cs="宋体" w:eastAsia="宋体" w:hint="default"/>
                            <w:sz w:val="18"/>
                            <w:szCs w:val="18"/>
                          </w:rPr>
                          <w:t>安信证券、富国基</w:t>
                        </w:r>
                        <w:r>
                          <w:rPr>
                            <w:rFonts w:ascii="宋体" w:hAnsi="宋体" w:cs="宋体" w:eastAsia="宋体" w:hint="default"/>
                            <w:sz w:val="18"/>
                            <w:szCs w:val="18"/>
                          </w:rPr>
                          <w:t> 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4182"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6" w:right="26"/>
                          <w:jc w:val="left"/>
                          <w:rPr>
                            <w:rFonts w:ascii="宋体" w:hAnsi="宋体" w:cs="宋体" w:eastAsia="宋体" w:hint="default"/>
                            <w:sz w:val="18"/>
                            <w:szCs w:val="18"/>
                          </w:rPr>
                        </w:pPr>
                        <w:r>
                          <w:rPr>
                            <w:rFonts w:ascii="宋体" w:hAnsi="宋体" w:cs="宋体" w:eastAsia="宋体" w:hint="default"/>
                            <w:spacing w:val="-1"/>
                            <w:sz w:val="18"/>
                            <w:szCs w:val="18"/>
                          </w:rPr>
                          <w:t>公司毛利率波动较大的原因、行业拓展情况及市场空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间、三朵云的应用、服云业务推广情况、视频取证产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品情况及市场空间、新德汇整合效果、投资并购方向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无人机业务形势、公司今年的人力资源计划、与泉州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工商的战略合作进展。</w:t>
                        </w:r>
                      </w:p>
                    </w:tc>
                  </w:tr>
                  <w:tr>
                    <w:trPr>
                      <w:trHeight w:val="196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6"/>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安信证券、华福证 券、普尔投资、长 </w:t>
                        </w:r>
                        <w:r>
                          <w:rPr>
                            <w:rFonts w:ascii="宋体" w:hAnsi="宋体" w:cs="宋体" w:eastAsia="宋体" w:hint="default"/>
                            <w:spacing w:val="-7"/>
                            <w:sz w:val="18"/>
                            <w:szCs w:val="18"/>
                          </w:rPr>
                          <w:t>江证券、广发资管、</w:t>
                        </w:r>
                        <w:r>
                          <w:rPr>
                            <w:rFonts w:ascii="宋体" w:hAnsi="宋体" w:cs="宋体" w:eastAsia="宋体" w:hint="default"/>
                            <w:spacing w:val="-34"/>
                            <w:sz w:val="18"/>
                            <w:szCs w:val="18"/>
                          </w:rPr>
                          <w:t> </w:t>
                        </w:r>
                        <w:r>
                          <w:rPr>
                            <w:rFonts w:ascii="宋体" w:hAnsi="宋体" w:cs="宋体" w:eastAsia="宋体" w:hint="default"/>
                            <w:sz w:val="18"/>
                            <w:szCs w:val="18"/>
                          </w:rPr>
                          <w:t>华睿投资、圆信永</w:t>
                        </w:r>
                        <w:r>
                          <w:rPr>
                            <w:rFonts w:ascii="宋体" w:hAnsi="宋体" w:cs="宋体" w:eastAsia="宋体" w:hint="default"/>
                            <w:sz w:val="18"/>
                            <w:szCs w:val="18"/>
                          </w:rPr>
                          <w:t> 丰基金、海越投资 共计</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418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 w:right="7"/>
                          <w:jc w:val="both"/>
                          <w:rPr>
                            <w:rFonts w:ascii="宋体" w:hAnsi="宋体" w:cs="宋体" w:eastAsia="宋体" w:hint="default"/>
                            <w:sz w:val="18"/>
                            <w:szCs w:val="18"/>
                          </w:rPr>
                        </w:pPr>
                        <w:r>
                          <w:rPr>
                            <w:rFonts w:ascii="宋体" w:hAnsi="宋体" w:cs="宋体" w:eastAsia="宋体" w:hint="default"/>
                            <w:sz w:val="18"/>
                            <w:szCs w:val="18"/>
                          </w:rPr>
                          <w:t>了解公司生产经营情况、国内外产品竞争格局、万诚 信用经营情况及市场空间、中报解读、三朵云未来发 展规划、服务器安全软件推广情况及主要竞争对手、 海关项目中标方式及项目执行情况。</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tc>
                  </w:tr>
                  <w:tr>
                    <w:trPr>
                      <w:trHeight w:val="16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巨杉资产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公司市场空间、</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年业绩情况、毛利率提高的原因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服务收入上半年增长的原因、无人机的销售情况、服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云业务进展、万诚信用的经营情况及市场空间、国内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外产品竞争格局、超算中心使用情况、存证云收费模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式等。</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6"/>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国泰君安、国信证 券、华夏基金、海 富通基金共计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公司重大重组终止原因、公司业务发展情况、海关市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场空间及订单情况、渠道下沉进展情况、新行业市场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需求及拓展、培训情况。</w:t>
                        </w:r>
                      </w:p>
                    </w:tc>
                  </w:tr>
                  <w:tr>
                    <w:trPr>
                      <w:trHeight w:val="16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国金证券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公司关于移动互联网的解决方案、所处行业天花板问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题、公司业务增长点、收入结构、公司旗下子公司的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业务经营情况、视频取证及无人机等应用领域、搜索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云业务拓展情况、超算中心使用群体、销售组织架构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及销售渠道下沉情况。</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1"/>
                          <w:jc w:val="left"/>
                          <w:rPr>
                            <w:rFonts w:ascii="宋体" w:hAnsi="宋体" w:cs="宋体" w:eastAsia="宋体" w:hint="default"/>
                            <w:sz w:val="18"/>
                            <w:szCs w:val="18"/>
                          </w:rPr>
                        </w:pPr>
                        <w:r>
                          <w:rPr>
                            <w:rFonts w:ascii="宋体" w:hAnsi="宋体" w:cs="宋体" w:eastAsia="宋体" w:hint="default"/>
                            <w:sz w:val="18"/>
                            <w:szCs w:val="18"/>
                          </w:rPr>
                          <w:t>兆丰证券、沛田投 </w:t>
                        </w:r>
                        <w:r>
                          <w:rPr>
                            <w:rFonts w:ascii="宋体" w:hAnsi="宋体" w:cs="宋体" w:eastAsia="宋体" w:hint="default"/>
                            <w:spacing w:val="-9"/>
                            <w:sz w:val="18"/>
                            <w:szCs w:val="18"/>
                          </w:rPr>
                          <w:t>资、国泰投信共计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人</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了解公司生产经营情况、电子数据取证领域市场空 </w:t>
                        </w:r>
                        <w:r>
                          <w:rPr>
                            <w:rFonts w:ascii="宋体" w:hAnsi="宋体" w:cs="宋体" w:eastAsia="宋体" w:hint="default"/>
                            <w:spacing w:val="-1"/>
                            <w:sz w:val="18"/>
                            <w:szCs w:val="18"/>
                          </w:rPr>
                          <w:t>间、民用领域市场拓展情况、新德汇收购方式及从事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业务、无人机应用领域、存证云收费模式、舆情业务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推广模式、超算中心业务规划。</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6"/>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中银国际证券、平 安证券共计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人</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了解公司生产经营情况、公司的主要竞争对手、行业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发展空间、未来发展目标及投资并购情况、取证云及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存证云用户群体及未来发展规划。</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4"/>
        <w:jc w:val="center"/>
        <w:rPr>
          <w:b w:val="0"/>
          <w:bCs w:val="0"/>
        </w:rPr>
      </w:pPr>
      <w:bookmarkStart w:name="4、自资产重组报告书或收购出售资产公告刊登后，该事项的进展情况及对报告期经营成果" w:id="36"/>
      <w:bookmarkEnd w:id="36"/>
      <w:r>
        <w:rPr>
          <w:b w:val="0"/>
          <w:bCs w:val="0"/>
        </w:rPr>
      </w:r>
      <w:bookmarkStart w:name="五、公司股权激励的实施情况及其影响" w:id="37"/>
      <w:bookmarkEnd w:id="37"/>
      <w:r>
        <w:rPr>
          <w:b w:val="0"/>
          <w:bCs w:val="0"/>
        </w:rPr>
      </w:r>
      <w:bookmarkStart w:name="第五节 重要事项" w:id="38"/>
      <w:bookmarkEnd w:id="38"/>
      <w:r>
        <w:rPr>
          <w:b w:val="0"/>
          <w:bCs w:val="0"/>
        </w:rPr>
      </w:r>
      <w:bookmarkStart w:name="_bookmark4" w:id="39"/>
      <w:bookmarkEnd w:id="39"/>
      <w:r>
        <w:rPr>
          <w:b w:val="0"/>
          <w:bCs w:val="0"/>
        </w:rPr>
      </w:r>
      <w:r>
        <w:rPr/>
        <w:t>第五节</w:t>
      </w:r>
      <w:r>
        <w:rPr>
          <w:spacing w:val="-1"/>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w:t>
      </w:r>
      <w:bookmarkStart w:name="一、重大诉讼仲裁事项" w:id="40"/>
      <w:bookmarkEnd w:id="40"/>
      <w:r>
        <w:rPr/>
        <w:t>仲裁事项</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r>
        <w:rPr/>
        <w:t>二、上市公司</w:t>
      </w:r>
      <w:bookmarkStart w:name="二、上市公司发生控股股东及其关联方非经营性占用资金情况" w:id="41"/>
      <w:bookmarkEnd w:id="41"/>
      <w:r>
        <w:rPr/>
        <w:t>发生控股</w:t>
      </w:r>
      <w:r>
        <w:rPr/>
        <w:t>股东及其关联方非经营性占用资金情况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r>
        <w:rPr/>
        <w:t>三、破产重整相关事项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84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不适用 </w:t>
      </w:r>
      <w:r>
        <w:rPr>
          <w:rFonts w:ascii="宋体" w:hAnsi="宋体" w:cs="宋体" w:eastAsia="宋体" w:hint="default"/>
          <w:b/>
          <w:bCs/>
          <w:sz w:val="24"/>
          <w:szCs w:val="24"/>
        </w:rPr>
        <w:t>四、资产交易事项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pStyle w:val="BodyText"/>
        <w:spacing w:line="240" w:lineRule="auto" w:before="114"/>
        <w:ind w:left="574" w:right="0"/>
        <w:jc w:val="left"/>
      </w:pPr>
      <w:r>
        <w:rPr/>
        <w:t>无。</w:t>
      </w:r>
    </w:p>
    <w:p>
      <w:pPr>
        <w:spacing w:line="240" w:lineRule="auto" w:before="3"/>
        <w:rPr>
          <w:rFonts w:ascii="宋体" w:hAnsi="宋体" w:cs="宋体" w:eastAsia="宋体" w:hint="default"/>
          <w:sz w:val="28"/>
          <w:szCs w:val="28"/>
        </w:rPr>
      </w:pPr>
    </w:p>
    <w:p>
      <w:pPr>
        <w:pStyle w:val="Heading4"/>
        <w:spacing w:line="530" w:lineRule="auto"/>
        <w:ind w:left="574" w:right="8191" w:hanging="420"/>
        <w:jc w:val="left"/>
        <w:rPr>
          <w:rFonts w:ascii="宋体" w:hAnsi="宋体" w:cs="宋体" w:eastAsia="宋体" w:hint="default"/>
          <w:b w:val="0"/>
          <w:bCs w:val="0"/>
        </w:rPr>
      </w:pPr>
      <w:r>
        <w:rPr>
          <w:rFonts w:ascii="Times New Roman" w:hAnsi="Times New Roman" w:cs="Times New Roman" w:eastAsia="Times New Roman" w:hint="default"/>
        </w:rPr>
        <w:t>2</w:t>
      </w:r>
      <w:r>
        <w:rPr/>
        <w:t>、出售资产情况</w:t>
      </w:r>
      <w:r>
        <w:rPr>
          <w:w w:val="99"/>
        </w:rPr>
        <w:t> </w:t>
      </w:r>
      <w:r>
        <w:rPr>
          <w:rFonts w:ascii="宋体" w:hAnsi="宋体" w:cs="宋体" w:eastAsia="宋体" w:hint="default"/>
          <w:b w:val="0"/>
          <w:bCs w:val="0"/>
        </w:rPr>
        <w:t>无。</w:t>
      </w:r>
    </w:p>
    <w:p>
      <w:pPr>
        <w:pStyle w:val="Heading4"/>
        <w:spacing w:line="530" w:lineRule="auto" w:before="115"/>
        <w:ind w:left="574" w:right="8191" w:hanging="420"/>
        <w:jc w:val="left"/>
        <w:rPr>
          <w:rFonts w:ascii="宋体" w:hAnsi="宋体" w:cs="宋体" w:eastAsia="宋体" w:hint="default"/>
          <w:b w:val="0"/>
          <w:bCs w:val="0"/>
        </w:rPr>
      </w:pPr>
      <w:r>
        <w:rPr>
          <w:rFonts w:ascii="Times New Roman" w:hAnsi="Times New Roman" w:cs="Times New Roman" w:eastAsia="Times New Roman" w:hint="default"/>
        </w:rPr>
        <w:t>3</w:t>
      </w:r>
      <w:r>
        <w:rPr/>
        <w:t>、企业合并情况</w:t>
      </w:r>
      <w:r>
        <w:rPr>
          <w:w w:val="99"/>
        </w:rPr>
        <w:t> </w:t>
      </w:r>
      <w:r>
        <w:rPr>
          <w:rFonts w:ascii="宋体" w:hAnsi="宋体" w:cs="宋体" w:eastAsia="宋体" w:hint="default"/>
          <w:b w:val="0"/>
          <w:bCs w:val="0"/>
        </w:rPr>
        <w:t>无。</w:t>
      </w:r>
    </w:p>
    <w:p>
      <w:pPr>
        <w:pStyle w:val="Heading4"/>
        <w:spacing w:line="259" w:lineRule="auto" w:before="115"/>
        <w:ind w:right="0"/>
        <w:jc w:val="left"/>
        <w:rPr>
          <w:b w:val="0"/>
          <w:bCs w:val="0"/>
        </w:rPr>
      </w:pPr>
      <w:r>
        <w:rPr>
          <w:rFonts w:ascii="Times New Roman" w:hAnsi="Times New Roman" w:cs="Times New Roman" w:eastAsia="Times New Roman" w:hint="default"/>
        </w:rPr>
        <w:t>4</w:t>
      </w:r>
      <w:r>
        <w:rPr/>
        <w:t>、自资产重组报告书或收购出售资</w:t>
      </w:r>
      <w:bookmarkStart w:name="三、破产重整相关事项" w:id="42"/>
      <w:bookmarkEnd w:id="42"/>
      <w:r>
        <w:rPr/>
        <w:t>产公</w:t>
      </w:r>
      <w:r>
        <w:rPr/>
        <w:t>告刊登后，该</w:t>
      </w:r>
      <w:bookmarkStart w:name="四、资产交易事项" w:id="43"/>
      <w:bookmarkEnd w:id="43"/>
      <w:r>
        <w:rPr/>
        <w:t>事</w:t>
      </w:r>
      <w:r>
        <w:rPr/>
        <w:t>项</w:t>
      </w:r>
      <w:bookmarkStart w:name="1、收购资产情况" w:id="44"/>
      <w:bookmarkEnd w:id="44"/>
      <w:r>
        <w:rPr/>
        <w:t>的进</w:t>
      </w:r>
      <w:r>
        <w:rPr/>
        <w:t>展情况</w:t>
      </w:r>
      <w:bookmarkStart w:name="2、出售资产情况" w:id="45"/>
      <w:bookmarkEnd w:id="45"/>
      <w:r>
        <w:rPr/>
        <w:t>及对</w:t>
      </w:r>
      <w:r>
        <w:rPr/>
        <w:t>报告期经营成</w:t>
      </w:r>
      <w:bookmarkStart w:name="3、企业合并情况" w:id="46"/>
      <w:bookmarkEnd w:id="46"/>
      <w:r>
        <w:rPr/>
        <w:t>果</w:t>
      </w:r>
      <w:r>
        <w:rPr/>
        <w:t>与财务状况的</w:t>
      </w:r>
      <w:r>
        <w:rPr>
          <w:spacing w:val="-74"/>
        </w:rPr>
        <w:t> </w:t>
      </w:r>
      <w:r>
        <w:rPr>
          <w:spacing w:val="-74"/>
        </w:rPr>
      </w:r>
      <w:r>
        <w:rPr/>
        <w:t>影响</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0"/>
        <w:rPr>
          <w:rFonts w:ascii="宋体" w:hAnsi="宋体" w:cs="宋体" w:eastAsia="宋体" w:hint="default"/>
          <w:b/>
          <w:bCs/>
          <w:sz w:val="27"/>
          <w:szCs w:val="27"/>
        </w:rPr>
      </w:pPr>
    </w:p>
    <w:p>
      <w:pPr>
        <w:pStyle w:val="BodyText"/>
        <w:spacing w:line="319" w:lineRule="auto"/>
        <w:ind w:left="153" w:right="0" w:firstLine="420"/>
        <w:jc w:val="left"/>
      </w:pPr>
      <w:r>
        <w:rPr>
          <w:spacing w:val="-1"/>
        </w:rPr>
        <w:t>为进一步完善公司治理结构，建立、健全激励约束机制，将股东利益、公司利益和员工个人利益有效</w:t>
      </w:r>
      <w:r>
        <w:rPr/>
        <w:t> 结合起来，充分调动公司员工的积极性和创造性，公司于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月份启动了限制性股票激励计划，本次 限制性股票激励计划的标的股票来源为美亚柏科向激励对象定向发行人民币普通股股票。</w:t>
      </w:r>
    </w:p>
    <w:p>
      <w:pPr>
        <w:pStyle w:val="BodyText"/>
        <w:spacing w:line="240" w:lineRule="auto" w:before="150"/>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日，公司完成首次限制性股票的授予工作。授予日为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日，授予数量为</w:t>
      </w:r>
      <w:r>
        <w:rPr>
          <w:rFonts w:ascii="Times New Roman" w:hAnsi="Times New Roman" w:cs="Times New Roman" w:eastAsia="Times New Roman" w:hint="default"/>
        </w:rPr>
        <w:t>390.66</w:t>
      </w:r>
    </w:p>
    <w:p>
      <w:pPr>
        <w:pStyle w:val="BodyText"/>
        <w:spacing w:line="240" w:lineRule="auto" w:before="83"/>
        <w:ind w:left="153" w:right="0"/>
        <w:jc w:val="left"/>
      </w:pPr>
      <w:r>
        <w:rPr/>
        <w:t>万股，授予对象共</w:t>
      </w:r>
      <w:r>
        <w:rPr>
          <w:rFonts w:ascii="Times New Roman" w:hAnsi="Times New Roman" w:cs="Times New Roman" w:eastAsia="Times New Roman" w:hint="default"/>
        </w:rPr>
        <w:t>201</w:t>
      </w:r>
      <w:r>
        <w:rPr/>
        <w:t>名，授予价格为</w:t>
      </w:r>
      <w:r>
        <w:rPr>
          <w:rFonts w:ascii="Times New Roman" w:hAnsi="Times New Roman" w:cs="Times New Roman" w:eastAsia="Times New Roman" w:hint="default"/>
        </w:rPr>
        <w:t>8.58</w:t>
      </w:r>
      <w:r>
        <w:rPr/>
        <w:t>元</w:t>
      </w:r>
      <w:r>
        <w:rPr>
          <w:rFonts w:ascii="Times New Roman" w:hAnsi="Times New Roman" w:cs="Times New Roman" w:eastAsia="Times New Roman" w:hint="default"/>
        </w:rPr>
        <w:t>/</w:t>
      </w:r>
      <w:r>
        <w:rPr/>
        <w:t>股。</w:t>
      </w:r>
    </w:p>
    <w:p>
      <w:pPr>
        <w:spacing w:after="0" w:line="240" w:lineRule="auto"/>
        <w:jc w:val="left"/>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309" w:lineRule="auto" w:before="35"/>
        <w:ind w:left="153" w:right="105" w:firstLine="420"/>
        <w:jc w:val="left"/>
      </w:pPr>
      <w:r>
        <w:rPr/>
        <w:t>本计划有效期</w:t>
      </w:r>
      <w:r>
        <w:rPr>
          <w:rFonts w:ascii="Times New Roman" w:hAnsi="Times New Roman" w:cs="Times New Roman" w:eastAsia="Times New Roman" w:hint="default"/>
        </w:rPr>
        <w:t>4</w:t>
      </w:r>
      <w:r>
        <w:rPr/>
        <w:t>年，自限制性股票授予日起计，其中锁定期</w:t>
      </w:r>
      <w:r>
        <w:rPr>
          <w:rFonts w:ascii="Times New Roman" w:hAnsi="Times New Roman" w:cs="Times New Roman" w:eastAsia="Times New Roman" w:hint="default"/>
        </w:rPr>
        <w:t>1</w:t>
      </w:r>
      <w:r>
        <w:rPr/>
        <w:t>年，解锁期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1</w:t>
      </w:r>
      <w:r>
        <w:rPr/>
        <w:t>）自董事会确定的限 制性股票授予日起</w:t>
      </w:r>
      <w:r>
        <w:rPr>
          <w:rFonts w:ascii="Times New Roman" w:hAnsi="Times New Roman" w:cs="Times New Roman" w:eastAsia="Times New Roman" w:hint="default"/>
        </w:rPr>
        <w:t>12</w:t>
      </w:r>
      <w:r>
        <w:rPr/>
        <w:t>个月内为锁定期。在锁定期内，激励对象根据本计划获授的限制性股票予以锁定，不 得转让；（</w:t>
      </w:r>
      <w:r>
        <w:rPr>
          <w:rFonts w:ascii="Times New Roman" w:hAnsi="Times New Roman" w:cs="Times New Roman" w:eastAsia="Times New Roman" w:hint="default"/>
        </w:rPr>
        <w:t>2</w:t>
      </w:r>
      <w:r>
        <w:rPr/>
        <w:t>）自限制性股票激励计划授予日起</w:t>
      </w:r>
      <w:r>
        <w:rPr>
          <w:rFonts w:ascii="Times New Roman" w:hAnsi="Times New Roman" w:cs="Times New Roman" w:eastAsia="Times New Roman" w:hint="default"/>
        </w:rPr>
        <w:t>12</w:t>
      </w:r>
      <w:r>
        <w:rPr/>
        <w:t>个月后，满足解锁条件的，激励对象可以分三期申请解 锁，分别自授予日起</w:t>
      </w:r>
      <w:r>
        <w:rPr>
          <w:rFonts w:ascii="Times New Roman" w:hAnsi="Times New Roman" w:cs="Times New Roman" w:eastAsia="Times New Roman" w:hint="default"/>
        </w:rPr>
        <w:t>12</w:t>
      </w:r>
      <w:r>
        <w:rPr/>
        <w:t>个月后、</w:t>
      </w:r>
      <w:r>
        <w:rPr>
          <w:rFonts w:ascii="Times New Roman" w:hAnsi="Times New Roman" w:cs="Times New Roman" w:eastAsia="Times New Roman" w:hint="default"/>
        </w:rPr>
        <w:t>24</w:t>
      </w:r>
      <w:r>
        <w:rPr/>
        <w:t>个月后及</w:t>
      </w:r>
      <w:r>
        <w:rPr>
          <w:rFonts w:ascii="Times New Roman" w:hAnsi="Times New Roman" w:cs="Times New Roman" w:eastAsia="Times New Roman" w:hint="default"/>
        </w:rPr>
        <w:t>36</w:t>
      </w:r>
      <w:r>
        <w:rPr/>
        <w:t>个月后分别申请解锁所获授限制性股票总量的</w:t>
      </w:r>
      <w:r>
        <w:rPr>
          <w:rFonts w:ascii="Times New Roman" w:hAnsi="Times New Roman" w:cs="Times New Roman" w:eastAsia="Times New Roman" w:hint="default"/>
        </w:rPr>
        <w:t>40%</w:t>
      </w:r>
      <w:r>
        <w:rPr/>
        <w:t>、</w:t>
      </w:r>
      <w:r>
        <w:rPr>
          <w:rFonts w:ascii="Times New Roman" w:hAnsi="Times New Roman" w:cs="Times New Roman" w:eastAsia="Times New Roman" w:hint="default"/>
        </w:rPr>
        <w:t>30%</w:t>
      </w:r>
      <w:r>
        <w:rPr/>
        <w:t>、 </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w:t>
      </w:r>
      <w:r>
        <w:rPr>
          <w:spacing w:val="-2"/>
        </w:rPr>
        <w:t>）解锁条件对于按照本股权激励计划授予的限制性股票，激励对象每一次申请标的股票解锁的公</w:t>
      </w:r>
      <w:r>
        <w:rPr>
          <w:spacing w:val="-103"/>
        </w:rPr>
        <w:t> </w:t>
      </w:r>
      <w:r>
        <w:rPr>
          <w:spacing w:val="-103"/>
        </w:rPr>
      </w:r>
      <w:r>
        <w:rPr>
          <w:spacing w:val="-6"/>
        </w:rPr>
        <w:t>司业绩条件为：（</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2012  </w:t>
      </w:r>
      <w:r>
        <w:rPr>
          <w:spacing w:val="-5"/>
        </w:rPr>
        <w:t>年、</w:t>
      </w:r>
      <w:r>
        <w:rPr>
          <w:rFonts w:ascii="Times New Roman" w:hAnsi="Times New Roman" w:cs="Times New Roman" w:eastAsia="Times New Roman" w:hint="default"/>
          <w:spacing w:val="-5"/>
        </w:rPr>
        <w:t>2013  </w:t>
      </w:r>
      <w:r>
        <w:rPr>
          <w:spacing w:val="-5"/>
        </w:rPr>
        <w:t>年、</w:t>
      </w:r>
      <w:r>
        <w:rPr>
          <w:rFonts w:ascii="Times New Roman" w:hAnsi="Times New Roman" w:cs="Times New Roman" w:eastAsia="Times New Roman" w:hint="default"/>
          <w:spacing w:val="-5"/>
        </w:rPr>
        <w:t>2014  </w:t>
      </w:r>
      <w:r>
        <w:rPr/>
        <w:t>年公司加权平均净资产收益率分别不低于</w:t>
      </w:r>
      <w:r>
        <w:rPr>
          <w:spacing w:val="48"/>
        </w:rPr>
        <w:t> </w:t>
      </w:r>
      <w:r>
        <w:rPr>
          <w:rFonts w:ascii="Times New Roman" w:hAnsi="Times New Roman" w:cs="Times New Roman" w:eastAsia="Times New Roman" w:hint="default"/>
          <w:spacing w:val="-6"/>
        </w:rPr>
        <w:t>8%</w:t>
      </w:r>
      <w:r>
        <w:rPr>
          <w:spacing w:val="-6"/>
        </w:rPr>
        <w:t>、</w:t>
      </w:r>
      <w:r>
        <w:rPr>
          <w:rFonts w:ascii="Times New Roman" w:hAnsi="Times New Roman" w:cs="Times New Roman" w:eastAsia="Times New Roman" w:hint="default"/>
          <w:spacing w:val="-6"/>
        </w:rPr>
        <w:t>8.5%</w:t>
      </w:r>
      <w:r>
        <w:rPr>
          <w:spacing w:val="-6"/>
        </w:rPr>
        <w:t>、</w:t>
      </w:r>
      <w:r>
        <w:rPr>
          <w:rFonts w:ascii="Times New Roman" w:hAnsi="Times New Roman" w:cs="Times New Roman" w:eastAsia="Times New Roman" w:hint="default"/>
          <w:spacing w:val="-6"/>
        </w:rPr>
        <w:t>9%</w:t>
      </w:r>
      <w:r>
        <w:rPr>
          <w:spacing w:val="-6"/>
        </w:rPr>
        <w:t>；</w:t>
      </w:r>
    </w:p>
    <w:p>
      <w:pPr>
        <w:pStyle w:val="BodyText"/>
        <w:spacing w:line="240" w:lineRule="auto" w:before="16"/>
        <w:ind w:left="153" w:right="0"/>
        <w:jc w:val="left"/>
      </w:pPr>
      <w:r>
        <w:rPr/>
        <w:t>（</w:t>
      </w:r>
      <w:r>
        <w:rPr>
          <w:rFonts w:ascii="Times New Roman" w:hAnsi="Times New Roman" w:cs="Times New Roman" w:eastAsia="Times New Roman" w:hint="default"/>
        </w:rPr>
        <w:t>2</w:t>
      </w:r>
      <w:r>
        <w:rPr>
          <w:spacing w:val="-103"/>
        </w:rPr>
        <w:t>）</w:t>
      </w:r>
      <w:r>
        <w:rPr/>
        <w:t>以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1  </w:t>
      </w:r>
      <w:r>
        <w:rPr/>
        <w:t>年度净利</w:t>
      </w:r>
      <w:r>
        <w:rPr>
          <w:spacing w:val="-2"/>
        </w:rPr>
        <w:t>润</w:t>
      </w:r>
      <w:r>
        <w:rPr/>
        <w:t>为基数</w:t>
      </w:r>
      <w:r>
        <w:rPr>
          <w:spacing w:val="-102"/>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年</w:t>
      </w:r>
      <w:r>
        <w:rPr>
          <w:spacing w:val="-103"/>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13  </w:t>
      </w:r>
      <w:r>
        <w:rPr>
          <w:spacing w:val="-2"/>
        </w:rPr>
        <w:t>年</w:t>
      </w:r>
      <w:r>
        <w:rPr>
          <w:spacing w:val="-102"/>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4 </w:t>
      </w:r>
      <w:r>
        <w:rPr>
          <w:rFonts w:ascii="Times New Roman" w:hAnsi="Times New Roman" w:cs="Times New Roman" w:eastAsia="Times New Roman" w:hint="default"/>
          <w:spacing w:val="1"/>
        </w:rPr>
        <w:t> </w:t>
      </w:r>
      <w:r>
        <w:rPr/>
        <w:t>年</w:t>
      </w:r>
      <w:r>
        <w:rPr>
          <w:spacing w:val="-2"/>
        </w:rPr>
        <w:t>公</w:t>
      </w:r>
      <w:r>
        <w:rPr/>
        <w:t>司每年净利润不低于基准年净利润的</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t>、</w:t>
      </w:r>
    </w:p>
    <w:p>
      <w:pPr>
        <w:pStyle w:val="BodyText"/>
        <w:spacing w:line="240" w:lineRule="auto" w:before="83"/>
        <w:ind w:left="153" w:right="0"/>
        <w:jc w:val="left"/>
      </w:pPr>
      <w:r>
        <w:rPr>
          <w:rFonts w:ascii="Times New Roman" w:hAnsi="Times New Roman" w:cs="Times New Roman" w:eastAsia="Times New Roman" w:hint="default"/>
        </w:rPr>
        <w:t>140%</w:t>
      </w:r>
      <w:r>
        <w:rPr/>
        <w:t>、</w:t>
      </w:r>
      <w:r>
        <w:rPr>
          <w:rFonts w:ascii="Times New Roman" w:hAnsi="Times New Roman" w:cs="Times New Roman" w:eastAsia="Times New Roman" w:hint="default"/>
        </w:rPr>
        <w:t>160%</w:t>
      </w:r>
      <w:r>
        <w:rPr/>
        <w:t>。</w:t>
      </w:r>
    </w:p>
    <w:p>
      <w:pPr>
        <w:pStyle w:val="Heading4"/>
        <w:spacing w:line="240" w:lineRule="auto" w:before="173"/>
        <w:ind w:right="0"/>
        <w:jc w:val="left"/>
        <w:rPr>
          <w:b w:val="0"/>
          <w:bCs w:val="0"/>
        </w:rPr>
      </w:pPr>
      <w:r>
        <w:rPr/>
        <w:t>公司限制性股票授予后至本报告披露日的实施进展情况如下：</w:t>
      </w:r>
      <w:r>
        <w:rPr>
          <w:b w:val="0"/>
          <w:bCs w:val="0"/>
        </w:rPr>
      </w:r>
    </w:p>
    <w:p>
      <w:pPr>
        <w:spacing w:line="240" w:lineRule="auto" w:before="4"/>
        <w:rPr>
          <w:rFonts w:ascii="宋体" w:hAnsi="宋体" w:cs="宋体" w:eastAsia="宋体" w:hint="default"/>
          <w:b/>
          <w:bCs/>
          <w:sz w:val="14"/>
          <w:szCs w:val="14"/>
        </w:rPr>
      </w:pPr>
    </w:p>
    <w:p>
      <w:pPr>
        <w:pStyle w:val="BodyText"/>
        <w:spacing w:line="319" w:lineRule="auto"/>
        <w:ind w:right="114"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日，公司第二届董事会第三次（临时）会议审议通过了《关于回购注销已不符合激 励条件的原激励对象已获授的限制性股票的议案》，公司原激励对象胡荣因离职已不符合激励条件，公司 董事会决定将其已获授但未解锁的全部限制性股票</w:t>
      </w:r>
      <w:r>
        <w:rPr>
          <w:rFonts w:ascii="Times New Roman" w:hAnsi="Times New Roman" w:cs="Times New Roman" w:eastAsia="Times New Roman" w:hint="default"/>
        </w:rPr>
        <w:t>1.4</w:t>
      </w:r>
      <w:r>
        <w:rPr/>
        <w:t>万股进行回购注销，回购价格为授予价格</w:t>
      </w:r>
      <w:r>
        <w:rPr>
          <w:rFonts w:ascii="Times New Roman" w:hAnsi="Times New Roman" w:cs="Times New Roman" w:eastAsia="Times New Roman" w:hint="default"/>
        </w:rPr>
        <w:t>8.58</w:t>
      </w:r>
      <w:r>
        <w:rPr/>
        <w:t>元</w:t>
      </w:r>
      <w:r>
        <w:rPr>
          <w:rFonts w:ascii="Times New Roman" w:hAnsi="Times New Roman" w:cs="Times New Roman" w:eastAsia="Times New Roman" w:hint="default"/>
        </w:rPr>
        <w:t>/</w:t>
      </w:r>
      <w:r>
        <w:rPr/>
        <w:t>股。</w:t>
      </w:r>
    </w:p>
    <w:p>
      <w:pPr>
        <w:pStyle w:val="BodyText"/>
        <w:spacing w:line="319" w:lineRule="auto" w:before="127"/>
        <w:ind w:right="211" w:firstLine="42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27</w:t>
      </w:r>
      <w:r>
        <w:rPr>
          <w:spacing w:val="-1"/>
        </w:rPr>
        <w:t>日，公司第二届董事会第七次（临时）会议审议通过了《关于回购注销已不符合激励</w:t>
      </w:r>
      <w:r>
        <w:rPr/>
        <w:t> </w:t>
      </w:r>
      <w:r>
        <w:rPr>
          <w:spacing w:val="-1"/>
        </w:rPr>
        <w:t>条件的原激励对象已获授的限制性股票的议案》，公司原激励对象苏玉海因离职已不符合激励条件，公司</w:t>
      </w:r>
      <w:r>
        <w:rPr>
          <w:spacing w:val="-83"/>
        </w:rPr>
        <w:t> </w:t>
      </w:r>
      <w:r>
        <w:rPr>
          <w:spacing w:val="-83"/>
        </w:rPr>
      </w:r>
      <w:r>
        <w:rPr/>
        <w:t>董事会决定将其已获授但未解锁的全部限制性股票</w:t>
      </w:r>
      <w:r>
        <w:rPr>
          <w:rFonts w:ascii="Times New Roman" w:hAnsi="Times New Roman" w:cs="Times New Roman" w:eastAsia="Times New Roman" w:hint="default"/>
        </w:rPr>
        <w:t>3.2</w:t>
      </w:r>
      <w:r>
        <w:rPr/>
        <w:t>万股进行回购注销，回购价格为</w:t>
      </w:r>
      <w:r>
        <w:rPr>
          <w:rFonts w:ascii="Times New Roman" w:hAnsi="Times New Roman" w:cs="Times New Roman" w:eastAsia="Times New Roman" w:hint="default"/>
        </w:rPr>
        <w:t>4.215</w:t>
      </w:r>
      <w:r>
        <w:rPr/>
        <w:t>元</w:t>
      </w:r>
      <w:r>
        <w:rPr>
          <w:rFonts w:ascii="Times New Roman" w:hAnsi="Times New Roman" w:cs="Times New Roman" w:eastAsia="Times New Roman" w:hint="default"/>
        </w:rPr>
        <w:t>/</w:t>
      </w:r>
      <w:r>
        <w:rPr/>
        <w:t>股。</w:t>
      </w:r>
    </w:p>
    <w:p>
      <w:pPr>
        <w:pStyle w:val="BodyText"/>
        <w:spacing w:line="309" w:lineRule="auto" w:before="127"/>
        <w:ind w:right="0" w:firstLine="42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11</w:t>
      </w:r>
      <w:r>
        <w:rPr>
          <w:spacing w:val="-1"/>
        </w:rPr>
        <w:t>日，公司第二届董事会第八次（临时）会议审议通过了《关于第一期限制性股票解锁</w:t>
      </w:r>
      <w:r>
        <w:rPr/>
        <w:t> 的议案》，本次符合解锁条件的激励对象共计</w:t>
      </w:r>
      <w:r>
        <w:rPr>
          <w:rFonts w:ascii="Times New Roman" w:hAnsi="Times New Roman" w:cs="Times New Roman" w:eastAsia="Times New Roman" w:hint="default"/>
        </w:rPr>
        <w:t>199</w:t>
      </w:r>
      <w:r>
        <w:rPr/>
        <w:t>人，可申请解锁的限制性股票数量为</w:t>
      </w:r>
      <w:r>
        <w:rPr>
          <w:rFonts w:ascii="Times New Roman" w:hAnsi="Times New Roman" w:cs="Times New Roman" w:eastAsia="Times New Roman" w:hint="default"/>
        </w:rPr>
        <w:t>310.128</w:t>
      </w:r>
      <w:r>
        <w:rPr/>
        <w:t>万股，占股 权激励授予限制性股票总数的</w:t>
      </w:r>
      <w:r>
        <w:rPr>
          <w:rFonts w:ascii="Times New Roman" w:hAnsi="Times New Roman" w:cs="Times New Roman" w:eastAsia="Times New Roman" w:hint="default"/>
        </w:rPr>
        <w:t>40%</w:t>
      </w:r>
      <w:r>
        <w:rPr/>
        <w:t>，占公司股本总额的</w:t>
      </w:r>
      <w:r>
        <w:rPr>
          <w:rFonts w:ascii="Times New Roman" w:hAnsi="Times New Roman" w:cs="Times New Roman" w:eastAsia="Times New Roman" w:hint="default"/>
        </w:rPr>
        <w:t>1.40%</w:t>
      </w:r>
      <w:r>
        <w:rPr/>
        <w:t>。其中，可上市流通的限制性股票数量为 </w:t>
      </w:r>
      <w:r>
        <w:rPr>
          <w:rFonts w:ascii="Times New Roman" w:hAnsi="Times New Roman" w:cs="Times New Roman" w:eastAsia="Times New Roman" w:hint="default"/>
        </w:rPr>
        <w:t>305.328</w:t>
      </w:r>
      <w:r>
        <w:rPr/>
        <w:t>万股，上市流通日为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w:t>
      </w:r>
    </w:p>
    <w:p>
      <w:pPr>
        <w:pStyle w:val="BodyText"/>
        <w:spacing w:line="314" w:lineRule="auto" w:before="136"/>
        <w:ind w:left="153" w:right="173" w:firstLine="42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日，公司第二届董事会第十三次（临时）会议审议通过了《关于回购注销已不符合激 励条件的原激励对象已获授尚未解锁的限制性股票的议案》，决定将已从公司辞职的原激励对象王雄科、 </w:t>
      </w:r>
      <w:r>
        <w:rPr>
          <w:spacing w:val="-2"/>
        </w:rPr>
        <w:t>王志君、王迪、陈健洋、郑汉军、陈洵鑫等</w:t>
      </w:r>
      <w:r>
        <w:rPr>
          <w:rFonts w:ascii="Times New Roman" w:hAnsi="Times New Roman" w:cs="Times New Roman" w:eastAsia="Times New Roman" w:hint="default"/>
          <w:spacing w:val="-2"/>
        </w:rPr>
        <w:t>6</w:t>
      </w:r>
      <w:r>
        <w:rPr>
          <w:spacing w:val="-2"/>
        </w:rPr>
        <w:t>人已获授但尚未解锁的限制性股票共计</w:t>
      </w:r>
      <w:r>
        <w:rPr>
          <w:rFonts w:ascii="Times New Roman" w:hAnsi="Times New Roman" w:cs="Times New Roman" w:eastAsia="Times New Roman" w:hint="default"/>
          <w:spacing w:val="-2"/>
        </w:rPr>
        <w:t>46,800</w:t>
      </w:r>
      <w:r>
        <w:rPr>
          <w:spacing w:val="-2"/>
        </w:rPr>
        <w:t>股（占其已获授</w:t>
      </w:r>
      <w:r>
        <w:rPr>
          <w:spacing w:val="-87"/>
        </w:rPr>
        <w:t> </w:t>
      </w:r>
      <w:r>
        <w:rPr>
          <w:spacing w:val="-87"/>
        </w:rPr>
      </w:r>
      <w:r>
        <w:rPr/>
        <w:t>限制性股票总数的</w:t>
      </w:r>
      <w:r>
        <w:rPr>
          <w:rFonts w:ascii="Times New Roman" w:hAnsi="Times New Roman" w:cs="Times New Roman" w:eastAsia="Times New Roman" w:hint="default"/>
        </w:rPr>
        <w:t>60%</w:t>
      </w:r>
      <w:r>
        <w:rPr/>
        <w:t>）进行回购注销，回购价格每股</w:t>
      </w:r>
      <w:r>
        <w:rPr>
          <w:rFonts w:ascii="Times New Roman" w:hAnsi="Times New Roman" w:cs="Times New Roman" w:eastAsia="Times New Roman" w:hint="default"/>
        </w:rPr>
        <w:t>4.215</w:t>
      </w:r>
      <w:r>
        <w:rPr/>
        <w:t>元，回购总金额</w:t>
      </w:r>
      <w:r>
        <w:rPr>
          <w:rFonts w:ascii="Times New Roman" w:hAnsi="Times New Roman" w:cs="Times New Roman" w:eastAsia="Times New Roman" w:hint="default"/>
        </w:rPr>
        <w:t>197,262</w:t>
      </w:r>
      <w:r>
        <w:rPr/>
        <w:t>元。</w:t>
      </w:r>
    </w:p>
    <w:p>
      <w:pPr>
        <w:pStyle w:val="BodyText"/>
        <w:spacing w:line="309" w:lineRule="auto" w:before="131"/>
        <w:ind w:left="153" w:right="0" w:firstLine="420"/>
        <w:jc w:val="left"/>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16</w:t>
      </w:r>
      <w:r>
        <w:rPr>
          <w:spacing w:val="-1"/>
        </w:rPr>
        <w:t>日，公司在中国证券登记结算有限责任公司深圳分公司办理完成了上述已离职的原激</w:t>
      </w:r>
      <w:r>
        <w:rPr/>
        <w:t> 励对象胡荣、苏玉海、王雄科等</w:t>
      </w:r>
      <w:r>
        <w:rPr>
          <w:rFonts w:ascii="Times New Roman" w:hAnsi="Times New Roman" w:cs="Times New Roman" w:eastAsia="Times New Roman" w:hint="default"/>
        </w:rPr>
        <w:t>8</w:t>
      </w:r>
      <w:r>
        <w:rPr/>
        <w:t>人已授予尚未解锁的限制性股票的回购注销手续，回购注销的股票数量 共计为</w:t>
      </w:r>
      <w:r>
        <w:rPr>
          <w:rFonts w:ascii="Times New Roman" w:hAnsi="Times New Roman" w:cs="Times New Roman" w:eastAsia="Times New Roman" w:hint="default"/>
        </w:rPr>
        <w:t>10.68</w:t>
      </w:r>
      <w:r>
        <w:rPr/>
        <w:t>万股，回购价格为</w:t>
      </w:r>
      <w:r>
        <w:rPr>
          <w:rFonts w:ascii="Times New Roman" w:hAnsi="Times New Roman" w:cs="Times New Roman" w:eastAsia="Times New Roman" w:hint="default"/>
        </w:rPr>
        <w:t>4.215</w:t>
      </w:r>
      <w:r>
        <w:rPr/>
        <w:t>元</w:t>
      </w:r>
      <w:r>
        <w:rPr>
          <w:rFonts w:ascii="Times New Roman" w:hAnsi="Times New Roman" w:cs="Times New Roman" w:eastAsia="Times New Roman" w:hint="default"/>
        </w:rPr>
        <w:t>/</w:t>
      </w:r>
      <w:r>
        <w:rPr/>
        <w:t>股。</w:t>
      </w:r>
    </w:p>
    <w:p>
      <w:pPr>
        <w:pStyle w:val="BodyText"/>
        <w:spacing w:line="309" w:lineRule="auto" w:before="136"/>
        <w:ind w:left="153" w:right="205" w:firstLine="420"/>
        <w:jc w:val="left"/>
      </w:pP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22</w:t>
      </w:r>
      <w:r>
        <w:rPr>
          <w:spacing w:val="-1"/>
        </w:rPr>
        <w:t>日，公司第二届董事会第十七次（临时）会议审议通过了《关于回购注销已不符合激</w:t>
      </w:r>
      <w:r>
        <w:rPr/>
        <w:t> 励条件的原激励对象已获授尚未解锁的限制性股票的议案》，决定将已从公司辞职的原激励对象卓婧等</w:t>
      </w:r>
      <w:r>
        <w:rPr>
          <w:rFonts w:ascii="Times New Roman" w:hAnsi="Times New Roman" w:cs="Times New Roman" w:eastAsia="Times New Roman" w:hint="default"/>
        </w:rPr>
        <w:t>9 </w:t>
      </w:r>
      <w:r>
        <w:rPr>
          <w:spacing w:val="-1"/>
        </w:rPr>
        <w:t>人已获授但尚未解锁的限制性股票共计</w:t>
      </w:r>
      <w:r>
        <w:rPr>
          <w:rFonts w:ascii="Times New Roman" w:hAnsi="Times New Roman" w:cs="Times New Roman" w:eastAsia="Times New Roman" w:hint="default"/>
          <w:spacing w:val="-1"/>
        </w:rPr>
        <w:t>12.48</w:t>
      </w:r>
      <w:r>
        <w:rPr>
          <w:spacing w:val="-1"/>
        </w:rPr>
        <w:t>万股（占其已获授限制性股票总数的</w:t>
      </w:r>
      <w:r>
        <w:rPr>
          <w:rFonts w:ascii="Times New Roman" w:hAnsi="Times New Roman" w:cs="Times New Roman" w:eastAsia="Times New Roman" w:hint="default"/>
          <w:spacing w:val="-1"/>
        </w:rPr>
        <w:t>60%</w:t>
      </w:r>
      <w:r>
        <w:rPr>
          <w:spacing w:val="-1"/>
        </w:rPr>
        <w:t>）进行回购注销，回</w:t>
      </w:r>
      <w:r>
        <w:rPr>
          <w:spacing w:val="-103"/>
        </w:rPr>
        <w:t> </w:t>
      </w:r>
      <w:r>
        <w:rPr>
          <w:spacing w:val="-103"/>
        </w:rPr>
      </w:r>
      <w:r>
        <w:rPr/>
        <w:t>购价格每股</w:t>
      </w:r>
      <w:r>
        <w:rPr>
          <w:rFonts w:ascii="Times New Roman" w:hAnsi="Times New Roman" w:cs="Times New Roman" w:eastAsia="Times New Roman" w:hint="default"/>
        </w:rPr>
        <w:t>4.185</w:t>
      </w:r>
      <w:r>
        <w:rPr/>
        <w:t>元，回购总金额</w:t>
      </w:r>
      <w:r>
        <w:rPr>
          <w:rFonts w:ascii="Times New Roman" w:hAnsi="Times New Roman" w:cs="Times New Roman" w:eastAsia="Times New Roman" w:hint="default"/>
        </w:rPr>
        <w:t>522,288</w:t>
      </w:r>
      <w:r>
        <w:rPr/>
        <w:t>元。本次回购的限制性股票于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日在中国证券登记结 算有限责任公司深圳分公司完成注销手续。</w:t>
      </w:r>
    </w:p>
    <w:p>
      <w:pPr>
        <w:pStyle w:val="BodyText"/>
        <w:spacing w:line="309" w:lineRule="auto" w:before="158"/>
        <w:ind w:left="153" w:right="278" w:firstLine="420"/>
        <w:jc w:val="left"/>
      </w:pPr>
      <w:r>
        <w:rPr/>
        <w:t>根据《企业会计准则第</w:t>
      </w:r>
      <w:r>
        <w:rPr>
          <w:rFonts w:ascii="Times New Roman" w:hAnsi="Times New Roman" w:cs="Times New Roman" w:eastAsia="Times New Roman" w:hint="default"/>
        </w:rPr>
        <w:t>11</w:t>
      </w:r>
      <w:r>
        <w:rPr/>
        <w:t>号股份支付》和《股权激励有关事项备忘录</w:t>
      </w:r>
      <w:r>
        <w:rPr>
          <w:rFonts w:ascii="Times New Roman" w:hAnsi="Times New Roman" w:cs="Times New Roman" w:eastAsia="Times New Roman" w:hint="default"/>
        </w:rPr>
        <w:t>3</w:t>
      </w:r>
      <w:r>
        <w:rPr/>
        <w:t>号》的规定，报告期内，公司 合计确认了限制性股票激励成本</w:t>
      </w:r>
      <w:r>
        <w:rPr>
          <w:rFonts w:ascii="Times New Roman" w:hAnsi="Times New Roman" w:cs="Times New Roman" w:eastAsia="Times New Roman" w:hint="default"/>
        </w:rPr>
        <w:t>208.89</w:t>
      </w:r>
      <w:r>
        <w:rPr/>
        <w:t>万元。</w:t>
      </w:r>
    </w:p>
    <w:p>
      <w:pPr>
        <w:pStyle w:val="Heading4"/>
        <w:spacing w:line="240" w:lineRule="auto" w:before="106"/>
        <w:ind w:right="0"/>
        <w:jc w:val="left"/>
        <w:rPr>
          <w:b w:val="0"/>
          <w:bCs w:val="0"/>
        </w:rPr>
      </w:pPr>
      <w:r>
        <w:rPr/>
        <w:t>股权激励主要事项临时报告披露网站查询：</w:t>
      </w:r>
      <w:r>
        <w:rPr>
          <w:b w:val="0"/>
          <w:bCs w:val="0"/>
        </w:rPr>
      </w:r>
    </w:p>
    <w:p>
      <w:pPr>
        <w:spacing w:after="0" w:line="240" w:lineRule="auto"/>
        <w:jc w:val="left"/>
        <w:sectPr>
          <w:pgSz w:w="11910" w:h="16840"/>
          <w:pgMar w:header="747" w:footer="980" w:top="1060" w:bottom="1180" w:left="980" w:right="920"/>
        </w:sectPr>
      </w:pPr>
    </w:p>
    <w:p>
      <w:pPr>
        <w:spacing w:line="240" w:lineRule="auto" w:before="12"/>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6521"/>
        <w:gridCol w:w="1277"/>
        <w:gridCol w:w="1771"/>
      </w:tblGrid>
      <w:tr>
        <w:trPr>
          <w:trHeight w:val="733" w:hRule="exact"/>
        </w:trPr>
        <w:tc>
          <w:tcPr>
            <w:tcW w:w="6521"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27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6"/>
              <w:ind w:left="451" w:right="89" w:hanging="360"/>
              <w:jc w:val="left"/>
              <w:rPr>
                <w:rFonts w:ascii="宋体" w:hAnsi="宋体" w:cs="宋体" w:eastAsia="宋体" w:hint="default"/>
                <w:sz w:val="18"/>
                <w:szCs w:val="18"/>
              </w:rPr>
            </w:pPr>
            <w:r>
              <w:rPr>
                <w:rFonts w:ascii="宋体" w:hAnsi="宋体" w:cs="宋体" w:eastAsia="宋体" w:hint="default"/>
                <w:sz w:val="18"/>
                <w:szCs w:val="18"/>
              </w:rPr>
              <w:t>临时公告披露 日期</w:t>
            </w:r>
          </w:p>
        </w:tc>
        <w:tc>
          <w:tcPr>
            <w:tcW w:w="1771"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428"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hyperlink r:id="rId14">
              <w:r>
                <w:rPr>
                  <w:rFonts w:ascii="宋体" w:hAnsi="宋体" w:cs="宋体" w:eastAsia="宋体" w:hint="default"/>
                  <w:sz w:val="18"/>
                  <w:szCs w:val="18"/>
                </w:rPr>
                <w:t>限制性股票激励计划（草案）</w:t>
              </w:r>
            </w:hyperlink>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 w:right="0"/>
              <w:jc w:val="left"/>
              <w:rPr>
                <w:rFonts w:ascii="Times New Roman" w:hAnsi="Times New Roman" w:cs="Times New Roman" w:eastAsia="Times New Roman" w:hint="default"/>
                <w:sz w:val="18"/>
                <w:szCs w:val="18"/>
              </w:rPr>
            </w:pPr>
            <w:r>
              <w:rPr>
                <w:rFonts w:ascii="Times New Roman"/>
                <w:sz w:val="18"/>
              </w:rPr>
              <w:t>2012-01-20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6"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hyperlink r:id="rId15">
              <w:r>
                <w:rPr>
                  <w:rFonts w:ascii="宋体" w:hAnsi="宋体" w:cs="宋体" w:eastAsia="宋体" w:hint="default"/>
                  <w:sz w:val="18"/>
                  <w:szCs w:val="18"/>
                </w:rPr>
                <w:t>限制性股票激励计划激励对象名单</w:t>
              </w:r>
            </w:hyperlink>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11" w:right="0"/>
              <w:jc w:val="left"/>
              <w:rPr>
                <w:rFonts w:ascii="Times New Roman" w:hAnsi="Times New Roman" w:cs="Times New Roman" w:eastAsia="Times New Roman" w:hint="default"/>
                <w:sz w:val="18"/>
                <w:szCs w:val="18"/>
              </w:rPr>
            </w:pPr>
            <w:r>
              <w:rPr>
                <w:rFonts w:ascii="Times New Roman"/>
                <w:sz w:val="18"/>
              </w:rPr>
              <w:t>2012-01-20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hyperlink r:id="rId16">
              <w:r>
                <w:rPr>
                  <w:rFonts w:ascii="宋体" w:hAnsi="宋体" w:cs="宋体" w:eastAsia="宋体" w:hint="default"/>
                  <w:sz w:val="18"/>
                  <w:szCs w:val="18"/>
                </w:rPr>
                <w:t>限制性股票激励计划实施考核管理办法（</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hyperlink>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 w:right="0"/>
              <w:jc w:val="left"/>
              <w:rPr>
                <w:rFonts w:ascii="Times New Roman" w:hAnsi="Times New Roman" w:cs="Times New Roman" w:eastAsia="Times New Roman" w:hint="default"/>
                <w:sz w:val="18"/>
                <w:szCs w:val="18"/>
              </w:rPr>
            </w:pPr>
            <w:r>
              <w:rPr>
                <w:rFonts w:ascii="Times New Roman"/>
                <w:sz w:val="18"/>
              </w:rPr>
              <w:t>2012-01-20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hyperlink r:id="rId17">
              <w:r>
                <w:rPr>
                  <w:rFonts w:ascii="宋体" w:hAnsi="宋体" w:cs="宋体" w:eastAsia="宋体" w:hint="default"/>
                  <w:sz w:val="18"/>
                  <w:szCs w:val="18"/>
                </w:rPr>
                <w:t>限制性股票激励计划（草案修订稿）</w:t>
              </w:r>
            </w:hyperlink>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 w:right="0"/>
              <w:jc w:val="left"/>
              <w:rPr>
                <w:rFonts w:ascii="Times New Roman" w:hAnsi="Times New Roman" w:cs="Times New Roman" w:eastAsia="Times New Roman" w:hint="default"/>
                <w:sz w:val="18"/>
                <w:szCs w:val="18"/>
              </w:rPr>
            </w:pPr>
            <w:r>
              <w:rPr>
                <w:rFonts w:ascii="Times New Roman"/>
                <w:sz w:val="18"/>
              </w:rPr>
              <w:t>2012-05-30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hyperlink r:id="rId18">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年第一次临时股东大会的法律意见书</w:t>
              </w:r>
            </w:hyperlink>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 w:right="0"/>
              <w:jc w:val="left"/>
              <w:rPr>
                <w:rFonts w:ascii="Times New Roman" w:hAnsi="Times New Roman" w:cs="Times New Roman" w:eastAsia="Times New Roman" w:hint="default"/>
                <w:sz w:val="18"/>
                <w:szCs w:val="18"/>
              </w:rPr>
            </w:pPr>
            <w:r>
              <w:rPr>
                <w:rFonts w:ascii="Times New Roman"/>
                <w:sz w:val="18"/>
              </w:rPr>
              <w:t>2012-06-16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hyperlink r:id="rId19">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年第一次临时股东大会决议公告</w:t>
              </w:r>
            </w:hyperlink>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 w:right="0"/>
              <w:jc w:val="left"/>
              <w:rPr>
                <w:rFonts w:ascii="Times New Roman" w:hAnsi="Times New Roman" w:cs="Times New Roman" w:eastAsia="Times New Roman" w:hint="default"/>
                <w:sz w:val="18"/>
                <w:szCs w:val="18"/>
              </w:rPr>
            </w:pPr>
            <w:r>
              <w:rPr>
                <w:rFonts w:ascii="Times New Roman"/>
                <w:sz w:val="18"/>
              </w:rPr>
              <w:t>2012-06-16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hyperlink r:id="rId20">
              <w:r>
                <w:rPr>
                  <w:rFonts w:ascii="宋体" w:hAnsi="宋体" w:cs="宋体" w:eastAsia="宋体" w:hint="default"/>
                  <w:sz w:val="18"/>
                  <w:szCs w:val="18"/>
                </w:rPr>
                <w:t>董事会关于限制性股票授予相关事项的公告</w:t>
              </w:r>
            </w:hyperlink>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 w:right="0"/>
              <w:jc w:val="left"/>
              <w:rPr>
                <w:rFonts w:ascii="Times New Roman" w:hAnsi="Times New Roman" w:cs="Times New Roman" w:eastAsia="Times New Roman" w:hint="default"/>
                <w:sz w:val="18"/>
                <w:szCs w:val="18"/>
              </w:rPr>
            </w:pPr>
            <w:r>
              <w:rPr>
                <w:rFonts w:ascii="Times New Roman"/>
                <w:sz w:val="18"/>
              </w:rPr>
              <w:t>2012-07-12</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6"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hyperlink r:id="rId21">
              <w:r>
                <w:rPr>
                  <w:rFonts w:ascii="宋体" w:hAnsi="宋体" w:cs="宋体" w:eastAsia="宋体" w:hint="default"/>
                  <w:sz w:val="18"/>
                  <w:szCs w:val="18"/>
                </w:rPr>
                <w:t>关于调整限制性股票激励对象、授予数量及授予价格的公告</w:t>
              </w:r>
            </w:hyperlink>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11" w:right="0"/>
              <w:jc w:val="left"/>
              <w:rPr>
                <w:rFonts w:ascii="Times New Roman" w:hAnsi="Times New Roman" w:cs="Times New Roman" w:eastAsia="Times New Roman" w:hint="default"/>
                <w:sz w:val="18"/>
                <w:szCs w:val="18"/>
              </w:rPr>
            </w:pPr>
            <w:r>
              <w:rPr>
                <w:rFonts w:ascii="Times New Roman"/>
                <w:sz w:val="18"/>
              </w:rPr>
              <w:t>2012-07-12</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hyperlink r:id="rId22">
              <w:r>
                <w:rPr>
                  <w:rFonts w:ascii="宋体" w:hAnsi="宋体" w:cs="宋体" w:eastAsia="宋体" w:hint="default"/>
                  <w:sz w:val="18"/>
                  <w:szCs w:val="18"/>
                </w:rPr>
                <w:t>第二次调整后的限制性股票激励对象名单</w:t>
              </w:r>
            </w:hyperlink>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 w:right="0"/>
              <w:jc w:val="left"/>
              <w:rPr>
                <w:rFonts w:ascii="Times New Roman" w:hAnsi="Times New Roman" w:cs="Times New Roman" w:eastAsia="Times New Roman" w:hint="default"/>
                <w:sz w:val="18"/>
                <w:szCs w:val="18"/>
              </w:rPr>
            </w:pPr>
            <w:r>
              <w:rPr>
                <w:rFonts w:ascii="Times New Roman"/>
                <w:sz w:val="18"/>
              </w:rPr>
              <w:t>2012-07-12</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hyperlink r:id="rId23">
              <w:r>
                <w:rPr>
                  <w:rFonts w:ascii="宋体" w:hAnsi="宋体" w:cs="宋体" w:eastAsia="宋体" w:hint="default"/>
                  <w:sz w:val="18"/>
                  <w:szCs w:val="18"/>
                </w:rPr>
                <w:t>关于限制性股票授予完成的公告</w:t>
              </w:r>
            </w:hyperlink>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 w:right="0"/>
              <w:jc w:val="left"/>
              <w:rPr>
                <w:rFonts w:ascii="Times New Roman" w:hAnsi="Times New Roman" w:cs="Times New Roman" w:eastAsia="Times New Roman" w:hint="default"/>
                <w:sz w:val="18"/>
                <w:szCs w:val="18"/>
              </w:rPr>
            </w:pPr>
            <w:r>
              <w:rPr>
                <w:rFonts w:ascii="Times New Roman"/>
                <w:sz w:val="18"/>
              </w:rPr>
              <w:t>2012-07-23</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hyperlink r:id="rId24">
              <w:r>
                <w:rPr>
                  <w:rFonts w:ascii="宋体" w:hAnsi="宋体" w:cs="宋体" w:eastAsia="宋体" w:hint="default"/>
                  <w:sz w:val="18"/>
                  <w:szCs w:val="18"/>
                </w:rPr>
                <w:t>关于回购注销已不符合激励条件的原激励对象已获授的限制性股票的公告</w:t>
              </w:r>
            </w:hyperlink>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 w:right="0"/>
              <w:jc w:val="left"/>
              <w:rPr>
                <w:rFonts w:ascii="Times New Roman" w:hAnsi="Times New Roman" w:cs="Times New Roman" w:eastAsia="Times New Roman" w:hint="default"/>
                <w:sz w:val="18"/>
                <w:szCs w:val="18"/>
              </w:rPr>
            </w:pPr>
            <w:r>
              <w:rPr>
                <w:rFonts w:ascii="Times New Roman"/>
                <w:sz w:val="18"/>
              </w:rPr>
              <w:t>2012-12-13</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hyperlink r:id="rId25">
              <w:r>
                <w:rPr>
                  <w:rFonts w:ascii="宋体" w:hAnsi="宋体" w:cs="宋体" w:eastAsia="宋体" w:hint="default"/>
                  <w:sz w:val="18"/>
                  <w:szCs w:val="18"/>
                </w:rPr>
                <w:t>关于回购注销已不符合激励条件的原激励对象已获授的限制性股票的公告</w:t>
              </w:r>
            </w:hyperlink>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2013-6-29</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hyperlink r:id="rId26">
              <w:r>
                <w:rPr>
                  <w:rFonts w:ascii="宋体" w:hAnsi="宋体" w:cs="宋体" w:eastAsia="宋体" w:hint="default"/>
                  <w:sz w:val="18"/>
                  <w:szCs w:val="18"/>
                </w:rPr>
                <w:t>美亚柏科关于第一期限制性股票解锁的公告</w:t>
              </w:r>
            </w:hyperlink>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2013-7-12</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6"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第一期解锁限制性股票上市流通的提示性公告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2013-7-17</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关于回购注销已不符合激励条件的原激励对象已获授尚未解锁的限制性股票的公告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2014-3-06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关于部分已授予限制性股票回购注销完成的公告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2014-6-16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关于回购注销已不符合激励条件的原激励对象已获授尚未解锁的限制性股票的公告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2014-9-24</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关于部分已授予限制性股票回购注销完成的公告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 w:right="0"/>
              <w:jc w:val="left"/>
              <w:rPr>
                <w:rFonts w:ascii="Times New Roman" w:hAnsi="Times New Roman" w:cs="Times New Roman" w:eastAsia="Times New Roman" w:hint="default"/>
                <w:sz w:val="18"/>
                <w:szCs w:val="18"/>
              </w:rPr>
            </w:pPr>
            <w:r>
              <w:rPr>
                <w:rFonts w:ascii="Times New Roman"/>
                <w:sz w:val="18"/>
              </w:rPr>
              <w:t>2014-11-26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right="0"/>
        <w:jc w:val="left"/>
        <w:rPr>
          <w:b w:val="0"/>
          <w:bCs w:val="0"/>
        </w:rPr>
      </w:pPr>
      <w:bookmarkStart w:name="六、重大关联交易" w:id="47"/>
      <w:bookmarkEnd w:id="47"/>
      <w:r>
        <w:rPr>
          <w:b w:val="0"/>
          <w:bCs w:val="0"/>
        </w:rPr>
      </w:r>
      <w:bookmarkStart w:name="1、与日常经营相关的关联交易" w:id="48"/>
      <w:bookmarkEnd w:id="48"/>
      <w:r>
        <w:rPr>
          <w:b w:val="0"/>
          <w:bCs w:val="0"/>
        </w:rPr>
      </w:r>
      <w:bookmarkStart w:name="2、资产收购、出售发生的关联交易" w:id="49"/>
      <w:bookmarkEnd w:id="49"/>
      <w:r>
        <w:rPr>
          <w:b w:val="0"/>
          <w:bCs w:val="0"/>
        </w:rPr>
      </w:r>
      <w:bookmarkStart w:name="3、共同对外投资的重大关联交易" w:id="50"/>
      <w:bookmarkEnd w:id="50"/>
      <w:r>
        <w:rPr>
          <w:b w:val="0"/>
          <w:bCs w:val="0"/>
        </w:rPr>
      </w:r>
      <w:r>
        <w:rPr/>
        <w:t>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after="0" w:line="240" w:lineRule="auto"/>
        <w:jc w:val="left"/>
        <w:sectPr>
          <w:pgSz w:w="11910" w:h="16840"/>
          <w:pgMar w:header="747" w:footer="980"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衍生品投资情况" w:id="51"/>
      <w:bookmarkEnd w:id="51"/>
      <w:r>
        <w:rPr>
          <w:b w:val="0"/>
          <w:bCs w:val="0"/>
        </w:rPr>
      </w:r>
      <w:bookmarkStart w:name="（3）委托贷款情况" w:id="52"/>
      <w:bookmarkEnd w:id="52"/>
      <w:r>
        <w:rPr>
          <w:b w:val="0"/>
          <w:bCs w:val="0"/>
        </w:rPr>
      </w:r>
      <w:bookmarkStart w:name="4、其他重大合同" w:id="53"/>
      <w:bookmarkEnd w:id="53"/>
      <w:r>
        <w:rPr>
          <w:b w:val="0"/>
          <w:bCs w:val="0"/>
        </w:rPr>
      </w:r>
      <w:r>
        <w:rPr>
          <w:rFonts w:ascii="Times New Roman" w:hAnsi="Times New Roman" w:cs="Times New Roman" w:eastAsia="Times New Roman" w:hint="default"/>
        </w:rPr>
        <w:t>4</w:t>
      </w:r>
      <w:bookmarkStart w:name="4、关联债权债务往来" w:id="54"/>
      <w:bookmarkEnd w:id="54"/>
      <w:r>
        <w:rPr>
          <w:rFonts w:ascii="Times New Roman" w:hAnsi="Times New Roman" w:cs="Times New Roman" w:eastAsia="Times New Roman" w:hint="default"/>
        </w:rPr>
      </w:r>
      <w:r>
        <w:rPr/>
        <w:t>、关联债权债务往来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w:t>
      </w:r>
      <w:bookmarkStart w:name="5、其他重大关联交易" w:id="55"/>
      <w:bookmarkEnd w:id="55"/>
      <w:r>
        <w:rPr/>
        <w:t>大</w:t>
      </w:r>
      <w:r>
        <w:rPr/>
        <w:t>关联交易</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68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不适用 </w:t>
      </w:r>
      <w:r>
        <w:rPr>
          <w:rFonts w:ascii="宋体" w:hAnsi="宋体" w:cs="宋体" w:eastAsia="宋体" w:hint="default"/>
          <w:b/>
          <w:bCs/>
          <w:sz w:val="24"/>
          <w:szCs w:val="24"/>
        </w:rPr>
        <w:t>七、重大合同</w:t>
      </w:r>
      <w:bookmarkStart w:name="七、重大合同及其履行情况" w:id="56"/>
      <w:bookmarkEnd w:id="56"/>
      <w:r>
        <w:rPr>
          <w:rFonts w:ascii="宋体" w:hAnsi="宋体" w:cs="宋体" w:eastAsia="宋体" w:hint="default"/>
          <w:b/>
          <w:bCs/>
          <w:sz w:val="24"/>
          <w:szCs w:val="24"/>
        </w:rPr>
        <w:t>及其履行</w:t>
      </w:r>
      <w:r>
        <w:rPr>
          <w:rFonts w:ascii="宋体" w:hAnsi="宋体" w:cs="宋体" w:eastAsia="宋体" w:hint="default"/>
          <w:b/>
          <w:bCs/>
          <w:sz w:val="24"/>
          <w:szCs w:val="24"/>
        </w:rPr>
        <w:t>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pStyle w:val="Heading4"/>
        <w:spacing w:line="240" w:lineRule="auto" w:before="83"/>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、委托理财、衍生品投资</w:t>
      </w:r>
      <w:bookmarkStart w:name="1、托管、承包、租赁事项情况" w:id="57"/>
      <w:bookmarkEnd w:id="57"/>
      <w:r>
        <w:rPr/>
        <w:t>和委托贷</w:t>
      </w:r>
      <w:r>
        <w:rPr/>
        <w:t>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7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月，公司中标海关总署</w:t>
      </w:r>
      <w:r>
        <w:rPr>
          <w:rFonts w:ascii="Times New Roman" w:hAnsi="Times New Roman" w:cs="Times New Roman" w:eastAsia="Times New Roman" w:hint="default"/>
        </w:rPr>
        <w:t>2014</w:t>
      </w:r>
      <w:bookmarkStart w:name="（1）托管情况" w:id="58"/>
      <w:bookmarkEnd w:id="58"/>
      <w:r>
        <w:rPr>
          <w:rFonts w:ascii="Times New Roman" w:hAnsi="Times New Roman" w:cs="Times New Roman" w:eastAsia="Times New Roman" w:hint="default"/>
        </w:rPr>
      </w:r>
      <w:r>
        <w:rPr/>
        <w:t>年海关缉</w:t>
      </w:r>
      <w:bookmarkStart w:name="（2）承包情况" w:id="59"/>
      <w:bookmarkEnd w:id="59"/>
      <w:r>
        <w:rPr/>
      </w:r>
      <w:bookmarkStart w:name="（3）租赁情况" w:id="60"/>
      <w:bookmarkEnd w:id="60"/>
      <w:r>
        <w:rPr/>
      </w:r>
      <w:bookmarkStart w:name="2、担保情况" w:id="61"/>
      <w:bookmarkEnd w:id="61"/>
      <w:r>
        <w:rPr/>
        <w:t>私电子取证实验室设备采购项目</w:t>
      </w:r>
      <w:r>
        <w:rPr/>
        <w:t>，项目</w:t>
      </w:r>
      <w:bookmarkStart w:name="3、委托理财、衍生品投资和委托贷款情况" w:id="62"/>
      <w:bookmarkEnd w:id="62"/>
      <w:r>
        <w:rPr/>
        <w:t>含税</w:t>
      </w:r>
      <w:bookmarkStart w:name="（1）委托理财情况" w:id="63"/>
      <w:bookmarkEnd w:id="63"/>
      <w:r>
        <w:rPr/>
        <w:t>金额人民</w:t>
      </w:r>
    </w:p>
    <w:p>
      <w:pPr>
        <w:spacing w:after="0" w:line="240" w:lineRule="auto"/>
        <w:jc w:val="left"/>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309" w:lineRule="auto" w:before="35"/>
        <w:ind w:left="153" w:right="150"/>
        <w:jc w:val="left"/>
      </w:pPr>
      <w:r>
        <w:rPr>
          <w:spacing w:val="-1"/>
        </w:rPr>
        <w:t>币</w:t>
      </w:r>
      <w:r>
        <w:rPr>
          <w:rFonts w:ascii="Times New Roman" w:hAnsi="Times New Roman" w:cs="Times New Roman" w:eastAsia="Times New Roman" w:hint="default"/>
          <w:spacing w:val="-1"/>
        </w:rPr>
        <w:t>5,260.28</w:t>
      </w:r>
      <w:r>
        <w:rPr>
          <w:spacing w:val="-1"/>
        </w:rPr>
        <w:t>万元，报告期内已完成项目的实施和验收。本项目金额占公司</w:t>
      </w:r>
      <w:r>
        <w:rPr>
          <w:rFonts w:ascii="Times New Roman" w:hAnsi="Times New Roman" w:cs="Times New Roman" w:eastAsia="Times New Roman" w:hint="default"/>
          <w:spacing w:val="-1"/>
        </w:rPr>
        <w:t>2014</w:t>
      </w:r>
      <w:r>
        <w:rPr>
          <w:spacing w:val="-1"/>
        </w:rPr>
        <w:t>年营业收入的</w:t>
      </w:r>
      <w:r>
        <w:rPr>
          <w:rFonts w:ascii="Times New Roman" w:hAnsi="Times New Roman" w:cs="Times New Roman" w:eastAsia="Times New Roman" w:hint="default"/>
          <w:spacing w:val="-1"/>
        </w:rPr>
        <w:t>7.45%</w:t>
      </w:r>
      <w:r>
        <w:rPr>
          <w:spacing w:val="-1"/>
        </w:rPr>
        <w:t>，本项目</w:t>
      </w:r>
      <w:r>
        <w:rPr>
          <w:spacing w:val="-102"/>
        </w:rPr>
        <w:t> </w:t>
      </w:r>
      <w:r>
        <w:rPr>
          <w:spacing w:val="-102"/>
        </w:rPr>
      </w:r>
      <w:r>
        <w:rPr/>
        <w:t>对公司的业务拓展及</w:t>
      </w:r>
      <w:r>
        <w:rPr>
          <w:rFonts w:ascii="Times New Roman" w:hAnsi="Times New Roman" w:cs="Times New Roman" w:eastAsia="Times New Roman" w:hint="default"/>
        </w:rPr>
        <w:t>2014</w:t>
      </w:r>
      <w:r>
        <w:rPr/>
        <w:t>年度经营业绩产生积极的影响，但不影响公司业务、经营的独立性。</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八、承诺事项履行情况" w:id="64"/>
      <w:bookmarkEnd w:id="64"/>
      <w:r>
        <w:rPr>
          <w:b w:val="0"/>
          <w:bCs w:val="0"/>
        </w:rPr>
      </w: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68"/>
        </w:rPr>
        <w:t> </w:t>
      </w:r>
      <w:r>
        <w:rPr>
          <w:rFonts w:ascii="Times New Roman" w:hAnsi="Times New Roman" w:cs="Times New Roman" w:eastAsia="Times New Roman" w:hint="default"/>
        </w:rPr>
        <w:t>5%</w:t>
      </w:r>
      <w:bookmarkStart w:name="1、公司或持股5%以上股东在报告期内发生或以前期间发生但持续到报告期内的承诺事项" w:id="65"/>
      <w:bookmarkEnd w:id="65"/>
      <w:r>
        <w:rPr>
          <w:rFonts w:ascii="Times New Roman" w:hAnsi="Times New Roman" w:cs="Times New Roman" w:eastAsia="Times New Roman" w:hint="default"/>
        </w:rPr>
      </w:r>
      <w:r>
        <w:rPr/>
        <w:t>以上股东在报告期内发生或以前期间发生但持续到报告期内的承诺事项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44"/>
        <w:ind w:left="0" w:right="177" w:firstLine="0"/>
        <w:jc w:val="right"/>
        <w:rPr>
          <w:rFonts w:ascii="宋体" w:hAnsi="宋体" w:cs="宋体" w:eastAsia="宋体" w:hint="default"/>
          <w:sz w:val="18"/>
          <w:szCs w:val="18"/>
        </w:rPr>
      </w:pPr>
      <w:r>
        <w:rPr/>
        <w:pict>
          <v:shape style="position:absolute;margin-left:56.459999pt;margin-top:-349.74826pt;width:479.1pt;height:582.6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134"/>
                    <w:gridCol w:w="3968"/>
                    <w:gridCol w:w="992"/>
                    <w:gridCol w:w="992"/>
                    <w:gridCol w:w="1062"/>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承诺来源</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9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501" w:hRule="exact"/>
                    </w:trPr>
                    <w:tc>
                      <w:tcPr>
                        <w:tcW w:w="141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34"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16" w:right="199"/>
                          <w:jc w:val="both"/>
                          <w:rPr>
                            <w:rFonts w:ascii="宋体" w:hAnsi="宋体" w:cs="宋体" w:eastAsia="宋体" w:hint="default"/>
                            <w:sz w:val="18"/>
                            <w:szCs w:val="18"/>
                          </w:rPr>
                        </w:pPr>
                        <w:r>
                          <w:rPr>
                            <w:rFonts w:ascii="宋体" w:hAnsi="宋体" w:cs="宋体" w:eastAsia="宋体" w:hint="default"/>
                            <w:sz w:val="18"/>
                            <w:szCs w:val="18"/>
                          </w:rPr>
                          <w:t>厦门市美亚 柏科信息股 份有限公司</w:t>
                        </w:r>
                      </w:p>
                    </w:tc>
                    <w:tc>
                      <w:tcPr>
                        <w:tcW w:w="396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本次限制性股票激励计划有效期为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8"/>
                            <w:sz w:val="18"/>
                            <w:szCs w:val="18"/>
                          </w:rPr>
                          <w:t>年，自限制性</w:t>
                        </w:r>
                      </w:p>
                      <w:p>
                        <w:pPr>
                          <w:pStyle w:val="TableParagraph"/>
                          <w:spacing w:line="240"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股票授予日起计，其中锁定期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年，解锁期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7" w:lineRule="auto" w:before="63"/>
                          <w:ind w:left="22" w:right="1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）自董事会确定的限制性股票授予日起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 </w:t>
                        </w:r>
                        <w:r>
                          <w:rPr>
                            <w:rFonts w:ascii="宋体" w:hAnsi="宋体" w:cs="宋体" w:eastAsia="宋体" w:hint="default"/>
                            <w:spacing w:val="-3"/>
                            <w:sz w:val="18"/>
                            <w:szCs w:val="18"/>
                          </w:rPr>
                          <w:t>内为锁定期。在锁定期内，激励对象根据本计划获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授的限制性股票予以锁定，不得转让；（</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）自限制</w:t>
                        </w:r>
                        <w:r>
                          <w:rPr>
                            <w:rFonts w:ascii="宋体" w:hAnsi="宋体" w:cs="宋体" w:eastAsia="宋体" w:hint="default"/>
                            <w:sz w:val="18"/>
                            <w:szCs w:val="18"/>
                          </w:rPr>
                          <w:t> 性股票激励计划授予日起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个月后，满足解锁条 </w:t>
                        </w:r>
                        <w:r>
                          <w:rPr>
                            <w:rFonts w:ascii="宋体" w:hAnsi="宋体" w:cs="宋体" w:eastAsia="宋体" w:hint="default"/>
                            <w:spacing w:val="-3"/>
                            <w:sz w:val="18"/>
                            <w:szCs w:val="18"/>
                          </w:rPr>
                          <w:t>件的，激励对象可以分三期申请解锁，分别自授予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个月后分别申请 解锁所获授限制性股票总量的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304" w:lineRule="auto" w:before="7"/>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）激励对象获授限制性股票的授予条件为：激 </w:t>
                        </w:r>
                        <w:r>
                          <w:rPr>
                            <w:rFonts w:ascii="宋体" w:hAnsi="宋体" w:cs="宋体" w:eastAsia="宋体" w:hint="default"/>
                            <w:spacing w:val="-3"/>
                            <w:sz w:val="18"/>
                            <w:szCs w:val="18"/>
                          </w:rPr>
                          <w:t>励对象当年个人绩效考核合格。对于按照股权激励</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计划授予的限制性股票，激励对象每一次申请标的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股票解锁的公司业绩条件为：（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年公司加权平均净资产收益率分别不低 于 </w:t>
                        </w:r>
                        <w:r>
                          <w:rPr>
                            <w:rFonts w:ascii="Times New Roman" w:hAnsi="Times New Roman" w:cs="Times New Roman" w:eastAsia="Times New Roman" w:hint="default"/>
                            <w:spacing w:val="-12"/>
                            <w:sz w:val="18"/>
                            <w:szCs w:val="18"/>
                          </w:rPr>
                          <w:t>8%</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8.5%</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9%</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）以</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年度净利润为基 数，</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年公司每年净利润 不低于基准年净利润的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140%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2012-01-18</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2016-07-05</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正在履行，未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发现违反承 诺的情况。</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305"/>
                          <w:jc w:val="right"/>
                          <w:rPr>
                            <w:rFonts w:ascii="宋体" w:hAnsi="宋体" w:cs="宋体" w:eastAsia="宋体" w:hint="default"/>
                            <w:sz w:val="18"/>
                            <w:szCs w:val="18"/>
                          </w:rPr>
                        </w:pPr>
                        <w:r>
                          <w:rPr>
                            <w:rFonts w:ascii="宋体" w:hAnsi="宋体" w:cs="宋体" w:eastAsia="宋体" w:hint="default"/>
                            <w:sz w:val="18"/>
                            <w:szCs w:val="18"/>
                          </w:rPr>
                          <w:t>股权激励承诺</w:t>
                        </w:r>
                      </w:p>
                    </w:tc>
                    <w:tc>
                      <w:tcPr>
                        <w:tcW w:w="1134" w:type="dxa"/>
                        <w:vMerge/>
                        <w:tcBorders>
                          <w:left w:val="single" w:sz="9" w:space="0" w:color="D4D4D4"/>
                          <w:right w:val="single" w:sz="4" w:space="0" w:color="000000"/>
                        </w:tcBorders>
                      </w:tcPr>
                      <w:p>
                        <w:pPr/>
                      </w:p>
                    </w:tc>
                    <w:tc>
                      <w:tcPr>
                        <w:tcW w:w="39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2501" w:hRule="exact"/>
                    </w:trPr>
                    <w:tc>
                      <w:tcPr>
                        <w:tcW w:w="141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4" w:type="dxa"/>
                        <w:vMerge/>
                        <w:tcBorders>
                          <w:left w:val="single" w:sz="9" w:space="0" w:color="D4D4D4"/>
                          <w:bottom w:val="single" w:sz="4" w:space="0" w:color="000000"/>
                          <w:right w:val="single" w:sz="4" w:space="0" w:color="000000"/>
                        </w:tcBorders>
                      </w:tcPr>
                      <w:p>
                        <w:pPr/>
                      </w:p>
                    </w:tc>
                    <w:tc>
                      <w:tcPr>
                        <w:tcW w:w="39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1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34" w:type="dxa"/>
                        <w:vMerge w:val="restart"/>
                        <w:tcBorders>
                          <w:top w:val="single" w:sz="4" w:space="0" w:color="000000"/>
                          <w:left w:val="single" w:sz="9" w:space="0" w:color="D4D4D4"/>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 w:right="199"/>
                          <w:jc w:val="both"/>
                          <w:rPr>
                            <w:rFonts w:ascii="宋体" w:hAnsi="宋体" w:cs="宋体" w:eastAsia="宋体" w:hint="default"/>
                            <w:sz w:val="18"/>
                            <w:szCs w:val="18"/>
                          </w:rPr>
                        </w:pPr>
                        <w:r>
                          <w:rPr>
                            <w:rFonts w:ascii="宋体" w:hAnsi="宋体" w:cs="宋体" w:eastAsia="宋体" w:hint="default"/>
                            <w:sz w:val="18"/>
                            <w:szCs w:val="18"/>
                          </w:rPr>
                          <w:t>厦门市美亚 柏科信息股 份有限公司</w:t>
                        </w:r>
                      </w:p>
                    </w:tc>
                    <w:tc>
                      <w:tcPr>
                        <w:tcW w:w="396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关于不进行重大资产重组的承诺：公司承诺，在终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止筹划本次重大资产重组事项暨股票复牌之日</w:t>
                        </w:r>
                      </w:p>
                      <w:p>
                        <w:pPr>
                          <w:pStyle w:val="TableParagraph"/>
                          <w:spacing w:line="302" w:lineRule="auto" w:before="19"/>
                          <w:ind w:left="22" w:right="2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个月内不再筹划重大资 产重组事项。</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2014-11-07</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2015-02-06</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已履行完毕 不存在违反 承诺的情况</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134" w:type="dxa"/>
                        <w:vMerge/>
                        <w:tcBorders>
                          <w:left w:val="single" w:sz="9" w:space="0" w:color="D4D4D4"/>
                          <w:right w:val="single" w:sz="4" w:space="0" w:color="000000"/>
                        </w:tcBorders>
                      </w:tcPr>
                      <w:p>
                        <w:pPr/>
                      </w:p>
                    </w:tc>
                    <w:tc>
                      <w:tcPr>
                        <w:tcW w:w="39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4" w:type="dxa"/>
                        <w:vMerge/>
                        <w:tcBorders>
                          <w:left w:val="single" w:sz="9" w:space="0" w:color="D4D4D4"/>
                          <w:bottom w:val="single" w:sz="4" w:space="0" w:color="000000"/>
                          <w:right w:val="single" w:sz="4" w:space="0" w:color="000000"/>
                        </w:tcBorders>
                      </w:tcPr>
                      <w:p>
                        <w:pPr/>
                      </w:p>
                    </w:tc>
                    <w:tc>
                      <w:tcPr>
                        <w:tcW w:w="39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1390" w:hRule="exact"/>
                    </w:trPr>
                    <w:tc>
                      <w:tcPr>
                        <w:tcW w:w="141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34"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16" w:right="199"/>
                          <w:jc w:val="left"/>
                          <w:rPr>
                            <w:rFonts w:ascii="宋体" w:hAnsi="宋体" w:cs="宋体" w:eastAsia="宋体" w:hint="default"/>
                            <w:sz w:val="18"/>
                            <w:szCs w:val="18"/>
                          </w:rPr>
                        </w:pPr>
                        <w:r>
                          <w:rPr>
                            <w:rFonts w:ascii="宋体" w:hAnsi="宋体" w:cs="宋体" w:eastAsia="宋体" w:hint="default"/>
                            <w:sz w:val="18"/>
                            <w:szCs w:val="18"/>
                          </w:rPr>
                          <w:t>新德汇股东 苏学武</w:t>
                        </w:r>
                      </w:p>
                    </w:tc>
                    <w:tc>
                      <w:tcPr>
                        <w:tcW w:w="3968"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关于使用部分超募资金收购珠海市新德汇信息技 术有限公司</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51%</w:t>
                        </w:r>
                        <w:r>
                          <w:rPr>
                            <w:rFonts w:ascii="宋体" w:hAnsi="宋体" w:cs="宋体" w:eastAsia="宋体" w:hint="default"/>
                            <w:spacing w:val="-4"/>
                            <w:sz w:val="18"/>
                            <w:szCs w:val="18"/>
                          </w:rPr>
                          <w:t>股权时的业绩承诺：新德汇股东苏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学武先生承诺，经具有证券从业资格的审计机构审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计后，新德汇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年度经审计后的净利润不低于</w:t>
                        </w:r>
                      </w:p>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年度经审计后的净利润不低于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1204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年度经审计后的净利润不低于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万元。各方一致同意，对新德汇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w:t>
                        </w:r>
                      </w:p>
                      <w:p>
                        <w:pPr>
                          <w:pStyle w:val="TableParagraph"/>
                          <w:spacing w:line="312" w:lineRule="auto" w:before="63"/>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年度经审计后的净利润进行累计 </w:t>
                        </w:r>
                        <w:r>
                          <w:rPr>
                            <w:rFonts w:ascii="宋体" w:hAnsi="宋体" w:cs="宋体" w:eastAsia="宋体" w:hint="default"/>
                            <w:spacing w:val="-3"/>
                            <w:sz w:val="18"/>
                            <w:szCs w:val="18"/>
                          </w:rPr>
                          <w:t>考核，如果三年经审计后的累计实际净利润总额未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达到承诺净利润总额的，苏学武先生应对收购方给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予现金补偿，补偿计算公式如下：现金补偿</w:t>
                        </w:r>
                        <w:r>
                          <w:rPr>
                            <w:rFonts w:ascii="宋体" w:hAnsi="宋体" w:cs="宋体" w:eastAsia="宋体" w:hint="default"/>
                            <w:spacing w:val="19"/>
                            <w:sz w:val="18"/>
                            <w:szCs w:val="18"/>
                          </w:rPr>
                          <w:t> </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（三</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2013-08-09</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正在履行，未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发现违反承 诺的情况。</w:t>
                        </w:r>
                      </w:p>
                    </w:tc>
                  </w:tr>
                  <w:tr>
                    <w:trPr>
                      <w:trHeight w:val="703" w:hRule="exact"/>
                    </w:trPr>
                    <w:tc>
                      <w:tcPr>
                        <w:tcW w:w="14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134" w:type="dxa"/>
                        <w:vMerge/>
                        <w:tcBorders>
                          <w:left w:val="single" w:sz="9" w:space="0" w:color="D4D4D4"/>
                          <w:right w:val="single" w:sz="4" w:space="0" w:color="000000"/>
                        </w:tcBorders>
                      </w:tcPr>
                      <w:p>
                        <w:pPr/>
                      </w:p>
                    </w:tc>
                    <w:tc>
                      <w:tcPr>
                        <w:tcW w:w="39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1390" w:hRule="exact"/>
                    </w:trPr>
                    <w:tc>
                      <w:tcPr>
                        <w:tcW w:w="141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4" w:type="dxa"/>
                        <w:vMerge/>
                        <w:tcBorders>
                          <w:left w:val="single" w:sz="9" w:space="0" w:color="D4D4D4"/>
                          <w:bottom w:val="single" w:sz="4" w:space="0" w:color="000000"/>
                          <w:right w:val="single" w:sz="4" w:space="0" w:color="000000"/>
                        </w:tcBorders>
                      </w:tcPr>
                      <w:p>
                        <w:pPr/>
                      </w:p>
                    </w:tc>
                    <w:tc>
                      <w:tcPr>
                        <w:tcW w:w="39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5"/>
        <w:rPr>
          <w:rFonts w:ascii="宋体" w:hAnsi="宋体" w:cs="宋体" w:eastAsia="宋体" w:hint="default"/>
          <w:sz w:val="26"/>
          <w:szCs w:val="26"/>
        </w:rPr>
      </w:pPr>
    </w:p>
    <w:p>
      <w:pPr>
        <w:spacing w:before="44"/>
        <w:ind w:left="0" w:right="17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1pt;height:689.85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135"/>
                    <w:gridCol w:w="3968"/>
                    <w:gridCol w:w="992"/>
                    <w:gridCol w:w="992"/>
                    <w:gridCol w:w="1062"/>
                  </w:tblGrid>
                  <w:tr>
                    <w:trPr>
                      <w:trHeight w:val="6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94"/>
                          <w:jc w:val="left"/>
                          <w:rPr>
                            <w:rFonts w:ascii="宋体" w:hAnsi="宋体" w:cs="宋体" w:eastAsia="宋体" w:hint="default"/>
                            <w:sz w:val="18"/>
                            <w:szCs w:val="18"/>
                          </w:rPr>
                        </w:pPr>
                        <w:r>
                          <w:rPr>
                            <w:rFonts w:ascii="宋体" w:hAnsi="宋体" w:cs="宋体" w:eastAsia="宋体" w:hint="default"/>
                            <w:sz w:val="18"/>
                            <w:szCs w:val="18"/>
                          </w:rPr>
                          <w:t>年累计承诺净利润总额 </w:t>
                        </w:r>
                        <w:r>
                          <w:rPr>
                            <w:rFonts w:ascii="Times New Roman" w:hAnsi="Times New Roman" w:cs="Times New Roman" w:eastAsia="Times New Roman" w:hint="default"/>
                            <w:sz w:val="18"/>
                            <w:szCs w:val="18"/>
                          </w:rPr>
                          <w:t>- </w:t>
                        </w:r>
                        <w:r>
                          <w:rPr>
                            <w:rFonts w:ascii="宋体" w:hAnsi="宋体" w:cs="宋体" w:eastAsia="宋体" w:hint="default"/>
                            <w:sz w:val="18"/>
                            <w:szCs w:val="18"/>
                          </w:rPr>
                          <w:t>三年累计实际净利润总 额）×</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3"/>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99"/>
                          <w:jc w:val="both"/>
                          <w:rPr>
                            <w:rFonts w:ascii="宋体" w:hAnsi="宋体" w:cs="宋体" w:eastAsia="宋体" w:hint="default"/>
                            <w:sz w:val="18"/>
                            <w:szCs w:val="18"/>
                          </w:rPr>
                        </w:pPr>
                        <w:r>
                          <w:rPr>
                            <w:rFonts w:ascii="宋体" w:hAnsi="宋体" w:cs="宋体" w:eastAsia="宋体" w:hint="default"/>
                            <w:sz w:val="18"/>
                            <w:szCs w:val="18"/>
                          </w:rPr>
                          <w:t>厦门市美亚 柏科信息股 份有限公司</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关于使用部分超募资金收购珠海市新德汇信息技 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股权时对剩余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股权收购的承 </w:t>
                        </w:r>
                        <w:r>
                          <w:rPr>
                            <w:rFonts w:ascii="宋体" w:hAnsi="宋体" w:cs="宋体" w:eastAsia="宋体" w:hint="default"/>
                            <w:spacing w:val="-3"/>
                            <w:sz w:val="18"/>
                            <w:szCs w:val="18"/>
                          </w:rPr>
                          <w:t>诺：公司承诺在满足《投资协议》约定的业绩考核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期满，达到收购前提条件时立即启动收购新德汇剩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股权程序。收购价格应不低于：</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 德汇经审计的扣除非经常性损益后的净利润×</w:t>
                        </w:r>
                        <w:r>
                          <w:rPr>
                            <w:rFonts w:ascii="Times New Roman" w:hAnsi="Times New Roman" w:cs="Times New Roman" w:eastAsia="Times New Roman" w:hint="default"/>
                            <w:sz w:val="18"/>
                            <w:szCs w:val="18"/>
                          </w:rPr>
                          <w:t>10</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2013-08-09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正在履行，未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发现违反承 诺的情况</w:t>
                        </w:r>
                      </w:p>
                    </w:tc>
                  </w:tr>
                  <w:tr>
                    <w:trPr>
                      <w:trHeight w:val="38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48"/>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刘祥 南</w:t>
                        </w:r>
                        <w:r>
                          <w:rPr>
                            <w:rFonts w:ascii="Times New Roman" w:hAnsi="Times New Roman" w:cs="Times New Roman" w:eastAsia="Times New Roman" w:hint="default"/>
                            <w:sz w:val="18"/>
                            <w:szCs w:val="18"/>
                          </w:rPr>
                          <w:t>;</w:t>
                        </w:r>
                        <w:r>
                          <w:rPr>
                            <w:rFonts w:ascii="宋体" w:hAnsi="宋体" w:cs="宋体" w:eastAsia="宋体" w:hint="default"/>
                            <w:sz w:val="18"/>
                            <w:szCs w:val="18"/>
                          </w:rPr>
                          <w:t>拉萨经济 技术开发区 通连投资咨 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李国林</w:t>
                        </w:r>
                        <w:r>
                          <w:rPr>
                            <w:rFonts w:ascii="Times New Roman" w:hAnsi="Times New Roman" w:cs="Times New Roman" w:eastAsia="Times New Roman" w:hint="default"/>
                            <w:sz w:val="18"/>
                            <w:szCs w:val="18"/>
                          </w:rPr>
                          <w:t>;</w:t>
                        </w:r>
                        <w:r>
                          <w:rPr>
                            <w:rFonts w:ascii="宋体" w:hAnsi="宋体" w:cs="宋体" w:eastAsia="宋体" w:hint="default"/>
                            <w:sz w:val="18"/>
                            <w:szCs w:val="18"/>
                          </w:rPr>
                          <w:t>丛艳 芬</w:t>
                        </w:r>
                        <w:r>
                          <w:rPr>
                            <w:rFonts w:ascii="Times New Roman" w:hAnsi="Times New Roman" w:cs="Times New Roman" w:eastAsia="Times New Roman" w:hint="default"/>
                            <w:sz w:val="18"/>
                            <w:szCs w:val="18"/>
                          </w:rPr>
                          <w:t>;</w:t>
                        </w:r>
                        <w:r>
                          <w:rPr>
                            <w:rFonts w:ascii="宋体" w:hAnsi="宋体" w:cs="宋体" w:eastAsia="宋体" w:hint="default"/>
                            <w:sz w:val="18"/>
                            <w:szCs w:val="18"/>
                          </w:rPr>
                          <w:t>高峰</w:t>
                        </w:r>
                        <w:r>
                          <w:rPr>
                            <w:rFonts w:ascii="Times New Roman" w:hAnsi="Times New Roman" w:cs="Times New Roman" w:eastAsia="Times New Roman" w:hint="default"/>
                            <w:sz w:val="18"/>
                            <w:szCs w:val="18"/>
                          </w:rPr>
                          <w:t>;</w:t>
                        </w:r>
                        <w:r>
                          <w:rPr>
                            <w:rFonts w:ascii="宋体" w:hAnsi="宋体" w:cs="宋体" w:eastAsia="宋体" w:hint="default"/>
                            <w:sz w:val="18"/>
                            <w:szCs w:val="18"/>
                          </w:rPr>
                          <w:t>郭泓</w:t>
                        </w:r>
                        <w:r>
                          <w:rPr>
                            <w:rFonts w:ascii="Times New Roman" w:hAnsi="Times New Roman" w:cs="Times New Roman" w:eastAsia="Times New Roman" w:hint="default"/>
                            <w:sz w:val="18"/>
                            <w:szCs w:val="18"/>
                          </w:rPr>
                          <w:t>; </w:t>
                        </w:r>
                        <w:r>
                          <w:rPr>
                            <w:rFonts w:ascii="宋体" w:hAnsi="宋体" w:cs="宋体" w:eastAsia="宋体" w:hint="default"/>
                            <w:sz w:val="18"/>
                            <w:szCs w:val="18"/>
                          </w:rPr>
                          <w:t>黄基鹏</w:t>
                        </w:r>
                        <w:r>
                          <w:rPr>
                            <w:rFonts w:ascii="Times New Roman" w:hAnsi="Times New Roman" w:cs="Times New Roman" w:eastAsia="Times New Roman" w:hint="default"/>
                            <w:sz w:val="18"/>
                            <w:szCs w:val="18"/>
                          </w:rPr>
                          <w:t>;</w:t>
                        </w:r>
                        <w:r>
                          <w:rPr>
                            <w:rFonts w:ascii="宋体" w:hAnsi="宋体" w:cs="宋体" w:eastAsia="宋体" w:hint="default"/>
                            <w:sz w:val="18"/>
                            <w:szCs w:val="18"/>
                          </w:rPr>
                          <w:t>栾江 霞</w:t>
                        </w:r>
                        <w:r>
                          <w:rPr>
                            <w:rFonts w:ascii="Times New Roman" w:hAnsi="Times New Roman" w:cs="Times New Roman" w:eastAsia="Times New Roman" w:hint="default"/>
                            <w:sz w:val="18"/>
                            <w:szCs w:val="18"/>
                          </w:rPr>
                          <w:t>;</w:t>
                        </w:r>
                        <w:r>
                          <w:rPr>
                            <w:rFonts w:ascii="宋体" w:hAnsi="宋体" w:cs="宋体" w:eastAsia="宋体" w:hint="default"/>
                            <w:sz w:val="18"/>
                            <w:szCs w:val="18"/>
                          </w:rPr>
                          <w:t>申强</w:t>
                        </w:r>
                        <w:r>
                          <w:rPr>
                            <w:rFonts w:ascii="Times New Roman" w:hAnsi="Times New Roman" w:cs="Times New Roman" w:eastAsia="Times New Roman" w:hint="default"/>
                            <w:sz w:val="18"/>
                            <w:szCs w:val="18"/>
                          </w:rPr>
                          <w:t>;</w:t>
                        </w:r>
                        <w:r>
                          <w:rPr>
                            <w:rFonts w:ascii="宋体" w:hAnsi="宋体" w:cs="宋体" w:eastAsia="宋体" w:hint="default"/>
                            <w:sz w:val="18"/>
                            <w:szCs w:val="18"/>
                          </w:rPr>
                          <w:t>吴鸿 伟</w:t>
                        </w:r>
                        <w:r>
                          <w:rPr>
                            <w:rFonts w:ascii="Times New Roman" w:hAnsi="Times New Roman" w:cs="Times New Roman" w:eastAsia="Times New Roman" w:hint="default"/>
                            <w:sz w:val="18"/>
                            <w:szCs w:val="18"/>
                          </w:rPr>
                          <w:t>;</w:t>
                        </w:r>
                        <w:r>
                          <w:rPr>
                            <w:rFonts w:ascii="宋体" w:hAnsi="宋体" w:cs="宋体" w:eastAsia="宋体" w:hint="default"/>
                            <w:sz w:val="18"/>
                            <w:szCs w:val="18"/>
                          </w:rPr>
                          <w:t>杨爱国</w:t>
                        </w:r>
                        <w:r>
                          <w:rPr>
                            <w:rFonts w:ascii="Times New Roman" w:hAnsi="Times New Roman" w:cs="Times New Roman" w:eastAsia="Times New Roman" w:hint="default"/>
                            <w:sz w:val="18"/>
                            <w:szCs w:val="18"/>
                          </w:rPr>
                          <w:t>;</w:t>
                        </w:r>
                        <w:r>
                          <w:rPr>
                            <w:rFonts w:ascii="宋体" w:hAnsi="宋体" w:cs="宋体" w:eastAsia="宋体" w:hint="default"/>
                            <w:sz w:val="18"/>
                            <w:szCs w:val="18"/>
                          </w:rPr>
                          <w:t>张 乃军</w:t>
                        </w:r>
                        <w:r>
                          <w:rPr>
                            <w:rFonts w:ascii="Times New Roman" w:hAnsi="Times New Roman" w:cs="Times New Roman" w:eastAsia="Times New Roman" w:hint="default"/>
                            <w:sz w:val="18"/>
                            <w:szCs w:val="18"/>
                          </w:rPr>
                          <w:t>;</w:t>
                        </w:r>
                        <w:r>
                          <w:rPr>
                            <w:rFonts w:ascii="宋体" w:hAnsi="宋体" w:cs="宋体" w:eastAsia="宋体" w:hint="default"/>
                            <w:sz w:val="18"/>
                            <w:szCs w:val="18"/>
                          </w:rPr>
                          <w:t>张雪峰</w:t>
                        </w:r>
                        <w:r>
                          <w:rPr>
                            <w:rFonts w:ascii="Times New Roman" w:hAnsi="Times New Roman" w:cs="Times New Roman" w:eastAsia="Times New Roman" w:hint="default"/>
                            <w:sz w:val="18"/>
                            <w:szCs w:val="18"/>
                          </w:rPr>
                          <w:t>; </w:t>
                        </w:r>
                        <w:r>
                          <w:rPr>
                            <w:rFonts w:ascii="宋体" w:hAnsi="宋体" w:cs="宋体" w:eastAsia="宋体" w:hint="default"/>
                            <w:sz w:val="18"/>
                            <w:szCs w:val="18"/>
                          </w:rPr>
                          <w:t>赵庸</w:t>
                        </w:r>
                        <w:r>
                          <w:rPr>
                            <w:rFonts w:ascii="Times New Roman" w:hAnsi="Times New Roman" w:cs="Times New Roman" w:eastAsia="Times New Roman" w:hint="default"/>
                            <w:sz w:val="18"/>
                            <w:szCs w:val="18"/>
                          </w:rPr>
                          <w:t>;</w:t>
                        </w:r>
                        <w:r>
                          <w:rPr>
                            <w:rFonts w:ascii="宋体" w:hAnsi="宋体" w:cs="宋体" w:eastAsia="宋体" w:hint="default"/>
                            <w:sz w:val="18"/>
                            <w:szCs w:val="18"/>
                          </w:rPr>
                          <w:t>赵阳</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委托他人管理本次发行前已持有的发行人股份，也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不由发行人收购该部分股份。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2011-03-16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2014-03-16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已履行完毕 不存在违反 承诺的情况</w:t>
                        </w:r>
                      </w:p>
                    </w:tc>
                  </w:tr>
                  <w:tr>
                    <w:trPr>
                      <w:trHeight w:val="3210"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联交易、资金占用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2" w:lineRule="auto"/>
                          <w:ind w:left="23" w:right="98"/>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刘祥 南</w:t>
                        </w:r>
                        <w:r>
                          <w:rPr>
                            <w:rFonts w:ascii="Times New Roman" w:hAnsi="Times New Roman" w:cs="Times New Roman" w:eastAsia="Times New Roman" w:hint="default"/>
                            <w:sz w:val="18"/>
                            <w:szCs w:val="18"/>
                          </w:rPr>
                          <w:t>;</w:t>
                        </w:r>
                        <w:r>
                          <w:rPr>
                            <w:rFonts w:ascii="宋体" w:hAnsi="宋体" w:cs="宋体" w:eastAsia="宋体" w:hint="default"/>
                            <w:sz w:val="18"/>
                            <w:szCs w:val="18"/>
                          </w:rPr>
                          <w:t>李国林</w:t>
                        </w:r>
                        <w:r>
                          <w:rPr>
                            <w:rFonts w:ascii="Times New Roman" w:hAnsi="Times New Roman" w:cs="Times New Roman" w:eastAsia="Times New Roman" w:hint="default"/>
                            <w:sz w:val="18"/>
                            <w:szCs w:val="18"/>
                          </w:rPr>
                          <w:t>;</w:t>
                        </w:r>
                        <w:r>
                          <w:rPr>
                            <w:rFonts w:ascii="宋体" w:hAnsi="宋体" w:cs="宋体" w:eastAsia="宋体" w:hint="default"/>
                            <w:sz w:val="18"/>
                            <w:szCs w:val="18"/>
                          </w:rPr>
                          <w:t>拉 萨经济技术 开发区通连 投资咨询有 限公司</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关于关联交易的承诺：在本人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本公司持有美亚柏 科股份期间，本人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本公司投资的全 </w:t>
                        </w:r>
                        <w:r>
                          <w:rPr>
                            <w:rFonts w:ascii="宋体" w:hAnsi="宋体" w:cs="宋体" w:eastAsia="宋体" w:hint="default"/>
                            <w:spacing w:val="-3"/>
                            <w:sz w:val="18"/>
                            <w:szCs w:val="18"/>
                          </w:rPr>
                          <w:t>资、控股子企业或公司将尽量避免与美亚柏科发生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关联交易，如与美亚柏科发生不可避免的关联交 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本公司下属全资、控股子 </w:t>
                        </w:r>
                        <w:r>
                          <w:rPr>
                            <w:rFonts w:ascii="宋体" w:hAnsi="宋体" w:cs="宋体" w:eastAsia="宋体" w:hint="default"/>
                            <w:spacing w:val="-17"/>
                            <w:sz w:val="18"/>
                            <w:szCs w:val="18"/>
                          </w:rPr>
                          <w:t>企业或公司将严格按照《公司法》、《证券法》、《厦</w:t>
                        </w:r>
                        <w:r>
                          <w:rPr>
                            <w:rFonts w:ascii="宋体" w:hAnsi="宋体" w:cs="宋体" w:eastAsia="宋体" w:hint="default"/>
                            <w:sz w:val="18"/>
                            <w:szCs w:val="18"/>
                          </w:rPr>
                          <w:t> </w:t>
                        </w:r>
                        <w:r>
                          <w:rPr>
                            <w:rFonts w:ascii="宋体" w:hAnsi="宋体" w:cs="宋体" w:eastAsia="宋体" w:hint="default"/>
                            <w:spacing w:val="-3"/>
                            <w:sz w:val="18"/>
                            <w:szCs w:val="18"/>
                          </w:rPr>
                          <w:t>门市美亚柏科信息股份有限公司章程》和《厦门市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美亚柏科信息股份有限公司关联交易管理制度》的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规定规范关联交易行为。如违反上述承诺，本人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本公司愿承担由此产生的一切法律责任。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2011-02-25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正在履行，未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发现违反承 诺的情况。</w:t>
                        </w:r>
                      </w:p>
                    </w:tc>
                  </w:tr>
                  <w:tr>
                    <w:trPr>
                      <w:trHeight w:val="3794"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2" w:right="21"/>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联交易、资金占用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04" w:lineRule="auto"/>
                          <w:ind w:left="23" w:right="98"/>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滕达</w:t>
                        </w:r>
                        <w:r>
                          <w:rPr>
                            <w:rFonts w:ascii="Times New Roman" w:hAnsi="Times New Roman" w:cs="Times New Roman" w:eastAsia="Times New Roman" w:hint="default"/>
                            <w:sz w:val="18"/>
                            <w:szCs w:val="18"/>
                          </w:rPr>
                          <w:t>; </w:t>
                        </w:r>
                        <w:r>
                          <w:rPr>
                            <w:rFonts w:ascii="宋体" w:hAnsi="宋体" w:cs="宋体" w:eastAsia="宋体" w:hint="default"/>
                            <w:sz w:val="18"/>
                            <w:szCs w:val="18"/>
                          </w:rPr>
                          <w:t>刘祥南</w:t>
                        </w:r>
                        <w:r>
                          <w:rPr>
                            <w:rFonts w:ascii="Times New Roman" w:hAnsi="Times New Roman" w:cs="Times New Roman" w:eastAsia="Times New Roman" w:hint="default"/>
                            <w:sz w:val="18"/>
                            <w:szCs w:val="18"/>
                          </w:rPr>
                          <w:t>;</w:t>
                        </w:r>
                        <w:r>
                          <w:rPr>
                            <w:rFonts w:ascii="宋体" w:hAnsi="宋体" w:cs="宋体" w:eastAsia="宋体" w:hint="default"/>
                            <w:sz w:val="18"/>
                            <w:szCs w:val="18"/>
                          </w:rPr>
                          <w:t>李国 林</w:t>
                        </w:r>
                        <w:r>
                          <w:rPr>
                            <w:rFonts w:ascii="Times New Roman" w:hAnsi="Times New Roman" w:cs="Times New Roman" w:eastAsia="Times New Roman" w:hint="default"/>
                            <w:sz w:val="18"/>
                            <w:szCs w:val="18"/>
                          </w:rPr>
                          <w:t>;</w:t>
                        </w:r>
                        <w:r>
                          <w:rPr>
                            <w:rFonts w:ascii="宋体" w:hAnsi="宋体" w:cs="宋体" w:eastAsia="宋体" w:hint="default"/>
                            <w:sz w:val="18"/>
                            <w:szCs w:val="18"/>
                          </w:rPr>
                          <w:t>拉萨经济 技术开发区 通连投资咨 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申强</w:t>
                        </w:r>
                        <w:r>
                          <w:rPr>
                            <w:rFonts w:ascii="Times New Roman" w:hAnsi="Times New Roman" w:cs="Times New Roman" w:eastAsia="Times New Roman" w:hint="default"/>
                            <w:sz w:val="18"/>
                            <w:szCs w:val="18"/>
                          </w:rPr>
                          <w:t>;</w:t>
                        </w:r>
                        <w:r>
                          <w:rPr>
                            <w:rFonts w:ascii="宋体" w:hAnsi="宋体" w:cs="宋体" w:eastAsia="宋体" w:hint="default"/>
                            <w:sz w:val="18"/>
                            <w:szCs w:val="18"/>
                          </w:rPr>
                          <w:t>吴鸿伟</w:t>
                        </w:r>
                        <w:r>
                          <w:rPr>
                            <w:rFonts w:ascii="Times New Roman" w:hAnsi="Times New Roman" w:cs="Times New Roman" w:eastAsia="Times New Roman" w:hint="default"/>
                            <w:sz w:val="18"/>
                            <w:szCs w:val="18"/>
                          </w:rPr>
                          <w:t>; </w:t>
                        </w:r>
                        <w:r>
                          <w:rPr>
                            <w:rFonts w:ascii="宋体" w:hAnsi="宋体" w:cs="宋体" w:eastAsia="宋体" w:hint="default"/>
                            <w:sz w:val="18"/>
                            <w:szCs w:val="18"/>
                          </w:rPr>
                          <w:t>丛艳芬</w:t>
                        </w:r>
                        <w:r>
                          <w:rPr>
                            <w:rFonts w:ascii="Times New Roman" w:hAnsi="Times New Roman" w:cs="Times New Roman" w:eastAsia="Times New Roman" w:hint="default"/>
                            <w:sz w:val="18"/>
                            <w:szCs w:val="18"/>
                          </w:rPr>
                          <w:t>;</w:t>
                        </w:r>
                        <w:r>
                          <w:rPr>
                            <w:rFonts w:ascii="宋体" w:hAnsi="宋体" w:cs="宋体" w:eastAsia="宋体" w:hint="default"/>
                            <w:sz w:val="18"/>
                            <w:szCs w:val="18"/>
                          </w:rPr>
                          <w:t>黄基 鹏</w:t>
                        </w:r>
                        <w:r>
                          <w:rPr>
                            <w:rFonts w:ascii="Times New Roman" w:hAnsi="Times New Roman" w:cs="Times New Roman" w:eastAsia="Times New Roman" w:hint="default"/>
                            <w:sz w:val="18"/>
                            <w:szCs w:val="18"/>
                          </w:rPr>
                          <w:t>;</w:t>
                        </w:r>
                        <w:r>
                          <w:rPr>
                            <w:rFonts w:ascii="宋体" w:hAnsi="宋体" w:cs="宋体" w:eastAsia="宋体" w:hint="default"/>
                            <w:sz w:val="18"/>
                            <w:szCs w:val="18"/>
                          </w:rPr>
                          <w:t>张雪峰</w:t>
                        </w:r>
                        <w:r>
                          <w:rPr>
                            <w:rFonts w:ascii="Times New Roman" w:hAnsi="Times New Roman" w:cs="Times New Roman" w:eastAsia="Times New Roman" w:hint="default"/>
                            <w:sz w:val="18"/>
                            <w:szCs w:val="18"/>
                          </w:rPr>
                          <w:t>;</w:t>
                        </w:r>
                        <w:r>
                          <w:rPr>
                            <w:rFonts w:ascii="宋体" w:hAnsi="宋体" w:cs="宋体" w:eastAsia="宋体" w:hint="default"/>
                            <w:sz w:val="18"/>
                            <w:szCs w:val="18"/>
                          </w:rPr>
                          <w:t>高 峰</w:t>
                        </w:r>
                        <w:r>
                          <w:rPr>
                            <w:rFonts w:ascii="Times New Roman" w:hAnsi="Times New Roman" w:cs="Times New Roman" w:eastAsia="Times New Roman" w:hint="default"/>
                            <w:sz w:val="18"/>
                            <w:szCs w:val="18"/>
                          </w:rPr>
                          <w:t>;</w:t>
                        </w:r>
                        <w:r>
                          <w:rPr>
                            <w:rFonts w:ascii="宋体" w:hAnsi="宋体" w:cs="宋体" w:eastAsia="宋体" w:hint="default"/>
                            <w:sz w:val="18"/>
                            <w:szCs w:val="18"/>
                          </w:rPr>
                          <w:t>赵庸</w:t>
                        </w:r>
                        <w:r>
                          <w:rPr>
                            <w:rFonts w:ascii="Times New Roman" w:hAnsi="Times New Roman" w:cs="Times New Roman" w:eastAsia="Times New Roman" w:hint="default"/>
                            <w:sz w:val="18"/>
                            <w:szCs w:val="18"/>
                          </w:rPr>
                          <w:t>;</w:t>
                        </w:r>
                        <w:r>
                          <w:rPr>
                            <w:rFonts w:ascii="宋体" w:hAnsi="宋体" w:cs="宋体" w:eastAsia="宋体" w:hint="default"/>
                            <w:sz w:val="18"/>
                            <w:szCs w:val="18"/>
                          </w:rPr>
                          <w:t>张乃 军</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《避免同业竞争承诺函》承诺：</w:t>
                        </w:r>
                        <w:r>
                          <w:rPr>
                            <w:rFonts w:ascii="Times New Roman" w:hAnsi="Times New Roman" w:cs="Times New Roman" w:eastAsia="Times New Roman" w:hint="default"/>
                            <w:sz w:val="18"/>
                            <w:szCs w:val="18"/>
                          </w:rPr>
                          <w:t>"</w:t>
                        </w:r>
                        <w:r>
                          <w:rPr>
                            <w:rFonts w:ascii="宋体" w:hAnsi="宋体" w:cs="宋体" w:eastAsia="宋体" w:hint="default"/>
                            <w:sz w:val="18"/>
                            <w:szCs w:val="18"/>
                          </w:rPr>
                          <w:t>确认及保证在承 诺函签署之日前与美亚柏科不存在直接或间接的 </w:t>
                        </w:r>
                        <w:r>
                          <w:rPr>
                            <w:rFonts w:ascii="宋体" w:hAnsi="宋体" w:cs="宋体" w:eastAsia="宋体" w:hint="default"/>
                            <w:spacing w:val="-3"/>
                            <w:sz w:val="18"/>
                            <w:szCs w:val="18"/>
                          </w:rPr>
                          <w:t>同业竞争情形；承诺不直接或间接从事或发展与美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亚柏科经营范围相同或相类似的业务或项目，也不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为自身或代表任何第三方与美亚柏科进行直接或 </w:t>
                        </w:r>
                        <w:r>
                          <w:rPr>
                            <w:rFonts w:ascii="宋体" w:hAnsi="宋体" w:cs="宋体" w:eastAsia="宋体" w:hint="default"/>
                            <w:spacing w:val="-3"/>
                            <w:sz w:val="18"/>
                            <w:szCs w:val="18"/>
                          </w:rPr>
                          <w:t>间接的竞争；承诺不利用从美亚柏科获取的信息从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事、直接或间接参与与美亚柏科相竞争的活动，并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承诺不进行任何损害或可能损害美亚柏科利益的</w:t>
                        </w:r>
                        <w:r>
                          <w:rPr>
                            <w:rFonts w:ascii="宋体" w:hAnsi="宋体" w:cs="宋体" w:eastAsia="宋体" w:hint="default"/>
                            <w:sz w:val="18"/>
                            <w:szCs w:val="18"/>
                          </w:rPr>
                          <w:t> </w:t>
                        </w:r>
                        <w:r>
                          <w:rPr>
                            <w:rFonts w:ascii="宋体" w:hAnsi="宋体" w:cs="宋体" w:eastAsia="宋体" w:hint="default"/>
                            <w:spacing w:val="-3"/>
                            <w:sz w:val="18"/>
                            <w:szCs w:val="18"/>
                          </w:rPr>
                          <w:t>其他竞争行为；从任何第三方获得的任何商业机会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与美亚柏科所从事的业务有实质性竞争或可能有 </w:t>
                        </w:r>
                        <w:r>
                          <w:rPr>
                            <w:rFonts w:ascii="宋体" w:hAnsi="宋体" w:cs="宋体" w:eastAsia="宋体" w:hint="default"/>
                            <w:spacing w:val="-3"/>
                            <w:sz w:val="18"/>
                            <w:szCs w:val="18"/>
                          </w:rPr>
                          <w:t>实质性竞争，将立即通知美亚柏科，并将该商业机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会让与美亚柏科；如出现违反上述承诺与保证而导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2" w:right="0"/>
                          <w:jc w:val="left"/>
                          <w:rPr>
                            <w:rFonts w:ascii="Times New Roman" w:hAnsi="Times New Roman" w:cs="Times New Roman" w:eastAsia="Times New Roman" w:hint="default"/>
                            <w:sz w:val="18"/>
                            <w:szCs w:val="18"/>
                          </w:rPr>
                        </w:pPr>
                        <w:r>
                          <w:rPr>
                            <w:rFonts w:ascii="Times New Roman"/>
                            <w:sz w:val="18"/>
                          </w:rPr>
                          <w:t>2011-02-25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2" w:right="0"/>
                          <w:jc w:val="left"/>
                          <w:rPr>
                            <w:rFonts w:ascii="Times New Roman" w:hAnsi="Times New Roman" w:cs="Times New Roman" w:eastAsia="Times New Roman" w:hint="default"/>
                            <w:sz w:val="18"/>
                            <w:szCs w:val="18"/>
                          </w:rPr>
                        </w:pPr>
                        <w:r>
                          <w:rPr>
                            <w:rFonts w:ascii="Times New Roman"/>
                            <w:sz w:val="18"/>
                          </w:rPr>
                          <w:t>9999-12-31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正在履行，未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发现违反承 诺的情况。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44"/>
        <w:ind w:left="0" w:right="17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7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宋体" w:hAnsi="宋体" w:cs="宋体" w:eastAsia="宋体" w:hint="default"/>
          <w:sz w:val="20"/>
          <w:szCs w:val="20"/>
        </w:rPr>
      </w:pPr>
      <w:r>
        <w:rPr/>
        <w:pict>
          <v:shape style="position:absolute;margin-left:358.863007pt;margin-top:313.97998pt;width:73.3pt;height:188.25pt;mso-position-horizontal-relative:page;mso-position-vertical-relative:page;z-index:-9451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时止。</w:t>
                  </w:r>
                </w:p>
              </w:txbxContent>
            </v:textbox>
            <w10:wrap type="none"/>
          </v:shape>
        </w:pict>
      </w:r>
      <w:r>
        <w:rPr/>
        <w:pict>
          <v:shape style="position:absolute;margin-left:56.459999pt;margin-top:71.999985pt;width:479.1pt;height:678.2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135"/>
                    <w:gridCol w:w="3968"/>
                    <w:gridCol w:w="992"/>
                    <w:gridCol w:w="992"/>
                    <w:gridCol w:w="1062"/>
                  </w:tblGrid>
                  <w:tr>
                    <w:trPr>
                      <w:trHeight w:val="6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致美亚柏科或其他股东权益受到损害的情况，承诺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人将依法承担相应的赔偿责任。</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930"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23"/>
                          <w:jc w:val="left"/>
                          <w:rPr>
                            <w:rFonts w:ascii="宋体" w:hAnsi="宋体" w:cs="宋体" w:eastAsia="宋体" w:hint="default"/>
                            <w:sz w:val="18"/>
                            <w:szCs w:val="18"/>
                          </w:rPr>
                        </w:pPr>
                        <w:r>
                          <w:rPr>
                            <w:rFonts w:ascii="宋体" w:hAnsi="宋体" w:cs="宋体" w:eastAsia="宋体" w:hint="default"/>
                            <w:sz w:val="18"/>
                            <w:szCs w:val="18"/>
                          </w:rPr>
                          <w:t>一致行动协议承 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3" w:right="98"/>
                          <w:jc w:val="both"/>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刘祥 南</w:t>
                        </w:r>
                        <w:r>
                          <w:rPr>
                            <w:rFonts w:ascii="Times New Roman" w:hAnsi="Times New Roman" w:cs="Times New Roman" w:eastAsia="Times New Roman" w:hint="default"/>
                            <w:sz w:val="18"/>
                            <w:szCs w:val="18"/>
                          </w:rPr>
                          <w:t>;</w:t>
                        </w:r>
                        <w:r>
                          <w:rPr>
                            <w:rFonts w:ascii="宋体" w:hAnsi="宋体" w:cs="宋体" w:eastAsia="宋体" w:hint="default"/>
                            <w:sz w:val="18"/>
                            <w:szCs w:val="18"/>
                          </w:rPr>
                          <w:t>滕达</w:t>
                        </w:r>
                        <w:r>
                          <w:rPr>
                            <w:rFonts w:ascii="Times New Roman" w:hAnsi="Times New Roman" w:cs="Times New Roman" w:eastAsia="Times New Roman" w:hint="default"/>
                            <w:sz w:val="18"/>
                            <w:szCs w:val="18"/>
                          </w:rPr>
                          <w:t>;</w:t>
                        </w:r>
                        <w:r>
                          <w:rPr>
                            <w:rFonts w:ascii="宋体" w:hAnsi="宋体" w:cs="宋体" w:eastAsia="宋体" w:hint="default"/>
                            <w:sz w:val="18"/>
                            <w:szCs w:val="18"/>
                          </w:rPr>
                          <w:t>李国 林</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5"/>
                          <w:jc w:val="left"/>
                          <w:rPr>
                            <w:rFonts w:ascii="宋体" w:hAnsi="宋体" w:cs="宋体" w:eastAsia="宋体" w:hint="default"/>
                            <w:sz w:val="18"/>
                            <w:szCs w:val="18"/>
                          </w:rPr>
                        </w:pPr>
                        <w:r>
                          <w:rPr>
                            <w:rFonts w:ascii="宋体" w:hAnsi="宋体" w:cs="宋体" w:eastAsia="宋体" w:hint="default"/>
                            <w:spacing w:val="-3"/>
                            <w:sz w:val="18"/>
                            <w:szCs w:val="18"/>
                          </w:rPr>
                          <w:t>为保持公司经营决策的一致性，郭永芳、滕达、刘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祥南三人签订了《一致行动协议》，互为一致行动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7"/>
                            <w:sz w:val="18"/>
                            <w:szCs w:val="18"/>
                          </w:rPr>
                          <w:t>人。《一致行动协议》具体内容如下：</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、根据公司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法等有关法律法规和公司章程需要由公司股东大 </w:t>
                        </w:r>
                        <w:r>
                          <w:rPr>
                            <w:rFonts w:ascii="宋体" w:hAnsi="宋体" w:cs="宋体" w:eastAsia="宋体" w:hint="default"/>
                            <w:spacing w:val="-3"/>
                            <w:sz w:val="18"/>
                            <w:szCs w:val="18"/>
                          </w:rPr>
                          <w:t>会、董事会作出决议的事项，均为各方应一致行动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进行表决的内容。</w:t>
                        </w:r>
                        <w:r>
                          <w:rPr>
                            <w:rFonts w:ascii="Times New Roman" w:hAnsi="Times New Roman" w:cs="Times New Roman" w:eastAsia="Times New Roman" w:hint="default"/>
                            <w:sz w:val="18"/>
                            <w:szCs w:val="18"/>
                          </w:rPr>
                          <w:t>2</w:t>
                        </w:r>
                        <w:r>
                          <w:rPr>
                            <w:rFonts w:ascii="宋体" w:hAnsi="宋体" w:cs="宋体" w:eastAsia="宋体" w:hint="default"/>
                            <w:sz w:val="18"/>
                            <w:szCs w:val="18"/>
                          </w:rPr>
                          <w:t>、各方遵照有关法律、法规的 规定和协议的约定以及各自所作出的承诺行使权 利。</w:t>
                        </w:r>
                        <w:r>
                          <w:rPr>
                            <w:rFonts w:ascii="Times New Roman" w:hAnsi="Times New Roman" w:cs="Times New Roman" w:eastAsia="Times New Roman" w:hint="default"/>
                            <w:sz w:val="18"/>
                            <w:szCs w:val="18"/>
                          </w:rPr>
                          <w:t>3</w:t>
                        </w:r>
                        <w:r>
                          <w:rPr>
                            <w:rFonts w:ascii="宋体" w:hAnsi="宋体" w:cs="宋体" w:eastAsia="宋体" w:hint="default"/>
                            <w:sz w:val="18"/>
                            <w:szCs w:val="18"/>
                          </w:rPr>
                          <w:t>、在协议有效期内，除关联交易需要回避的 </w:t>
                        </w:r>
                        <w:r>
                          <w:rPr>
                            <w:rFonts w:ascii="宋体" w:hAnsi="宋体" w:cs="宋体" w:eastAsia="宋体" w:hint="default"/>
                            <w:spacing w:val="-3"/>
                            <w:sz w:val="18"/>
                            <w:szCs w:val="18"/>
                          </w:rPr>
                          <w:t>情形外，一致行动人为公司股东的，各方保证在参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加公司股东大会行使表决权时与本协议他方保持 </w:t>
                        </w:r>
                        <w:r>
                          <w:rPr>
                            <w:rFonts w:ascii="宋体" w:hAnsi="宋体" w:cs="宋体" w:eastAsia="宋体" w:hint="default"/>
                            <w:spacing w:val="-3"/>
                            <w:sz w:val="18"/>
                            <w:szCs w:val="18"/>
                          </w:rPr>
                          <w:t>一致。在协议有效期内，各方可以亲自参加公司召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开的股东大会，也可以委托协议他方代为参加股东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大会并行使表决权。</w:t>
                        </w:r>
                        <w:r>
                          <w:rPr>
                            <w:rFonts w:ascii="Times New Roman" w:hAnsi="Times New Roman" w:cs="Times New Roman" w:eastAsia="Times New Roman" w:hint="default"/>
                            <w:sz w:val="18"/>
                            <w:szCs w:val="18"/>
                          </w:rPr>
                          <w:t>4</w:t>
                        </w:r>
                        <w:r>
                          <w:rPr>
                            <w:rFonts w:ascii="宋体" w:hAnsi="宋体" w:cs="宋体" w:eastAsia="宋体" w:hint="default"/>
                            <w:sz w:val="18"/>
                            <w:szCs w:val="18"/>
                          </w:rPr>
                          <w:t>、在协议有效期内，除关联 交易需要回避的情形外，在董事会召开会议表决 </w:t>
                        </w:r>
                        <w:r>
                          <w:rPr>
                            <w:rFonts w:ascii="宋体" w:hAnsi="宋体" w:cs="宋体" w:eastAsia="宋体" w:hint="default"/>
                            <w:spacing w:val="-3"/>
                            <w:sz w:val="18"/>
                            <w:szCs w:val="18"/>
                          </w:rPr>
                          <w:t>时，各方亦与协议他方保持一致。如担任董事的一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方不能参加董事会需要委托其他董事参加会议时， 应委托协议他方代为投票表决。</w:t>
                        </w:r>
                        <w:r>
                          <w:rPr>
                            <w:rFonts w:ascii="Times New Roman" w:hAnsi="Times New Roman" w:cs="Times New Roman" w:eastAsia="Times New Roman" w:hint="default"/>
                            <w:sz w:val="18"/>
                            <w:szCs w:val="18"/>
                          </w:rPr>
                          <w:t>5</w:t>
                        </w:r>
                        <w:r>
                          <w:rPr>
                            <w:rFonts w:ascii="宋体" w:hAnsi="宋体" w:cs="宋体" w:eastAsia="宋体" w:hint="default"/>
                            <w:sz w:val="18"/>
                            <w:szCs w:val="18"/>
                          </w:rPr>
                          <w:t>、协议自签署之 </w:t>
                        </w:r>
                        <w:r>
                          <w:rPr>
                            <w:rFonts w:ascii="宋体" w:hAnsi="宋体" w:cs="宋体" w:eastAsia="宋体" w:hint="default"/>
                            <w:spacing w:val="-3"/>
                            <w:sz w:val="18"/>
                            <w:szCs w:val="18"/>
                          </w:rPr>
                          <w:t>日起生效，至公司股票上市之日起满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3"/>
                            <w:sz w:val="18"/>
                            <w:szCs w:val="18"/>
                          </w:rPr>
                          <w:t>协议一经签订即不可撤销，除非协议所规定的期限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届满。除上述《一致行动协议》外，李国林也承诺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公司股票上市之日起满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个月内在股东大会、董 事会行使表决权时与郭永芳保持一致。</w:t>
                        </w:r>
                      </w:p>
                      <w:p>
                        <w:pPr>
                          <w:pStyle w:val="TableParagraph"/>
                          <w:spacing w:line="309" w:lineRule="auto" w:before="62"/>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日，公司实际控制人郭永芳、滕达 </w:t>
                        </w:r>
                        <w:r>
                          <w:rPr>
                            <w:rFonts w:ascii="宋体" w:hAnsi="宋体" w:cs="宋体" w:eastAsia="宋体" w:hint="default"/>
                            <w:spacing w:val="-5"/>
                            <w:sz w:val="18"/>
                            <w:szCs w:val="18"/>
                          </w:rPr>
                          <w:t>和刘祥南续签了《一致行动协议》，协议有效期自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2011-02-25</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2017-03-15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李国林承诺 </w:t>
                        </w:r>
                        <w:r>
                          <w:rPr>
                            <w:rFonts w:ascii="宋体" w:hAnsi="宋体" w:cs="宋体" w:eastAsia="宋体" w:hint="default"/>
                            <w:spacing w:val="-13"/>
                            <w:sz w:val="18"/>
                            <w:szCs w:val="18"/>
                          </w:rPr>
                          <w:t>履行完毕；实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际控制人郭 </w:t>
                        </w:r>
                        <w:r>
                          <w:rPr>
                            <w:rFonts w:ascii="宋体" w:hAnsi="宋体" w:cs="宋体" w:eastAsia="宋体" w:hint="default"/>
                            <w:spacing w:val="-13"/>
                            <w:sz w:val="18"/>
                            <w:szCs w:val="18"/>
                          </w:rPr>
                          <w:t>永芳、滕达和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刘祥南继续 </w:t>
                        </w:r>
                        <w:r>
                          <w:rPr>
                            <w:rFonts w:ascii="宋体" w:hAnsi="宋体" w:cs="宋体" w:eastAsia="宋体" w:hint="default"/>
                            <w:spacing w:val="-13"/>
                            <w:sz w:val="18"/>
                            <w:szCs w:val="18"/>
                          </w:rPr>
                          <w:t>履行《一致行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动协议》；未</w:t>
                        </w:r>
                        <w:r>
                          <w:rPr>
                            <w:rFonts w:ascii="宋体" w:hAnsi="宋体" w:cs="宋体" w:eastAsia="宋体" w:hint="default"/>
                            <w:sz w:val="18"/>
                            <w:szCs w:val="18"/>
                          </w:rPr>
                          <w:t> 发现违反承 诺的情况。</w:t>
                        </w:r>
                      </w:p>
                    </w:tc>
                  </w:tr>
                  <w:tr>
                    <w:trPr>
                      <w:trHeight w:val="22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98"/>
                          <w:jc w:val="both"/>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刘祥 南</w:t>
                        </w:r>
                        <w:r>
                          <w:rPr>
                            <w:rFonts w:ascii="Times New Roman" w:hAnsi="Times New Roman" w:cs="Times New Roman" w:eastAsia="Times New Roman" w:hint="default"/>
                            <w:sz w:val="18"/>
                            <w:szCs w:val="18"/>
                          </w:rPr>
                          <w:t>;</w:t>
                        </w:r>
                        <w:r>
                          <w:rPr>
                            <w:rFonts w:ascii="宋体" w:hAnsi="宋体" w:cs="宋体" w:eastAsia="宋体" w:hint="default"/>
                            <w:sz w:val="18"/>
                            <w:szCs w:val="18"/>
                          </w:rPr>
                          <w:t>李国林</w:t>
                        </w:r>
                        <w:r>
                          <w:rPr>
                            <w:rFonts w:ascii="Times New Roman" w:hAnsi="Times New Roman" w:cs="Times New Roman" w:eastAsia="Times New Roman" w:hint="default"/>
                            <w:sz w:val="18"/>
                            <w:szCs w:val="18"/>
                          </w:rPr>
                          <w:t>;</w:t>
                        </w:r>
                        <w:r>
                          <w:rPr>
                            <w:rFonts w:ascii="宋体" w:hAnsi="宋体" w:cs="宋体" w:eastAsia="宋体" w:hint="default"/>
                            <w:sz w:val="18"/>
                            <w:szCs w:val="18"/>
                          </w:rPr>
                          <w:t>申 强</w:t>
                        </w:r>
                        <w:r>
                          <w:rPr>
                            <w:rFonts w:ascii="Times New Roman" w:hAnsi="Times New Roman" w:cs="Times New Roman" w:eastAsia="Times New Roman" w:hint="default"/>
                            <w:sz w:val="18"/>
                            <w:szCs w:val="18"/>
                          </w:rPr>
                          <w:t>;</w:t>
                        </w:r>
                        <w:r>
                          <w:rPr>
                            <w:rFonts w:ascii="宋体" w:hAnsi="宋体" w:cs="宋体" w:eastAsia="宋体" w:hint="default"/>
                            <w:sz w:val="18"/>
                            <w:szCs w:val="18"/>
                          </w:rPr>
                          <w:t>丛艳芬</w:t>
                        </w:r>
                        <w:r>
                          <w:rPr>
                            <w:rFonts w:ascii="Times New Roman" w:hAnsi="Times New Roman" w:cs="Times New Roman" w:eastAsia="Times New Roman" w:hint="default"/>
                            <w:sz w:val="18"/>
                            <w:szCs w:val="18"/>
                          </w:rPr>
                          <w:t>;</w:t>
                        </w:r>
                        <w:r>
                          <w:rPr>
                            <w:rFonts w:ascii="宋体" w:hAnsi="宋体" w:cs="宋体" w:eastAsia="宋体" w:hint="default"/>
                            <w:sz w:val="18"/>
                            <w:szCs w:val="18"/>
                          </w:rPr>
                          <w:t>张 雪峰</w:t>
                        </w:r>
                        <w:r>
                          <w:rPr>
                            <w:rFonts w:ascii="Times New Roman" w:hAnsi="Times New Roman" w:cs="Times New Roman" w:eastAsia="Times New Roman" w:hint="default"/>
                            <w:sz w:val="18"/>
                            <w:szCs w:val="18"/>
                          </w:rPr>
                          <w:t>;</w:t>
                        </w:r>
                        <w:r>
                          <w:rPr>
                            <w:rFonts w:ascii="宋体" w:hAnsi="宋体" w:cs="宋体" w:eastAsia="宋体" w:hint="default"/>
                            <w:sz w:val="18"/>
                            <w:szCs w:val="18"/>
                          </w:rPr>
                          <w:t>吴鸿伟</w:t>
                        </w:r>
                        <w:r>
                          <w:rPr>
                            <w:rFonts w:ascii="Times New Roman" w:hAnsi="Times New Roman" w:cs="Times New Roman" w:eastAsia="Times New Roman" w:hint="default"/>
                            <w:sz w:val="18"/>
                            <w:szCs w:val="18"/>
                          </w:rPr>
                          <w:t>; </w:t>
                        </w:r>
                        <w:r>
                          <w:rPr>
                            <w:rFonts w:ascii="宋体" w:hAnsi="宋体" w:cs="宋体" w:eastAsia="宋体" w:hint="default"/>
                            <w:sz w:val="18"/>
                            <w:szCs w:val="18"/>
                          </w:rPr>
                          <w:t>赵庸</w:t>
                        </w:r>
                        <w:r>
                          <w:rPr>
                            <w:rFonts w:ascii="Times New Roman" w:hAnsi="Times New Roman" w:cs="Times New Roman" w:eastAsia="Times New Roman" w:hint="default"/>
                            <w:sz w:val="18"/>
                            <w:szCs w:val="18"/>
                          </w:rPr>
                          <w:t>;</w:t>
                        </w:r>
                        <w:r>
                          <w:rPr>
                            <w:rFonts w:ascii="宋体" w:hAnsi="宋体" w:cs="宋体" w:eastAsia="宋体" w:hint="default"/>
                            <w:sz w:val="18"/>
                            <w:szCs w:val="18"/>
                          </w:rPr>
                          <w:t>高峰</w:t>
                        </w:r>
                        <w:r>
                          <w:rPr>
                            <w:rFonts w:ascii="Times New Roman" w:hAnsi="Times New Roman" w:cs="Times New Roman" w:eastAsia="Times New Roman" w:hint="default"/>
                            <w:sz w:val="18"/>
                            <w:szCs w:val="18"/>
                          </w:rPr>
                          <w:t>;</w:t>
                        </w:r>
                        <w:r>
                          <w:rPr>
                            <w:rFonts w:ascii="宋体" w:hAnsi="宋体" w:cs="宋体" w:eastAsia="宋体" w:hint="default"/>
                            <w:sz w:val="18"/>
                            <w:szCs w:val="18"/>
                          </w:rPr>
                          <w:t>黄 基鹏</w:t>
                        </w:r>
                        <w:r>
                          <w:rPr>
                            <w:rFonts w:ascii="Times New Roman" w:hAnsi="Times New Roman" w:cs="Times New Roman" w:eastAsia="Times New Roman" w:hint="default"/>
                            <w:sz w:val="18"/>
                            <w:szCs w:val="18"/>
                          </w:rPr>
                          <w:t>;</w:t>
                        </w:r>
                        <w:r>
                          <w:rPr>
                            <w:rFonts w:ascii="宋体" w:hAnsi="宋体" w:cs="宋体" w:eastAsia="宋体" w:hint="default"/>
                            <w:sz w:val="18"/>
                            <w:szCs w:val="18"/>
                          </w:rPr>
                          <w:t>张乃军</w:t>
                        </w:r>
                        <w:r>
                          <w:rPr>
                            <w:rFonts w:ascii="Times New Roman" w:hAnsi="Times New Roman" w:cs="Times New Roman" w:eastAsia="Times New Roman" w:hint="default"/>
                            <w:sz w:val="18"/>
                            <w:szCs w:val="18"/>
                          </w:rPr>
                          <w:t>; </w:t>
                        </w:r>
                        <w:r>
                          <w:rPr>
                            <w:rFonts w:ascii="宋体" w:hAnsi="宋体" w:cs="宋体" w:eastAsia="宋体" w:hint="default"/>
                            <w:sz w:val="18"/>
                            <w:szCs w:val="18"/>
                          </w:rPr>
                          <w:t>郭泓</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z w:val="18"/>
                            <w:szCs w:val="18"/>
                          </w:rPr>
                          <w:t>任职期间每年转让直接或间接持有的发行人股份 不超过其所持有发行人股份总数的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；离职后半</w:t>
                        </w:r>
                        <w:r>
                          <w:rPr>
                            <w:rFonts w:ascii="宋体" w:hAnsi="宋体" w:cs="宋体" w:eastAsia="宋体" w:hint="default"/>
                            <w:sz w:val="18"/>
                            <w:szCs w:val="18"/>
                          </w:rPr>
                          <w:t> 年内，不转让其直接或间接持有的发行人股份。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2011-02-25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正在履行，未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发现违反承 诺的情况。</w:t>
                        </w:r>
                      </w:p>
                    </w:tc>
                  </w:tr>
                  <w:tr>
                    <w:trPr>
                      <w:trHeight w:val="1338"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3"/>
                          <w:jc w:val="left"/>
                          <w:rPr>
                            <w:rFonts w:ascii="宋体" w:hAnsi="宋体" w:cs="宋体" w:eastAsia="宋体" w:hint="default"/>
                            <w:sz w:val="18"/>
                            <w:szCs w:val="18"/>
                          </w:rPr>
                        </w:pPr>
                        <w:r>
                          <w:rPr>
                            <w:rFonts w:ascii="宋体" w:hAnsi="宋体" w:cs="宋体" w:eastAsia="宋体" w:hint="default"/>
                            <w:sz w:val="18"/>
                            <w:szCs w:val="18"/>
                          </w:rPr>
                          <w:t>募集资金使用承 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99"/>
                          <w:jc w:val="both"/>
                          <w:rPr>
                            <w:rFonts w:ascii="宋体" w:hAnsi="宋体" w:cs="宋体" w:eastAsia="宋体" w:hint="default"/>
                            <w:sz w:val="18"/>
                            <w:szCs w:val="18"/>
                          </w:rPr>
                        </w:pPr>
                        <w:r>
                          <w:rPr>
                            <w:rFonts w:ascii="宋体" w:hAnsi="宋体" w:cs="宋体" w:eastAsia="宋体" w:hint="default"/>
                            <w:sz w:val="18"/>
                            <w:szCs w:val="18"/>
                          </w:rPr>
                          <w:t>厦门市美亚 柏科信息股 份有限公司</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公司使用部分超募资金永久补充流动资金时的承 诺：承诺公司补充流动资金后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 </w:t>
                        </w:r>
                        <w:r>
                          <w:rPr>
                            <w:rFonts w:ascii="宋体" w:hAnsi="宋体" w:cs="宋体" w:eastAsia="宋体" w:hint="default"/>
                            <w:spacing w:val="-3"/>
                            <w:sz w:val="18"/>
                            <w:szCs w:val="18"/>
                          </w:rPr>
                          <w:t>证券投资，委托理财，衍生品投资，创业投资等高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风险投资以及为他人提供财务资助。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2013-05-17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2014-05-16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已履行完毕 不存在违反 承诺的情况</w:t>
                        </w:r>
                      </w:p>
                    </w:tc>
                  </w:tr>
                  <w:tr>
                    <w:trPr>
                      <w:trHeight w:val="1338"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3"/>
                          <w:jc w:val="left"/>
                          <w:rPr>
                            <w:rFonts w:ascii="宋体" w:hAnsi="宋体" w:cs="宋体" w:eastAsia="宋体" w:hint="default"/>
                            <w:sz w:val="18"/>
                            <w:szCs w:val="18"/>
                          </w:rPr>
                        </w:pPr>
                        <w:r>
                          <w:rPr>
                            <w:rFonts w:ascii="宋体" w:hAnsi="宋体" w:cs="宋体" w:eastAsia="宋体" w:hint="default"/>
                            <w:sz w:val="18"/>
                            <w:szCs w:val="18"/>
                          </w:rPr>
                          <w:t>募集资金使用承 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99"/>
                          <w:jc w:val="both"/>
                          <w:rPr>
                            <w:rFonts w:ascii="宋体" w:hAnsi="宋体" w:cs="宋体" w:eastAsia="宋体" w:hint="default"/>
                            <w:sz w:val="18"/>
                            <w:szCs w:val="18"/>
                          </w:rPr>
                        </w:pPr>
                        <w:r>
                          <w:rPr>
                            <w:rFonts w:ascii="宋体" w:hAnsi="宋体" w:cs="宋体" w:eastAsia="宋体" w:hint="default"/>
                            <w:sz w:val="18"/>
                            <w:szCs w:val="18"/>
                          </w:rPr>
                          <w:t>厦门市美亚 柏科信息股 份有限公司</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公司将节余募集资金永久补充流动资金时的承诺： 承诺本次补充流动资金后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个月内，不进行证券 </w:t>
                        </w:r>
                        <w:r>
                          <w:rPr>
                            <w:rFonts w:ascii="宋体" w:hAnsi="宋体" w:cs="宋体" w:eastAsia="宋体" w:hint="default"/>
                            <w:spacing w:val="-3"/>
                            <w:sz w:val="18"/>
                            <w:szCs w:val="18"/>
                          </w:rPr>
                          <w:t>投资、委托理财、衍生品投资、创业投资等高风险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投资以及为他人提供财务资助。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2014-04-30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2015-04-29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正在履行，未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发现违反承 诺的情形。</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line="3764" w:lineRule="exact"/>
        <w:ind w:left="6679" w:right="0" w:firstLine="0"/>
        <w:rPr>
          <w:rFonts w:ascii="宋体" w:hAnsi="宋体" w:cs="宋体" w:eastAsia="宋体" w:hint="default"/>
          <w:sz w:val="20"/>
          <w:szCs w:val="20"/>
        </w:rPr>
      </w:pPr>
      <w:r>
        <w:rPr>
          <w:rFonts w:ascii="宋体" w:hAnsi="宋体" w:cs="宋体" w:eastAsia="宋体" w:hint="default"/>
          <w:position w:val="-74"/>
          <w:sz w:val="20"/>
          <w:szCs w:val="20"/>
        </w:rPr>
        <w:pict>
          <v:group style="width:49.15pt;height:188.25pt;mso-position-horizontal-relative:char;mso-position-vertical-relative:line" coordorigin="0,0" coordsize="983,3765">
            <v:group style="position:absolute;left:0;top:0;width:983;height:3765" coordorigin="0,0" coordsize="983,3765">
              <v:shape style="position:absolute;left:0;top:0;width:983;height:3765" coordorigin="0,0" coordsize="983,3765" path="m0,3764l983,3764,983,0,0,0,0,3764xe" filled="true" fillcolor="#ffffff" stroked="false">
                <v:path arrowok="t"/>
                <v:fill type="solid"/>
              </v:shape>
            </v:group>
          </v:group>
        </w:pict>
      </w:r>
      <w:r>
        <w:rPr>
          <w:rFonts w:ascii="宋体" w:hAnsi="宋体" w:cs="宋体" w:eastAsia="宋体" w:hint="default"/>
          <w:position w:val="-74"/>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before="44"/>
        <w:ind w:left="0" w:right="17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5"/>
        <w:rPr>
          <w:rFonts w:ascii="宋体" w:hAnsi="宋体" w:cs="宋体" w:eastAsia="宋体" w:hint="default"/>
          <w:sz w:val="26"/>
          <w:szCs w:val="26"/>
        </w:rPr>
      </w:pPr>
    </w:p>
    <w:p>
      <w:pPr>
        <w:spacing w:before="44"/>
        <w:ind w:left="0" w:right="17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8"/>
        <w:gridCol w:w="1135"/>
        <w:gridCol w:w="3968"/>
        <w:gridCol w:w="992"/>
        <w:gridCol w:w="992"/>
        <w:gridCol w:w="1062"/>
      </w:tblGrid>
      <w:tr>
        <w:trPr>
          <w:trHeight w:val="26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3"/>
                <w:szCs w:val="23"/>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45"/>
              <w:ind w:left="23" w:right="98"/>
              <w:jc w:val="both"/>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刘祥 南</w:t>
            </w:r>
            <w:r>
              <w:rPr>
                <w:rFonts w:ascii="Times New Roman" w:hAnsi="Times New Roman" w:cs="Times New Roman" w:eastAsia="Times New Roman" w:hint="default"/>
                <w:sz w:val="18"/>
                <w:szCs w:val="18"/>
              </w:rPr>
              <w:t>;</w:t>
            </w:r>
            <w:r>
              <w:rPr>
                <w:rFonts w:ascii="宋体" w:hAnsi="宋体" w:cs="宋体" w:eastAsia="宋体" w:hint="default"/>
                <w:sz w:val="18"/>
                <w:szCs w:val="18"/>
              </w:rPr>
              <w:t>滕达</w:t>
            </w:r>
            <w:r>
              <w:rPr>
                <w:rFonts w:ascii="Times New Roman" w:hAnsi="Times New Roman" w:cs="Times New Roman" w:eastAsia="Times New Roman" w:hint="default"/>
                <w:sz w:val="18"/>
                <w:szCs w:val="18"/>
              </w:rPr>
              <w:t>;</w:t>
            </w:r>
            <w:r>
              <w:rPr>
                <w:rFonts w:ascii="宋体" w:hAnsi="宋体" w:cs="宋体" w:eastAsia="宋体" w:hint="default"/>
                <w:sz w:val="18"/>
                <w:szCs w:val="18"/>
              </w:rPr>
              <w:t>陈少 华</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年度利润分配及资本公积金转增股本预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案为：以截至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221,581,600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股为基数，向全体股东按每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0.45</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元</w:t>
            </w:r>
            <w:r>
              <w:rPr>
                <w:rFonts w:ascii="宋体" w:hAnsi="宋体" w:cs="宋体" w:eastAsia="宋体" w:hint="default"/>
                <w:sz w:val="18"/>
                <w:szCs w:val="18"/>
              </w:rPr>
              <w:t>（</w:t>
            </w:r>
            <w:r>
              <w:rPr>
                <w:rFonts w:ascii="宋体" w:hAnsi="宋体" w:cs="宋体" w:eastAsia="宋体" w:hint="default"/>
                <w:spacing w:val="1"/>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同时</w:t>
            </w:r>
            <w:r>
              <w:rPr>
                <w:rFonts w:ascii="宋体" w:hAnsi="宋体" w:cs="宋体" w:eastAsia="宋体" w:hint="default"/>
                <w:spacing w:val="-2"/>
                <w:sz w:val="18"/>
                <w:szCs w:val="18"/>
              </w:rPr>
              <w:t>，</w:t>
            </w:r>
            <w:r>
              <w:rPr>
                <w:rFonts w:ascii="宋体" w:hAnsi="宋体" w:cs="宋体" w:eastAsia="宋体" w:hint="default"/>
                <w:spacing w:val="1"/>
                <w:sz w:val="18"/>
                <w:szCs w:val="18"/>
              </w:rPr>
              <w:t>以</w:t>
            </w:r>
            <w:r>
              <w:rPr>
                <w:rFonts w:ascii="宋体" w:hAnsi="宋体" w:cs="宋体" w:eastAsia="宋体" w:hint="default"/>
                <w:sz w:val="18"/>
                <w:szCs w:val="18"/>
              </w:rPr>
              <w:t>资本公</w:t>
            </w:r>
          </w:p>
          <w:p>
            <w:pPr>
              <w:pStyle w:val="TableParagraph"/>
              <w:spacing w:line="324" w:lineRule="auto" w:before="64"/>
              <w:ind w:left="22" w:right="20"/>
              <w:jc w:val="left"/>
              <w:rPr>
                <w:rFonts w:ascii="宋体" w:hAnsi="宋体" w:cs="宋体" w:eastAsia="宋体" w:hint="default"/>
                <w:sz w:val="18"/>
                <w:szCs w:val="18"/>
              </w:rPr>
            </w:pPr>
            <w:r>
              <w:rPr>
                <w:rFonts w:ascii="宋体" w:hAnsi="宋体" w:cs="宋体" w:eastAsia="宋体" w:hint="default"/>
                <w:sz w:val="18"/>
                <w:szCs w:val="18"/>
              </w:rPr>
              <w:t>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w:t>
            </w:r>
            <w:r>
              <w:rPr>
                <w:rFonts w:ascii="宋体" w:hAnsi="宋体" w:cs="宋体" w:eastAsia="宋体" w:hint="default"/>
                <w:spacing w:val="-3"/>
                <w:sz w:val="18"/>
                <w:szCs w:val="18"/>
              </w:rPr>
              <w:t>董事郭永芳、刘祥南、滕达、陈少华书面承诺，在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公司董事会、股东大会审议上述利润分配及资本公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积金转增股本预案时，投赞成票。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2015-01-21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5"/>
              <w:ind w:left="22" w:right="20"/>
              <w:jc w:val="left"/>
              <w:rPr>
                <w:rFonts w:ascii="宋体" w:hAnsi="宋体" w:cs="宋体" w:eastAsia="宋体" w:hint="default"/>
                <w:sz w:val="18"/>
                <w:szCs w:val="18"/>
              </w:rPr>
            </w:pPr>
            <w:r>
              <w:rPr>
                <w:rFonts w:ascii="宋体" w:hAnsi="宋体" w:cs="宋体" w:eastAsia="宋体" w:hint="default"/>
                <w:spacing w:val="-13"/>
                <w:sz w:val="18"/>
                <w:szCs w:val="18"/>
              </w:rPr>
              <w:t>正在履行，未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发现违反承 诺的情形。</w:t>
            </w:r>
          </w:p>
        </w:tc>
      </w:tr>
    </w:tbl>
    <w:p>
      <w:pPr>
        <w:spacing w:line="240" w:lineRule="auto" w:before="2"/>
        <w:rPr>
          <w:rFonts w:ascii="宋体" w:hAnsi="宋体" w:cs="宋体" w:eastAsia="宋体" w:hint="default"/>
          <w:sz w:val="19"/>
          <w:szCs w:val="19"/>
        </w:rPr>
      </w:pPr>
    </w:p>
    <w:p>
      <w:pPr>
        <w:pStyle w:val="Heading4"/>
        <w:spacing w:line="259" w:lineRule="auto" w:before="35"/>
        <w:ind w:right="0"/>
        <w:jc w:val="left"/>
        <w:rPr>
          <w:b w:val="0"/>
          <w:bCs w:val="0"/>
        </w:rPr>
      </w:pPr>
      <w:bookmarkStart w:name="十一、公司股东及其一致行动人在报告期提出或实施股份增持计划的情况" w:id="66"/>
      <w:bookmarkEnd w:id="66"/>
      <w:r>
        <w:rPr>
          <w:b w:val="0"/>
          <w:bCs w:val="0"/>
        </w:rPr>
      </w:r>
      <w:r>
        <w:rPr>
          <w:rFonts w:ascii="Times New Roman" w:hAnsi="Times New Roman" w:cs="Times New Roman" w:eastAsia="Times New Roman" w:hint="default"/>
        </w:rPr>
        <w:t>2</w:t>
      </w:r>
      <w:r>
        <w:rPr/>
        <w:t>、公司资产或项目存在盈利预</w:t>
      </w:r>
      <w:bookmarkStart w:name="2、公司资产或项目存在盈利预测，且报告期仍处在盈利预测期间，公司就资产或项目达到" w:id="67"/>
      <w:bookmarkEnd w:id="67"/>
      <w:r>
        <w:rPr/>
        <w:t>测</w:t>
      </w:r>
      <w:r>
        <w:rPr/>
        <w:t>，且报告期仍处在盈利预测期间，公司就资产或项目达到原盈利预测及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158" w:firstLine="0"/>
        <w:jc w:val="left"/>
        <w:rPr>
          <w:rFonts w:ascii="宋体" w:hAnsi="宋体" w:cs="宋体" w:eastAsia="宋体" w:hint="default"/>
          <w:sz w:val="21"/>
          <w:szCs w:val="21"/>
        </w:rPr>
      </w:pPr>
      <w:r>
        <w:rPr/>
        <w:pict>
          <v:shape style="position:absolute;margin-left:56.459999pt;margin-top:79.523682pt;width:479.1pt;height:80.9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周俊超、胡高升</w:t>
                        </w:r>
                      </w:p>
                    </w:tc>
                  </w:tr>
                </w:tbl>
                <w:p>
                  <w:pPr/>
                </w:p>
              </w:txbxContent>
            </v:textbox>
            <w10:wrap type="none"/>
          </v:shape>
        </w:pict>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不适用 </w:t>
      </w:r>
      <w:r>
        <w:rPr>
          <w:rFonts w:ascii="宋体" w:hAnsi="宋体" w:cs="宋体" w:eastAsia="宋体" w:hint="default"/>
          <w:b/>
          <w:bCs/>
          <w:sz w:val="24"/>
          <w:szCs w:val="24"/>
        </w:rPr>
        <w:t>九、聘任、解聘会计师事务所情况</w:t>
      </w:r>
      <w:r>
        <w:rPr>
          <w:rFonts w:ascii="宋体" w:hAnsi="宋体" w:cs="宋体" w:eastAsia="宋体" w:hint="default"/>
          <w:b/>
          <w:bCs/>
          <w:spacing w:val="1"/>
          <w:w w:val="99"/>
          <w:sz w:val="24"/>
          <w:szCs w:val="24"/>
        </w:rPr>
        <w:t> </w:t>
      </w:r>
      <w:r>
        <w:rPr>
          <w:rFonts w:ascii="宋体" w:hAnsi="宋体" w:cs="宋体" w:eastAsia="宋体" w:hint="default"/>
          <w:sz w:val="21"/>
          <w:szCs w:val="21"/>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35"/>
        <w:ind w:right="0"/>
        <w:jc w:val="left"/>
      </w:pPr>
      <w:r>
        <w:rPr/>
        <w:t>是否改聘会计师事务所</w:t>
      </w:r>
    </w:p>
    <w:p>
      <w:pPr>
        <w:pStyle w:val="BodyText"/>
        <w:spacing w:line="240" w:lineRule="auto" w:before="10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0"/>
        <w:rPr>
          <w:rFonts w:ascii="宋体" w:hAnsi="宋体" w:cs="宋体" w:eastAsia="宋体" w:hint="default"/>
          <w:sz w:val="22"/>
          <w:szCs w:val="22"/>
        </w:rPr>
      </w:pPr>
    </w:p>
    <w:p>
      <w:pPr>
        <w:pStyle w:val="Heading2"/>
        <w:spacing w:line="240" w:lineRule="auto"/>
        <w:ind w:right="134"/>
        <w:jc w:val="left"/>
        <w:rPr>
          <w:b w:val="0"/>
          <w:bCs w:val="0"/>
        </w:rPr>
      </w:pPr>
      <w:r>
        <w:rPr/>
        <w:t>十、上市公司及其董事、监事、高级</w:t>
      </w:r>
      <w:bookmarkStart w:name="九、聘任、解聘会计师事务所情况" w:id="68"/>
      <w:bookmarkEnd w:id="68"/>
      <w:r>
        <w:rPr/>
        <w:t>管理人员</w:t>
      </w:r>
      <w:r>
        <w:rPr/>
        <w:t>、公司股东、实际控制人</w:t>
      </w:r>
      <w:bookmarkStart w:name="十、上市公司及其董事、监事、高级管理人员、公司股东、实际控制人和收购人处罚及整改" w:id="69"/>
      <w:bookmarkEnd w:id="69"/>
      <w:r>
        <w:rPr/>
        <w:t>和收购人</w:t>
      </w:r>
      <w:r>
        <w:rPr/>
        <w:t>处罚及整改</w:t>
      </w:r>
      <w:r>
        <w:rPr>
          <w:spacing w:val="1"/>
          <w:w w:val="99"/>
        </w:rPr>
        <w:t> </w:t>
      </w:r>
      <w:r>
        <w:rPr/>
        <w:t>情况</w:t>
      </w:r>
      <w:r>
        <w:rPr>
          <w:b w:val="0"/>
          <w:bCs w:val="0"/>
        </w:rPr>
      </w:r>
    </w:p>
    <w:p>
      <w:pPr>
        <w:spacing w:line="240" w:lineRule="auto" w:before="8"/>
        <w:rPr>
          <w:rFonts w:ascii="宋体" w:hAnsi="宋体" w:cs="宋体" w:eastAsia="宋体" w:hint="default"/>
          <w:b/>
          <w:bCs/>
          <w:sz w:val="24"/>
          <w:szCs w:val="24"/>
        </w:rPr>
      </w:pPr>
    </w:p>
    <w:p>
      <w:pPr>
        <w:pStyle w:val="BodyText"/>
        <w:spacing w:line="316" w:lineRule="auto"/>
        <w:ind w:right="36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上市公司及其子公司是否被列入环保部门公布的污染严重企业名单</w:t>
      </w:r>
    </w:p>
    <w:p>
      <w:pPr>
        <w:pStyle w:val="BodyText"/>
        <w:spacing w:line="316" w:lineRule="auto" w:before="41"/>
        <w:ind w:right="494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上市公司及其子公司是否存在其他重大社会安全问题</w:t>
      </w:r>
    </w:p>
    <w:p>
      <w:pPr>
        <w:pStyle w:val="BodyText"/>
        <w:spacing w:line="316" w:lineRule="auto" w:before="42"/>
        <w:ind w:right="746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报告期内是否被行政处罚</w:t>
      </w:r>
    </w:p>
    <w:p>
      <w:pPr>
        <w:spacing w:line="487" w:lineRule="auto" w:before="41"/>
        <w:ind w:left="154" w:right="20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 </w:t>
      </w:r>
      <w:r>
        <w:rPr>
          <w:rFonts w:ascii="宋体" w:hAnsi="宋体" w:cs="宋体" w:eastAsia="宋体" w:hint="default"/>
          <w:b/>
          <w:bCs/>
          <w:sz w:val="24"/>
          <w:szCs w:val="24"/>
        </w:rPr>
        <w:t>十一、公司股东及其一致行动人在报告期提出或实施股份增持计划的情况</w:t>
      </w:r>
      <w:r>
        <w:rPr>
          <w:rFonts w:ascii="宋体" w:hAnsi="宋体" w:cs="宋体" w:eastAsia="宋体" w:hint="default"/>
          <w:b/>
          <w:bCs/>
          <w:w w:val="99"/>
          <w:sz w:val="24"/>
          <w:szCs w:val="24"/>
        </w:rPr>
        <w:t> </w:t>
      </w:r>
      <w:r>
        <w:rPr>
          <w:rFonts w:ascii="宋体" w:hAnsi="宋体" w:cs="宋体" w:eastAsia="宋体" w:hint="default"/>
          <w:sz w:val="21"/>
          <w:szCs w:val="21"/>
        </w:rPr>
        <w:t>公司股东及其一致行动人在报告期内未提出或实施股份增持计划。</w:t>
      </w:r>
    </w:p>
    <w:p>
      <w:pPr>
        <w:spacing w:after="0" w:line="487" w:lineRule="auto"/>
        <w:jc w:val="left"/>
        <w:rPr>
          <w:rFonts w:ascii="宋体" w:hAnsi="宋体" w:cs="宋体" w:eastAsia="宋体" w:hint="default"/>
          <w:sz w:val="21"/>
          <w:szCs w:val="21"/>
        </w:rPr>
        <w:sectPr>
          <w:pgSz w:w="11910" w:h="16840"/>
          <w:pgMar w:header="747" w:footer="980"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董事、监事、高级管理人员、持股5%以上的股东违规买卖公司股票情况" w:id="70"/>
      <w:bookmarkEnd w:id="70"/>
      <w:r>
        <w:rPr>
          <w:b w:val="0"/>
          <w:bCs w:val="0"/>
        </w:rPr>
      </w:r>
      <w:r>
        <w:rPr/>
        <w:t>十二、董事、监事、高级管理人员、持股</w:t>
      </w:r>
      <w:r>
        <w:rPr>
          <w:spacing w:val="-66"/>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十三、年度报告披露后面临暂停上市和终止上市情况" w:id="71"/>
      <w:bookmarkEnd w:id="71"/>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t>十四、其他重</w:t>
      </w:r>
      <w:bookmarkStart w:name="十四、其他重大事项的说明" w:id="72"/>
      <w:bookmarkEnd w:id="72"/>
      <w:r>
        <w:rPr/>
        <w:t>大事项的</w:t>
      </w:r>
      <w:r>
        <w:rPr/>
        <w:t>说明</w:t>
      </w:r>
      <w:r>
        <w:rPr>
          <w:b w:val="0"/>
          <w:bCs w:val="0"/>
        </w:rPr>
      </w:r>
    </w:p>
    <w:p>
      <w:pPr>
        <w:spacing w:line="240" w:lineRule="auto" w:before="0"/>
        <w:rPr>
          <w:rFonts w:ascii="宋体" w:hAnsi="宋体" w:cs="宋体" w:eastAsia="宋体" w:hint="default"/>
          <w:b/>
          <w:bCs/>
          <w:sz w:val="27"/>
          <w:szCs w:val="27"/>
        </w:rPr>
      </w:pPr>
    </w:p>
    <w:p>
      <w:pPr>
        <w:pStyle w:val="BodyText"/>
        <w:spacing w:line="309" w:lineRule="auto"/>
        <w:ind w:left="152" w:right="215" w:firstLine="421"/>
        <w:jc w:val="left"/>
      </w:pPr>
      <w:r>
        <w:rPr/>
        <w:t>报告期内，公司通过了高新技术企业资质的重新认定，新证书编号：</w:t>
      </w:r>
      <w:r>
        <w:rPr>
          <w:rFonts w:ascii="Times New Roman" w:hAnsi="Times New Roman" w:cs="Times New Roman" w:eastAsia="Times New Roman" w:hint="default"/>
        </w:rPr>
        <w:t>GR201435100149</w:t>
      </w:r>
      <w:r>
        <w:rPr/>
        <w:t>，发证日期为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日，有效期三年。根据《中华人民共和国企业所得税法》的规定，公司自通过高新技术企 业重新认定后连续三年内（</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年）将继续享受国家关于高新技术企业的相关税收优惠政策，即 按</w:t>
      </w:r>
      <w:r>
        <w:rPr>
          <w:spacing w:val="-56"/>
        </w:rPr>
        <w:t> </w:t>
      </w:r>
      <w:r>
        <w:rPr>
          <w:rFonts w:ascii="Times New Roman" w:hAnsi="Times New Roman" w:cs="Times New Roman" w:eastAsia="Times New Roman" w:hint="default"/>
        </w:rPr>
        <w:t>15%</w:t>
      </w:r>
      <w:r>
        <w:rPr/>
        <w:t>的税率缴纳企业所得税。因本公司</w:t>
      </w:r>
      <w:r>
        <w:rPr>
          <w:spacing w:val="-5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月被认定为“</w:t>
      </w:r>
      <w:r>
        <w:rPr>
          <w:rFonts w:ascii="Times New Roman" w:hAnsi="Times New Roman" w:cs="Times New Roman" w:eastAsia="Times New Roman" w:hint="default"/>
        </w:rPr>
        <w:t>2013-2014</w:t>
      </w:r>
      <w:r>
        <w:rPr>
          <w:rFonts w:ascii="Times New Roman" w:hAnsi="Times New Roman" w:cs="Times New Roman" w:eastAsia="Times New Roman" w:hint="default"/>
          <w:spacing w:val="-3"/>
        </w:rPr>
        <w:t> </w:t>
      </w:r>
      <w:r>
        <w:rPr/>
        <w:t>年度国家规划布局内重点软 件企业”，享受企业所得税减按</w:t>
      </w:r>
      <w:r>
        <w:rPr>
          <w:spacing w:val="-55"/>
        </w:rPr>
        <w:t> </w:t>
      </w:r>
      <w:r>
        <w:rPr>
          <w:rFonts w:ascii="Times New Roman" w:hAnsi="Times New Roman" w:cs="Times New Roman" w:eastAsia="Times New Roman" w:hint="default"/>
        </w:rPr>
        <w:t>10%</w:t>
      </w:r>
      <w:r>
        <w:rPr/>
        <w:t>的税率征收，政策优惠年度为</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年和</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年。本公司</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 仍减按</w:t>
      </w:r>
      <w:r>
        <w:rPr>
          <w:spacing w:val="-55"/>
        </w:rPr>
        <w:t> </w:t>
      </w:r>
      <w:r>
        <w:rPr>
          <w:rFonts w:ascii="Times New Roman" w:hAnsi="Times New Roman" w:cs="Times New Roman" w:eastAsia="Times New Roman" w:hint="default"/>
        </w:rPr>
        <w:t>10%</w:t>
      </w:r>
      <w:r>
        <w:rPr/>
        <w:t>的税率征收企业所得税。</w:t>
      </w: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r>
        <w:rPr/>
        <w:t>十五、控股子公司重要事项</w:t>
      </w:r>
      <w:r>
        <w:rPr>
          <w:b w:val="0"/>
          <w:bCs w:val="0"/>
        </w:rPr>
      </w:r>
    </w:p>
    <w:p>
      <w:pPr>
        <w:spacing w:line="240" w:lineRule="auto" w:before="12"/>
        <w:rPr>
          <w:rFonts w:ascii="宋体" w:hAnsi="宋体" w:cs="宋体" w:eastAsia="宋体" w:hint="default"/>
          <w:b/>
          <w:bCs/>
          <w:sz w:val="26"/>
          <w:szCs w:val="26"/>
        </w:rPr>
      </w:pPr>
    </w:p>
    <w:p>
      <w:pPr>
        <w:pStyle w:val="BodyText"/>
        <w:spacing w:line="312" w:lineRule="auto"/>
        <w:ind w:left="153" w:right="203" w:firstLine="420"/>
        <w:jc w:val="left"/>
      </w:pPr>
      <w:r>
        <w:rPr>
          <w:rFonts w:ascii="Times New Roman" w:hAnsi="Times New Roman" w:cs="Times New Roman" w:eastAsia="Times New Roman" w:hint="default"/>
        </w:rPr>
        <w:t>1</w:t>
      </w:r>
      <w:r>
        <w:rPr/>
        <w:t>、报告期内，公司全资子公司</w:t>
      </w:r>
      <w:bookmarkStart w:name="十五、控股子公司重要事项" w:id="73"/>
      <w:bookmarkEnd w:id="73"/>
      <w:r>
        <w:rPr/>
        <w:t>厦门市美亚柏科信息安全研究所有限公司获得高新技术企业认定，证</w:t>
      </w:r>
      <w:r>
        <w:rPr/>
        <w:t> </w:t>
      </w:r>
      <w:r>
        <w:rPr>
          <w:spacing w:val="-3"/>
        </w:rPr>
        <w:t>书编号：</w:t>
      </w:r>
      <w:r>
        <w:rPr>
          <w:rFonts w:ascii="Times New Roman" w:hAnsi="Times New Roman" w:cs="Times New Roman" w:eastAsia="Times New Roman" w:hint="default"/>
          <w:spacing w:val="-3"/>
        </w:rPr>
        <w:t>GR201435100154</w:t>
      </w:r>
      <w:r>
        <w:rPr>
          <w:spacing w:val="-3"/>
        </w:rPr>
        <w:t>，发证日期为</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spacing w:val="-3"/>
        </w:rPr>
        <w:t>日，有效期三年。根据《中华人民共和国企业所得</w:t>
      </w:r>
      <w:r>
        <w:rPr/>
        <w:t> 税法》的规定，公司美亚柏科信息安全研究所自通过高新技术企业认定后连续三年内（</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 </w:t>
      </w:r>
      <w:r>
        <w:rPr>
          <w:spacing w:val="-1"/>
        </w:rPr>
        <w:t>将享受国家关于高新技术企业的相关税收优惠政策，即企业所得税按</w:t>
      </w:r>
      <w:r>
        <w:rPr>
          <w:spacing w:val="-38"/>
        </w:rPr>
        <w:t> </w:t>
      </w:r>
      <w:r>
        <w:rPr>
          <w:rFonts w:ascii="Times New Roman" w:hAnsi="Times New Roman" w:cs="Times New Roman" w:eastAsia="Times New Roman" w:hint="default"/>
          <w:spacing w:val="-2"/>
        </w:rPr>
        <w:t>15%</w:t>
      </w:r>
      <w:r>
        <w:rPr>
          <w:spacing w:val="-2"/>
        </w:rPr>
        <w:t>的税率缴纳。根据《关于鼓励软</w:t>
      </w:r>
      <w:r>
        <w:rPr>
          <w:spacing w:val="-102"/>
        </w:rPr>
        <w:t> </w:t>
      </w:r>
      <w:r>
        <w:rPr>
          <w:spacing w:val="-102"/>
        </w:rPr>
      </w:r>
      <w:r>
        <w:rPr>
          <w:spacing w:val="-2"/>
        </w:rPr>
        <w:t>件产业和集成电路产业发展有关税收政策问题的通知》（财税【</w:t>
      </w:r>
      <w:r>
        <w:rPr>
          <w:rFonts w:ascii="Times New Roman" w:hAnsi="Times New Roman" w:cs="Times New Roman" w:eastAsia="Times New Roman" w:hint="default"/>
          <w:spacing w:val="-2"/>
        </w:rPr>
        <w:t>2000</w:t>
      </w:r>
      <w:r>
        <w:rPr>
          <w:spacing w:val="-2"/>
        </w:rPr>
        <w:t>】</w:t>
      </w:r>
      <w:r>
        <w:rPr>
          <w:rFonts w:ascii="Times New Roman" w:hAnsi="Times New Roman" w:cs="Times New Roman" w:eastAsia="Times New Roman" w:hint="default"/>
          <w:spacing w:val="-2"/>
        </w:rPr>
        <w:t>25</w:t>
      </w:r>
      <w:r>
        <w:rPr>
          <w:rFonts w:ascii="Times New Roman" w:hAnsi="Times New Roman" w:cs="Times New Roman" w:eastAsia="Times New Roman" w:hint="default"/>
          <w:spacing w:val="15"/>
        </w:rPr>
        <w:t> </w:t>
      </w:r>
      <w:r>
        <w:rPr>
          <w:spacing w:val="-2"/>
        </w:rPr>
        <w:t>号）规定，对新办集成电路设计</w:t>
      </w:r>
      <w:r>
        <w:rPr>
          <w:spacing w:val="-102"/>
        </w:rPr>
        <w:t> </w:t>
      </w:r>
      <w:r>
        <w:rPr>
          <w:spacing w:val="-102"/>
        </w:rPr>
      </w:r>
      <w:r>
        <w:rPr>
          <w:spacing w:val="-1"/>
        </w:rPr>
        <w:t>企业和符合条件的软件企业，经认定后，自获利年度起，享受企业所得税“两免三减半”优惠政策，美亚</w:t>
      </w:r>
      <w:r>
        <w:rPr>
          <w:spacing w:val="-83"/>
        </w:rPr>
        <w:t> </w:t>
      </w:r>
      <w:r>
        <w:rPr>
          <w:spacing w:val="-83"/>
        </w:rPr>
      </w:r>
      <w:r>
        <w:rPr/>
        <w:t>柏科信息安全研究所</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年为首个获利年度，故</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年度享受减按</w:t>
      </w:r>
      <w:r>
        <w:rPr>
          <w:spacing w:val="-56"/>
        </w:rPr>
        <w:t> </w:t>
      </w:r>
      <w:r>
        <w:rPr>
          <w:rFonts w:ascii="Times New Roman" w:hAnsi="Times New Roman" w:cs="Times New Roman" w:eastAsia="Times New Roman" w:hint="default"/>
        </w:rPr>
        <w:t>12.5%</w:t>
      </w:r>
      <w:r>
        <w:rPr/>
        <w:t>的税率征收企业所得税。</w:t>
      </w:r>
    </w:p>
    <w:p>
      <w:pPr>
        <w:pStyle w:val="BodyText"/>
        <w:spacing w:line="314" w:lineRule="auto" w:before="53"/>
        <w:ind w:left="153" w:right="107" w:firstLine="419"/>
        <w:jc w:val="left"/>
      </w:pPr>
      <w:r>
        <w:rPr>
          <w:rFonts w:ascii="Times New Roman" w:hAnsi="Times New Roman" w:cs="Times New Roman" w:eastAsia="Times New Roman" w:hint="default"/>
          <w:spacing w:val="-3"/>
        </w:rPr>
        <w:t>2</w:t>
      </w:r>
      <w:r>
        <w:rPr>
          <w:spacing w:val="-3"/>
        </w:rPr>
        <w:t>、公司控股子公司新德汇获得广东安防系统</w:t>
      </w:r>
      <w:r>
        <w:rPr>
          <w:rFonts w:ascii="Times New Roman" w:hAnsi="Times New Roman" w:cs="Times New Roman" w:eastAsia="Times New Roman" w:hint="default"/>
          <w:spacing w:val="-3"/>
        </w:rPr>
        <w:t>-</w:t>
      </w:r>
      <w:r>
        <w:rPr>
          <w:spacing w:val="-3"/>
        </w:rPr>
        <w:t>设计、施工、维修资格证（一级）和 </w:t>
      </w:r>
      <w:r>
        <w:rPr>
          <w:rFonts w:ascii="Times New Roman" w:hAnsi="Times New Roman" w:cs="Times New Roman" w:eastAsia="Times New Roman" w:hint="default"/>
        </w:rPr>
        <w:t>CMMI</w:t>
      </w:r>
      <w:r>
        <w:rPr>
          <w:rFonts w:ascii="Times New Roman" w:hAnsi="Times New Roman" w:cs="Times New Roman" w:eastAsia="Times New Roman" w:hint="default"/>
          <w:spacing w:val="4"/>
        </w:rPr>
        <w:t> </w:t>
      </w:r>
      <w:r>
        <w:rPr/>
        <w:t>三级认定证 </w:t>
      </w:r>
      <w:r>
        <w:rPr>
          <w:spacing w:val="-5"/>
        </w:rPr>
        <w:t>书。安防系统</w:t>
      </w:r>
      <w:r>
        <w:rPr>
          <w:rFonts w:ascii="Times New Roman" w:hAnsi="Times New Roman" w:cs="Times New Roman" w:eastAsia="Times New Roman" w:hint="default"/>
          <w:spacing w:val="-5"/>
        </w:rPr>
        <w:t>-</w:t>
      </w:r>
      <w:r>
        <w:rPr>
          <w:spacing w:val="-5"/>
        </w:rPr>
        <w:t>设计、施工、维修资格证系公安机关对技防系统的设计、施工和维修单位实行资格等级管理，</w:t>
      </w:r>
      <w:r>
        <w:rPr>
          <w:spacing w:val="-66"/>
        </w:rPr>
        <w:t> </w:t>
      </w:r>
      <w:r>
        <w:rPr>
          <w:spacing w:val="-66"/>
        </w:rPr>
      </w:r>
      <w:r>
        <w:rPr>
          <w:spacing w:val="-3"/>
        </w:rPr>
        <w:t>持一级《资格证》的单位可承接任何技防系统，而未取得相应等级资格证书的，不得从事技防系统的设计、</w:t>
      </w:r>
      <w:r>
        <w:rPr>
          <w:spacing w:val="-96"/>
        </w:rPr>
        <w:t> </w:t>
      </w:r>
      <w:r>
        <w:rPr>
          <w:spacing w:val="-96"/>
        </w:rPr>
      </w:r>
      <w:r>
        <w:rPr/>
        <w:t>施工和维修业务。</w:t>
      </w:r>
    </w:p>
    <w:p>
      <w:pPr>
        <w:spacing w:after="0" w:line="314" w:lineRule="auto"/>
        <w:jc w:val="left"/>
        <w:sectPr>
          <w:pgSz w:w="11910" w:h="16840"/>
          <w:pgMar w:header="747" w:footer="980"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74"/>
      <w:bookmarkEnd w:id="74"/>
      <w:r>
        <w:rPr>
          <w:b w:val="0"/>
          <w:bCs w:val="0"/>
        </w:rPr>
      </w:r>
      <w:bookmarkStart w:name="_bookmark5" w:id="75"/>
      <w:bookmarkEnd w:id="75"/>
      <w:r>
        <w:rPr>
          <w:b w:val="0"/>
          <w:bCs w:val="0"/>
        </w:rPr>
      </w:r>
      <w:r>
        <w:rPr/>
        <w:t>第六节</w:t>
      </w:r>
      <w:r>
        <w:rPr>
          <w:spacing w:val="-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w:t>
      </w:r>
      <w:bookmarkStart w:name="一、股份变动情况" w:id="76"/>
      <w:bookmarkEnd w:id="76"/>
      <w:r>
        <w:rPr/>
        <w:t>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1、股份变动情况" w:id="77"/>
      <w:bookmarkEnd w:id="77"/>
      <w:r>
        <w:rPr/>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09"/>
        <w:gridCol w:w="1099"/>
        <w:gridCol w:w="709"/>
        <w:gridCol w:w="736"/>
        <w:gridCol w:w="540"/>
        <w:gridCol w:w="708"/>
        <w:gridCol w:w="992"/>
        <w:gridCol w:w="994"/>
        <w:gridCol w:w="953"/>
        <w:gridCol w:w="814"/>
      </w:tblGrid>
      <w:tr>
        <w:trPr>
          <w:trHeight w:val="402" w:hRule="exact"/>
        </w:trPr>
        <w:tc>
          <w:tcPr>
            <w:tcW w:w="2009" w:type="dxa"/>
            <w:tcBorders>
              <w:top w:val="single" w:sz="4" w:space="0" w:color="000000"/>
              <w:left w:val="single" w:sz="4" w:space="0" w:color="000000"/>
              <w:bottom w:val="nil" w:sz="6" w:space="0" w:color="auto"/>
              <w:right w:val="single" w:sz="4" w:space="0" w:color="000000"/>
            </w:tcBorders>
            <w:shd w:val="clear" w:color="auto" w:fill="D4D4D4"/>
          </w:tcPr>
          <w:p>
            <w:pP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4D4D4"/>
          </w:tcPr>
          <w:p>
            <w:pPr/>
          </w:p>
        </w:tc>
        <w:tc>
          <w:tcPr>
            <w:tcW w:w="10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c>
          <w:tcPr>
            <w:tcW w:w="7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540" w:type="dxa"/>
            <w:tcBorders>
              <w:top w:val="single" w:sz="4" w:space="0" w:color="000000"/>
              <w:left w:val="single" w:sz="4" w:space="0" w:color="000000"/>
              <w:bottom w:val="nil" w:sz="6" w:space="0" w:color="auto"/>
              <w:right w:val="single" w:sz="4" w:space="0" w:color="000000"/>
            </w:tcBorders>
            <w:shd w:val="clear" w:color="auto" w:fill="D4D4D4"/>
          </w:tcPr>
          <w:p>
            <w:pPr/>
          </w:p>
        </w:tc>
        <w:tc>
          <w:tcPr>
            <w:tcW w:w="70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169" w:right="7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2" w:type="dxa"/>
            <w:tcBorders>
              <w:top w:val="single" w:sz="4" w:space="0" w:color="000000"/>
              <w:left w:val="single" w:sz="4" w:space="0" w:color="000000"/>
              <w:bottom w:val="nil" w:sz="6" w:space="0" w:color="auto"/>
              <w:right w:val="single" w:sz="4" w:space="0" w:color="000000"/>
            </w:tcBorders>
            <w:shd w:val="clear" w:color="auto" w:fill="D4D4D4"/>
          </w:tcPr>
          <w:p>
            <w:pPr/>
          </w:p>
        </w:tc>
        <w:tc>
          <w:tcPr>
            <w:tcW w:w="994" w:type="dxa"/>
            <w:tcBorders>
              <w:top w:val="single" w:sz="4" w:space="0" w:color="000000"/>
              <w:left w:val="single" w:sz="4" w:space="0" w:color="000000"/>
              <w:bottom w:val="nil" w:sz="6" w:space="0" w:color="auto"/>
              <w:right w:val="single" w:sz="4" w:space="0" w:color="000000"/>
            </w:tcBorders>
            <w:shd w:val="clear" w:color="auto" w:fill="D4D4D4"/>
          </w:tcPr>
          <w:p>
            <w:pPr/>
          </w:p>
        </w:tc>
        <w:tc>
          <w:tcPr>
            <w:tcW w:w="953"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1" w:hRule="exact"/>
        </w:trPr>
        <w:tc>
          <w:tcPr>
            <w:tcW w:w="2009" w:type="dxa"/>
            <w:vMerge/>
            <w:tcBorders>
              <w:left w:val="single" w:sz="4" w:space="0" w:color="000000"/>
              <w:bottom w:val="nil" w:sz="6" w:space="0" w:color="auto"/>
              <w:right w:val="single" w:sz="4" w:space="0" w:color="000000"/>
            </w:tcBorders>
            <w:shd w:val="clear" w:color="auto" w:fill="D4D4D4"/>
          </w:tcPr>
          <w:p>
            <w:pPr/>
          </w:p>
        </w:tc>
        <w:tc>
          <w:tcPr>
            <w:tcW w:w="10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36" w:type="dxa"/>
            <w:vMerge/>
            <w:tcBorders>
              <w:left w:val="single" w:sz="4" w:space="0" w:color="000000"/>
              <w:right w:val="single" w:sz="4" w:space="0" w:color="000000"/>
            </w:tcBorders>
            <w:shd w:val="clear" w:color="auto" w:fill="D4D4D4"/>
          </w:tcPr>
          <w:p>
            <w:pPr/>
          </w:p>
        </w:tc>
        <w:tc>
          <w:tcPr>
            <w:tcW w:w="54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4D4D4"/>
          </w:tcPr>
          <w:p>
            <w:pPr/>
          </w:p>
        </w:tc>
        <w:tc>
          <w:tcPr>
            <w:tcW w:w="9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4D4D4"/>
          </w:tcPr>
          <w:p>
            <w:pPr/>
          </w:p>
        </w:tc>
        <w:tc>
          <w:tcPr>
            <w:tcW w:w="1099" w:type="dxa"/>
            <w:vMerge/>
            <w:tcBorders>
              <w:left w:val="single" w:sz="4" w:space="0" w:color="000000"/>
              <w:bottom w:val="nil" w:sz="6" w:space="0" w:color="auto"/>
              <w:right w:val="single" w:sz="4" w:space="0" w:color="000000"/>
            </w:tcBorders>
            <w:shd w:val="clear" w:color="auto" w:fill="D4D4D4"/>
          </w:tcPr>
          <w:p>
            <w:pPr/>
          </w:p>
        </w:tc>
        <w:tc>
          <w:tcPr>
            <w:tcW w:w="709" w:type="dxa"/>
            <w:vMerge/>
            <w:tcBorders>
              <w:left w:val="single" w:sz="4" w:space="0" w:color="000000"/>
              <w:bottom w:val="nil" w:sz="6" w:space="0" w:color="auto"/>
              <w:right w:val="single" w:sz="4" w:space="0" w:color="000000"/>
            </w:tcBorders>
            <w:shd w:val="clear" w:color="auto" w:fill="D4D4D4"/>
          </w:tcPr>
          <w:p>
            <w:pPr/>
          </w:p>
        </w:tc>
        <w:tc>
          <w:tcPr>
            <w:tcW w:w="736" w:type="dxa"/>
            <w:vMerge/>
            <w:tcBorders>
              <w:left w:val="single" w:sz="4" w:space="0" w:color="000000"/>
              <w:right w:val="single" w:sz="4" w:space="0" w:color="000000"/>
            </w:tcBorders>
            <w:shd w:val="clear" w:color="auto" w:fill="D4D4D4"/>
          </w:tcPr>
          <w:p>
            <w:pPr/>
          </w:p>
        </w:tc>
        <w:tc>
          <w:tcPr>
            <w:tcW w:w="540" w:type="dxa"/>
            <w:vMerge/>
            <w:tcBorders>
              <w:left w:val="single" w:sz="4" w:space="0" w:color="000000"/>
              <w:bottom w:val="nil" w:sz="6" w:space="0" w:color="auto"/>
              <w:right w:val="single" w:sz="4" w:space="0" w:color="000000"/>
            </w:tcBorders>
            <w:shd w:val="clear" w:color="auto" w:fill="D4D4D4"/>
          </w:tcPr>
          <w:p>
            <w:pPr/>
          </w:p>
        </w:tc>
        <w:tc>
          <w:tcPr>
            <w:tcW w:w="708" w:type="dxa"/>
            <w:vMerge/>
            <w:tcBorders>
              <w:left w:val="single" w:sz="4" w:space="0" w:color="000000"/>
              <w:right w:val="single" w:sz="4" w:space="0" w:color="000000"/>
            </w:tcBorders>
            <w:shd w:val="clear" w:color="auto" w:fill="D4D4D4"/>
          </w:tcPr>
          <w:p>
            <w:pPr/>
          </w:p>
        </w:tc>
        <w:tc>
          <w:tcPr>
            <w:tcW w:w="992" w:type="dxa"/>
            <w:vMerge/>
            <w:tcBorders>
              <w:left w:val="single" w:sz="4" w:space="0" w:color="000000"/>
              <w:bottom w:val="nil" w:sz="6" w:space="0" w:color="auto"/>
              <w:right w:val="single" w:sz="4" w:space="0" w:color="000000"/>
            </w:tcBorders>
            <w:shd w:val="clear" w:color="auto" w:fill="D4D4D4"/>
          </w:tcPr>
          <w:p>
            <w:pPr/>
          </w:p>
        </w:tc>
        <w:tc>
          <w:tcPr>
            <w:tcW w:w="994" w:type="dxa"/>
            <w:vMerge/>
            <w:tcBorders>
              <w:left w:val="single" w:sz="4" w:space="0" w:color="000000"/>
              <w:bottom w:val="nil" w:sz="6" w:space="0" w:color="auto"/>
              <w:right w:val="single" w:sz="4" w:space="0" w:color="000000"/>
            </w:tcBorders>
            <w:shd w:val="clear" w:color="auto" w:fill="D4D4D4"/>
          </w:tcPr>
          <w:p>
            <w:pPr/>
          </w:p>
        </w:tc>
        <w:tc>
          <w:tcPr>
            <w:tcW w:w="953"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4D4D4"/>
          </w:tcPr>
          <w:p>
            <w:pPr/>
          </w:p>
        </w:tc>
        <w:tc>
          <w:tcPr>
            <w:tcW w:w="10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c>
          <w:tcPr>
            <w:tcW w:w="736" w:type="dxa"/>
            <w:vMerge/>
            <w:tcBorders>
              <w:left w:val="single" w:sz="4" w:space="0" w:color="000000"/>
              <w:bottom w:val="single" w:sz="4" w:space="0" w:color="000000"/>
              <w:right w:val="single" w:sz="4" w:space="0" w:color="000000"/>
            </w:tcBorders>
            <w:shd w:val="clear" w:color="auto" w:fill="D4D4D4"/>
          </w:tcPr>
          <w:p>
            <w:pPr/>
          </w:p>
        </w:tc>
        <w:tc>
          <w:tcPr>
            <w:tcW w:w="540" w:type="dxa"/>
            <w:tcBorders>
              <w:top w:val="nil" w:sz="6" w:space="0" w:color="auto"/>
              <w:left w:val="single" w:sz="4" w:space="0" w:color="000000"/>
              <w:bottom w:val="single" w:sz="4" w:space="0" w:color="000000"/>
              <w:right w:val="single" w:sz="4" w:space="0" w:color="000000"/>
            </w:tcBorders>
            <w:shd w:val="clear" w:color="auto" w:fill="D4D4D4"/>
          </w:tcPr>
          <w:p>
            <w:pPr/>
          </w:p>
        </w:tc>
        <w:tc>
          <w:tcPr>
            <w:tcW w:w="708" w:type="dxa"/>
            <w:vMerge/>
            <w:tcBorders>
              <w:left w:val="single" w:sz="4" w:space="0" w:color="000000"/>
              <w:bottom w:val="single" w:sz="4" w:space="0" w:color="000000"/>
              <w:right w:val="single" w:sz="4" w:space="0" w:color="000000"/>
            </w:tcBorders>
            <w:shd w:val="clear" w:color="auto" w:fill="D4D4D4"/>
          </w:tcPr>
          <w:p>
            <w:pPr/>
          </w:p>
        </w:tc>
        <w:tc>
          <w:tcPr>
            <w:tcW w:w="992" w:type="dxa"/>
            <w:tcBorders>
              <w:top w:val="nil" w:sz="6" w:space="0" w:color="auto"/>
              <w:left w:val="single" w:sz="4" w:space="0" w:color="000000"/>
              <w:bottom w:val="single" w:sz="4" w:space="0" w:color="000000"/>
              <w:right w:val="single" w:sz="4" w:space="0" w:color="000000"/>
            </w:tcBorders>
            <w:shd w:val="clear" w:color="auto" w:fill="D4D4D4"/>
          </w:tcPr>
          <w:p>
            <w:pPr/>
          </w:p>
        </w:tc>
        <w:tc>
          <w:tcPr>
            <w:tcW w:w="994" w:type="dxa"/>
            <w:tcBorders>
              <w:top w:val="nil" w:sz="6" w:space="0" w:color="auto"/>
              <w:left w:val="single" w:sz="4" w:space="0" w:color="000000"/>
              <w:bottom w:val="single" w:sz="4" w:space="0" w:color="000000"/>
              <w:right w:val="single" w:sz="4" w:space="0" w:color="000000"/>
            </w:tcBorders>
            <w:shd w:val="clear" w:color="auto" w:fill="D4D4D4"/>
          </w:tcPr>
          <w:p>
            <w:pPr/>
          </w:p>
        </w:tc>
        <w:tc>
          <w:tcPr>
            <w:tcW w:w="953"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164,759,920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-64,853,925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-64,853,925</w:t>
            </w:r>
            <w:r>
              <w:rPr>
                <w:rFonts w:ascii="Times New Roman"/>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99,905,995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45.09%</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102,239,920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-49,229,925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-49,229,925</w:t>
            </w:r>
            <w:r>
              <w:rPr>
                <w:rFonts w:ascii="Times New Roman"/>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53,009,995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23.92%</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-32,000,000</w:t>
            </w:r>
            <w:r>
              <w:rPr>
                <w:rFonts w:ascii="Times New Roman"/>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70,239,920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-17,229,925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-17,229,925</w:t>
            </w:r>
            <w:r>
              <w:rPr>
                <w:rFonts w:ascii="Times New Roman"/>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53,009,995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23.92%</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62,520,000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-15,624,000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-15,624,000</w:t>
            </w:r>
            <w:r>
              <w:rPr>
                <w:rFonts w:ascii="Times New Roman"/>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46,896,000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21.16%</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62,520,000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28.19%</w:t>
            </w:r>
          </w:p>
        </w:tc>
        <w:tc>
          <w:tcPr>
            <w:tcW w:w="73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-15,624,000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-15,624,000</w:t>
            </w:r>
            <w:r>
              <w:rPr>
                <w:rFonts w:ascii="Times New Roman"/>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46,896,000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21.16%</w:t>
            </w:r>
          </w:p>
        </w:tc>
      </w:tr>
      <w:tr>
        <w:trPr>
          <w:trHeight w:val="161" w:hRule="exact"/>
        </w:trPr>
        <w:tc>
          <w:tcPr>
            <w:tcW w:w="2009" w:type="dxa"/>
            <w:tcBorders>
              <w:top w:val="single" w:sz="4" w:space="0" w:color="000000"/>
              <w:left w:val="single" w:sz="4" w:space="0" w:color="000000"/>
              <w:bottom w:val="nil" w:sz="6" w:space="0" w:color="auto"/>
              <w:right w:val="single" w:sz="4" w:space="0" w:color="000000"/>
            </w:tcBorders>
            <w:shd w:val="clear" w:color="auto" w:fill="D4D4D4"/>
          </w:tcPr>
          <w:p>
            <w:pPr/>
          </w:p>
        </w:tc>
        <w:tc>
          <w:tcPr>
            <w:tcW w:w="1099"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57,053,280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25.72%</w:t>
            </w:r>
          </w:p>
        </w:tc>
        <w:tc>
          <w:tcPr>
            <w:tcW w:w="736"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64,622,325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64,622,325</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121,675,60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54.91%</w:t>
            </w:r>
          </w:p>
        </w:tc>
      </w:tr>
      <w:tr>
        <w:trPr>
          <w:trHeight w:val="392" w:hRule="exact"/>
        </w:trPr>
        <w:tc>
          <w:tcPr>
            <w:tcW w:w="20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9" w:type="dxa"/>
            <w:vMerge/>
            <w:tcBorders>
              <w:left w:val="single" w:sz="9" w:space="0" w:color="D4D4D4"/>
              <w:right w:val="single" w:sz="4" w:space="0" w:color="000000"/>
            </w:tcBorders>
          </w:tcPr>
          <w:p>
            <w:pPr/>
          </w:p>
        </w:tc>
        <w:tc>
          <w:tcPr>
            <w:tcW w:w="709"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09" w:type="dxa"/>
            <w:tcBorders>
              <w:top w:val="nil" w:sz="6" w:space="0" w:color="auto"/>
              <w:left w:val="single" w:sz="4" w:space="0" w:color="000000"/>
              <w:bottom w:val="single" w:sz="4" w:space="0" w:color="000000"/>
              <w:right w:val="single" w:sz="4" w:space="0" w:color="000000"/>
            </w:tcBorders>
            <w:shd w:val="clear" w:color="auto" w:fill="D4D4D4"/>
          </w:tcPr>
          <w:p>
            <w:pPr/>
          </w:p>
        </w:tc>
        <w:tc>
          <w:tcPr>
            <w:tcW w:w="1099" w:type="dxa"/>
            <w:vMerge/>
            <w:tcBorders>
              <w:left w:val="single" w:sz="9" w:space="0" w:color="D4D4D4"/>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09" w:type="dxa"/>
            <w:tcBorders>
              <w:top w:val="single" w:sz="4" w:space="0" w:color="000000"/>
              <w:left w:val="single" w:sz="4" w:space="0" w:color="000000"/>
              <w:bottom w:val="nil" w:sz="6" w:space="0" w:color="auto"/>
              <w:right w:val="single" w:sz="4" w:space="0" w:color="000000"/>
            </w:tcBorders>
            <w:shd w:val="clear" w:color="auto" w:fill="D4D4D4"/>
          </w:tcPr>
          <w:p>
            <w:pPr/>
          </w:p>
        </w:tc>
        <w:tc>
          <w:tcPr>
            <w:tcW w:w="1099"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57,053,280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25.72%</w:t>
            </w:r>
          </w:p>
        </w:tc>
        <w:tc>
          <w:tcPr>
            <w:tcW w:w="736"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64,622,325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64,622,325</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121,675,60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54.91%</w:t>
            </w:r>
          </w:p>
        </w:tc>
      </w:tr>
      <w:tr>
        <w:trPr>
          <w:trHeight w:val="392" w:hRule="exact"/>
        </w:trPr>
        <w:tc>
          <w:tcPr>
            <w:tcW w:w="20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9" w:type="dxa"/>
            <w:vMerge/>
            <w:tcBorders>
              <w:left w:val="single" w:sz="9" w:space="0" w:color="D4D4D4"/>
              <w:right w:val="single" w:sz="4" w:space="0" w:color="000000"/>
            </w:tcBorders>
          </w:tcPr>
          <w:p>
            <w:pPr/>
          </w:p>
        </w:tc>
        <w:tc>
          <w:tcPr>
            <w:tcW w:w="709"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09" w:type="dxa"/>
            <w:tcBorders>
              <w:top w:val="nil" w:sz="6" w:space="0" w:color="auto"/>
              <w:left w:val="single" w:sz="4" w:space="0" w:color="000000"/>
              <w:bottom w:val="single" w:sz="4" w:space="0" w:color="000000"/>
              <w:right w:val="single" w:sz="4" w:space="0" w:color="000000"/>
            </w:tcBorders>
            <w:shd w:val="clear" w:color="auto" w:fill="D4D4D4"/>
          </w:tcPr>
          <w:p>
            <w:pPr/>
          </w:p>
        </w:tc>
        <w:tc>
          <w:tcPr>
            <w:tcW w:w="1099" w:type="dxa"/>
            <w:vMerge/>
            <w:tcBorders>
              <w:left w:val="single" w:sz="9" w:space="0" w:color="D4D4D4"/>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09" w:type="dxa"/>
            <w:tcBorders>
              <w:top w:val="single" w:sz="4" w:space="0" w:color="000000"/>
              <w:left w:val="single" w:sz="4" w:space="0" w:color="000000"/>
              <w:bottom w:val="nil" w:sz="6" w:space="0" w:color="auto"/>
              <w:right w:val="single" w:sz="4" w:space="0" w:color="000000"/>
            </w:tcBorders>
            <w:shd w:val="clear" w:color="auto" w:fill="D4D4D4"/>
          </w:tcPr>
          <w:p>
            <w:pPr/>
          </w:p>
        </w:tc>
        <w:tc>
          <w:tcPr>
            <w:tcW w:w="1099"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221,813,200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7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-231,600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-231,600</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221,581,60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9" w:type="dxa"/>
            <w:vMerge/>
            <w:tcBorders>
              <w:left w:val="single" w:sz="9" w:space="0" w:color="D4D4D4"/>
              <w:right w:val="single" w:sz="4" w:space="0" w:color="000000"/>
            </w:tcBorders>
          </w:tcPr>
          <w:p>
            <w:pPr/>
          </w:p>
        </w:tc>
        <w:tc>
          <w:tcPr>
            <w:tcW w:w="709"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09" w:type="dxa"/>
            <w:tcBorders>
              <w:top w:val="nil" w:sz="6" w:space="0" w:color="auto"/>
              <w:left w:val="single" w:sz="4" w:space="0" w:color="000000"/>
              <w:bottom w:val="single" w:sz="4" w:space="0" w:color="000000"/>
              <w:right w:val="single" w:sz="4" w:space="0" w:color="000000"/>
            </w:tcBorders>
            <w:shd w:val="clear" w:color="auto" w:fill="D4D4D4"/>
          </w:tcPr>
          <w:p>
            <w:pPr/>
          </w:p>
        </w:tc>
        <w:tc>
          <w:tcPr>
            <w:tcW w:w="1099" w:type="dxa"/>
            <w:vMerge/>
            <w:tcBorders>
              <w:left w:val="single" w:sz="9" w:space="0" w:color="D4D4D4"/>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7"/>
          <w:szCs w:val="7"/>
        </w:rPr>
      </w:pPr>
    </w:p>
    <w:p>
      <w:pPr>
        <w:pStyle w:val="BodyText"/>
        <w:spacing w:line="240" w:lineRule="auto" w:before="35"/>
        <w:ind w:right="0"/>
        <w:jc w:val="left"/>
      </w:pPr>
      <w:r>
        <w:rPr/>
        <w:t>股份变动的原因：</w:t>
      </w:r>
    </w:p>
    <w:p>
      <w:pPr>
        <w:pStyle w:val="BodyText"/>
        <w:spacing w:line="309" w:lineRule="auto" w:before="138"/>
        <w:ind w:right="278" w:firstLine="420"/>
        <w:jc w:val="left"/>
      </w:pPr>
      <w:r>
        <w:rPr>
          <w:rFonts w:ascii="Times New Roman" w:hAnsi="Times New Roman" w:cs="Times New Roman" w:eastAsia="Times New Roman" w:hint="default"/>
        </w:rPr>
        <w:t>1</w:t>
      </w:r>
      <w:r>
        <w:rPr/>
        <w:t>、总股本减少</w:t>
      </w:r>
      <w:r>
        <w:rPr>
          <w:spacing w:val="-57"/>
        </w:rPr>
        <w:t> </w:t>
      </w:r>
      <w:r>
        <w:rPr>
          <w:rFonts w:ascii="Times New Roman" w:hAnsi="Times New Roman" w:cs="Times New Roman" w:eastAsia="Times New Roman" w:hint="default"/>
        </w:rPr>
        <w:t>231,600</w:t>
      </w:r>
      <w:r>
        <w:rPr>
          <w:rFonts w:ascii="Times New Roman" w:hAnsi="Times New Roman" w:cs="Times New Roman" w:eastAsia="Times New Roman" w:hint="default"/>
          <w:spacing w:val="-4"/>
        </w:rPr>
        <w:t> </w:t>
      </w:r>
      <w:r>
        <w:rPr/>
        <w:t>股是由于回购注销了部分已离职激励对象已获授但尚未解锁的限制性股票所 致。</w:t>
      </w:r>
    </w:p>
    <w:p>
      <w:pPr>
        <w:pStyle w:val="BodyText"/>
        <w:spacing w:line="309" w:lineRule="auto" w:before="78"/>
        <w:ind w:left="153" w:right="233" w:firstLine="420"/>
        <w:jc w:val="left"/>
      </w:pPr>
      <w:r>
        <w:rPr>
          <w:rFonts w:ascii="Times New Roman" w:hAnsi="Times New Roman" w:cs="Times New Roman" w:eastAsia="Times New Roman" w:hint="default"/>
        </w:rPr>
        <w:t>2</w:t>
      </w:r>
      <w:r>
        <w:rPr/>
        <w:t>、有限售条件股份减少、无限售条件股份增加主要是由于公司首发限售股于</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2"/>
        </w:rPr>
        <w:t>日期满 </w:t>
      </w:r>
      <w:r>
        <w:rPr/>
        <w:t>解除限售，部分股份转为高管锁定股，部分股份上市流通所致。</w:t>
      </w:r>
    </w:p>
    <w:p>
      <w:pPr>
        <w:pStyle w:val="BodyText"/>
        <w:spacing w:line="240" w:lineRule="auto" w:before="157"/>
        <w:ind w:left="153" w:right="0"/>
        <w:jc w:val="left"/>
      </w:pPr>
      <w:r>
        <w:rPr/>
        <w:t>股份变动的批准情况：</w:t>
      </w:r>
    </w:p>
    <w:p>
      <w:pPr>
        <w:spacing w:after="0" w:line="240" w:lineRule="auto"/>
        <w:jc w:val="left"/>
        <w:sectPr>
          <w:pgSz w:w="11910" w:h="16840"/>
          <w:pgMar w:header="747" w:footer="980" w:top="1060" w:bottom="1180" w:left="980" w:right="980"/>
        </w:sectPr>
      </w:pPr>
    </w:p>
    <w:p>
      <w:pPr>
        <w:spacing w:line="240" w:lineRule="auto" w:before="2"/>
        <w:rPr>
          <w:rFonts w:ascii="宋体" w:hAnsi="宋体" w:cs="宋体" w:eastAsia="宋体" w:hint="default"/>
          <w:sz w:val="27"/>
          <w:szCs w:val="27"/>
        </w:rPr>
      </w:pPr>
    </w:p>
    <w:p>
      <w:pPr>
        <w:pStyle w:val="BodyText"/>
        <w:spacing w:line="432" w:lineRule="auto" w:before="35"/>
        <w:ind w:right="532" w:firstLine="420"/>
        <w:jc w:val="left"/>
      </w:pPr>
      <w:r>
        <w:rPr/>
        <w:t>上述限制性股票回购注销及首发限售股解除限售事项均履行了必要的审批手续和信息披露义务。 股份变动的过户情况：</w:t>
      </w:r>
    </w:p>
    <w:p>
      <w:pPr>
        <w:pStyle w:val="BodyText"/>
        <w:spacing w:line="246" w:lineRule="exact"/>
        <w:ind w:left="574" w:right="0"/>
        <w:jc w:val="left"/>
      </w:pPr>
      <w:r>
        <w:rPr/>
        <w:t>上述股份变动均已在深圳证券交易所和中国证券登记结算有限责任公司深圳分公司办理完成了相应</w:t>
      </w:r>
    </w:p>
    <w:p>
      <w:pPr>
        <w:pStyle w:val="BodyText"/>
        <w:spacing w:line="240" w:lineRule="auto" w:before="101"/>
        <w:ind w:right="0"/>
        <w:jc w:val="left"/>
      </w:pPr>
      <w:r>
        <w:rPr/>
        <w:t>的登记手续。</w:t>
      </w:r>
    </w:p>
    <w:p>
      <w:pPr>
        <w:spacing w:line="240" w:lineRule="auto" w:before="10"/>
        <w:rPr>
          <w:rFonts w:ascii="宋体" w:hAnsi="宋体" w:cs="宋体" w:eastAsia="宋体" w:hint="default"/>
          <w:sz w:val="16"/>
          <w:szCs w:val="16"/>
        </w:rPr>
      </w:pPr>
    </w:p>
    <w:p>
      <w:pPr>
        <w:pStyle w:val="BodyText"/>
        <w:spacing w:line="326" w:lineRule="auto"/>
        <w:ind w:right="0"/>
        <w:jc w:val="left"/>
      </w:pP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pStyle w:val="BodyText"/>
        <w:spacing w:line="309" w:lineRule="auto" w:before="63"/>
        <w:ind w:left="153" w:right="172" w:firstLine="420"/>
        <w:jc w:val="left"/>
      </w:pPr>
      <w:r>
        <w:rPr/>
        <w:t>本期末公司总股本减少</w:t>
      </w:r>
      <w:r>
        <w:rPr>
          <w:spacing w:val="-56"/>
        </w:rPr>
        <w:t> </w:t>
      </w:r>
      <w:r>
        <w:rPr>
          <w:rFonts w:ascii="Times New Roman" w:hAnsi="Times New Roman" w:cs="Times New Roman" w:eastAsia="Times New Roman" w:hint="default"/>
        </w:rPr>
        <w:t>231,600</w:t>
      </w:r>
      <w:r>
        <w:rPr>
          <w:rFonts w:ascii="Times New Roman" w:hAnsi="Times New Roman" w:cs="Times New Roman" w:eastAsia="Times New Roman" w:hint="default"/>
          <w:spacing w:val="-3"/>
        </w:rPr>
        <w:t> </w:t>
      </w:r>
      <w:r>
        <w:rPr/>
        <w:t>股，股份变动不会对公司最近一年和最近一期基本每股收益、稀释每 股收益、归属于公司普通股股东的每股净资产等财务指标产生显著影响。</w:t>
      </w:r>
    </w:p>
    <w:p>
      <w:pPr>
        <w:pStyle w:val="BodyText"/>
        <w:spacing w:line="240" w:lineRule="auto" w:before="157"/>
        <w:ind w:left="153" w:right="0"/>
        <w:jc w:val="left"/>
      </w:pPr>
      <w:r>
        <w:rPr/>
        <w:t>公司认为必要或证券监管机构要求披露的其他内容：</w:t>
      </w:r>
    </w:p>
    <w:p>
      <w:pPr>
        <w:pStyle w:val="BodyText"/>
        <w:spacing w:line="240" w:lineRule="auto" w:before="109"/>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2、限售股份变动情况" w:id="78"/>
      <w:bookmarkEnd w:id="78"/>
      <w:r>
        <w:rPr/>
      </w: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040"/>
        <w:gridCol w:w="1134"/>
        <w:gridCol w:w="1134"/>
        <w:gridCol w:w="992"/>
        <w:gridCol w:w="1702"/>
        <w:gridCol w:w="2200"/>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424" w:right="65"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92" w:right="109"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92" w:right="109"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402" w:right="3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62,400,000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62,400,000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拉萨经济技术开 发区通连投资咨 询有限公司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首发限售股解除限售</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日已解除限 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郭泓</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343,500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343,500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348,750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337,425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337,425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杨爱国</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首发限售股解除限售</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日已解除限 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赵阳</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首发限售股解除限售</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日已解除限 售</w:t>
            </w:r>
          </w:p>
        </w:tc>
      </w:tr>
    </w:tbl>
    <w:p>
      <w:pPr>
        <w:spacing w:after="0" w:line="30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040"/>
        <w:gridCol w:w="1134"/>
        <w:gridCol w:w="1134"/>
        <w:gridCol w:w="992"/>
        <w:gridCol w:w="1702"/>
        <w:gridCol w:w="2200"/>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符合解锁条件的，于授予日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个月后可申请解锁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符合解锁条件的，于授予日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个月后可申请解锁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符合解锁条件的，于授予日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个月后可申请解锁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符合解锁条件的，于授予日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个月后可申请解锁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符合解锁条件的，于授予日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个月后可申请解锁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符合解锁条件的，于授予日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个月后可申请解锁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符合解锁条件的，于授予日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个月后可申请解锁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符合解锁条件的，于授予日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个月后可申请解锁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符合解锁条件的，于授予日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个月后可申请解锁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符合解锁条件的，于授予日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个月后可申请解锁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符合解锁条件的，于授予日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个月后可申请解锁</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高管锁定股解除限售</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日已解除限售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高管锁定股解除限售</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日已解除限售</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吴顺祥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pacing w:val="-4"/>
                <w:sz w:val="18"/>
                <w:szCs w:val="18"/>
              </w:rPr>
              <w:t>任，离任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个月后解除限售</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中层管理人员及 </w:t>
            </w:r>
            <w:r>
              <w:rPr>
                <w:rFonts w:ascii="宋体" w:hAnsi="宋体" w:cs="宋体" w:eastAsia="宋体" w:hint="default"/>
                <w:spacing w:val="-6"/>
                <w:sz w:val="18"/>
                <w:szCs w:val="18"/>
              </w:rPr>
              <w:t>核心技术（业务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人员 </w:t>
            </w:r>
            <w:r>
              <w:rPr>
                <w:rFonts w:ascii="Times New Roman" w:hAnsi="Times New Roman" w:cs="Times New Roman" w:eastAsia="Times New Roman" w:hint="default"/>
                <w:sz w:val="18"/>
                <w:szCs w:val="18"/>
              </w:rPr>
              <w:t>(190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287" w:val="left" w:leader="none"/>
              </w:tabs>
              <w:spacing w:line="240" w:lineRule="auto" w:before="128"/>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3,655,920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231,600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3,424,320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符合解锁条件的，于授予日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个月后可申请解锁</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164,759,920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160,279,600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95,425,675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99,905,995</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pict>
          <v:group style="position:absolute;margin-left:125.400002pt;margin-top:-68.234383pt;width:50.4pt;height:20.8pt;mso-position-horizontal-relative:page;mso-position-vertical-relative:paragraph;z-index:-945040" coordorigin="2508,-1365" coordsize="1008,416">
            <v:group style="position:absolute;left:2519;top:-1353;width:2;height:393" coordorigin="2519,-1353" coordsize="2,393">
              <v:shape style="position:absolute;left:2519;top:-1353;width:2;height:393" coordorigin="2519,-1353" coordsize="0,393" path="m2519,-1353l2519,-961e" filled="false" stroked="true" strokeweight="1.140pt" strokecolor="#ffffff">
                <v:path arrowok="t"/>
              </v:shape>
            </v:group>
            <v:group style="position:absolute;left:2531;top:-1353;width:986;height:393" coordorigin="2531,-1353" coordsize="986,393">
              <v:shape style="position:absolute;left:2531;top:-1353;width:986;height:393" coordorigin="2531,-1353" coordsize="986,393" path="m2531,-961l3516,-961,3516,-1353,2531,-1353,2531,-961xe" filled="true" fillcolor="#ffffff" stroked="false">
                <v:path arrowok="t"/>
                <v:fill type="solid"/>
              </v:shape>
            </v:group>
            <w10:wrap type="none"/>
          </v:group>
        </w:pict>
      </w:r>
      <w:bookmarkStart w:name="二、证券发行与上市情况" w:id="79"/>
      <w:bookmarkEnd w:id="79"/>
      <w:r>
        <w:rPr>
          <w:b w:val="0"/>
          <w:bCs w:val="0"/>
        </w:rPr>
      </w:r>
      <w:bookmarkStart w:name="1、报告期内证券发行情况" w:id="80"/>
      <w:bookmarkEnd w:id="80"/>
      <w:r>
        <w:rPr>
          <w:b w:val="0"/>
          <w:bCs w:val="0"/>
        </w:rPr>
      </w:r>
      <w:bookmarkStart w:name="2、公司股份总数及股东结构的变动、公司资产和负债结构的变动情况说明" w:id="81"/>
      <w:bookmarkEnd w:id="8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4"/>
          <w:szCs w:val="24"/>
        </w:rPr>
      </w:pPr>
    </w:p>
    <w:p>
      <w:pPr>
        <w:spacing w:line="530" w:lineRule="auto" w:before="0"/>
        <w:ind w:left="574" w:right="17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报告期内，公司回购注销了部分已离职激励对象已获授但尚未解锁的限制性股票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231,600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股，公司总</w:t>
      </w:r>
    </w:p>
    <w:p>
      <w:pPr>
        <w:spacing w:after="0" w:line="530" w:lineRule="auto"/>
        <w:jc w:val="left"/>
        <w:rPr>
          <w:rFonts w:ascii="宋体" w:hAnsi="宋体" w:cs="宋体" w:eastAsia="宋体" w:hint="default"/>
          <w:sz w:val="21"/>
          <w:szCs w:val="21"/>
        </w:rPr>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240" w:lineRule="auto" w:before="35"/>
        <w:ind w:right="0"/>
        <w:jc w:val="left"/>
      </w:pPr>
      <w:r>
        <w:rPr/>
        <w:t>股本由期初的</w:t>
      </w:r>
      <w:r>
        <w:rPr>
          <w:spacing w:val="-55"/>
        </w:rPr>
        <w:t> </w:t>
      </w:r>
      <w:r>
        <w:rPr>
          <w:rFonts w:ascii="Times New Roman" w:hAnsi="Times New Roman" w:cs="Times New Roman" w:eastAsia="Times New Roman" w:hint="default"/>
        </w:rPr>
        <w:t>221,813,200</w:t>
      </w:r>
      <w:r>
        <w:rPr>
          <w:rFonts w:ascii="Times New Roman" w:hAnsi="Times New Roman" w:cs="Times New Roman" w:eastAsia="Times New Roman" w:hint="default"/>
          <w:spacing w:val="-2"/>
        </w:rPr>
        <w:t> </w:t>
      </w:r>
      <w:r>
        <w:rPr/>
        <w:t>股减少为</w:t>
      </w:r>
      <w:r>
        <w:rPr>
          <w:spacing w:val="-56"/>
        </w:rPr>
        <w:t> </w:t>
      </w:r>
      <w:r>
        <w:rPr>
          <w:rFonts w:ascii="Times New Roman" w:hAnsi="Times New Roman" w:cs="Times New Roman" w:eastAsia="Times New Roman" w:hint="default"/>
        </w:rPr>
        <w:t>221,581,600</w:t>
      </w:r>
      <w:r>
        <w:rPr>
          <w:rFonts w:ascii="Times New Roman" w:hAnsi="Times New Roman" w:cs="Times New Roman" w:eastAsia="Times New Roman" w:hint="default"/>
          <w:spacing w:val="-2"/>
        </w:rPr>
        <w:t> </w:t>
      </w:r>
      <w:r>
        <w:rPr>
          <w:spacing w:val="-2"/>
        </w:rPr>
        <w:t>股。此外，公司首发限售股</w:t>
      </w:r>
      <w:r>
        <w:rPr>
          <w:spacing w:val="-55"/>
        </w:rPr>
        <w:t> </w:t>
      </w:r>
      <w:r>
        <w:rPr>
          <w:rFonts w:ascii="Times New Roman" w:hAnsi="Times New Roman" w:cs="Times New Roman" w:eastAsia="Times New Roman" w:hint="default"/>
        </w:rPr>
        <w:t>160,000,000</w:t>
      </w:r>
      <w:r>
        <w:rPr>
          <w:rFonts w:ascii="Times New Roman" w:hAnsi="Times New Roman" w:cs="Times New Roman" w:eastAsia="Times New Roman" w:hint="default"/>
          <w:spacing w:val="-2"/>
        </w:rPr>
        <w:t> </w:t>
      </w:r>
      <w:r>
        <w:rPr/>
        <w:t>股于</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p>
    <w:p>
      <w:pPr>
        <w:pStyle w:val="BodyText"/>
        <w:spacing w:line="309" w:lineRule="auto" w:before="83"/>
        <w:ind w:left="153" w:right="142"/>
        <w:jc w:val="left"/>
      </w:pP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spacing w:val="-2"/>
        </w:rPr>
        <w:t>日期满，已全部解除限售，部分转为无限售条件流通股，部分转为高管限售股，使得股东结构发生相应</w:t>
      </w:r>
      <w:r>
        <w:rPr/>
        <w:t> 的变化。</w:t>
      </w:r>
    </w:p>
    <w:p>
      <w:pPr>
        <w:pStyle w:val="BodyText"/>
        <w:spacing w:line="240" w:lineRule="auto" w:before="78"/>
        <w:ind w:left="573" w:right="0"/>
        <w:jc w:val="left"/>
      </w:pPr>
      <w:r>
        <w:rPr/>
        <w:t>回购注销后公司资产和负债结构不会发生变化。</w:t>
      </w:r>
    </w:p>
    <w:p>
      <w:pPr>
        <w:spacing w:line="240" w:lineRule="auto" w:before="5"/>
        <w:rPr>
          <w:rFonts w:ascii="宋体" w:hAnsi="宋体" w:cs="宋体" w:eastAsia="宋体" w:hint="default"/>
          <w:sz w:val="26"/>
          <w:szCs w:val="26"/>
        </w:rPr>
      </w:pPr>
    </w:p>
    <w:p>
      <w:pPr>
        <w:pStyle w:val="Heading2"/>
        <w:spacing w:line="240" w:lineRule="auto"/>
        <w:ind w:right="0"/>
        <w:jc w:val="left"/>
        <w:rPr>
          <w:b w:val="0"/>
          <w:bCs w:val="0"/>
        </w:rPr>
      </w:pPr>
      <w:r>
        <w:rPr/>
        <w:t>三、股东和实</w:t>
      </w:r>
      <w:bookmarkStart w:name="三、股东和实际控制人情况" w:id="82"/>
      <w:bookmarkEnd w:id="82"/>
      <w:r>
        <w:rPr/>
        <w:t>际控制人</w:t>
      </w:r>
      <w:r>
        <w:rPr/>
        <w:t>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1、公司股东数量及持股情况" w:id="83"/>
      <w:bookmarkEnd w:id="83"/>
      <w:r>
        <w:rPr/>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027"/>
        <w:gridCol w:w="922"/>
        <w:gridCol w:w="820"/>
        <w:gridCol w:w="207"/>
        <w:gridCol w:w="994"/>
        <w:gridCol w:w="991"/>
        <w:gridCol w:w="1134"/>
        <w:gridCol w:w="290"/>
        <w:gridCol w:w="703"/>
        <w:gridCol w:w="920"/>
      </w:tblGrid>
      <w:tr>
        <w:trPr>
          <w:trHeight w:val="407" w:hRule="exact"/>
        </w:trPr>
        <w:tc>
          <w:tcPr>
            <w:tcW w:w="25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42" w:type="dxa"/>
            <w:gridSpan w:val="2"/>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11,575</w:t>
            </w:r>
          </w:p>
        </w:tc>
        <w:tc>
          <w:tcPr>
            <w:tcW w:w="3616"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15,241</w:t>
            </w:r>
          </w:p>
        </w:tc>
      </w:tr>
      <w:tr>
        <w:trPr>
          <w:trHeight w:val="39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560" w:type="dxa"/>
            <w:vMerge w:val="restart"/>
            <w:tcBorders>
              <w:top w:val="single" w:sz="4" w:space="0" w:color="000000"/>
              <w:left w:val="single" w:sz="4" w:space="0" w:color="000000"/>
              <w:right w:val="single" w:sz="4" w:space="0" w:color="000000"/>
            </w:tcBorders>
            <w:shd w:val="clear" w:color="auto" w:fill="D4D4D4"/>
          </w:tcPr>
          <w:p>
            <w:pPr/>
          </w:p>
        </w:tc>
        <w:tc>
          <w:tcPr>
            <w:tcW w:w="1027" w:type="dxa"/>
            <w:vMerge w:val="restart"/>
            <w:tcBorders>
              <w:top w:val="single" w:sz="4" w:space="0" w:color="000000"/>
              <w:left w:val="single" w:sz="4" w:space="0" w:color="000000"/>
              <w:right w:val="single" w:sz="4" w:space="0" w:color="000000"/>
            </w:tcBorders>
            <w:shd w:val="clear" w:color="auto" w:fill="D4D4D4"/>
          </w:tcPr>
          <w:p>
            <w:pPr/>
          </w:p>
        </w:tc>
        <w:tc>
          <w:tcPr>
            <w:tcW w:w="922" w:type="dxa"/>
            <w:vMerge w:val="restart"/>
            <w:tcBorders>
              <w:top w:val="single" w:sz="4" w:space="0" w:color="000000"/>
              <w:left w:val="single" w:sz="4" w:space="0" w:color="000000"/>
              <w:right w:val="single" w:sz="4" w:space="0" w:color="000000"/>
            </w:tcBorders>
            <w:shd w:val="clear" w:color="auto" w:fill="D4D4D4"/>
          </w:tcPr>
          <w:p>
            <w:pPr/>
          </w:p>
        </w:tc>
        <w:tc>
          <w:tcPr>
            <w:tcW w:w="1027"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994" w:type="dxa"/>
            <w:tcBorders>
              <w:top w:val="single" w:sz="4" w:space="0" w:color="000000"/>
              <w:left w:val="single" w:sz="4" w:space="0" w:color="000000"/>
              <w:bottom w:val="nil" w:sz="6" w:space="0" w:color="auto"/>
              <w:right w:val="single" w:sz="4" w:space="0" w:color="000000"/>
            </w:tcBorders>
            <w:shd w:val="clear" w:color="auto" w:fill="D4D4D4"/>
          </w:tcPr>
          <w:p>
            <w:pP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6"/>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6"/>
              <w:ind w:left="111"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3"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560" w:type="dxa"/>
            <w:vMerge/>
            <w:tcBorders>
              <w:left w:val="single" w:sz="4" w:space="0" w:color="000000"/>
              <w:bottom w:val="nil" w:sz="6" w:space="0" w:color="auto"/>
              <w:right w:val="single" w:sz="4" w:space="0" w:color="000000"/>
            </w:tcBorders>
            <w:shd w:val="clear" w:color="auto" w:fill="D4D4D4"/>
          </w:tcPr>
          <w:p>
            <w:pPr/>
          </w:p>
        </w:tc>
        <w:tc>
          <w:tcPr>
            <w:tcW w:w="1027" w:type="dxa"/>
            <w:vMerge/>
            <w:tcBorders>
              <w:left w:val="single" w:sz="4" w:space="0" w:color="000000"/>
              <w:bottom w:val="nil" w:sz="6" w:space="0" w:color="auto"/>
              <w:right w:val="single" w:sz="4" w:space="0" w:color="000000"/>
            </w:tcBorders>
            <w:shd w:val="clear" w:color="auto" w:fill="D4D4D4"/>
          </w:tcPr>
          <w:p>
            <w:pPr/>
          </w:p>
        </w:tc>
        <w:tc>
          <w:tcPr>
            <w:tcW w:w="922" w:type="dxa"/>
            <w:vMerge/>
            <w:tcBorders>
              <w:left w:val="single" w:sz="4" w:space="0" w:color="000000"/>
              <w:bottom w:val="nil" w:sz="6" w:space="0" w:color="auto"/>
              <w:right w:val="single" w:sz="4" w:space="0" w:color="000000"/>
            </w:tcBorders>
            <w:shd w:val="clear" w:color="auto" w:fill="D4D4D4"/>
          </w:tcPr>
          <w:p>
            <w:pPr/>
          </w:p>
        </w:tc>
        <w:tc>
          <w:tcPr>
            <w:tcW w:w="1027"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37" w:right="5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vMerge/>
            <w:tcBorders>
              <w:left w:val="single" w:sz="4" w:space="0" w:color="000000"/>
              <w:right w:val="single" w:sz="4" w:space="0" w:color="000000"/>
            </w:tcBorders>
            <w:shd w:val="clear" w:color="auto" w:fill="D4D4D4"/>
          </w:tcPr>
          <w:p>
            <w:pPr/>
          </w:p>
        </w:tc>
        <w:tc>
          <w:tcPr>
            <w:tcW w:w="1134" w:type="dxa"/>
            <w:vMerge/>
            <w:tcBorders>
              <w:left w:val="single" w:sz="4" w:space="0" w:color="000000"/>
              <w:right w:val="single" w:sz="4" w:space="0" w:color="000000"/>
            </w:tcBorders>
            <w:shd w:val="clear" w:color="auto" w:fill="D4D4D4"/>
          </w:tcPr>
          <w:p>
            <w:pPr/>
          </w:p>
        </w:tc>
        <w:tc>
          <w:tcPr>
            <w:tcW w:w="1913" w:type="dxa"/>
            <w:gridSpan w:val="3"/>
            <w:vMerge/>
            <w:tcBorders>
              <w:left w:val="single" w:sz="4" w:space="0" w:color="000000"/>
              <w:right w:val="single" w:sz="4" w:space="0" w:color="000000"/>
            </w:tcBorders>
            <w:shd w:val="clear" w:color="auto" w:fill="D4D4D4"/>
          </w:tcPr>
          <w:p>
            <w:pPr/>
          </w:p>
        </w:tc>
      </w:tr>
      <w:tr>
        <w:trPr>
          <w:trHeight w:val="141" w:hRule="exact"/>
        </w:trPr>
        <w:tc>
          <w:tcPr>
            <w:tcW w:w="156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2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27" w:type="dxa"/>
            <w:gridSpan w:val="2"/>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shd w:val="clear" w:color="auto" w:fill="D4D4D4"/>
          </w:tcPr>
          <w:p>
            <w:pPr/>
          </w:p>
        </w:tc>
        <w:tc>
          <w:tcPr>
            <w:tcW w:w="991" w:type="dxa"/>
            <w:vMerge/>
            <w:tcBorders>
              <w:left w:val="single" w:sz="4" w:space="0" w:color="000000"/>
              <w:right w:val="single" w:sz="4" w:space="0" w:color="000000"/>
            </w:tcBorders>
            <w:shd w:val="clear" w:color="auto" w:fill="D4D4D4"/>
          </w:tcPr>
          <w:p>
            <w:pPr/>
          </w:p>
        </w:tc>
        <w:tc>
          <w:tcPr>
            <w:tcW w:w="1134" w:type="dxa"/>
            <w:vMerge/>
            <w:tcBorders>
              <w:left w:val="single" w:sz="4" w:space="0" w:color="000000"/>
              <w:right w:val="single" w:sz="4" w:space="0" w:color="000000"/>
            </w:tcBorders>
            <w:shd w:val="clear" w:color="auto" w:fill="D4D4D4"/>
          </w:tcPr>
          <w:p>
            <w:pPr/>
          </w:p>
        </w:tc>
        <w:tc>
          <w:tcPr>
            <w:tcW w:w="1913" w:type="dxa"/>
            <w:gridSpan w:val="3"/>
            <w:vMerge/>
            <w:tcBorders>
              <w:left w:val="single" w:sz="4" w:space="0" w:color="000000"/>
              <w:bottom w:val="single" w:sz="4" w:space="0" w:color="000000"/>
              <w:right w:val="single" w:sz="4" w:space="0" w:color="000000"/>
            </w:tcBorders>
            <w:shd w:val="clear" w:color="auto" w:fill="D4D4D4"/>
          </w:tcPr>
          <w:p>
            <w:pPr/>
          </w:p>
        </w:tc>
      </w:tr>
      <w:tr>
        <w:trPr>
          <w:trHeight w:val="251" w:hRule="exact"/>
        </w:trPr>
        <w:tc>
          <w:tcPr>
            <w:tcW w:w="1560" w:type="dxa"/>
            <w:vMerge/>
            <w:tcBorders>
              <w:left w:val="single" w:sz="4" w:space="0" w:color="000000"/>
              <w:bottom w:val="nil" w:sz="6" w:space="0" w:color="auto"/>
              <w:right w:val="single" w:sz="4" w:space="0" w:color="000000"/>
            </w:tcBorders>
            <w:shd w:val="clear" w:color="auto" w:fill="D4D4D4"/>
          </w:tcPr>
          <w:p>
            <w:pPr/>
          </w:p>
        </w:tc>
        <w:tc>
          <w:tcPr>
            <w:tcW w:w="1027" w:type="dxa"/>
            <w:vMerge/>
            <w:tcBorders>
              <w:left w:val="single" w:sz="4" w:space="0" w:color="000000"/>
              <w:bottom w:val="nil" w:sz="6" w:space="0" w:color="auto"/>
              <w:right w:val="single" w:sz="4" w:space="0" w:color="000000"/>
            </w:tcBorders>
            <w:shd w:val="clear" w:color="auto" w:fill="D4D4D4"/>
          </w:tcPr>
          <w:p>
            <w:pPr/>
          </w:p>
        </w:tc>
        <w:tc>
          <w:tcPr>
            <w:tcW w:w="922" w:type="dxa"/>
            <w:vMerge/>
            <w:tcBorders>
              <w:left w:val="single" w:sz="4" w:space="0" w:color="000000"/>
              <w:bottom w:val="nil" w:sz="6" w:space="0" w:color="auto"/>
              <w:right w:val="single" w:sz="4" w:space="0" w:color="000000"/>
            </w:tcBorders>
            <w:shd w:val="clear" w:color="auto" w:fill="D4D4D4"/>
          </w:tcPr>
          <w:p>
            <w:pPr/>
          </w:p>
        </w:tc>
        <w:tc>
          <w:tcPr>
            <w:tcW w:w="1027" w:type="dxa"/>
            <w:gridSpan w:val="2"/>
            <w:vMerge/>
            <w:tcBorders>
              <w:left w:val="single" w:sz="4" w:space="0" w:color="000000"/>
              <w:right w:val="single" w:sz="4" w:space="0" w:color="000000"/>
            </w:tcBorders>
            <w:shd w:val="clear" w:color="auto" w:fill="D4D4D4"/>
          </w:tcPr>
          <w:p>
            <w:pPr/>
          </w:p>
        </w:tc>
        <w:tc>
          <w:tcPr>
            <w:tcW w:w="994" w:type="dxa"/>
            <w:vMerge/>
            <w:tcBorders>
              <w:left w:val="single" w:sz="4" w:space="0" w:color="000000"/>
              <w:right w:val="single" w:sz="4" w:space="0" w:color="000000"/>
            </w:tcBorders>
            <w:shd w:val="clear" w:color="auto" w:fill="D4D4D4"/>
          </w:tcPr>
          <w:p>
            <w:pPr/>
          </w:p>
        </w:tc>
        <w:tc>
          <w:tcPr>
            <w:tcW w:w="991" w:type="dxa"/>
            <w:vMerge/>
            <w:tcBorders>
              <w:left w:val="single" w:sz="4" w:space="0" w:color="000000"/>
              <w:right w:val="single" w:sz="4" w:space="0" w:color="000000"/>
            </w:tcBorders>
            <w:shd w:val="clear" w:color="auto" w:fill="D4D4D4"/>
          </w:tcPr>
          <w:p>
            <w:pPr/>
          </w:p>
        </w:tc>
        <w:tc>
          <w:tcPr>
            <w:tcW w:w="1134" w:type="dxa"/>
            <w:vMerge/>
            <w:tcBorders>
              <w:left w:val="single" w:sz="4" w:space="0" w:color="000000"/>
              <w:right w:val="single" w:sz="4" w:space="0" w:color="000000"/>
            </w:tcBorders>
            <w:shd w:val="clear" w:color="auto" w:fill="D4D4D4"/>
          </w:tcPr>
          <w:p>
            <w:pPr/>
          </w:p>
        </w:tc>
        <w:tc>
          <w:tcPr>
            <w:tcW w:w="99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13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560" w:type="dxa"/>
            <w:vMerge w:val="restart"/>
            <w:tcBorders>
              <w:top w:val="nil" w:sz="6" w:space="0" w:color="auto"/>
              <w:left w:val="single" w:sz="4" w:space="0" w:color="000000"/>
              <w:right w:val="single" w:sz="4" w:space="0" w:color="000000"/>
            </w:tcBorders>
            <w:shd w:val="clear" w:color="auto" w:fill="D4D4D4"/>
          </w:tcPr>
          <w:p>
            <w:pPr/>
          </w:p>
        </w:tc>
        <w:tc>
          <w:tcPr>
            <w:tcW w:w="1027" w:type="dxa"/>
            <w:vMerge w:val="restart"/>
            <w:tcBorders>
              <w:top w:val="nil" w:sz="6" w:space="0" w:color="auto"/>
              <w:left w:val="single" w:sz="4" w:space="0" w:color="000000"/>
              <w:right w:val="single" w:sz="4" w:space="0" w:color="000000"/>
            </w:tcBorders>
            <w:shd w:val="clear" w:color="auto" w:fill="D4D4D4"/>
          </w:tcPr>
          <w:p>
            <w:pPr/>
          </w:p>
        </w:tc>
        <w:tc>
          <w:tcPr>
            <w:tcW w:w="922" w:type="dxa"/>
            <w:vMerge w:val="restart"/>
            <w:tcBorders>
              <w:top w:val="nil" w:sz="6" w:space="0" w:color="auto"/>
              <w:left w:val="single" w:sz="4" w:space="0" w:color="000000"/>
              <w:right w:val="single" w:sz="4" w:space="0" w:color="000000"/>
            </w:tcBorders>
            <w:shd w:val="clear" w:color="auto" w:fill="D4D4D4"/>
          </w:tcPr>
          <w:p>
            <w:pPr/>
          </w:p>
        </w:tc>
        <w:tc>
          <w:tcPr>
            <w:tcW w:w="1027" w:type="dxa"/>
            <w:gridSpan w:val="2"/>
            <w:vMerge/>
            <w:tcBorders>
              <w:left w:val="single" w:sz="4" w:space="0" w:color="000000"/>
              <w:bottom w:val="nil" w:sz="6" w:space="0" w:color="auto"/>
              <w:right w:val="single" w:sz="4" w:space="0" w:color="000000"/>
            </w:tcBorders>
            <w:shd w:val="clear" w:color="auto" w:fill="D4D4D4"/>
          </w:tcPr>
          <w:p>
            <w:pPr/>
          </w:p>
        </w:tc>
        <w:tc>
          <w:tcPr>
            <w:tcW w:w="994" w:type="dxa"/>
            <w:vMerge/>
            <w:tcBorders>
              <w:left w:val="single" w:sz="4" w:space="0" w:color="000000"/>
              <w:bottom w:val="nil" w:sz="6" w:space="0" w:color="auto"/>
              <w:right w:val="single" w:sz="4" w:space="0" w:color="000000"/>
            </w:tcBorders>
            <w:shd w:val="clear" w:color="auto" w:fill="D4D4D4"/>
          </w:tcPr>
          <w:p>
            <w:pPr/>
          </w:p>
        </w:tc>
        <w:tc>
          <w:tcPr>
            <w:tcW w:w="991" w:type="dxa"/>
            <w:vMerge/>
            <w:tcBorders>
              <w:left w:val="single" w:sz="4" w:space="0" w:color="000000"/>
              <w:right w:val="single" w:sz="4" w:space="0" w:color="000000"/>
            </w:tcBorders>
            <w:shd w:val="clear" w:color="auto" w:fill="D4D4D4"/>
          </w:tcPr>
          <w:p>
            <w:pPr/>
          </w:p>
        </w:tc>
        <w:tc>
          <w:tcPr>
            <w:tcW w:w="1134" w:type="dxa"/>
            <w:vMerge/>
            <w:tcBorders>
              <w:left w:val="single" w:sz="4" w:space="0" w:color="000000"/>
              <w:right w:val="single" w:sz="4" w:space="0" w:color="000000"/>
            </w:tcBorders>
            <w:shd w:val="clear" w:color="auto" w:fill="D4D4D4"/>
          </w:tcPr>
          <w:p>
            <w:pPr/>
          </w:p>
        </w:tc>
        <w:tc>
          <w:tcPr>
            <w:tcW w:w="992" w:type="dxa"/>
            <w:gridSpan w:val="2"/>
            <w:vMerge/>
            <w:tcBorders>
              <w:left w:val="single" w:sz="4" w:space="0" w:color="000000"/>
              <w:right w:val="single" w:sz="4" w:space="0" w:color="000000"/>
            </w:tcBorders>
            <w:shd w:val="clear" w:color="auto" w:fill="D4D4D4"/>
          </w:tcPr>
          <w:p>
            <w:pPr/>
          </w:p>
        </w:tc>
        <w:tc>
          <w:tcPr>
            <w:tcW w:w="920" w:type="dxa"/>
            <w:vMerge/>
            <w:tcBorders>
              <w:left w:val="single" w:sz="4" w:space="0" w:color="000000"/>
              <w:right w:val="single" w:sz="4" w:space="0" w:color="000000"/>
            </w:tcBorders>
            <w:shd w:val="clear" w:color="auto" w:fill="D4D4D4"/>
          </w:tcPr>
          <w:p>
            <w:pPr/>
          </w:p>
        </w:tc>
      </w:tr>
      <w:tr>
        <w:trPr>
          <w:trHeight w:val="161" w:hRule="exact"/>
        </w:trPr>
        <w:tc>
          <w:tcPr>
            <w:tcW w:w="1560" w:type="dxa"/>
            <w:vMerge/>
            <w:tcBorders>
              <w:left w:val="single" w:sz="4" w:space="0" w:color="000000"/>
              <w:bottom w:val="single" w:sz="4" w:space="0" w:color="000000"/>
              <w:right w:val="single" w:sz="4" w:space="0" w:color="000000"/>
            </w:tcBorders>
            <w:shd w:val="clear" w:color="auto" w:fill="D4D4D4"/>
          </w:tcPr>
          <w:p>
            <w:pPr/>
          </w:p>
        </w:tc>
        <w:tc>
          <w:tcPr>
            <w:tcW w:w="1027" w:type="dxa"/>
            <w:vMerge/>
            <w:tcBorders>
              <w:left w:val="single" w:sz="4" w:space="0" w:color="000000"/>
              <w:bottom w:val="single" w:sz="4" w:space="0" w:color="000000"/>
              <w:right w:val="single" w:sz="4" w:space="0" w:color="000000"/>
            </w:tcBorders>
            <w:shd w:val="clear" w:color="auto" w:fill="D4D4D4"/>
          </w:tcPr>
          <w:p>
            <w:pPr/>
          </w:p>
        </w:tc>
        <w:tc>
          <w:tcPr>
            <w:tcW w:w="922" w:type="dxa"/>
            <w:vMerge/>
            <w:tcBorders>
              <w:left w:val="single" w:sz="4" w:space="0" w:color="000000"/>
              <w:bottom w:val="single" w:sz="4" w:space="0" w:color="000000"/>
              <w:right w:val="single" w:sz="4" w:space="0" w:color="000000"/>
            </w:tcBorders>
            <w:shd w:val="clear" w:color="auto" w:fill="D4D4D4"/>
          </w:tcPr>
          <w:p>
            <w:pPr/>
          </w:p>
        </w:tc>
        <w:tc>
          <w:tcPr>
            <w:tcW w:w="1027"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994" w:type="dxa"/>
            <w:tcBorders>
              <w:top w:val="nil" w:sz="6" w:space="0" w:color="auto"/>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1134" w:type="dxa"/>
            <w:vMerge/>
            <w:tcBorders>
              <w:left w:val="single" w:sz="4" w:space="0" w:color="000000"/>
              <w:bottom w:val="single" w:sz="4" w:space="0" w:color="000000"/>
              <w:right w:val="single" w:sz="4" w:space="0" w:color="000000"/>
            </w:tcBorders>
            <w:shd w:val="clear" w:color="auto" w:fill="D4D4D4"/>
          </w:tcPr>
          <w:p>
            <w:pPr/>
          </w:p>
        </w:tc>
        <w:tc>
          <w:tcPr>
            <w:tcW w:w="992" w:type="dxa"/>
            <w:gridSpan w:val="2"/>
            <w:vMerge/>
            <w:tcBorders>
              <w:left w:val="single" w:sz="4" w:space="0" w:color="000000"/>
              <w:bottom w:val="single" w:sz="4" w:space="0" w:color="000000"/>
              <w:right w:val="single" w:sz="4" w:space="0" w:color="000000"/>
            </w:tcBorders>
            <w:shd w:val="clear" w:color="auto" w:fill="D4D4D4"/>
          </w:tcPr>
          <w:p>
            <w:pPr/>
          </w:p>
        </w:tc>
        <w:tc>
          <w:tcPr>
            <w:tcW w:w="920"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27.42%</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60,755,941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-1644059</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13,955,941</w:t>
            </w:r>
          </w:p>
        </w:tc>
        <w:tc>
          <w:tcPr>
            <w:tcW w:w="992" w:type="dxa"/>
            <w:gridSpan w:val="2"/>
            <w:tcBorders>
              <w:top w:val="single" w:sz="48" w:space="0" w:color="D4D4D4"/>
              <w:left w:val="single" w:sz="4" w:space="0" w:color="000000"/>
              <w:bottom w:val="single" w:sz="4" w:space="0" w:color="000000"/>
              <w:right w:val="single" w:sz="4" w:space="0" w:color="000000"/>
            </w:tcBorders>
          </w:tcPr>
          <w:p>
            <w:pPr/>
          </w:p>
        </w:tc>
        <w:tc>
          <w:tcPr>
            <w:tcW w:w="920" w:type="dxa"/>
            <w:tcBorders>
              <w:top w:val="single" w:sz="48" w:space="0" w:color="D4D4D4"/>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32,000,000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拉萨经济技术开发 区通连投资咨询有 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2"/>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12.86%</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28,500,000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-3500000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11.55%</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25,600,000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中国建设银行－国 泰金鼎价值精选混 合型证券投资基金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5,480,488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-119064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5,480,488</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中国建设银行－华 夏红利混合型开放 式证券投资基金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5,463,451</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5,463,451</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中国农业银行股份 有限公司－工银瑞 信创新动力股票型 证券投资基金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3,928,123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3,928,123</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中国银行股份有限 公司－长盛电子信 息产业股票型证券 投资基金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3,378,526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1568818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3,378,526</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郭泓</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2,580,000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中国建设银行股份 有限公司－华夏盛 世精选股票型证券 投资基金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0.88%</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1,954,725</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1,954,725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1pt;height:658.7pt;mso-position-horizontal-relative:page;mso-position-vertical-relative:page;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40"/>
                    <w:gridCol w:w="721"/>
                    <w:gridCol w:w="3534"/>
                    <w:gridCol w:w="1387"/>
                    <w:gridCol w:w="1385"/>
                  </w:tblGrid>
                  <w:tr>
                    <w:trPr>
                      <w:trHeight w:val="1026" w:hRule="exact"/>
                    </w:trPr>
                    <w:tc>
                      <w:tcPr>
                        <w:tcW w:w="25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27" w:type="dxa"/>
                        <w:gridSpan w:val="4"/>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2540"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7" w:type="dxa"/>
                        <w:gridSpan w:val="4"/>
                        <w:vMerge w:val="restart"/>
                        <w:tcBorders>
                          <w:top w:val="single" w:sz="4" w:space="0" w:color="000000"/>
                          <w:left w:val="single" w:sz="10" w:space="0" w:color="D4D4D4"/>
                          <w:right w:val="single" w:sz="4" w:space="0" w:color="000000"/>
                        </w:tcBorders>
                      </w:tcPr>
                      <w:p>
                        <w:pPr>
                          <w:pStyle w:val="TableParagraph"/>
                          <w:spacing w:line="307" w:lineRule="auto" w:before="51"/>
                          <w:ind w:left="27" w:right="19"/>
                          <w:jc w:val="left"/>
                          <w:rPr>
                            <w:rFonts w:ascii="宋体" w:hAnsi="宋体" w:cs="宋体" w:eastAsia="宋体" w:hint="default"/>
                            <w:sz w:val="18"/>
                            <w:szCs w:val="18"/>
                          </w:rPr>
                        </w:pPr>
                        <w:r>
                          <w:rPr>
                            <w:rFonts w:ascii="宋体" w:hAnsi="宋体" w:cs="宋体" w:eastAsia="宋体" w:hint="default"/>
                            <w:spacing w:val="-2"/>
                            <w:sz w:val="18"/>
                            <w:szCs w:val="18"/>
                          </w:rPr>
                          <w:t>上述股东中：</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、郭泓为郭永芳侄子。</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、为保持公司经营决策的一致性，公司实际控制人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郭永芳、滕达、刘祥南三人签订了《一致行动协议》，互为一致行动人。</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、根据基金公司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公开资料可知，中国建设银行－华夏红利混合型开放式证券投资基金和中国建设银行股份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有限公司－华夏盛世精选股票型证券投资基金同属于华夏基金管理有限公司管理。</w:t>
                        </w:r>
                        <w:r>
                          <w:rPr>
                            <w:rFonts w:ascii="Times New Roman" w:hAnsi="Times New Roman" w:cs="Times New Roman" w:eastAsia="Times New Roman" w:hint="default"/>
                            <w:sz w:val="18"/>
                            <w:szCs w:val="18"/>
                          </w:rPr>
                          <w:t>4</w:t>
                        </w:r>
                        <w:r>
                          <w:rPr>
                            <w:rFonts w:ascii="宋体" w:hAnsi="宋体" w:cs="宋体" w:eastAsia="宋体" w:hint="default"/>
                            <w:sz w:val="18"/>
                            <w:szCs w:val="18"/>
                          </w:rPr>
                          <w:t>、其 </w:t>
                        </w:r>
                        <w:r>
                          <w:rPr>
                            <w:rFonts w:ascii="宋体" w:hAnsi="宋体" w:cs="宋体" w:eastAsia="宋体" w:hint="default"/>
                            <w:spacing w:val="-4"/>
                            <w:sz w:val="18"/>
                            <w:szCs w:val="18"/>
                          </w:rPr>
                          <w:t>余股东之间，未知是否存在关联关系，或属于《上市公司股东持股变动信息披露管理办法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中规定的一致行动人。</w:t>
                        </w:r>
                      </w:p>
                    </w:tc>
                  </w:tr>
                  <w:tr>
                    <w:trPr>
                      <w:trHeight w:val="704" w:hRule="exact"/>
                    </w:trPr>
                    <w:tc>
                      <w:tcPr>
                        <w:tcW w:w="254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27" w:type="dxa"/>
                        <w:gridSpan w:val="4"/>
                        <w:vMerge/>
                        <w:tcBorders>
                          <w:left w:val="single" w:sz="10" w:space="0" w:color="D4D4D4"/>
                          <w:right w:val="single" w:sz="4" w:space="0" w:color="000000"/>
                        </w:tcBorders>
                      </w:tcPr>
                      <w:p>
                        <w:pPr/>
                      </w:p>
                    </w:tc>
                  </w:tr>
                  <w:tr>
                    <w:trPr>
                      <w:trHeight w:val="629" w:hRule="exact"/>
                    </w:trPr>
                    <w:tc>
                      <w:tcPr>
                        <w:tcW w:w="2540"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7" w:type="dxa"/>
                        <w:gridSpan w:val="4"/>
                        <w:vMerge/>
                        <w:tcBorders>
                          <w:left w:val="single" w:sz="10" w:space="0" w:color="D4D4D4"/>
                          <w:bottom w:val="single" w:sz="4" w:space="0" w:color="000000"/>
                          <w:right w:val="single" w:sz="4" w:space="0" w:color="000000"/>
                        </w:tcBorders>
                      </w:tcPr>
                      <w:p>
                        <w:pPr/>
                      </w:p>
                    </w:tc>
                  </w:tr>
                  <w:tr>
                    <w:trPr>
                      <w:trHeight w:val="402" w:hRule="exact"/>
                    </w:trPr>
                    <w:tc>
                      <w:tcPr>
                        <w:tcW w:w="956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326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534" w:type="dxa"/>
                        <w:tcBorders>
                          <w:top w:val="single" w:sz="4" w:space="0" w:color="000000"/>
                          <w:left w:val="single" w:sz="4" w:space="0" w:color="000000"/>
                          <w:bottom w:val="nil" w:sz="6" w:space="0" w:color="auto"/>
                          <w:right w:val="single" w:sz="4" w:space="0" w:color="000000"/>
                        </w:tcBorders>
                        <w:shd w:val="clear" w:color="auto" w:fill="D4D4D4"/>
                      </w:tcPr>
                      <w:p>
                        <w:pPr/>
                      </w:p>
                    </w:tc>
                    <w:tc>
                      <w:tcPr>
                        <w:tcW w:w="277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326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3262" w:type="dxa"/>
                        <w:gridSpan w:val="2"/>
                        <w:vMerge/>
                        <w:tcBorders>
                          <w:left w:val="single" w:sz="4" w:space="0" w:color="000000"/>
                          <w:bottom w:val="nil" w:sz="6" w:space="0" w:color="auto"/>
                          <w:right w:val="single" w:sz="4" w:space="0" w:color="000000"/>
                        </w:tcBorders>
                        <w:shd w:val="clear" w:color="auto" w:fill="D4D4D4"/>
                      </w:tcPr>
                      <w:p>
                        <w:pPr/>
                      </w:p>
                    </w:tc>
                    <w:tc>
                      <w:tcPr>
                        <w:tcW w:w="3534" w:type="dxa"/>
                        <w:vMerge/>
                        <w:tcBorders>
                          <w:left w:val="single" w:sz="4" w:space="0" w:color="000000"/>
                          <w:bottom w:val="nil" w:sz="6" w:space="0" w:color="auto"/>
                          <w:right w:val="single" w:sz="4" w:space="0" w:color="000000"/>
                        </w:tcBorders>
                        <w:shd w:val="clear" w:color="auto" w:fill="D4D4D4"/>
                      </w:tcPr>
                      <w:p>
                        <w:pPr/>
                      </w:p>
                    </w:tc>
                    <w:tc>
                      <w:tcPr>
                        <w:tcW w:w="13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26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534" w:type="dxa"/>
                        <w:tcBorders>
                          <w:top w:val="nil" w:sz="6" w:space="0" w:color="auto"/>
                          <w:left w:val="single" w:sz="4" w:space="0" w:color="000000"/>
                          <w:bottom w:val="single" w:sz="4" w:space="0" w:color="000000"/>
                          <w:right w:val="single" w:sz="4" w:space="0" w:color="000000"/>
                        </w:tcBorders>
                        <w:shd w:val="clear" w:color="auto" w:fill="D4D4D4"/>
                      </w:tcPr>
                      <w:p>
                        <w:pPr/>
                      </w:p>
                    </w:tc>
                    <w:tc>
                      <w:tcPr>
                        <w:tcW w:w="1387" w:type="dxa"/>
                        <w:vMerge/>
                        <w:tcBorders>
                          <w:left w:val="single" w:sz="4" w:space="0" w:color="000000"/>
                          <w:bottom w:val="single" w:sz="4" w:space="0" w:color="000000"/>
                          <w:right w:val="single" w:sz="4" w:space="0" w:color="000000"/>
                        </w:tcBorders>
                        <w:shd w:val="clear" w:color="auto" w:fill="D4D4D4"/>
                      </w:tcPr>
                      <w:p>
                        <w:pPr/>
                      </w:p>
                    </w:tc>
                    <w:tc>
                      <w:tcPr>
                        <w:tcW w:w="1385" w:type="dxa"/>
                        <w:vMerge/>
                        <w:tcBorders>
                          <w:left w:val="single" w:sz="4" w:space="0" w:color="000000"/>
                          <w:bottom w:val="single" w:sz="4" w:space="0" w:color="000000"/>
                          <w:right w:val="single" w:sz="4" w:space="0" w:color="000000"/>
                        </w:tcBorders>
                        <w:shd w:val="clear" w:color="auto" w:fill="D4D4D4"/>
                      </w:tcPr>
                      <w:p>
                        <w:pPr/>
                      </w:p>
                    </w:tc>
                  </w:tr>
                  <w:tr>
                    <w:trPr>
                      <w:trHeight w:val="714"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拉萨经济技术开发区通连投资咨询有限 公司</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13,955,941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13,955,941</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6,400,000</w:t>
                        </w:r>
                      </w:p>
                    </w:tc>
                  </w:tr>
                  <w:tr>
                    <w:trPr>
                      <w:trHeight w:val="714"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中国建设银行－国泰金鼎价值精选混合 型证券投资基金</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5,480,488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5,480,488</w:t>
                        </w:r>
                      </w:p>
                    </w:tc>
                  </w:tr>
                  <w:tr>
                    <w:trPr>
                      <w:trHeight w:val="714"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中国建设银行－华夏红利混合型开放式 证券投资基金</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5,463,451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5,463,451</w:t>
                        </w:r>
                      </w:p>
                    </w:tc>
                  </w:tr>
                  <w:tr>
                    <w:trPr>
                      <w:trHeight w:val="714"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中国农业银行股份有限公司－工银瑞信 创新动力股票型证券投资基金</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3,928,123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3,928,123</w:t>
                        </w:r>
                      </w:p>
                    </w:tc>
                  </w:tr>
                  <w:tr>
                    <w:trPr>
                      <w:trHeight w:val="714"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中国银行股份有限公司－长盛电子信息 产业股票型证券投资基金</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3,378,526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3,378,526</w:t>
                        </w:r>
                      </w:p>
                    </w:tc>
                  </w:tr>
                  <w:tr>
                    <w:trPr>
                      <w:trHeight w:val="714"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中国建设银行股份有限公司－华夏盛世 精选股票型证券投资基金</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1,954,725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1,954,725</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赵建平</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赵吉</w:t>
                        </w:r>
                      </w:p>
                    </w:tc>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1962" w:hRule="exact"/>
                    </w:trPr>
                    <w:tc>
                      <w:tcPr>
                        <w:tcW w:w="326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p>
                      <w:p>
                        <w:pPr>
                          <w:pStyle w:val="TableParagraph"/>
                          <w:spacing w:line="302" w:lineRule="auto" w:before="63"/>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间关联关系或一致行动的说明</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上述股东中：</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、郭泓为郭永芳侄子。</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、为保持公司经营决策的一致性，公司实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5"/>
                            <w:sz w:val="18"/>
                            <w:szCs w:val="18"/>
                          </w:rPr>
                          <w:t>际控制人郭永芳、滕达、刘祥南三人签订了《一致行动协议》，互为一致行动人</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、根据基金公司公开资料可知，中国建设银行－华夏红利混合型开放式证券投 资基金和中国建设银行股份有限公司－华夏盛世精选股票型证券投资基金同属 于华夏基金管理有限公司管理。</w:t>
                        </w:r>
                        <w:r>
                          <w:rPr>
                            <w:rFonts w:ascii="Times New Roman" w:hAnsi="Times New Roman" w:cs="Times New Roman" w:eastAsia="Times New Roman" w:hint="default"/>
                            <w:sz w:val="18"/>
                            <w:szCs w:val="18"/>
                          </w:rPr>
                          <w:t>4</w:t>
                        </w:r>
                        <w:r>
                          <w:rPr>
                            <w:rFonts w:ascii="宋体" w:hAnsi="宋体" w:cs="宋体" w:eastAsia="宋体" w:hint="default"/>
                            <w:sz w:val="18"/>
                            <w:szCs w:val="18"/>
                          </w:rPr>
                          <w:t>、其余股东之间，未知是否存在关联关系，或 属于《上市公司股东持股变动信息披露管理办法》中规定的一致行动人。</w:t>
                        </w:r>
                      </w:p>
                    </w:tc>
                  </w:tr>
                  <w:tr>
                    <w:trPr>
                      <w:trHeight w:val="714" w:hRule="exact"/>
                    </w:trPr>
                    <w:tc>
                      <w:tcPr>
                        <w:tcW w:w="326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上述股东中，赵吉通过普通证券账户持有</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股，通过方正证券股份有限公司客户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44"/>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before="35"/>
        <w:ind w:right="0"/>
        <w:jc w:val="left"/>
      </w:pPr>
      <w:r>
        <w:rPr/>
        <w:t>公司股东在报告期内是否进行约定购回交易：</w:t>
      </w:r>
    </w:p>
    <w:p>
      <w:pPr>
        <w:pStyle w:val="BodyText"/>
        <w:spacing w:line="240" w:lineRule="auto" w:before="7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747" w:footer="980"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其他持股在10%以上的法人股东" w:id="84"/>
      <w:bookmarkEnd w:id="84"/>
      <w:r>
        <w:rPr>
          <w:b w:val="0"/>
          <w:bCs w:val="0"/>
        </w:rPr>
      </w:r>
      <w:r>
        <w:rPr>
          <w:rFonts w:ascii="Times New Roman" w:hAnsi="Times New Roman" w:cs="Times New Roman" w:eastAsia="Times New Roman" w:hint="default"/>
        </w:rPr>
        <w:t>2</w:t>
      </w:r>
      <w:bookmarkStart w:name="2、公司控股股东情况" w:id="85"/>
      <w:bookmarkEnd w:id="85"/>
      <w:r>
        <w:rPr>
          <w:rFonts w:ascii="Times New Roman" w:hAnsi="Times New Roman" w:cs="Times New Roman" w:eastAsia="Times New Roman" w:hint="default"/>
        </w:rPr>
      </w:r>
      <w:r>
        <w:rPr/>
        <w:t>、公司控股股东情况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日起至今任公司董事会副董事长。</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7"/>
        <w:ind w:right="0"/>
        <w:jc w:val="left"/>
      </w:pPr>
      <w:r>
        <w:rPr/>
        <w:t>控股股东报告期内变更：</w:t>
      </w:r>
    </w:p>
    <w:p>
      <w:pPr>
        <w:pStyle w:val="BodyText"/>
        <w:spacing w:line="240" w:lineRule="auto" w:before="10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18"/>
        <w:gridCol w:w="2029"/>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bookmarkStart w:name="3、公司实际控制人情况" w:id="86"/>
            <w:bookmarkEnd w:id="86"/>
            <w:r>
              <w:rPr/>
            </w: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日起至今任公司董事会副董事长；刘祥南，</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pacing w:val="-4"/>
                <w:sz w:val="18"/>
                <w:szCs w:val="18"/>
              </w:rPr>
              <w:t>日起至今任公司董事会董事长；滕达，</w:t>
            </w:r>
            <w:r>
              <w:rPr>
                <w:rFonts w:ascii="Times New Roman" w:hAnsi="Times New Roman" w:cs="Times New Roman" w:eastAsia="Times New Roman" w:hint="default"/>
                <w:spacing w:val="-4"/>
                <w:sz w:val="18"/>
                <w:szCs w:val="18"/>
              </w:rPr>
              <w:t>2009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日起至今任公司董 事、总经理。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7"/>
        <w:ind w:right="0"/>
        <w:jc w:val="left"/>
      </w:pPr>
      <w:r>
        <w:rPr/>
        <w:t>实际控制人报告期内变更：</w:t>
      </w:r>
    </w:p>
    <w:p>
      <w:pPr>
        <w:pStyle w:val="BodyText"/>
        <w:spacing w:line="316" w:lineRule="auto" w:before="109"/>
        <w:ind w:right="49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公司与实际控制人之间的产权及控制关系的方框图：</w:t>
      </w:r>
    </w:p>
    <w:p>
      <w:pPr>
        <w:spacing w:line="240" w:lineRule="auto" w:before="2"/>
        <w:rPr>
          <w:rFonts w:ascii="宋体" w:hAnsi="宋体" w:cs="宋体" w:eastAsia="宋体" w:hint="default"/>
          <w:sz w:val="23"/>
          <w:szCs w:val="23"/>
        </w:rPr>
      </w:pPr>
    </w:p>
    <w:p>
      <w:pPr>
        <w:spacing w:line="2940" w:lineRule="exact"/>
        <w:ind w:left="1355"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591462" cy="1866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7" cstate="print"/>
                    <a:stretch>
                      <a:fillRect/>
                    </a:stretch>
                  </pic:blipFill>
                  <pic:spPr>
                    <a:xfrm>
                      <a:off x="0" y="0"/>
                      <a:ext cx="4591462" cy="1866900"/>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9"/>
        <w:rPr>
          <w:rFonts w:ascii="宋体" w:hAnsi="宋体" w:cs="宋体" w:eastAsia="宋体" w:hint="default"/>
          <w:sz w:val="23"/>
          <w:szCs w:val="23"/>
        </w:rPr>
      </w:pPr>
    </w:p>
    <w:p>
      <w:pPr>
        <w:pStyle w:val="BodyText"/>
        <w:spacing w:line="240" w:lineRule="auto"/>
        <w:ind w:right="0"/>
        <w:jc w:val="left"/>
      </w:pPr>
      <w:r>
        <w:rPr/>
        <w:t>实际控制人通过信托或其他资产管理方式控制公司：</w:t>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3"/>
        <w:gridCol w:w="1542"/>
        <w:gridCol w:w="1064"/>
        <w:gridCol w:w="1593"/>
        <w:gridCol w:w="1385"/>
        <w:gridCol w:w="1789"/>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5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85" w:right="0"/>
              <w:jc w:val="left"/>
              <w:rPr>
                <w:rFonts w:ascii="宋体" w:hAnsi="宋体" w:cs="宋体" w:eastAsia="宋体" w:hint="default"/>
                <w:sz w:val="18"/>
                <w:szCs w:val="18"/>
              </w:rPr>
            </w:pPr>
            <w:r>
              <w:rPr>
                <w:rFonts w:ascii="宋体" w:hAnsi="宋体" w:cs="宋体" w:eastAsia="宋体" w:hint="default"/>
                <w:sz w:val="18"/>
                <w:szCs w:val="18"/>
              </w:rPr>
              <w:t>主要经营业务或管理</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183"/>
        <w:gridCol w:w="1542"/>
        <w:gridCol w:w="1064"/>
        <w:gridCol w:w="1592"/>
        <w:gridCol w:w="1385"/>
        <w:gridCol w:w="1801"/>
      </w:tblGrid>
      <w:tr>
        <w:trPr>
          <w:trHeight w:val="362"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left="495"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活动</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拉萨经济技术开发区通连 投资咨询有限公司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胡文宝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67779408-4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企业投资咨询、计算机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软硬件的开发</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7385"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报告期末，拉萨经济技术开发区通连投资咨询有限公司持有本公司股份</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28,500,000</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股，占总股</w:t>
            </w:r>
            <w:r>
              <w:rPr>
                <w:rFonts w:ascii="宋体" w:hAnsi="宋体" w:cs="宋体" w:eastAsia="宋体" w:hint="default"/>
                <w:sz w:val="18"/>
                <w:szCs w:val="18"/>
              </w:rPr>
              <w:t> 本比例为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12.86%</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、前</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w:t>
      </w:r>
      <w:bookmarkStart w:name="5、前10名限售条件股东持股数量及限售条件" w:id="87"/>
      <w:bookmarkEnd w:id="87"/>
      <w:r>
        <w:rPr/>
        <w:t>售条件股</w:t>
      </w:r>
      <w:r>
        <w:rPr/>
        <w:t>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郭泓</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348,750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337,425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680" w:right="0"/>
        <w:jc w:val="left"/>
        <w:rPr>
          <w:b w:val="0"/>
          <w:bCs w:val="0"/>
        </w:rPr>
      </w:pPr>
      <w:bookmarkStart w:name="第七节 董事、监事、高级管理人员和员工情况" w:id="88"/>
      <w:bookmarkEnd w:id="88"/>
      <w:r>
        <w:rPr>
          <w:b w:val="0"/>
          <w:bCs w:val="0"/>
        </w:rPr>
      </w:r>
      <w:bookmarkStart w:name="_bookmark6" w:id="89"/>
      <w:bookmarkEnd w:id="89"/>
      <w:r>
        <w:rPr>
          <w:b w:val="0"/>
          <w:bCs w:val="0"/>
        </w:rPr>
      </w:r>
      <w:r>
        <w:rPr/>
        <w:t>第七节</w:t>
      </w:r>
      <w:r>
        <w:rPr>
          <w:spacing w:val="-6"/>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w:t>
      </w:r>
      <w:bookmarkStart w:name="一、董事、监事和高级管理人员持股变动" w:id="90"/>
      <w:bookmarkEnd w:id="90"/>
      <w:r>
        <w:rPr/>
        <w:t>事和高级</w:t>
      </w:r>
      <w:r>
        <w:rPr/>
        <w:t>管理人员持股变动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1、持股情况" w:id="91"/>
      <w:bookmarkEnd w:id="91"/>
      <w:r>
        <w:rPr/>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1039"/>
        <w:gridCol w:w="425"/>
        <w:gridCol w:w="460"/>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6"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6"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6"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62,400,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60,755,</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941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个人资 金需求 减持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32,000,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32,000,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郭东辉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陈汉文</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仲丽华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吴顺祥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二级市 场购买</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高龙腾</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个人资 金需求 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个人资 金需求 减持</w:t>
            </w:r>
          </w:p>
        </w:tc>
      </w:tr>
      <w:tr>
        <w:trPr>
          <w:trHeight w:val="67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608,000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个人资 金需求</w:t>
            </w:r>
          </w:p>
        </w:tc>
      </w:tr>
    </w:tbl>
    <w:p>
      <w:pPr>
        <w:spacing w:after="0" w:line="316"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4"/>
        <w:gridCol w:w="1039"/>
        <w:gridCol w:w="425"/>
        <w:gridCol w:w="460"/>
        <w:gridCol w:w="683"/>
        <w:gridCol w:w="683"/>
        <w:gridCol w:w="684"/>
        <w:gridCol w:w="683"/>
        <w:gridCol w:w="684"/>
        <w:gridCol w:w="684"/>
        <w:gridCol w:w="684"/>
        <w:gridCol w:w="684"/>
        <w:gridCol w:w="684"/>
        <w:gridCol w:w="684"/>
      </w:tblGrid>
      <w:tr>
        <w:trPr>
          <w:trHeight w:val="362"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个人资 金需求 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个人资 金需求 减持</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577,900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577,900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608,000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个人资 金需求 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个人资 金需求 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个人资 金需求 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个人资 金需求 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董事会秘 书、副总经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个人资 金需求 减持</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125,180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,900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122,540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,341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二、任职情况" w:id="92"/>
      <w:bookmarkEnd w:id="92"/>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t>二、任职情况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公司现任董事、监事、高级管理人员最近</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Heading4"/>
        <w:spacing w:line="240" w:lineRule="auto" w:before="92"/>
        <w:ind w:left="153" w:right="0"/>
        <w:jc w:val="left"/>
        <w:rPr>
          <w:b w:val="0"/>
          <w:bCs w:val="0"/>
        </w:rPr>
      </w:pPr>
      <w:r>
        <w:rPr>
          <w:rFonts w:ascii="Times New Roman" w:hAnsi="Times New Roman" w:cs="Times New Roman" w:eastAsia="Times New Roman" w:hint="default"/>
        </w:rPr>
        <w:t>1</w:t>
      </w:r>
      <w:r>
        <w:rPr/>
        <w:t>、董事</w:t>
      </w:r>
      <w:r>
        <w:rPr>
          <w:b w:val="0"/>
          <w:bCs w:val="0"/>
        </w:rPr>
      </w:r>
    </w:p>
    <w:p>
      <w:pPr>
        <w:pStyle w:val="BodyText"/>
        <w:spacing w:line="494" w:lineRule="exact" w:before="22"/>
        <w:ind w:left="576" w:right="0" w:hanging="3"/>
        <w:jc w:val="left"/>
      </w:pPr>
      <w:r>
        <w:rPr/>
        <w:t>公司董事会由</w:t>
      </w:r>
      <w:r>
        <w:rPr>
          <w:rFonts w:ascii="Times New Roman" w:hAnsi="Times New Roman" w:cs="Times New Roman" w:eastAsia="Times New Roman" w:hint="default"/>
        </w:rPr>
        <w:t>7</w:t>
      </w:r>
      <w:r>
        <w:rPr/>
        <w:t>名董事组成，其中独立董事</w:t>
      </w:r>
      <w:r>
        <w:rPr>
          <w:rFonts w:ascii="Times New Roman" w:hAnsi="Times New Roman" w:cs="Times New Roman" w:eastAsia="Times New Roman" w:hint="default"/>
        </w:rPr>
        <w:t>3</w:t>
      </w:r>
      <w:r>
        <w:rPr/>
        <w:t>名。 </w:t>
      </w:r>
      <w:r>
        <w:rPr>
          <w:rFonts w:ascii="宋体" w:hAnsi="宋体" w:cs="宋体" w:eastAsia="宋体" w:hint="default"/>
          <w:b/>
          <w:bCs/>
          <w:spacing w:val="-1"/>
        </w:rPr>
        <w:t>郭永芳</w:t>
      </w:r>
      <w:r>
        <w:rPr>
          <w:spacing w:val="-1"/>
        </w:rPr>
        <w:t>，女，</w:t>
      </w:r>
      <w:r>
        <w:rPr>
          <w:rFonts w:ascii="Times New Roman" w:hAnsi="Times New Roman" w:cs="Times New Roman" w:eastAsia="Times New Roman" w:hint="default"/>
          <w:spacing w:val="-1"/>
        </w:rPr>
        <w:t>1945</w:t>
      </w:r>
      <w:r>
        <w:rPr>
          <w:spacing w:val="-1"/>
        </w:rPr>
        <w:t>年出生，中国香港籍。</w:t>
      </w:r>
      <w:r>
        <w:rPr>
          <w:rFonts w:ascii="Times New Roman" w:hAnsi="Times New Roman" w:cs="Times New Roman" w:eastAsia="Times New Roman" w:hint="default"/>
          <w:spacing w:val="-1"/>
        </w:rPr>
        <w:t>1968</w:t>
      </w:r>
      <w:r>
        <w:rPr>
          <w:spacing w:val="-1"/>
        </w:rPr>
        <w:t>年毕业于福建师范大学数学系。</w:t>
      </w:r>
      <w:r>
        <w:rPr>
          <w:rFonts w:ascii="Times New Roman" w:hAnsi="Times New Roman" w:cs="Times New Roman" w:eastAsia="Times New Roman" w:hint="default"/>
          <w:spacing w:val="-1"/>
        </w:rPr>
        <w:t>1968</w:t>
      </w:r>
      <w:r>
        <w:rPr>
          <w:spacing w:val="-1"/>
        </w:rPr>
        <w:t>年到</w:t>
      </w:r>
      <w:r>
        <w:rPr>
          <w:rFonts w:ascii="Times New Roman" w:hAnsi="Times New Roman" w:cs="Times New Roman" w:eastAsia="Times New Roman" w:hint="default"/>
          <w:spacing w:val="-1"/>
        </w:rPr>
        <w:t>1975</w:t>
      </w:r>
      <w:r>
        <w:rPr>
          <w:spacing w:val="-1"/>
        </w:rPr>
        <w:t>年</w:t>
      </w:r>
      <w:bookmarkStart w:name="2、持有股票期权情况" w:id="93"/>
      <w:bookmarkEnd w:id="93"/>
      <w:r>
        <w:rPr>
          <w:spacing w:val="-1"/>
        </w:rPr>
        <w:t>在福建</w:t>
      </w:r>
    </w:p>
    <w:p>
      <w:pPr>
        <w:pStyle w:val="BodyText"/>
        <w:spacing w:line="309" w:lineRule="auto" w:before="30"/>
        <w:ind w:right="0" w:hanging="1"/>
        <w:jc w:val="left"/>
      </w:pPr>
      <w:r>
        <w:rPr>
          <w:spacing w:val="-1"/>
        </w:rPr>
        <w:t>漳浦赤湖中学任教；</w:t>
      </w:r>
      <w:r>
        <w:rPr>
          <w:rFonts w:ascii="Times New Roman" w:hAnsi="Times New Roman" w:cs="Times New Roman" w:eastAsia="Times New Roman" w:hint="default"/>
          <w:spacing w:val="-1"/>
        </w:rPr>
        <w:t>1975</w:t>
      </w:r>
      <w:r>
        <w:rPr>
          <w:spacing w:val="-1"/>
        </w:rPr>
        <w:t>年到</w:t>
      </w:r>
      <w:r>
        <w:rPr>
          <w:rFonts w:ascii="Times New Roman" w:hAnsi="Times New Roman" w:cs="Times New Roman" w:eastAsia="Times New Roman" w:hint="default"/>
          <w:spacing w:val="-1"/>
        </w:rPr>
        <w:t>2000</w:t>
      </w:r>
      <w:r>
        <w:rPr>
          <w:spacing w:val="-1"/>
        </w:rPr>
        <w:t>年间在厦门一中任教；</w:t>
      </w:r>
      <w:r>
        <w:rPr>
          <w:rFonts w:ascii="Times New Roman" w:hAnsi="Times New Roman" w:cs="Times New Roman" w:eastAsia="Times New Roman" w:hint="default"/>
          <w:spacing w:val="-1"/>
        </w:rPr>
        <w:t>2001</w:t>
      </w:r>
      <w:r>
        <w:rPr>
          <w:spacing w:val="-1"/>
        </w:rPr>
        <w:t>年至</w:t>
      </w:r>
      <w:r>
        <w:rPr>
          <w:rFonts w:ascii="Times New Roman" w:hAnsi="Times New Roman" w:cs="Times New Roman" w:eastAsia="Times New Roman" w:hint="default"/>
          <w:spacing w:val="-1"/>
        </w:rPr>
        <w:t>2009</w:t>
      </w:r>
      <w:r>
        <w:rPr>
          <w:spacing w:val="-1"/>
        </w:rPr>
        <w:t>年任厦门市美亚柏科资讯科技有限</w:t>
      </w:r>
      <w:r>
        <w:rPr>
          <w:spacing w:val="-84"/>
        </w:rPr>
        <w:t> </w:t>
      </w:r>
      <w:r>
        <w:rPr>
          <w:spacing w:val="-84"/>
        </w:rPr>
      </w:r>
      <w:r>
        <w:rPr/>
        <w:t>公司执行董事；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日起至今任公司董事会副董事长。</w:t>
      </w:r>
    </w:p>
    <w:p>
      <w:pPr>
        <w:spacing w:after="0" w:line="309" w:lineRule="auto"/>
        <w:jc w:val="left"/>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309" w:lineRule="auto" w:before="35"/>
        <w:ind w:left="153" w:right="0" w:firstLine="422"/>
        <w:jc w:val="left"/>
      </w:pPr>
      <w:r>
        <w:rPr>
          <w:rFonts w:ascii="宋体" w:hAnsi="宋体" w:cs="宋体" w:eastAsia="宋体" w:hint="default"/>
          <w:b/>
          <w:bCs/>
          <w:spacing w:val="-1"/>
        </w:rPr>
        <w:t>刘祥南</w:t>
      </w:r>
      <w:r>
        <w:rPr>
          <w:spacing w:val="-1"/>
        </w:rPr>
        <w:t>，男，</w:t>
      </w:r>
      <w:r>
        <w:rPr>
          <w:rFonts w:ascii="Times New Roman" w:hAnsi="Times New Roman" w:cs="Times New Roman" w:eastAsia="Times New Roman" w:hint="default"/>
          <w:spacing w:val="-1"/>
        </w:rPr>
        <w:t>1937</w:t>
      </w:r>
      <w:r>
        <w:rPr>
          <w:spacing w:val="-1"/>
        </w:rPr>
        <w:t>年出生，中国国籍，教授，无永久境外居留权。</w:t>
      </w:r>
      <w:r>
        <w:rPr>
          <w:rFonts w:ascii="Times New Roman" w:hAnsi="Times New Roman" w:cs="Times New Roman" w:eastAsia="Times New Roman" w:hint="default"/>
          <w:spacing w:val="-1"/>
        </w:rPr>
        <w:t>1955</w:t>
      </w:r>
      <w:r>
        <w:rPr>
          <w:spacing w:val="-1"/>
        </w:rPr>
        <w:t>年至</w:t>
      </w:r>
      <w:r>
        <w:rPr>
          <w:rFonts w:ascii="Times New Roman" w:hAnsi="Times New Roman" w:cs="Times New Roman" w:eastAsia="Times New Roman" w:hint="default"/>
          <w:spacing w:val="-1"/>
        </w:rPr>
        <w:t>1959</w:t>
      </w:r>
      <w:r>
        <w:rPr>
          <w:spacing w:val="-1"/>
        </w:rPr>
        <w:t>年就读于厦门大学物</w:t>
      </w:r>
      <w:r>
        <w:rPr/>
        <w:t> </w:t>
      </w:r>
      <w:r>
        <w:rPr>
          <w:spacing w:val="-1"/>
        </w:rPr>
        <w:t>理系；</w:t>
      </w:r>
      <w:r>
        <w:rPr>
          <w:rFonts w:ascii="Times New Roman" w:hAnsi="Times New Roman" w:cs="Times New Roman" w:eastAsia="Times New Roman" w:hint="default"/>
          <w:spacing w:val="-1"/>
        </w:rPr>
        <w:t>1959</w:t>
      </w:r>
      <w:r>
        <w:rPr>
          <w:spacing w:val="-1"/>
        </w:rPr>
        <w:t>年至</w:t>
      </w:r>
      <w:r>
        <w:rPr>
          <w:rFonts w:ascii="Times New Roman" w:hAnsi="Times New Roman" w:cs="Times New Roman" w:eastAsia="Times New Roman" w:hint="default"/>
          <w:spacing w:val="-1"/>
        </w:rPr>
        <w:t>1986</w:t>
      </w:r>
      <w:r>
        <w:rPr>
          <w:spacing w:val="-1"/>
        </w:rPr>
        <w:t>年任厦门大学物理系教师；</w:t>
      </w:r>
      <w:r>
        <w:rPr>
          <w:rFonts w:ascii="Times New Roman" w:hAnsi="Times New Roman" w:cs="Times New Roman" w:eastAsia="Times New Roman" w:hint="default"/>
          <w:spacing w:val="-1"/>
        </w:rPr>
        <w:t>1986</w:t>
      </w:r>
      <w:r>
        <w:rPr>
          <w:spacing w:val="-1"/>
        </w:rPr>
        <w:t>年至</w:t>
      </w:r>
      <w:r>
        <w:rPr>
          <w:rFonts w:ascii="Times New Roman" w:hAnsi="Times New Roman" w:cs="Times New Roman" w:eastAsia="Times New Roman" w:hint="default"/>
          <w:spacing w:val="-1"/>
        </w:rPr>
        <w:t>1998</w:t>
      </w:r>
      <w:r>
        <w:rPr>
          <w:spacing w:val="-1"/>
        </w:rPr>
        <w:t>年任厦门大学电子工程系教师、教授；</w:t>
      </w:r>
      <w:r>
        <w:rPr>
          <w:rFonts w:ascii="Times New Roman" w:hAnsi="Times New Roman" w:cs="Times New Roman" w:eastAsia="Times New Roman" w:hint="default"/>
          <w:spacing w:val="-1"/>
        </w:rPr>
        <w:t>1999</w:t>
      </w:r>
      <w:r>
        <w:rPr>
          <w:rFonts w:ascii="Times New Roman" w:hAnsi="Times New Roman" w:cs="Times New Roman" w:eastAsia="Times New Roman" w:hint="default"/>
          <w:spacing w:val="-34"/>
        </w:rPr>
        <w:t> </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月任厦门市美亚柏科资讯科技有限公司监事；</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月任第</w:t>
      </w:r>
      <w:r>
        <w:rPr>
          <w:rFonts w:ascii="Times New Roman" w:hAnsi="Times New Roman" w:cs="Times New Roman" w:eastAsia="Times New Roman" w:hint="default"/>
        </w:rPr>
        <w:t>29</w:t>
      </w:r>
      <w:r>
        <w:rPr/>
        <w:t>届奥林匹克运 动会信息网络安全专家；</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日起至今任公司董事会董事长。</w:t>
      </w:r>
      <w:r>
        <w:rPr>
          <w:rFonts w:ascii="Times New Roman" w:hAnsi="Times New Roman" w:cs="Times New Roman" w:eastAsia="Times New Roman" w:hint="default"/>
        </w:rPr>
        <w:t>2014</w:t>
      </w:r>
      <w:r>
        <w:rPr/>
        <w:t>年起至今任厦门刘老师空中花 果园有限公司法人、董事长。</w:t>
      </w:r>
    </w:p>
    <w:p>
      <w:pPr>
        <w:pStyle w:val="BodyText"/>
        <w:spacing w:line="309" w:lineRule="auto" w:before="158"/>
        <w:ind w:left="153" w:right="0" w:firstLine="422"/>
        <w:jc w:val="left"/>
      </w:pPr>
      <w:r>
        <w:rPr>
          <w:rFonts w:ascii="宋体" w:hAnsi="宋体" w:cs="宋体" w:eastAsia="宋体" w:hint="default"/>
          <w:b/>
          <w:bCs/>
        </w:rPr>
        <w:t>滕达</w:t>
      </w:r>
      <w:r>
        <w:rPr/>
        <w:t>，男，</w:t>
      </w:r>
      <w:r>
        <w:rPr>
          <w:rFonts w:ascii="Times New Roman" w:hAnsi="Times New Roman" w:cs="Times New Roman" w:eastAsia="Times New Roman" w:hint="default"/>
        </w:rPr>
        <w:t>1970</w:t>
      </w:r>
      <w:r>
        <w:rPr/>
        <w:t>年出生，中国香港籍。硕士研究生学历。于</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月毕业于厦门大学电子工程系； </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8</w:t>
      </w:r>
      <w:r>
        <w:rPr>
          <w:spacing w:val="-1"/>
        </w:rPr>
        <w:t>月任厦门必可电子有限公司工程师；</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月任厦门市美亚柏科资讯科</w:t>
      </w:r>
      <w:r>
        <w:rPr>
          <w:spacing w:val="-88"/>
        </w:rPr>
        <w:t> </w:t>
      </w:r>
      <w:r>
        <w:rPr>
          <w:spacing w:val="-88"/>
        </w:rPr>
      </w:r>
      <w:r>
        <w:rPr/>
        <w:t>技有限公司总经理；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月任第</w:t>
      </w:r>
      <w:r>
        <w:rPr>
          <w:rFonts w:ascii="Times New Roman" w:hAnsi="Times New Roman" w:cs="Times New Roman" w:eastAsia="Times New Roman" w:hint="default"/>
        </w:rPr>
        <w:t>29</w:t>
      </w:r>
      <w:r>
        <w:rPr/>
        <w:t>届奥林匹克运动会信息网络安全专家；</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 </w:t>
      </w:r>
      <w:r>
        <w:rPr/>
        <w:t>日起至今任公司董事会董事、总经理。</w:t>
      </w:r>
    </w:p>
    <w:p>
      <w:pPr>
        <w:pStyle w:val="BodyText"/>
        <w:spacing w:line="309" w:lineRule="auto" w:before="158"/>
        <w:ind w:right="0" w:firstLine="422"/>
        <w:jc w:val="left"/>
      </w:pPr>
      <w:r>
        <w:rPr>
          <w:rFonts w:ascii="宋体" w:hAnsi="宋体" w:cs="宋体" w:eastAsia="宋体" w:hint="default"/>
          <w:b/>
          <w:bCs/>
          <w:spacing w:val="-1"/>
        </w:rPr>
        <w:t>李国林</w:t>
      </w:r>
      <w:r>
        <w:rPr>
          <w:spacing w:val="-1"/>
        </w:rPr>
        <w:t>，男，</w:t>
      </w:r>
      <w:r>
        <w:rPr>
          <w:rFonts w:ascii="Times New Roman" w:hAnsi="Times New Roman" w:cs="Times New Roman" w:eastAsia="Times New Roman" w:hint="default"/>
          <w:spacing w:val="-1"/>
        </w:rPr>
        <w:t>1968</w:t>
      </w:r>
      <w:r>
        <w:rPr>
          <w:spacing w:val="-1"/>
        </w:rPr>
        <w:t>年出生，中国国籍，无永久境外居留权。</w:t>
      </w:r>
      <w:r>
        <w:rPr>
          <w:rFonts w:ascii="Times New Roman" w:hAnsi="Times New Roman" w:cs="Times New Roman" w:eastAsia="Times New Roman" w:hint="default"/>
          <w:spacing w:val="-1"/>
        </w:rPr>
        <w:t>2000</w:t>
      </w:r>
      <w:r>
        <w:rPr>
          <w:spacing w:val="-1"/>
        </w:rPr>
        <w:t>年至今任美亚长城传媒（北京）有限</w:t>
      </w:r>
      <w:r>
        <w:rPr/>
        <w:t> 公司（原西安美亚文化传播有限公司）董事长。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日起至今任公司董事会董事。</w:t>
      </w:r>
    </w:p>
    <w:p>
      <w:pPr>
        <w:pStyle w:val="BodyText"/>
        <w:spacing w:line="319" w:lineRule="auto" w:before="136"/>
        <w:ind w:left="153" w:right="185" w:firstLine="422"/>
        <w:jc w:val="both"/>
      </w:pPr>
      <w:r>
        <w:rPr>
          <w:rFonts w:ascii="宋体" w:hAnsi="宋体" w:cs="宋体" w:eastAsia="宋体" w:hint="default"/>
          <w:b/>
          <w:bCs/>
        </w:rPr>
        <w:t>陈汉文</w:t>
      </w:r>
      <w:r>
        <w:rPr/>
        <w:t>，男，</w:t>
      </w:r>
      <w:r>
        <w:rPr>
          <w:rFonts w:ascii="Times New Roman" w:hAnsi="Times New Roman" w:cs="Times New Roman" w:eastAsia="Times New Roman" w:hint="default"/>
        </w:rPr>
        <w:t>1968</w:t>
      </w:r>
      <w:r>
        <w:rPr/>
        <w:t>年出生，中国国籍，博士、教授，无永久境外居留权。现任厦门大学会计系教授、 厦门大学研究生院副院长，兼任中国审计学会常务理事、中国会计学会财务成本分会副会长、中国金融会 计学会专家委员会委员、福建省审计学会副会长、福建省内部审计协会副会长、财政部会计准则委员会咨 </w:t>
      </w:r>
      <w:r>
        <w:rPr>
          <w:spacing w:val="-2"/>
        </w:rPr>
        <w:t>询专家等。</w:t>
      </w:r>
      <w:r>
        <w:rPr>
          <w:rFonts w:ascii="Times New Roman" w:hAnsi="Times New Roman" w:cs="Times New Roman" w:eastAsia="Times New Roman" w:hint="default"/>
          <w:spacing w:val="-2"/>
        </w:rPr>
        <w:t>2000--2001</w:t>
      </w:r>
      <w:r>
        <w:rPr>
          <w:spacing w:val="-2"/>
        </w:rPr>
        <w:t>年在加拿大圣玛丽大学和滑铁卢大学学术访问，</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8</w:t>
      </w:r>
      <w:r>
        <w:rPr>
          <w:spacing w:val="-2"/>
        </w:rPr>
        <w:t>月在美国哈佛大学商学院学</w:t>
      </w:r>
      <w:r>
        <w:rPr>
          <w:spacing w:val="-64"/>
        </w:rPr>
        <w:t> </w:t>
      </w:r>
      <w:r>
        <w:rPr>
          <w:spacing w:val="-64"/>
        </w:rPr>
      </w:r>
      <w:r>
        <w:rPr/>
        <w:t>习，</w:t>
      </w:r>
      <w:r>
        <w:rPr>
          <w:rFonts w:ascii="Times New Roman" w:hAnsi="Times New Roman" w:cs="Times New Roman" w:eastAsia="Times New Roman" w:hint="default"/>
        </w:rPr>
        <w:t>2010-2011</w:t>
      </w:r>
      <w:r>
        <w:rPr/>
        <w:t>年在英国牛津大学商学院学术访问。</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日起至今任公司董事会独立董事。</w:t>
      </w:r>
    </w:p>
    <w:p>
      <w:pPr>
        <w:pStyle w:val="BodyText"/>
        <w:spacing w:line="316" w:lineRule="auto" w:before="127"/>
        <w:ind w:left="153" w:right="0" w:firstLine="422"/>
        <w:jc w:val="left"/>
      </w:pPr>
      <w:r>
        <w:rPr>
          <w:rFonts w:ascii="宋体" w:hAnsi="宋体" w:cs="宋体" w:eastAsia="宋体" w:hint="default"/>
          <w:b/>
          <w:bCs/>
        </w:rPr>
        <w:t>郭东辉</w:t>
      </w:r>
      <w:r>
        <w:rPr/>
        <w:t>，男，</w:t>
      </w:r>
      <w:r>
        <w:rPr>
          <w:rFonts w:ascii="Times New Roman" w:hAnsi="Times New Roman" w:cs="Times New Roman" w:eastAsia="Times New Roman" w:hint="default"/>
        </w:rPr>
        <w:t>1967</w:t>
      </w:r>
      <w:r>
        <w:rPr/>
        <w:t>年出生，中国国籍，教授、博导，无永久境外居留权。</w:t>
      </w:r>
      <w:r>
        <w:rPr>
          <w:rFonts w:ascii="Times New Roman" w:hAnsi="Times New Roman" w:cs="Times New Roman" w:eastAsia="Times New Roman" w:hint="default"/>
        </w:rPr>
        <w:t>1994</w:t>
      </w:r>
      <w:r>
        <w:rPr/>
        <w:t>年获厦门大学物理系半 导体物理与器件专业博士学位。多年来一直从事人工智能、网络通讯、集成电路设计等方面的科研与教学 工作。先后在香港城市大学电子工程系、英国</w:t>
      </w:r>
      <w:r>
        <w:rPr>
          <w:rFonts w:ascii="Times New Roman" w:hAnsi="Times New Roman" w:cs="Times New Roman" w:eastAsia="Times New Roman" w:hint="default"/>
        </w:rPr>
        <w:t>Ulster</w:t>
      </w:r>
      <w:r>
        <w:rPr/>
        <w:t>大学信息学院、意大利</w:t>
      </w:r>
      <w:r>
        <w:rPr>
          <w:rFonts w:ascii="Times New Roman" w:hAnsi="Times New Roman" w:cs="Times New Roman" w:eastAsia="Times New Roman" w:hint="default"/>
        </w:rPr>
        <w:t>IIASS</w:t>
      </w:r>
      <w:r>
        <w:rPr/>
        <w:t>国际研究院、美国罗伦兹 </w:t>
      </w:r>
      <w:r>
        <w:rPr>
          <w:rFonts w:ascii="Times New Roman" w:hAnsi="Times New Roman" w:cs="Times New Roman" w:eastAsia="Times New Roman" w:hint="default"/>
          <w:spacing w:val="-4"/>
        </w:rPr>
        <w:t>Berkeley</w:t>
      </w:r>
      <w:r>
        <w:rPr>
          <w:spacing w:val="-4"/>
        </w:rPr>
        <w:t>国家实验室、美国加州大学</w:t>
      </w:r>
      <w:r>
        <w:rPr>
          <w:rFonts w:ascii="Times New Roman" w:hAnsi="Times New Roman" w:cs="Times New Roman" w:eastAsia="Times New Roman" w:hint="default"/>
          <w:spacing w:val="-4"/>
        </w:rPr>
        <w:t>Berkeley</w:t>
      </w:r>
      <w:r>
        <w:rPr>
          <w:spacing w:val="-4"/>
        </w:rPr>
        <w:t>分校、美国伊利诺大学香槟分校做博士后、研究员和访问教授，</w:t>
      </w:r>
      <w:r>
        <w:rPr>
          <w:spacing w:val="-61"/>
        </w:rPr>
        <w:t> </w:t>
      </w:r>
      <w:r>
        <w:rPr>
          <w:spacing w:val="-61"/>
        </w:rPr>
      </w:r>
      <w:r>
        <w:rPr/>
        <w:t>曾先后当任厦门大学网络中心副主任、厦门大学技术物理研究所副所长、厦门大学现代电路与系统技术研</w:t>
      </w:r>
      <w:r>
        <w:rPr/>
        <w:t> 究所所长、厦门市集成电路设计公共服务平台常务副主任、厦门大学信息科学与技术学院副院长。现任厦 门大学集成电路工程中心主任，是</w:t>
      </w:r>
      <w:r>
        <w:rPr>
          <w:rFonts w:ascii="Times New Roman" w:hAnsi="Times New Roman" w:cs="Times New Roman" w:eastAsia="Times New Roman" w:hint="default"/>
        </w:rPr>
        <w:t>IEEE</w:t>
      </w:r>
      <w:r>
        <w:rPr/>
        <w:t>高级会员、中国计算机学会高级会员、国家工信部安全生产专家组 成员、福建省信息产业专家委员会委员、福建省集成电路行业协会副理事长、厦门市电子学会理事长、</w:t>
      </w:r>
    </w:p>
    <w:p>
      <w:pPr>
        <w:pStyle w:val="BodyText"/>
        <w:spacing w:line="309" w:lineRule="auto" w:before="32"/>
        <w:ind w:left="153" w:right="214"/>
        <w:jc w:val="left"/>
      </w:pPr>
      <w:r>
        <w:rPr/>
        <w:t>《</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6"/>
        </w:rPr>
        <w:t> </w:t>
      </w:r>
      <w:r>
        <w:rPr>
          <w:rFonts w:ascii="Times New Roman" w:hAnsi="Times New Roman" w:cs="Times New Roman" w:eastAsia="Times New Roman" w:hint="default"/>
        </w:rPr>
        <w:t>Journal</w:t>
      </w:r>
      <w:r>
        <w:rPr>
          <w:rFonts w:ascii="Times New Roman" w:hAnsi="Times New Roman" w:cs="Times New Roman" w:eastAsia="Times New Roman" w:hint="default"/>
          <w:spacing w:val="-16"/>
        </w:rPr>
        <w:t> </w:t>
      </w:r>
      <w:r>
        <w:rPr>
          <w:rFonts w:ascii="Times New Roman" w:hAnsi="Times New Roman" w:cs="Times New Roman" w:eastAsia="Times New Roman" w:hint="default"/>
        </w:rPr>
        <w:t>of</w:t>
      </w:r>
      <w:r>
        <w:rPr>
          <w:rFonts w:ascii="Times New Roman" w:hAnsi="Times New Roman" w:cs="Times New Roman" w:eastAsia="Times New Roman" w:hint="default"/>
          <w:spacing w:val="-16"/>
        </w:rPr>
        <w:t> </w:t>
      </w:r>
      <w:r>
        <w:rPr>
          <w:rFonts w:ascii="Times New Roman" w:hAnsi="Times New Roman" w:cs="Times New Roman" w:eastAsia="Times New Roman" w:hint="default"/>
        </w:rPr>
        <w:t>Information</w:t>
      </w:r>
      <w:r>
        <w:rPr>
          <w:rFonts w:ascii="Times New Roman" w:hAnsi="Times New Roman" w:cs="Times New Roman" w:eastAsia="Times New Roman" w:hint="default"/>
          <w:spacing w:val="-15"/>
        </w:rPr>
        <w:t> </w:t>
      </w:r>
      <w:r>
        <w:rPr>
          <w:rFonts w:ascii="Times New Roman" w:hAnsi="Times New Roman" w:cs="Times New Roman" w:eastAsia="Times New Roman" w:hint="default"/>
        </w:rPr>
        <w:t>and</w:t>
      </w:r>
      <w:r>
        <w:rPr>
          <w:rFonts w:ascii="Times New Roman" w:hAnsi="Times New Roman" w:cs="Times New Roman" w:eastAsia="Times New Roman" w:hint="default"/>
          <w:spacing w:val="-16"/>
        </w:rPr>
        <w:t> </w:t>
      </w:r>
      <w:r>
        <w:rPr>
          <w:rFonts w:ascii="Times New Roman" w:hAnsi="Times New Roman" w:cs="Times New Roman" w:eastAsia="Times New Roman" w:hint="default"/>
        </w:rPr>
        <w:t>Electronics</w:t>
      </w:r>
      <w:r>
        <w:rPr/>
        <w:t>》杂志主编、</w:t>
      </w:r>
      <w:r>
        <w:rPr>
          <w:rFonts w:ascii="Times New Roman" w:hAnsi="Times New Roman" w:cs="Times New Roman" w:eastAsia="Times New Roman" w:hint="default"/>
        </w:rPr>
        <w:t>IEEE</w:t>
      </w:r>
      <w:r>
        <w:rPr/>
        <w:t>国际会议《</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6"/>
        </w:rPr>
        <w:t> </w:t>
      </w:r>
      <w:r>
        <w:rPr>
          <w:rFonts w:ascii="Times New Roman" w:hAnsi="Times New Roman" w:cs="Times New Roman" w:eastAsia="Times New Roman" w:hint="default"/>
        </w:rPr>
        <w:t>Conference</w:t>
      </w:r>
      <w:r>
        <w:rPr>
          <w:rFonts w:ascii="Times New Roman" w:hAnsi="Times New Roman" w:cs="Times New Roman" w:eastAsia="Times New Roman" w:hint="default"/>
          <w:spacing w:val="-16"/>
        </w:rPr>
        <w:t> </w:t>
      </w:r>
      <w:r>
        <w:rPr>
          <w:rFonts w:ascii="Times New Roman" w:hAnsi="Times New Roman" w:cs="Times New Roman" w:eastAsia="Times New Roman" w:hint="default"/>
        </w:rPr>
        <w:t>on</w:t>
      </w:r>
      <w:r>
        <w:rPr>
          <w:rFonts w:ascii="Times New Roman" w:hAnsi="Times New Roman" w:cs="Times New Roman" w:eastAsia="Times New Roman" w:hint="default"/>
        </w:rPr>
        <w:t> Anti-counterfeiting, Security, and</w:t>
      </w:r>
      <w:r>
        <w:rPr>
          <w:rFonts w:ascii="Times New Roman" w:hAnsi="Times New Roman" w:cs="Times New Roman" w:eastAsia="Times New Roman" w:hint="default"/>
          <w:spacing w:val="-17"/>
        </w:rPr>
        <w:t> </w:t>
      </w:r>
      <w:r>
        <w:rPr>
          <w:rFonts w:ascii="Times New Roman" w:hAnsi="Times New Roman" w:cs="Times New Roman" w:eastAsia="Times New Roman" w:hint="default"/>
        </w:rPr>
        <w:t>Identification</w:t>
      </w:r>
      <w:r>
        <w:rPr/>
        <w:t>》会议主席。</w:t>
      </w:r>
      <w:r>
        <w:rPr>
          <w:rFonts w:ascii="Times New Roman" w:hAnsi="Times New Roman" w:cs="Times New Roman" w:eastAsia="Times New Roman" w:hint="default"/>
        </w:rPr>
        <w:t>2003-2007</w:t>
      </w:r>
      <w:r>
        <w:rPr/>
        <w:t>年任厦门元顺微电子技术公司常务副 总及技术总监，</w:t>
      </w:r>
      <w:r>
        <w:rPr>
          <w:rFonts w:ascii="Times New Roman" w:hAnsi="Times New Roman" w:cs="Times New Roman" w:eastAsia="Times New Roman" w:hint="default"/>
        </w:rPr>
        <w:t>2010</w:t>
      </w:r>
      <w:r>
        <w:rPr/>
        <w:t>年起至今任公司董事会独立董事。</w:t>
      </w:r>
    </w:p>
    <w:p>
      <w:pPr>
        <w:pStyle w:val="BodyText"/>
        <w:spacing w:line="324" w:lineRule="auto" w:before="136"/>
        <w:ind w:left="153" w:right="168" w:firstLine="422"/>
        <w:jc w:val="left"/>
      </w:pPr>
      <w:r>
        <w:rPr>
          <w:rFonts w:ascii="宋体" w:hAnsi="宋体" w:cs="宋体" w:eastAsia="宋体" w:hint="default"/>
          <w:b/>
          <w:bCs/>
        </w:rPr>
        <w:t>陈少华</w:t>
      </w:r>
      <w:r>
        <w:rPr/>
        <w:t>，男，</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12</w:t>
      </w:r>
      <w:r>
        <w:rPr/>
        <w:t>月出生，博士、教授。现任本公司独立董事，厦门大学管理学院会计系教授、 </w:t>
      </w:r>
      <w:r>
        <w:rPr>
          <w:spacing w:val="-1"/>
        </w:rPr>
        <w:t>博士生导师、会计发展研究中心副主任，厦门外商投资企业会计协会会长，厦门总会计师协会副会长，中</w:t>
      </w:r>
      <w:r>
        <w:rPr>
          <w:spacing w:val="-85"/>
        </w:rPr>
        <w:t> </w:t>
      </w:r>
      <w:r>
        <w:rPr>
          <w:spacing w:val="-85"/>
        </w:rPr>
      </w:r>
      <w:r>
        <w:rPr/>
        <w:t>国中材国际工程股份有限公司、深圳天马微电子股份有限公司、福建七匹狼实业股份有限公司独立董事。 曾任美国弗吉尼亚联邦大学访问教授，厦门大学会计师事务所、厦门永大会计师事务所注册会计师，深圳</w:t>
      </w:r>
      <w:r>
        <w:rPr/>
        <w:t> 中兴通讯股份有限公司、福建南纺股份有限公司、</w:t>
      </w:r>
      <w:r>
        <w:rPr>
          <w:spacing w:val="-21"/>
        </w:rPr>
        <w:t> </w:t>
      </w:r>
      <w:r>
        <w:rPr/>
        <w:t>厦门三五互联科技股份有限公司、福建纳川管材科技</w:t>
      </w:r>
      <w:r>
        <w:rPr/>
        <w:t> 股份有限公司独立董事。</w:t>
      </w:r>
    </w:p>
    <w:p>
      <w:pPr>
        <w:pStyle w:val="Heading4"/>
        <w:spacing w:line="240" w:lineRule="auto" w:before="147"/>
        <w:ind w:left="153" w:right="0"/>
        <w:jc w:val="left"/>
        <w:rPr>
          <w:b w:val="0"/>
          <w:bCs w:val="0"/>
        </w:rPr>
      </w:pPr>
      <w:r>
        <w:rPr>
          <w:rFonts w:ascii="Times New Roman" w:hAnsi="Times New Roman" w:cs="Times New Roman" w:eastAsia="Times New Roman" w:hint="default"/>
        </w:rPr>
        <w:t>2</w:t>
      </w:r>
      <w:r>
        <w:rPr/>
        <w:t>、监事</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576" w:right="0"/>
        <w:jc w:val="left"/>
        <w:rPr>
          <w:rFonts w:ascii="Times New Roman" w:hAnsi="Times New Roman" w:cs="Times New Roman" w:eastAsia="Times New Roman" w:hint="default"/>
        </w:rPr>
      </w:pPr>
      <w:r>
        <w:rPr>
          <w:rFonts w:ascii="宋体" w:hAnsi="宋体" w:cs="宋体" w:eastAsia="宋体" w:hint="default"/>
          <w:b/>
          <w:bCs/>
        </w:rPr>
        <w:t>仲丽华</w:t>
      </w:r>
      <w:r>
        <w:rPr/>
        <w:t>，女，</w:t>
      </w:r>
      <w:r>
        <w:rPr>
          <w:rFonts w:ascii="Times New Roman" w:hAnsi="Times New Roman" w:cs="Times New Roman" w:eastAsia="Times New Roman" w:hint="default"/>
        </w:rPr>
        <w:t>1976</w:t>
      </w:r>
      <w:r>
        <w:rPr/>
        <w:t>年出生，中国国籍，硕士研究生学历，毕业于厦门大学，无永久境外居留权。</w:t>
      </w:r>
      <w:r>
        <w:rPr>
          <w:rFonts w:ascii="Times New Roman" w:hAnsi="Times New Roman" w:cs="Times New Roman" w:eastAsia="Times New Roman" w:hint="default"/>
        </w:rPr>
        <w:t>2007</w:t>
      </w:r>
    </w:p>
    <w:p>
      <w:pPr>
        <w:spacing w:after="0" w:line="240" w:lineRule="auto"/>
        <w:jc w:val="left"/>
        <w:rPr>
          <w:rFonts w:ascii="Times New Roman" w:hAnsi="Times New Roman" w:cs="Times New Roman" w:eastAsia="Times New Roman" w:hint="default"/>
        </w:rPr>
        <w:sectPr>
          <w:pgSz w:w="11910" w:h="16840"/>
          <w:pgMar w:header="747" w:footer="980" w:top="1060" w:bottom="1180" w:left="980" w:right="9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9"/>
        <w:ind w:right="0"/>
        <w:jc w:val="left"/>
      </w:pPr>
      <w:r>
        <w:rPr/>
        <w:t>年</w:t>
      </w:r>
      <w:r>
        <w:rPr>
          <w:rFonts w:ascii="Times New Roman" w:hAnsi="Times New Roman" w:cs="Times New Roman" w:eastAsia="Times New Roman" w:hint="default"/>
        </w:rPr>
        <w:t>4</w:t>
      </w:r>
      <w:r>
        <w:rPr/>
        <w:t>月至今，历任公司中证研究所网络维权部副经理、经理、数字法律服务中心副总监，总监。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p>
    <w:p>
      <w:pPr>
        <w:pStyle w:val="BodyText"/>
        <w:spacing w:line="240" w:lineRule="auto" w:before="83"/>
        <w:ind w:right="0"/>
        <w:jc w:val="left"/>
      </w:pPr>
      <w:r>
        <w:rPr>
          <w:rFonts w:ascii="Times New Roman" w:hAnsi="Times New Roman" w:cs="Times New Roman" w:eastAsia="Times New Roman" w:hint="default"/>
        </w:rPr>
        <w:t>25</w:t>
      </w:r>
      <w:r>
        <w:rPr/>
        <w:t>日起至今任公司监事会职工代表监事、监事会主席。</w:t>
      </w:r>
    </w:p>
    <w:p>
      <w:pPr>
        <w:spacing w:line="240" w:lineRule="auto" w:before="7"/>
        <w:rPr>
          <w:rFonts w:ascii="宋体" w:hAnsi="宋体" w:cs="宋体" w:eastAsia="宋体" w:hint="default"/>
          <w:sz w:val="15"/>
          <w:szCs w:val="15"/>
        </w:rPr>
      </w:pPr>
    </w:p>
    <w:p>
      <w:pPr>
        <w:pStyle w:val="BodyText"/>
        <w:spacing w:line="319" w:lineRule="auto"/>
        <w:ind w:left="153" w:right="151" w:firstLine="422"/>
        <w:jc w:val="both"/>
      </w:pPr>
      <w:r>
        <w:rPr>
          <w:rFonts w:ascii="宋体" w:hAnsi="宋体" w:cs="宋体" w:eastAsia="宋体" w:hint="default"/>
          <w:b/>
          <w:bCs/>
          <w:spacing w:val="-1"/>
        </w:rPr>
        <w:t>屈文洲</w:t>
      </w:r>
      <w:r>
        <w:rPr>
          <w:spacing w:val="-1"/>
        </w:rPr>
        <w:t>，男，</w:t>
      </w:r>
      <w:r>
        <w:rPr>
          <w:rFonts w:ascii="Times New Roman" w:hAnsi="Times New Roman" w:cs="Times New Roman" w:eastAsia="Times New Roman" w:hint="default"/>
          <w:spacing w:val="-1"/>
        </w:rPr>
        <w:t>1972</w:t>
      </w:r>
      <w:r>
        <w:rPr>
          <w:spacing w:val="-1"/>
        </w:rPr>
        <w:t>年出生，中国国籍，无永久境外居留权。经济学（金融学）博士、清华大学经济管</w:t>
      </w:r>
      <w:r>
        <w:rPr/>
        <w:t> </w:t>
      </w:r>
      <w:r>
        <w:rPr>
          <w:spacing w:val="-1"/>
        </w:rPr>
        <w:t>理学院博士后，</w:t>
      </w:r>
      <w:r>
        <w:rPr>
          <w:rFonts w:ascii="Times New Roman" w:hAnsi="Times New Roman" w:cs="Times New Roman" w:eastAsia="Times New Roman" w:hint="default"/>
          <w:spacing w:val="-1"/>
        </w:rPr>
        <w:t>2005</w:t>
      </w:r>
      <w:r>
        <w:rPr>
          <w:spacing w:val="-1"/>
        </w:rPr>
        <w:t>年至今就职于厦门大学管理学院，现任厦门大学财务管理与会计研究院副院长、厦门</w:t>
      </w:r>
      <w:r>
        <w:rPr>
          <w:spacing w:val="-84"/>
        </w:rPr>
        <w:t> </w:t>
      </w:r>
      <w:r>
        <w:rPr>
          <w:spacing w:val="-84"/>
        </w:rPr>
      </w:r>
      <w:r>
        <w:rPr>
          <w:spacing w:val="-1"/>
        </w:rPr>
        <w:t>大学中国资本市场研究中心主任，财务学与金融学教授、博士生导师、美国特许金融分析师（</w:t>
      </w:r>
      <w:r>
        <w:rPr>
          <w:rFonts w:ascii="Times New Roman" w:hAnsi="Times New Roman" w:cs="Times New Roman" w:eastAsia="Times New Roman" w:hint="default"/>
          <w:spacing w:val="-1"/>
        </w:rPr>
        <w:t>CFA</w:t>
      </w:r>
      <w:r>
        <w:rPr>
          <w:spacing w:val="-1"/>
        </w:rPr>
        <w:t>）、中</w:t>
      </w:r>
      <w:r>
        <w:rPr>
          <w:spacing w:val="-76"/>
        </w:rPr>
        <w:t> </w:t>
      </w:r>
      <w:r>
        <w:rPr>
          <w:spacing w:val="-76"/>
        </w:rPr>
      </w:r>
      <w:r>
        <w:rPr>
          <w:spacing w:val="-1"/>
        </w:rPr>
        <w:t>国注册会计师（</w:t>
      </w:r>
      <w:r>
        <w:rPr>
          <w:rFonts w:ascii="Times New Roman" w:hAnsi="Times New Roman" w:cs="Times New Roman" w:eastAsia="Times New Roman" w:hint="default"/>
          <w:spacing w:val="-1"/>
        </w:rPr>
        <w:t>CPA</w:t>
      </w:r>
      <w:r>
        <w:rPr>
          <w:spacing w:val="-1"/>
        </w:rPr>
        <w:t>）。兼任清华大学博士后校友联络会福建分会副会长，第六届国务院学位委员会学科</w:t>
      </w:r>
      <w:r>
        <w:rPr>
          <w:spacing w:val="-72"/>
        </w:rPr>
        <w:t> </w:t>
      </w:r>
      <w:r>
        <w:rPr>
          <w:spacing w:val="-72"/>
        </w:rPr>
      </w:r>
      <w:r>
        <w:rPr>
          <w:spacing w:val="-1"/>
        </w:rPr>
        <w:t>评议组（工商管理组）秘书，第十一届全国青联委员、福建省青联常委，厦门市青联特邀副主席，国家自</w:t>
      </w:r>
      <w:r>
        <w:rPr>
          <w:spacing w:val="-83"/>
        </w:rPr>
        <w:t> </w:t>
      </w:r>
      <w:r>
        <w:rPr>
          <w:spacing w:val="-83"/>
        </w:rPr>
      </w:r>
      <w:r>
        <w:rPr>
          <w:spacing w:val="-1"/>
        </w:rPr>
        <w:t>然科学基金和国家社会科学基金的通讯评审专家，中国管理现代化研究会财务与会计专业委员会副主任委</w:t>
      </w:r>
      <w:r>
        <w:rPr>
          <w:spacing w:val="-81"/>
        </w:rPr>
        <w:t> </w:t>
      </w:r>
      <w:r>
        <w:rPr>
          <w:spacing w:val="-81"/>
        </w:rPr>
      </w:r>
      <w:r>
        <w:rPr>
          <w:spacing w:val="-1"/>
        </w:rPr>
        <w:t>员，中国管理现代化研究会青年工作委员会副主任委员，厦门大学社科联常委，《经济研究》、《管理科</w:t>
      </w:r>
      <w:r>
        <w:rPr>
          <w:spacing w:val="-85"/>
        </w:rPr>
        <w:t> </w:t>
      </w:r>
      <w:r>
        <w:rPr>
          <w:spacing w:val="-85"/>
        </w:rPr>
      </w:r>
      <w:r>
        <w:rPr>
          <w:spacing w:val="-1"/>
        </w:rPr>
        <w:t>学学报》、《金融研究》、《南开管理评论》、《金融学季刊》和《中国金融评论》审稿人，山东航空股</w:t>
      </w:r>
      <w:r>
        <w:rPr>
          <w:spacing w:val="-88"/>
        </w:rPr>
        <w:t> </w:t>
      </w:r>
      <w:r>
        <w:rPr>
          <w:spacing w:val="-88"/>
        </w:rPr>
      </w:r>
      <w:r>
        <w:rPr>
          <w:spacing w:val="-1"/>
        </w:rPr>
        <w:t>份有限公司、深圳莱宝高科技股份有限公司、洲际油气股份有限公司、福建广生堂药业股份有限公司独立</w:t>
      </w:r>
      <w:r>
        <w:rPr>
          <w:spacing w:val="-83"/>
        </w:rPr>
        <w:t> </w:t>
      </w:r>
      <w:r>
        <w:rPr>
          <w:spacing w:val="-83"/>
        </w:rPr>
      </w:r>
      <w:r>
        <w:rPr/>
        <w:t>董事。</w:t>
      </w:r>
    </w:p>
    <w:p>
      <w:pPr>
        <w:pStyle w:val="BodyText"/>
        <w:spacing w:line="309" w:lineRule="auto" w:before="150"/>
        <w:ind w:right="0" w:firstLine="422"/>
        <w:jc w:val="left"/>
      </w:pPr>
      <w:r>
        <w:rPr>
          <w:rFonts w:ascii="宋体" w:hAnsi="宋体" w:cs="宋体" w:eastAsia="宋体" w:hint="default"/>
          <w:b/>
          <w:bCs/>
          <w:spacing w:val="-1"/>
        </w:rPr>
        <w:t>高龙腾</w:t>
      </w:r>
      <w:r>
        <w:rPr>
          <w:spacing w:val="-1"/>
        </w:rPr>
        <w:t>，男，</w:t>
      </w:r>
      <w:r>
        <w:rPr>
          <w:rFonts w:ascii="Times New Roman" w:hAnsi="Times New Roman" w:cs="Times New Roman" w:eastAsia="Times New Roman" w:hint="default"/>
          <w:spacing w:val="-1"/>
        </w:rPr>
        <w:t>1977</w:t>
      </w:r>
      <w:r>
        <w:rPr>
          <w:spacing w:val="-1"/>
        </w:rPr>
        <w:t>年出生，中国国籍，本科学历，无永久境外居留权。</w:t>
      </w:r>
      <w:r>
        <w:rPr>
          <w:rFonts w:ascii="Times New Roman" w:hAnsi="Times New Roman" w:cs="Times New Roman" w:eastAsia="Times New Roman" w:hint="default"/>
          <w:spacing w:val="-1"/>
        </w:rPr>
        <w:t>2000</w:t>
      </w:r>
      <w:r>
        <w:rPr>
          <w:spacing w:val="-1"/>
        </w:rPr>
        <w:t>年至</w:t>
      </w:r>
      <w:r>
        <w:rPr>
          <w:rFonts w:ascii="Times New Roman" w:hAnsi="Times New Roman" w:cs="Times New Roman" w:eastAsia="Times New Roman" w:hint="default"/>
          <w:spacing w:val="-1"/>
        </w:rPr>
        <w:t>2001</w:t>
      </w:r>
      <w:r>
        <w:rPr>
          <w:spacing w:val="-1"/>
        </w:rPr>
        <w:t>年任厦门网巨网</w:t>
      </w:r>
      <w:r>
        <w:rPr/>
        <w:t> </w:t>
      </w:r>
      <w:r>
        <w:rPr>
          <w:spacing w:val="-1"/>
        </w:rPr>
        <w:t>络科技有限公司软件开发项目经理；</w:t>
      </w:r>
      <w:r>
        <w:rPr>
          <w:rFonts w:ascii="Times New Roman" w:hAnsi="Times New Roman" w:cs="Times New Roman" w:eastAsia="Times New Roman" w:hint="default"/>
          <w:spacing w:val="-1"/>
        </w:rPr>
        <w:t>2001</w:t>
      </w:r>
      <w:r>
        <w:rPr>
          <w:spacing w:val="-1"/>
        </w:rPr>
        <w:t>年至</w:t>
      </w:r>
      <w:r>
        <w:rPr>
          <w:rFonts w:ascii="Times New Roman" w:hAnsi="Times New Roman" w:cs="Times New Roman" w:eastAsia="Times New Roman" w:hint="default"/>
          <w:spacing w:val="-1"/>
        </w:rPr>
        <w:t>2003</w:t>
      </w:r>
      <w:r>
        <w:rPr>
          <w:spacing w:val="-1"/>
        </w:rPr>
        <w:t>年任厦门信达网络科技有限公司技术部经理；</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32"/>
        </w:rPr>
        <w:t> </w:t>
      </w:r>
      <w:r>
        <w:rPr>
          <w:spacing w:val="-1"/>
        </w:rPr>
        <w:t>月至</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10</w:t>
      </w:r>
      <w:r>
        <w:rPr>
          <w:spacing w:val="-1"/>
        </w:rPr>
        <w:t>月，任厦门市新热力科技有限公司</w:t>
      </w:r>
      <w:r>
        <w:rPr>
          <w:rFonts w:ascii="Times New Roman" w:hAnsi="Times New Roman" w:cs="Times New Roman" w:eastAsia="Times New Roman" w:hint="default"/>
          <w:spacing w:val="-1"/>
        </w:rPr>
        <w:t>CEO</w:t>
      </w:r>
      <w:r>
        <w:rPr>
          <w:spacing w:val="-1"/>
        </w:rPr>
        <w:t>；</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10</w:t>
      </w:r>
      <w:r>
        <w:rPr>
          <w:spacing w:val="-1"/>
        </w:rPr>
        <w:t>月至</w:t>
      </w:r>
      <w:r>
        <w:rPr>
          <w:rFonts w:ascii="Times New Roman" w:hAnsi="Times New Roman" w:cs="Times New Roman" w:eastAsia="Times New Roman" w:hint="default"/>
          <w:spacing w:val="-1"/>
        </w:rPr>
        <w:t>2009</w:t>
      </w:r>
      <w:r>
        <w:rPr>
          <w:spacing w:val="-1"/>
        </w:rPr>
        <w:t>年，任厦门市新热力科技有限公</w:t>
      </w:r>
      <w:r>
        <w:rPr>
          <w:spacing w:val="-87"/>
        </w:rPr>
        <w:t> </w:t>
      </w:r>
      <w:r>
        <w:rPr>
          <w:spacing w:val="-87"/>
        </w:rPr>
      </w:r>
      <w:r>
        <w:rPr/>
        <w:t>司董事长兼总裁。</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2011</w:t>
      </w:r>
      <w:r>
        <w:rPr/>
        <w:t>年，任百大龙一（无锡）网络科技有限公司</w:t>
      </w:r>
      <w:r>
        <w:rPr>
          <w:rFonts w:ascii="Times New Roman" w:hAnsi="Times New Roman" w:cs="Times New Roman" w:eastAsia="Times New Roman" w:hint="default"/>
        </w:rPr>
        <w:t>CTO</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月至今任厦门 极聚网络科技有限公司</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起至今任公司监事会非职工代表监事。</w:t>
      </w:r>
    </w:p>
    <w:p>
      <w:pPr>
        <w:spacing w:line="408" w:lineRule="auto" w:before="137"/>
        <w:ind w:left="576" w:right="6642" w:hanging="4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、高级管理人员</w:t>
      </w:r>
      <w:r>
        <w:rPr>
          <w:rFonts w:ascii="宋体" w:hAnsi="宋体" w:cs="宋体" w:eastAsia="宋体" w:hint="default"/>
          <w:b/>
          <w:bCs/>
          <w:w w:val="99"/>
          <w:sz w:val="21"/>
          <w:szCs w:val="21"/>
        </w:rPr>
        <w:t> </w:t>
      </w:r>
      <w:r>
        <w:rPr>
          <w:rFonts w:ascii="宋体" w:hAnsi="宋体" w:cs="宋体" w:eastAsia="宋体" w:hint="default"/>
          <w:b/>
          <w:bCs/>
          <w:sz w:val="21"/>
          <w:szCs w:val="21"/>
        </w:rPr>
        <w:t>滕达</w:t>
      </w:r>
      <w:r>
        <w:rPr>
          <w:rFonts w:ascii="宋体" w:hAnsi="宋体" w:cs="宋体" w:eastAsia="宋体" w:hint="default"/>
          <w:sz w:val="21"/>
          <w:szCs w:val="21"/>
        </w:rPr>
        <w:t>，详见</w:t>
      </w:r>
      <w:r>
        <w:rPr>
          <w:rFonts w:ascii="Times New Roman" w:hAnsi="Times New Roman" w:cs="Times New Roman" w:eastAsia="Times New Roman" w:hint="default"/>
          <w:sz w:val="21"/>
          <w:szCs w:val="21"/>
        </w:rPr>
        <w:t>“</w:t>
      </w:r>
      <w:r>
        <w:rPr>
          <w:rFonts w:ascii="宋体" w:hAnsi="宋体" w:cs="宋体" w:eastAsia="宋体" w:hint="default"/>
          <w:sz w:val="21"/>
          <w:szCs w:val="21"/>
        </w:rPr>
        <w:t>董事任职情况</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BodyText"/>
        <w:spacing w:line="309" w:lineRule="auto" w:before="41"/>
        <w:ind w:left="153" w:right="147" w:firstLine="422"/>
        <w:jc w:val="left"/>
      </w:pPr>
      <w:r>
        <w:rPr>
          <w:rFonts w:ascii="宋体" w:hAnsi="宋体" w:cs="宋体" w:eastAsia="宋体" w:hint="default"/>
          <w:b/>
          <w:bCs/>
          <w:spacing w:val="-1"/>
        </w:rPr>
        <w:t>申强</w:t>
      </w:r>
      <w:r>
        <w:rPr>
          <w:spacing w:val="-1"/>
        </w:rPr>
        <w:t>，男，</w:t>
      </w:r>
      <w:r>
        <w:rPr>
          <w:rFonts w:ascii="Times New Roman" w:hAnsi="Times New Roman" w:cs="Times New Roman" w:eastAsia="Times New Roman" w:hint="default"/>
          <w:spacing w:val="-1"/>
        </w:rPr>
        <w:t>1969</w:t>
      </w:r>
      <w:r>
        <w:rPr>
          <w:spacing w:val="-1"/>
        </w:rPr>
        <w:t>年出生，中国国籍，本科学历，无永久境外居留权。</w:t>
      </w:r>
      <w:r>
        <w:rPr>
          <w:rFonts w:ascii="Times New Roman" w:hAnsi="Times New Roman" w:cs="Times New Roman" w:eastAsia="Times New Roman" w:hint="default"/>
          <w:spacing w:val="-1"/>
        </w:rPr>
        <w:t>1992</w:t>
      </w:r>
      <w:r>
        <w:rPr>
          <w:spacing w:val="-1"/>
        </w:rPr>
        <w:t>年毕业于西北师范大学外语</w:t>
      </w:r>
      <w:r>
        <w:rPr/>
        <w:t> </w:t>
      </w:r>
      <w:r>
        <w:rPr>
          <w:spacing w:val="-4"/>
        </w:rPr>
        <w:t>系；</w:t>
      </w:r>
      <w:r>
        <w:rPr>
          <w:rFonts w:ascii="Times New Roman" w:hAnsi="Times New Roman" w:cs="Times New Roman" w:eastAsia="Times New Roman" w:hint="default"/>
          <w:spacing w:val="-4"/>
        </w:rPr>
        <w:t>1992</w:t>
      </w:r>
      <w:r>
        <w:rPr>
          <w:spacing w:val="-4"/>
        </w:rPr>
        <w:t>年</w:t>
      </w:r>
      <w:r>
        <w:rPr>
          <w:rFonts w:ascii="Times New Roman" w:hAnsi="Times New Roman" w:cs="Times New Roman" w:eastAsia="Times New Roman" w:hint="default"/>
          <w:spacing w:val="-4"/>
        </w:rPr>
        <w:t>7</w:t>
      </w:r>
      <w:r>
        <w:rPr>
          <w:spacing w:val="-4"/>
        </w:rPr>
        <w:t>月至</w:t>
      </w:r>
      <w:r>
        <w:rPr>
          <w:rFonts w:ascii="Times New Roman" w:hAnsi="Times New Roman" w:cs="Times New Roman" w:eastAsia="Times New Roman" w:hint="default"/>
          <w:spacing w:val="-4"/>
        </w:rPr>
        <w:t>1994</w:t>
      </w:r>
      <w:r>
        <w:rPr>
          <w:spacing w:val="-4"/>
        </w:rPr>
        <w:t>年</w:t>
      </w:r>
      <w:r>
        <w:rPr>
          <w:rFonts w:ascii="Times New Roman" w:hAnsi="Times New Roman" w:cs="Times New Roman" w:eastAsia="Times New Roman" w:hint="default"/>
          <w:spacing w:val="-4"/>
        </w:rPr>
        <w:t>4 </w:t>
      </w:r>
      <w:r>
        <w:rPr/>
        <w:t>月西北师大外事办任助理翻译；</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34"/>
        </w:rPr>
        <w:t> </w:t>
      </w:r>
      <w:r>
        <w:rPr/>
        <w:t>月任厦门市佳思科技有限 公司总经理；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月至今，历任公司营销中心总监、副总经理、常务副总经理。现任公司常务副总经 理。</w:t>
      </w:r>
    </w:p>
    <w:p>
      <w:pPr>
        <w:pStyle w:val="BodyText"/>
        <w:spacing w:line="309" w:lineRule="auto" w:before="158"/>
        <w:ind w:right="152" w:firstLine="422"/>
        <w:jc w:val="both"/>
      </w:pPr>
      <w:r>
        <w:rPr>
          <w:rFonts w:ascii="宋体" w:hAnsi="宋体" w:cs="宋体" w:eastAsia="宋体" w:hint="default"/>
          <w:b/>
          <w:bCs/>
          <w:spacing w:val="-1"/>
        </w:rPr>
        <w:t>丛艳芬</w:t>
      </w:r>
      <w:r>
        <w:rPr>
          <w:spacing w:val="-1"/>
        </w:rPr>
        <w:t>，女，</w:t>
      </w:r>
      <w:r>
        <w:rPr>
          <w:rFonts w:ascii="Times New Roman" w:hAnsi="Times New Roman" w:cs="Times New Roman" w:eastAsia="Times New Roman" w:hint="default"/>
          <w:spacing w:val="-1"/>
        </w:rPr>
        <w:t>1969</w:t>
      </w:r>
      <w:r>
        <w:rPr>
          <w:spacing w:val="-1"/>
        </w:rPr>
        <w:t>年出生，中国国籍，研究生学历，无永久境外居留权。</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8</w:t>
      </w:r>
      <w:r>
        <w:rPr>
          <w:spacing w:val="-1"/>
        </w:rPr>
        <w:t>月任厦</w:t>
      </w:r>
      <w:r>
        <w:rPr/>
        <w:t> </w:t>
      </w:r>
      <w:r>
        <w:rPr>
          <w:spacing w:val="-1"/>
        </w:rPr>
        <w:t>门必可电子有限公司总经理秘书；</w:t>
      </w:r>
      <w:r>
        <w:rPr>
          <w:rFonts w:ascii="Times New Roman" w:hAnsi="Times New Roman" w:cs="Times New Roman" w:eastAsia="Times New Roman" w:hint="default"/>
          <w:spacing w:val="-1"/>
        </w:rPr>
        <w:t>1999</w:t>
      </w:r>
      <w:r>
        <w:rPr>
          <w:spacing w:val="-1"/>
        </w:rPr>
        <w:t>年至今，历任公司人力行政中心总监、副总经理。现任公司副总经</w:t>
      </w:r>
      <w:r>
        <w:rPr>
          <w:spacing w:val="-86"/>
        </w:rPr>
        <w:t> </w:t>
      </w:r>
      <w:r>
        <w:rPr>
          <w:spacing w:val="-86"/>
        </w:rPr>
      </w:r>
      <w:r>
        <w:rPr/>
        <w:t>理。</w:t>
      </w:r>
    </w:p>
    <w:p>
      <w:pPr>
        <w:pStyle w:val="BodyText"/>
        <w:spacing w:line="309" w:lineRule="auto" w:before="158"/>
        <w:ind w:right="151" w:firstLine="422"/>
        <w:jc w:val="both"/>
      </w:pPr>
      <w:r>
        <w:rPr>
          <w:rFonts w:ascii="宋体" w:hAnsi="宋体" w:cs="宋体" w:eastAsia="宋体" w:hint="default"/>
          <w:b/>
          <w:bCs/>
          <w:spacing w:val="-1"/>
        </w:rPr>
        <w:t>高峰</w:t>
      </w:r>
      <w:r>
        <w:rPr>
          <w:spacing w:val="-1"/>
        </w:rPr>
        <w:t>，男，</w:t>
      </w:r>
      <w:r>
        <w:rPr>
          <w:rFonts w:ascii="Times New Roman" w:hAnsi="Times New Roman" w:cs="Times New Roman" w:eastAsia="Times New Roman" w:hint="default"/>
          <w:spacing w:val="-1"/>
        </w:rPr>
        <w:t>1970</w:t>
      </w:r>
      <w:r>
        <w:rPr>
          <w:spacing w:val="-1"/>
        </w:rPr>
        <w:t>年出生，中国国籍，研究生学历、工程师，无永久境外居留权。</w:t>
      </w:r>
      <w:r>
        <w:rPr>
          <w:rFonts w:ascii="Times New Roman" w:hAnsi="Times New Roman" w:cs="Times New Roman" w:eastAsia="Times New Roman" w:hint="default"/>
          <w:spacing w:val="-1"/>
        </w:rPr>
        <w:t>1988</w:t>
      </w:r>
      <w:r>
        <w:rPr>
          <w:spacing w:val="-1"/>
        </w:rPr>
        <w:t>年至</w:t>
      </w:r>
      <w:r>
        <w:rPr>
          <w:rFonts w:ascii="Times New Roman" w:hAnsi="Times New Roman" w:cs="Times New Roman" w:eastAsia="Times New Roman" w:hint="default"/>
          <w:spacing w:val="-1"/>
        </w:rPr>
        <w:t>1992</w:t>
      </w:r>
      <w:r>
        <w:rPr>
          <w:spacing w:val="-1"/>
        </w:rPr>
        <w:t>年，就</w:t>
      </w:r>
      <w:r>
        <w:rPr>
          <w:spacing w:val="-4"/>
        </w:rPr>
        <w:t> </w:t>
      </w:r>
      <w:r>
        <w:rPr>
          <w:spacing w:val="-1"/>
        </w:rPr>
        <w:t>读大连理工大学获工程力学专业学士学位；</w:t>
      </w:r>
      <w:r>
        <w:rPr>
          <w:rFonts w:ascii="Times New Roman" w:hAnsi="Times New Roman" w:cs="Times New Roman" w:eastAsia="Times New Roman" w:hint="default"/>
          <w:spacing w:val="-1"/>
        </w:rPr>
        <w:t>1992</w:t>
      </w:r>
      <w:r>
        <w:rPr>
          <w:spacing w:val="-1"/>
        </w:rPr>
        <w:t>年至</w:t>
      </w:r>
      <w:r>
        <w:rPr>
          <w:rFonts w:ascii="Times New Roman" w:hAnsi="Times New Roman" w:cs="Times New Roman" w:eastAsia="Times New Roman" w:hint="default"/>
          <w:spacing w:val="-1"/>
        </w:rPr>
        <w:t>1996</w:t>
      </w:r>
      <w:r>
        <w:rPr>
          <w:spacing w:val="-1"/>
        </w:rPr>
        <w:t>年，任职哈尔滨市锅炉厂研究所；</w:t>
      </w:r>
      <w:r>
        <w:rPr>
          <w:rFonts w:ascii="Times New Roman" w:hAnsi="Times New Roman" w:cs="Times New Roman" w:eastAsia="Times New Roman" w:hint="default"/>
          <w:spacing w:val="-1"/>
        </w:rPr>
        <w:t>1996</w:t>
      </w:r>
      <w:r>
        <w:rPr>
          <w:spacing w:val="-1"/>
        </w:rPr>
        <w:t>年至</w:t>
      </w:r>
      <w:r>
        <w:rPr>
          <w:rFonts w:ascii="Times New Roman" w:hAnsi="Times New Roman" w:cs="Times New Roman" w:eastAsia="Times New Roman" w:hint="default"/>
          <w:spacing w:val="-1"/>
        </w:rPr>
        <w:t>1999</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1"/>
        </w:rPr>
        <w:t>年就读哈尔滨工业大学获计算机应用专业硕士学位；</w:t>
      </w:r>
      <w:r>
        <w:rPr>
          <w:rFonts w:ascii="Times New Roman" w:hAnsi="Times New Roman" w:cs="Times New Roman" w:eastAsia="Times New Roman" w:hint="default"/>
          <w:spacing w:val="-1"/>
        </w:rPr>
        <w:t>2001</w:t>
      </w:r>
      <w:r>
        <w:rPr>
          <w:spacing w:val="-1"/>
        </w:rPr>
        <w:t>年至今，历任公司销售部经理、副总经理。现任</w:t>
      </w:r>
      <w:r>
        <w:rPr>
          <w:spacing w:val="-86"/>
        </w:rPr>
        <w:t> </w:t>
      </w:r>
      <w:r>
        <w:rPr>
          <w:spacing w:val="-86"/>
        </w:rPr>
      </w:r>
      <w:r>
        <w:rPr/>
        <w:t>公司副总经理兼北京分公司总经理。</w:t>
      </w:r>
    </w:p>
    <w:p>
      <w:pPr>
        <w:pStyle w:val="BodyText"/>
        <w:spacing w:line="309" w:lineRule="auto" w:before="158"/>
        <w:ind w:left="153" w:right="152" w:firstLine="422"/>
        <w:jc w:val="both"/>
      </w:pPr>
      <w:r>
        <w:rPr>
          <w:rFonts w:ascii="宋体" w:hAnsi="宋体" w:cs="宋体" w:eastAsia="宋体" w:hint="default"/>
          <w:b/>
          <w:bCs/>
          <w:spacing w:val="-1"/>
        </w:rPr>
        <w:t>张雪峰</w:t>
      </w:r>
      <w:r>
        <w:rPr>
          <w:spacing w:val="-1"/>
        </w:rPr>
        <w:t>，男，</w:t>
      </w:r>
      <w:r>
        <w:rPr>
          <w:rFonts w:ascii="Times New Roman" w:hAnsi="Times New Roman" w:cs="Times New Roman" w:eastAsia="Times New Roman" w:hint="default"/>
          <w:spacing w:val="-1"/>
        </w:rPr>
        <w:t>1974</w:t>
      </w:r>
      <w:r>
        <w:rPr>
          <w:spacing w:val="-1"/>
        </w:rPr>
        <w:t>年出生，中国国籍，本科学历，无永久境外居留权。</w:t>
      </w:r>
      <w:r>
        <w:rPr>
          <w:rFonts w:ascii="Times New Roman" w:hAnsi="Times New Roman" w:cs="Times New Roman" w:eastAsia="Times New Roman" w:hint="default"/>
          <w:spacing w:val="-1"/>
        </w:rPr>
        <w:t>1997</w:t>
      </w:r>
      <w:r>
        <w:rPr>
          <w:spacing w:val="-1"/>
        </w:rPr>
        <w:t>年至</w:t>
      </w:r>
      <w:r>
        <w:rPr>
          <w:rFonts w:ascii="Times New Roman" w:hAnsi="Times New Roman" w:cs="Times New Roman" w:eastAsia="Times New Roman" w:hint="default"/>
          <w:spacing w:val="-1"/>
        </w:rPr>
        <w:t>2002</w:t>
      </w:r>
      <w:r>
        <w:rPr>
          <w:spacing w:val="-1"/>
        </w:rPr>
        <w:t>年，历任厦门智</w:t>
      </w:r>
      <w:r>
        <w:rPr/>
        <w:t> </w:t>
      </w:r>
      <w:r>
        <w:rPr>
          <w:spacing w:val="-1"/>
        </w:rPr>
        <w:t>业软件公司项目经理与销售副总经理；</w:t>
      </w:r>
      <w:r>
        <w:rPr>
          <w:rFonts w:ascii="Times New Roman" w:hAnsi="Times New Roman" w:cs="Times New Roman" w:eastAsia="Times New Roman" w:hint="default"/>
          <w:spacing w:val="-1"/>
        </w:rPr>
        <w:t>2002</w:t>
      </w:r>
      <w:r>
        <w:rPr>
          <w:spacing w:val="-1"/>
        </w:rPr>
        <w:t>年至今，历任公司硬件研制中心总监、副总经理。现任公司副</w:t>
      </w:r>
      <w:r>
        <w:rPr>
          <w:spacing w:val="-87"/>
        </w:rPr>
        <w:t> </w:t>
      </w:r>
      <w:r>
        <w:rPr>
          <w:spacing w:val="-87"/>
        </w:rPr>
      </w:r>
      <w:r>
        <w:rPr/>
        <w:t>总经理。</w:t>
      </w:r>
    </w:p>
    <w:p>
      <w:pPr>
        <w:pStyle w:val="BodyText"/>
        <w:spacing w:line="240" w:lineRule="auto" w:before="158"/>
        <w:ind w:left="576" w:right="0"/>
        <w:jc w:val="left"/>
      </w:pPr>
      <w:r>
        <w:rPr>
          <w:rFonts w:ascii="宋体" w:hAnsi="宋体" w:cs="宋体" w:eastAsia="宋体" w:hint="default"/>
          <w:b/>
          <w:bCs/>
        </w:rPr>
        <w:t>黄基鹏</w:t>
      </w:r>
      <w:r>
        <w:rPr/>
        <w:t>，男，</w:t>
      </w:r>
      <w:r>
        <w:rPr>
          <w:rFonts w:ascii="Times New Roman" w:hAnsi="Times New Roman" w:cs="Times New Roman" w:eastAsia="Times New Roman" w:hint="default"/>
        </w:rPr>
        <w:t>1960</w:t>
      </w:r>
      <w:r>
        <w:rPr/>
        <w:t>年出生，中国国籍，大专学历，无永久境外居留权。</w:t>
      </w:r>
      <w:r>
        <w:rPr>
          <w:rFonts w:ascii="Times New Roman" w:hAnsi="Times New Roman" w:cs="Times New Roman" w:eastAsia="Times New Roman" w:hint="default"/>
        </w:rPr>
        <w:t>1982</w:t>
      </w:r>
      <w:r>
        <w:rPr/>
        <w:t>年至</w:t>
      </w:r>
      <w:r>
        <w:rPr>
          <w:rFonts w:ascii="Times New Roman" w:hAnsi="Times New Roman" w:cs="Times New Roman" w:eastAsia="Times New Roman" w:hint="default"/>
        </w:rPr>
        <w:t>1985</w:t>
      </w:r>
      <w:r>
        <w:rPr/>
        <w:t>年任中国旅行社</w:t>
      </w:r>
    </w:p>
    <w:p>
      <w:pPr>
        <w:spacing w:after="0" w:line="240" w:lineRule="auto"/>
        <w:jc w:val="left"/>
        <w:sectPr>
          <w:footerReference w:type="default" r:id="rId28"/>
          <w:pgSz w:w="11910" w:h="16840"/>
          <w:pgMar w:footer="980" w:header="747" w:top="1060" w:bottom="1180" w:left="980" w:right="980"/>
          <w:pgNumType w:start="58"/>
        </w:sectPr>
      </w:pPr>
    </w:p>
    <w:p>
      <w:pPr>
        <w:spacing w:line="240" w:lineRule="auto" w:before="1"/>
        <w:rPr>
          <w:rFonts w:ascii="宋体" w:hAnsi="宋体" w:cs="宋体" w:eastAsia="宋体" w:hint="default"/>
          <w:sz w:val="27"/>
          <w:szCs w:val="27"/>
        </w:rPr>
      </w:pPr>
    </w:p>
    <w:p>
      <w:pPr>
        <w:pStyle w:val="BodyText"/>
        <w:spacing w:line="309" w:lineRule="auto" w:before="35"/>
        <w:ind w:right="0" w:hanging="1"/>
        <w:jc w:val="left"/>
      </w:pPr>
      <w:r>
        <w:rPr>
          <w:spacing w:val="-1"/>
        </w:rPr>
        <w:t>职员；</w:t>
      </w:r>
      <w:r>
        <w:rPr>
          <w:rFonts w:ascii="Times New Roman" w:hAnsi="Times New Roman" w:cs="Times New Roman" w:eastAsia="Times New Roman" w:hint="default"/>
          <w:spacing w:val="-1"/>
        </w:rPr>
        <w:t>1986</w:t>
      </w:r>
      <w:r>
        <w:rPr>
          <w:spacing w:val="-1"/>
        </w:rPr>
        <w:t>年至</w:t>
      </w:r>
      <w:r>
        <w:rPr>
          <w:rFonts w:ascii="Times New Roman" w:hAnsi="Times New Roman" w:cs="Times New Roman" w:eastAsia="Times New Roman" w:hint="default"/>
          <w:spacing w:val="-1"/>
        </w:rPr>
        <w:t>1990</w:t>
      </w:r>
      <w:r>
        <w:rPr>
          <w:spacing w:val="-1"/>
        </w:rPr>
        <w:t>年任福建闽东电机公司职员；</w:t>
      </w:r>
      <w:r>
        <w:rPr>
          <w:rFonts w:ascii="Times New Roman" w:hAnsi="Times New Roman" w:cs="Times New Roman" w:eastAsia="Times New Roman" w:hint="default"/>
          <w:spacing w:val="-1"/>
        </w:rPr>
        <w:t>1990</w:t>
      </w:r>
      <w:r>
        <w:rPr>
          <w:spacing w:val="-1"/>
        </w:rPr>
        <w:t>年至</w:t>
      </w:r>
      <w:r>
        <w:rPr>
          <w:rFonts w:ascii="Times New Roman" w:hAnsi="Times New Roman" w:cs="Times New Roman" w:eastAsia="Times New Roman" w:hint="default"/>
          <w:spacing w:val="-1"/>
        </w:rPr>
        <w:t>1995</w:t>
      </w:r>
      <w:r>
        <w:rPr>
          <w:spacing w:val="-1"/>
        </w:rPr>
        <w:t>年任厦门长荣科技有限公司副经理；</w:t>
      </w:r>
      <w:r>
        <w:rPr>
          <w:rFonts w:ascii="Times New Roman" w:hAnsi="Times New Roman" w:cs="Times New Roman" w:eastAsia="Times New Roman" w:hint="default"/>
          <w:spacing w:val="-1"/>
        </w:rPr>
        <w:t>1996</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年至</w:t>
      </w:r>
      <w:r>
        <w:rPr>
          <w:rFonts w:ascii="Times New Roman" w:hAnsi="Times New Roman" w:cs="Times New Roman" w:eastAsia="Times New Roman" w:hint="default"/>
        </w:rPr>
        <w:t>2001</w:t>
      </w:r>
      <w:r>
        <w:rPr/>
        <w:t>年任厦门喜盈门工贸有限公司副经理；</w:t>
      </w:r>
      <w:r>
        <w:rPr>
          <w:rFonts w:ascii="Times New Roman" w:hAnsi="Times New Roman" w:cs="Times New Roman" w:eastAsia="Times New Roman" w:hint="default"/>
        </w:rPr>
        <w:t>2001</w:t>
      </w:r>
      <w:r>
        <w:rPr/>
        <w:t>年至今，任公司副总经理。现任公司副总经理。</w:t>
      </w:r>
    </w:p>
    <w:p>
      <w:pPr>
        <w:pStyle w:val="BodyText"/>
        <w:spacing w:line="309" w:lineRule="auto" w:before="136"/>
        <w:ind w:left="153" w:right="0" w:firstLine="422"/>
        <w:jc w:val="left"/>
      </w:pPr>
      <w:r>
        <w:rPr>
          <w:rFonts w:ascii="宋体" w:hAnsi="宋体" w:cs="宋体" w:eastAsia="宋体" w:hint="default"/>
          <w:b/>
          <w:bCs/>
          <w:spacing w:val="-1"/>
        </w:rPr>
        <w:t>吴鸿伟</w:t>
      </w:r>
      <w:r>
        <w:rPr>
          <w:spacing w:val="-1"/>
        </w:rPr>
        <w:t>，男，</w:t>
      </w:r>
      <w:r>
        <w:rPr>
          <w:rFonts w:ascii="Times New Roman" w:hAnsi="Times New Roman" w:cs="Times New Roman" w:eastAsia="Times New Roman" w:hint="default"/>
          <w:spacing w:val="-1"/>
        </w:rPr>
        <w:t>1976</w:t>
      </w:r>
      <w:r>
        <w:rPr>
          <w:spacing w:val="-1"/>
        </w:rPr>
        <w:t>年出生，中国国籍，研究生学历、系统分析员，无永久境外居留权。</w:t>
      </w:r>
      <w:r>
        <w:rPr>
          <w:rFonts w:ascii="Times New Roman" w:hAnsi="Times New Roman" w:cs="Times New Roman" w:eastAsia="Times New Roman" w:hint="default"/>
          <w:spacing w:val="-1"/>
        </w:rPr>
        <w:t>2004</w:t>
      </w:r>
      <w:r>
        <w:rPr>
          <w:spacing w:val="-1"/>
        </w:rPr>
        <w:t>年毕业于</w:t>
      </w:r>
      <w:r>
        <w:rPr/>
        <w:t> 厦门大学系统工程专业。</w:t>
      </w:r>
      <w:r>
        <w:rPr>
          <w:rFonts w:ascii="Times New Roman" w:hAnsi="Times New Roman" w:cs="Times New Roman" w:eastAsia="Times New Roman" w:hint="default"/>
        </w:rPr>
        <w:t>2004</w:t>
      </w:r>
      <w:r>
        <w:rPr/>
        <w:t>至今，历任公司技术总监、副总经理。现任公司副总经理。</w:t>
      </w:r>
    </w:p>
    <w:p>
      <w:pPr>
        <w:pStyle w:val="BodyText"/>
        <w:spacing w:line="314" w:lineRule="auto" w:before="136"/>
        <w:ind w:right="0" w:firstLine="422"/>
        <w:jc w:val="left"/>
      </w:pPr>
      <w:r>
        <w:rPr>
          <w:rFonts w:ascii="宋体" w:hAnsi="宋体" w:cs="宋体" w:eastAsia="宋体" w:hint="default"/>
          <w:b/>
          <w:bCs/>
        </w:rPr>
        <w:t>赵庸</w:t>
      </w:r>
      <w:r>
        <w:rPr/>
        <w:t>，男，</w:t>
      </w:r>
      <w:r>
        <w:rPr>
          <w:rFonts w:ascii="Times New Roman" w:hAnsi="Times New Roman" w:cs="Times New Roman" w:eastAsia="Times New Roman" w:hint="default"/>
        </w:rPr>
        <w:t>1968</w:t>
      </w:r>
      <w:r>
        <w:rPr/>
        <w:t>年出生，中国国籍，研究生学历、工程师，无永久境外居留权。</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 </w:t>
      </w:r>
      <w:r>
        <w:rPr>
          <w:spacing w:val="-1"/>
        </w:rPr>
        <w:t>月，中国人民解放军青海省军区服役；</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12</w:t>
      </w:r>
      <w:r>
        <w:rPr>
          <w:spacing w:val="-1"/>
        </w:rPr>
        <w:t>月，就读解放军信息工程大学，获硕士学位；</w:t>
      </w:r>
      <w:r>
        <w:rPr>
          <w:spacing w:val="-85"/>
        </w:rPr>
        <w:t> </w:t>
      </w:r>
      <w:r>
        <w:rPr>
          <w:spacing w:val="-85"/>
        </w:rPr>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月至今，历任公司培训讲师、电子数据取证鉴定员、中证司法鉴定中心主任、副总经理。兼任中 国电子学会高级会员、中国电子学会计算机取证专家委员会专家委员、福建警察学院客座教授。现任公司 副总经理。</w:t>
      </w:r>
    </w:p>
    <w:p>
      <w:pPr>
        <w:pStyle w:val="BodyText"/>
        <w:spacing w:line="309" w:lineRule="auto" w:before="154"/>
        <w:ind w:left="153" w:right="0" w:firstLine="422"/>
        <w:jc w:val="left"/>
      </w:pPr>
      <w:r>
        <w:rPr>
          <w:rFonts w:ascii="宋体" w:hAnsi="宋体" w:cs="宋体" w:eastAsia="宋体" w:hint="default"/>
          <w:b/>
          <w:bCs/>
        </w:rPr>
        <w:t>吴世雄</w:t>
      </w:r>
      <w:r>
        <w:rPr/>
        <w:t>，男，出生于</w:t>
      </w:r>
      <w:r>
        <w:rPr>
          <w:rFonts w:ascii="Times New Roman" w:hAnsi="Times New Roman" w:cs="Times New Roman" w:eastAsia="Times New Roman" w:hint="default"/>
        </w:rPr>
        <w:t>1962</w:t>
      </w:r>
      <w:r>
        <w:rPr/>
        <w:t>年。加拿大籍，研究生学历。毕业于厦门大学和加拿大</w:t>
      </w:r>
      <w:r>
        <w:rPr>
          <w:rFonts w:ascii="Times New Roman" w:hAnsi="Times New Roman" w:cs="Times New Roman" w:eastAsia="Times New Roman" w:hint="default"/>
        </w:rPr>
        <w:t>Dahousie</w:t>
      </w:r>
      <w:r>
        <w:rPr/>
        <w:t>大学。先后 </w:t>
      </w:r>
      <w:r>
        <w:rPr>
          <w:spacing w:val="-3"/>
        </w:rPr>
        <w:t>在</w:t>
      </w:r>
      <w:r>
        <w:rPr>
          <w:rFonts w:ascii="Times New Roman" w:hAnsi="Times New Roman" w:cs="Times New Roman" w:eastAsia="Times New Roman" w:hint="default"/>
          <w:spacing w:val="-3"/>
        </w:rPr>
        <w:t>IBM</w:t>
      </w:r>
      <w:r>
        <w:rPr>
          <w:spacing w:val="-3"/>
        </w:rPr>
        <w:t>、</w:t>
      </w:r>
      <w:r>
        <w:rPr>
          <w:rFonts w:ascii="Times New Roman" w:hAnsi="Times New Roman" w:cs="Times New Roman" w:eastAsia="Times New Roman" w:hint="default"/>
          <w:spacing w:val="-3"/>
        </w:rPr>
        <w:t>Nortel</w:t>
      </w:r>
      <w:r>
        <w:rPr>
          <w:spacing w:val="-3"/>
        </w:rPr>
        <w:t>、</w:t>
      </w:r>
      <w:r>
        <w:rPr>
          <w:rFonts w:ascii="Times New Roman" w:hAnsi="Times New Roman" w:cs="Times New Roman" w:eastAsia="Times New Roman" w:hint="default"/>
          <w:spacing w:val="-3"/>
        </w:rPr>
        <w:t>Motorola</w:t>
      </w:r>
      <w:r>
        <w:rPr>
          <w:spacing w:val="-3"/>
        </w:rPr>
        <w:t>、</w:t>
      </w:r>
      <w:r>
        <w:rPr>
          <w:rFonts w:ascii="Times New Roman" w:hAnsi="Times New Roman" w:cs="Times New Roman" w:eastAsia="Times New Roman" w:hint="default"/>
          <w:spacing w:val="-3"/>
        </w:rPr>
        <w:t>Cisco</w:t>
      </w:r>
      <w:r>
        <w:rPr>
          <w:spacing w:val="-3"/>
        </w:rPr>
        <w:t>、</w:t>
      </w:r>
      <w:r>
        <w:rPr>
          <w:rFonts w:ascii="Times New Roman" w:hAnsi="Times New Roman" w:cs="Times New Roman" w:eastAsia="Times New Roman" w:hint="default"/>
          <w:spacing w:val="-3"/>
        </w:rPr>
        <w:t>Juniper</w:t>
      </w:r>
      <w:r>
        <w:rPr>
          <w:spacing w:val="-3"/>
        </w:rPr>
        <w:t>、</w:t>
      </w:r>
      <w:r>
        <w:rPr>
          <w:rFonts w:ascii="Times New Roman" w:hAnsi="Times New Roman" w:cs="Times New Roman" w:eastAsia="Times New Roman" w:hint="default"/>
          <w:spacing w:val="-3"/>
        </w:rPr>
        <w:t>Aerohive</w:t>
      </w:r>
      <w:r>
        <w:rPr>
          <w:spacing w:val="-3"/>
        </w:rPr>
        <w:t>等公司担任研发和管理工作。</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w:t>
      </w:r>
      <w:r>
        <w:rPr>
          <w:spacing w:val="-66"/>
        </w:rPr>
        <w:t> </w:t>
      </w:r>
      <w:r>
        <w:rPr/>
        <w:t>任公司硬件研制中心负责人。现任公司副总经理。</w:t>
      </w:r>
    </w:p>
    <w:p>
      <w:pPr>
        <w:pStyle w:val="BodyText"/>
        <w:spacing w:line="309" w:lineRule="auto" w:before="158"/>
        <w:ind w:right="0" w:firstLine="422"/>
        <w:jc w:val="left"/>
      </w:pPr>
      <w:r>
        <w:rPr>
          <w:rFonts w:ascii="宋体" w:hAnsi="宋体" w:cs="宋体" w:eastAsia="宋体" w:hint="default"/>
          <w:b/>
          <w:bCs/>
          <w:spacing w:val="-1"/>
        </w:rPr>
        <w:t>栾江霞</w:t>
      </w:r>
      <w:r>
        <w:rPr>
          <w:spacing w:val="-1"/>
        </w:rPr>
        <w:t>，女，中共党员。</w:t>
      </w:r>
      <w:r>
        <w:rPr>
          <w:rFonts w:ascii="Times New Roman" w:hAnsi="Times New Roman" w:cs="Times New Roman" w:eastAsia="Times New Roman" w:hint="default"/>
          <w:spacing w:val="-1"/>
        </w:rPr>
        <w:t>1974</w:t>
      </w:r>
      <w:r>
        <w:rPr>
          <w:spacing w:val="-1"/>
        </w:rPr>
        <w:t>年出生，中国国籍、工程师、硕士研究生学历、毕业于浙江大学，无永</w:t>
      </w:r>
      <w:r>
        <w:rPr/>
        <w:t> 久境外居留权。</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月，历任厦门雅迅网络股份有限公司系统工程部经理、技管办主任 和网络业务事业部总经理；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月，任公司拓展中心总监。现任公司副总经理。</w:t>
      </w:r>
    </w:p>
    <w:p>
      <w:pPr>
        <w:pStyle w:val="BodyText"/>
        <w:spacing w:line="309" w:lineRule="auto" w:before="136"/>
        <w:ind w:left="153" w:right="190" w:firstLine="422"/>
        <w:jc w:val="both"/>
      </w:pPr>
      <w:r>
        <w:rPr>
          <w:rFonts w:ascii="宋体" w:hAnsi="宋体" w:cs="宋体" w:eastAsia="宋体" w:hint="default"/>
          <w:b/>
          <w:bCs/>
          <w:spacing w:val="-1"/>
        </w:rPr>
        <w:t>王斌</w:t>
      </w:r>
      <w:r>
        <w:rPr>
          <w:spacing w:val="-1"/>
        </w:rPr>
        <w:t>，男，中共党员。</w:t>
      </w:r>
      <w:r>
        <w:rPr>
          <w:rFonts w:ascii="Times New Roman" w:hAnsi="Times New Roman" w:cs="Times New Roman" w:eastAsia="Times New Roman" w:hint="default"/>
          <w:spacing w:val="-1"/>
        </w:rPr>
        <w:t>1971</w:t>
      </w:r>
      <w:r>
        <w:rPr>
          <w:spacing w:val="-1"/>
        </w:rPr>
        <w:t>年生，中国国籍、研究生学历，于</w:t>
      </w:r>
      <w:r>
        <w:rPr>
          <w:rFonts w:ascii="Times New Roman" w:hAnsi="Times New Roman" w:cs="Times New Roman" w:eastAsia="Times New Roman" w:hint="default"/>
          <w:spacing w:val="-1"/>
        </w:rPr>
        <w:t>1998</w:t>
      </w:r>
      <w:r>
        <w:rPr>
          <w:spacing w:val="-1"/>
        </w:rPr>
        <w:t>年毕业于厦门大学会计学专业，无</w:t>
      </w:r>
      <w:r>
        <w:rPr/>
        <w:t> </w:t>
      </w:r>
      <w:r>
        <w:rPr>
          <w:spacing w:val="-1"/>
        </w:rPr>
        <w:t>永久境外居留权。</w:t>
      </w:r>
      <w:r>
        <w:rPr>
          <w:rFonts w:ascii="Times New Roman" w:hAnsi="Times New Roman" w:cs="Times New Roman" w:eastAsia="Times New Roman" w:hint="default"/>
          <w:spacing w:val="-1"/>
        </w:rPr>
        <w:t>1994</w:t>
      </w:r>
      <w:r>
        <w:rPr>
          <w:spacing w:val="-1"/>
        </w:rPr>
        <w:t>年至</w:t>
      </w:r>
      <w:r>
        <w:rPr>
          <w:rFonts w:ascii="Times New Roman" w:hAnsi="Times New Roman" w:cs="Times New Roman" w:eastAsia="Times New Roman" w:hint="default"/>
          <w:spacing w:val="-1"/>
        </w:rPr>
        <w:t>2000</w:t>
      </w:r>
      <w:r>
        <w:rPr>
          <w:spacing w:val="-1"/>
        </w:rPr>
        <w:t>年，历任厦门外运集团公司集团本部会计、船务公司管理者代表、集团计</w:t>
      </w:r>
      <w:r>
        <w:rPr>
          <w:spacing w:val="-87"/>
        </w:rPr>
        <w:t> </w:t>
      </w:r>
      <w:r>
        <w:rPr>
          <w:spacing w:val="-87"/>
        </w:rPr>
      </w:r>
      <w:r>
        <w:rPr>
          <w:spacing w:val="-1"/>
        </w:rPr>
        <w:t>财部经理兼外贸汽车材料有限公司监事；</w:t>
      </w:r>
      <w:r>
        <w:rPr>
          <w:rFonts w:ascii="Times New Roman" w:hAnsi="Times New Roman" w:cs="Times New Roman" w:eastAsia="Times New Roman" w:hint="default"/>
          <w:spacing w:val="-1"/>
        </w:rPr>
        <w:t>2000</w:t>
      </w:r>
      <w:r>
        <w:rPr>
          <w:spacing w:val="-1"/>
        </w:rPr>
        <w:t>年至</w:t>
      </w:r>
      <w:r>
        <w:rPr>
          <w:rFonts w:ascii="Times New Roman" w:hAnsi="Times New Roman" w:cs="Times New Roman" w:eastAsia="Times New Roman" w:hint="default"/>
          <w:spacing w:val="-1"/>
        </w:rPr>
        <w:t>2005</w:t>
      </w:r>
      <w:r>
        <w:rPr>
          <w:spacing w:val="-1"/>
        </w:rPr>
        <w:t>年，任厦门外运发展股份有限公司总经理；</w:t>
      </w:r>
      <w:r>
        <w:rPr>
          <w:rFonts w:ascii="Times New Roman" w:hAnsi="Times New Roman" w:cs="Times New Roman" w:eastAsia="Times New Roman" w:hint="default"/>
          <w:spacing w:val="-1"/>
        </w:rPr>
        <w:t>2006</w:t>
      </w:r>
      <w:r>
        <w:rPr>
          <w:spacing w:val="-1"/>
        </w:rPr>
        <w:t>年</w:t>
      </w:r>
      <w:r>
        <w:rPr>
          <w:spacing w:val="-84"/>
        </w:rPr>
        <w:t> </w:t>
      </w:r>
      <w:r>
        <w:rPr/>
        <w:t>至</w:t>
      </w:r>
      <w:r>
        <w:rPr>
          <w:rFonts w:ascii="Times New Roman" w:hAnsi="Times New Roman" w:cs="Times New Roman" w:eastAsia="Times New Roman" w:hint="default"/>
        </w:rPr>
        <w:t>2009</w:t>
      </w:r>
      <w:r>
        <w:rPr/>
        <w:t>年，任厦门瑞盟环保科技有限公司总经理；</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2010</w:t>
      </w:r>
      <w:r>
        <w:rPr/>
        <w:t>年，担任多家公司管理顾问，提供财务、 法律及内部管理咨询服务。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月至今，任公司审计机构负责人。现任公司董事会秘书、副总经理。</w:t>
      </w:r>
    </w:p>
    <w:p>
      <w:pPr>
        <w:pStyle w:val="BodyText"/>
        <w:spacing w:line="309" w:lineRule="auto" w:before="136"/>
        <w:ind w:left="153" w:right="210" w:firstLine="422"/>
        <w:jc w:val="both"/>
      </w:pPr>
      <w:r>
        <w:rPr>
          <w:rFonts w:ascii="宋体" w:hAnsi="宋体" w:cs="宋体" w:eastAsia="宋体" w:hint="default"/>
          <w:b/>
          <w:bCs/>
          <w:spacing w:val="-1"/>
        </w:rPr>
        <w:t>张乃军</w:t>
      </w:r>
      <w:r>
        <w:rPr>
          <w:spacing w:val="-1"/>
        </w:rPr>
        <w:t>，男，</w:t>
      </w:r>
      <w:r>
        <w:rPr>
          <w:rFonts w:ascii="Times New Roman" w:hAnsi="Times New Roman" w:cs="Times New Roman" w:eastAsia="Times New Roman" w:hint="default"/>
          <w:spacing w:val="-1"/>
        </w:rPr>
        <w:t>1971</w:t>
      </w:r>
      <w:r>
        <w:rPr>
          <w:spacing w:val="-1"/>
        </w:rPr>
        <w:t>年出生，中国国籍，研究生，高级会计师，无永久境外居留权。</w:t>
      </w:r>
      <w:r>
        <w:rPr>
          <w:rFonts w:ascii="Times New Roman" w:hAnsi="Times New Roman" w:cs="Times New Roman" w:eastAsia="Times New Roman" w:hint="default"/>
          <w:spacing w:val="-1"/>
        </w:rPr>
        <w:t>1993</w:t>
      </w:r>
      <w:r>
        <w:rPr>
          <w:spacing w:val="-1"/>
        </w:rPr>
        <w:t>年至</w:t>
      </w:r>
      <w:r>
        <w:rPr>
          <w:rFonts w:ascii="Times New Roman" w:hAnsi="Times New Roman" w:cs="Times New Roman" w:eastAsia="Times New Roman" w:hint="default"/>
          <w:spacing w:val="-1"/>
        </w:rPr>
        <w:t>2000</w:t>
      </w:r>
      <w:r>
        <w:rPr>
          <w:spacing w:val="-1"/>
        </w:rPr>
        <w:t>年任</w:t>
      </w:r>
      <w:r>
        <w:rPr/>
        <w:t> </w:t>
      </w:r>
      <w:r>
        <w:rPr>
          <w:spacing w:val="-1"/>
        </w:rPr>
        <w:t>厦门物资集团公司出纳、会计、主办会计；</w:t>
      </w:r>
      <w:r>
        <w:rPr>
          <w:rFonts w:ascii="Times New Roman" w:hAnsi="Times New Roman" w:cs="Times New Roman" w:eastAsia="Times New Roman" w:hint="default"/>
          <w:spacing w:val="-1"/>
        </w:rPr>
        <w:t>2000</w:t>
      </w:r>
      <w:r>
        <w:rPr>
          <w:spacing w:val="-1"/>
        </w:rPr>
        <w:t>年至</w:t>
      </w:r>
      <w:r>
        <w:rPr>
          <w:rFonts w:ascii="Times New Roman" w:hAnsi="Times New Roman" w:cs="Times New Roman" w:eastAsia="Times New Roman" w:hint="default"/>
          <w:spacing w:val="-1"/>
        </w:rPr>
        <w:t>2003</w:t>
      </w:r>
      <w:r>
        <w:rPr>
          <w:spacing w:val="-1"/>
        </w:rPr>
        <w:t>年任厦门外商投资企业物资公司财务经理；</w:t>
      </w:r>
      <w:r>
        <w:rPr>
          <w:rFonts w:ascii="Times New Roman" w:hAnsi="Times New Roman" w:cs="Times New Roman" w:eastAsia="Times New Roman" w:hint="default"/>
          <w:spacing w:val="-1"/>
        </w:rPr>
        <w:t>2003</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1"/>
        </w:rPr>
        <w:t>年至</w:t>
      </w:r>
      <w:r>
        <w:rPr>
          <w:rFonts w:ascii="Times New Roman" w:hAnsi="Times New Roman" w:cs="Times New Roman" w:eastAsia="Times New Roman" w:hint="default"/>
          <w:spacing w:val="-1"/>
        </w:rPr>
        <w:t>2005</w:t>
      </w:r>
      <w:r>
        <w:rPr>
          <w:spacing w:val="-1"/>
        </w:rPr>
        <w:t>年任厦门银池资产管理有限公司财务经理；</w:t>
      </w:r>
      <w:r>
        <w:rPr>
          <w:rFonts w:ascii="Times New Roman" w:hAnsi="Times New Roman" w:cs="Times New Roman" w:eastAsia="Times New Roman" w:hint="default"/>
          <w:spacing w:val="-1"/>
        </w:rPr>
        <w:t>2005</w:t>
      </w:r>
      <w:r>
        <w:rPr>
          <w:spacing w:val="-1"/>
        </w:rPr>
        <w:t>年至</w:t>
      </w:r>
      <w:r>
        <w:rPr>
          <w:rFonts w:ascii="Times New Roman" w:hAnsi="Times New Roman" w:cs="Times New Roman" w:eastAsia="Times New Roman" w:hint="default"/>
          <w:spacing w:val="-1"/>
        </w:rPr>
        <w:t>2007</w:t>
      </w:r>
      <w:r>
        <w:rPr>
          <w:spacing w:val="-1"/>
        </w:rPr>
        <w:t>年任厦门新世基集团财务经理；</w:t>
      </w:r>
      <w:r>
        <w:rPr>
          <w:rFonts w:ascii="Times New Roman" w:hAnsi="Times New Roman" w:cs="Times New Roman" w:eastAsia="Times New Roman" w:hint="default"/>
          <w:spacing w:val="-1"/>
        </w:rPr>
        <w:t>2007</w:t>
      </w:r>
      <w:r>
        <w:rPr>
          <w:spacing w:val="-1"/>
        </w:rPr>
        <w:t>年</w:t>
      </w:r>
      <w:r>
        <w:rPr>
          <w:spacing w:val="-83"/>
        </w:rPr>
        <w:t> </w:t>
      </w:r>
      <w:r>
        <w:rPr/>
        <w:t>至今，历任公司财务副总监、财务总监。现任公司财务总监。</w:t>
      </w:r>
    </w:p>
    <w:p>
      <w:pPr>
        <w:pStyle w:val="BodyText"/>
        <w:spacing w:line="432" w:lineRule="auto" w:before="158"/>
        <w:ind w:right="3110" w:firstLine="422"/>
        <w:jc w:val="left"/>
      </w:pPr>
      <w:r>
        <w:rPr/>
        <w:t>公司董事、监事和高级管理人员不存在受证券监管机构处罚的情形。 在股东单位任职情况：</w:t>
      </w:r>
    </w:p>
    <w:p>
      <w:pPr>
        <w:pStyle w:val="BodyText"/>
        <w:spacing w:line="231"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pStyle w:val="BodyText"/>
        <w:spacing w:line="240" w:lineRule="auto" w:before="172"/>
        <w:ind w:right="0"/>
        <w:jc w:val="left"/>
      </w:pPr>
      <w:r>
        <w:rPr/>
        <w:t>在其他单位任职情况：</w:t>
      </w:r>
    </w:p>
    <w:p>
      <w:pPr>
        <w:spacing w:line="240" w:lineRule="auto" w:before="5"/>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201"/>
        <w:gridCol w:w="3476"/>
        <w:gridCol w:w="1134"/>
        <w:gridCol w:w="1560"/>
        <w:gridCol w:w="851"/>
        <w:gridCol w:w="1345"/>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2" w:right="10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厦门刘老师空中花果园有限公司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法人、董事长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陈汉文</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厦门大学管理学院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教授、博导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陈汉文</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兴业证券股份有限公司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3476"/>
        <w:gridCol w:w="1134"/>
        <w:gridCol w:w="1560"/>
        <w:gridCol w:w="851"/>
        <w:gridCol w:w="1345"/>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陈汉文</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厦门国贸集团股份有限公司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郭东辉</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厦门大学管理学院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教授、博导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中国中材国际工程股份有限公司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福建七匹狼实业股份有限公司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深圳天马微电子股份有限公司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美亚长城传媒（北京）有限公司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高龙腾</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厦门市极聚网络科技有限公司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CEO</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珠海新德汇信息技术有限公司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珠海新德汇信息技术有限公司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法人、董事长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厦门大学管理学院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教授、博导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山东航空股份有限公司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深圳莱宝高科技股份有限公司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洲际油气股份有限公司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福建广生堂药业股份有限公司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0" w:right="160" w:firstLine="0"/>
        <w:jc w:val="right"/>
        <w:rPr>
          <w:rFonts w:ascii="宋体" w:hAnsi="宋体" w:cs="宋体" w:eastAsia="宋体" w:hint="default"/>
          <w:sz w:val="18"/>
          <w:szCs w:val="18"/>
        </w:rPr>
      </w:pPr>
      <w:r>
        <w:rPr/>
        <w:pict>
          <v:shape style="position:absolute;margin-left:56.459999pt;margin-top:-85.548286pt;width:479.1pt;height:154.450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7441"/>
                  </w:tblGrid>
                  <w:tr>
                    <w:trPr>
                      <w:trHeight w:val="1338" w:hRule="exact"/>
                    </w:trPr>
                    <w:tc>
                      <w:tcPr>
                        <w:tcW w:w="21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1"/>
                          <w:jc w:val="left"/>
                          <w:rPr>
                            <w:rFonts w:ascii="宋体" w:hAnsi="宋体" w:cs="宋体" w:eastAsia="宋体" w:hint="default"/>
                            <w:sz w:val="18"/>
                            <w:szCs w:val="18"/>
                          </w:rPr>
                        </w:pPr>
                        <w:r>
                          <w:rPr>
                            <w:rFonts w:ascii="宋体" w:hAnsi="宋体" w:cs="宋体" w:eastAsia="宋体" w:hint="default"/>
                            <w:spacing w:val="-8"/>
                            <w:sz w:val="18"/>
                            <w:szCs w:val="18"/>
                          </w:rPr>
                          <w:t>董事、监事、高级管理人员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报酬的决策程序</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5"/>
                          <w:jc w:val="both"/>
                          <w:rPr>
                            <w:rFonts w:ascii="宋体" w:hAnsi="宋体" w:cs="宋体" w:eastAsia="宋体" w:hint="default"/>
                            <w:sz w:val="18"/>
                            <w:szCs w:val="18"/>
                          </w:rPr>
                        </w:pPr>
                        <w:r>
                          <w:rPr>
                            <w:rFonts w:ascii="宋体" w:hAnsi="宋体" w:cs="宋体" w:eastAsia="宋体" w:hint="default"/>
                            <w:sz w:val="18"/>
                            <w:szCs w:val="18"/>
                          </w:rPr>
                          <w:t>公司独立董事、外部董事和非职工监事依据公司《董事、监事津贴制度》领取津贴，津贴额度 由股东大会审批决定；公司内部董事和职工监事依据公司《董事、监事薪酬管理制度》领取薪 酬，上述制度由股东大会审批决定；公司高级管理人员依据公司《高管薪酬管理制度》领取薪 酬，该制度由董事会审批决定；</w:t>
                        </w:r>
                      </w:p>
                    </w:tc>
                  </w:tr>
                  <w:tr>
                    <w:trPr>
                      <w:trHeight w:val="1026" w:hRule="exact"/>
                    </w:trPr>
                    <w:tc>
                      <w:tcPr>
                        <w:tcW w:w="21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董事、监事、高级管理人员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报酬确定依据</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5"/>
                          <w:jc w:val="left"/>
                          <w:rPr>
                            <w:rFonts w:ascii="宋体" w:hAnsi="宋体" w:cs="宋体" w:eastAsia="宋体" w:hint="default"/>
                            <w:sz w:val="18"/>
                            <w:szCs w:val="18"/>
                          </w:rPr>
                        </w:pPr>
                        <w:r>
                          <w:rPr>
                            <w:rFonts w:ascii="宋体" w:hAnsi="宋体" w:cs="宋体" w:eastAsia="宋体" w:hint="default"/>
                            <w:sz w:val="18"/>
                            <w:szCs w:val="18"/>
                          </w:rPr>
                          <w:t>公司独立董事、外部董事和非职工监事领取津贴额度由股东大会审批决定；公司内部董事、职 </w:t>
                        </w:r>
                        <w:r>
                          <w:rPr>
                            <w:rFonts w:ascii="宋体" w:hAnsi="宋体" w:cs="宋体" w:eastAsia="宋体" w:hint="default"/>
                            <w:spacing w:val="-3"/>
                            <w:sz w:val="18"/>
                            <w:szCs w:val="18"/>
                          </w:rPr>
                          <w:t>工监事和高级管理人员薪酬包含基本薪酬和绩效薪酬两部分，基本薪酬依据岗位级别按月发放</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绩效薪酬依据年度目标完成情况由董事会薪酬与考核委员会进行考核评定；</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8"/>
                            <w:sz w:val="18"/>
                            <w:szCs w:val="18"/>
                          </w:rPr>
                          <w:t>董事、监事和高级管理人员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报酬的实际支付情况</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报告期内在公司领取报酬的董事</w:t>
                        </w:r>
                        <w:r>
                          <w:rPr>
                            <w:rFonts w:ascii="宋体" w:hAnsi="宋体" w:cs="宋体" w:eastAsia="宋体" w:hint="default"/>
                            <w:spacing w:val="-10"/>
                            <w:sz w:val="18"/>
                            <w:szCs w:val="18"/>
                          </w:rPr>
                          <w:t>、</w:t>
                        </w:r>
                        <w:r>
                          <w:rPr>
                            <w:rFonts w:ascii="宋体" w:hAnsi="宋体" w:cs="宋体" w:eastAsia="宋体" w:hint="default"/>
                            <w:sz w:val="18"/>
                            <w:szCs w:val="18"/>
                          </w:rPr>
                          <w:t>监</w:t>
                        </w:r>
                        <w:r>
                          <w:rPr>
                            <w:rFonts w:ascii="宋体" w:hAnsi="宋体" w:cs="宋体" w:eastAsia="宋体" w:hint="default"/>
                            <w:spacing w:val="-10"/>
                            <w:sz w:val="18"/>
                            <w:szCs w:val="18"/>
                          </w:rPr>
                          <w:t>事</w:t>
                        </w:r>
                        <w:r>
                          <w:rPr>
                            <w:rFonts w:ascii="宋体" w:hAnsi="宋体" w:cs="宋体" w:eastAsia="宋体" w:hint="default"/>
                            <w:spacing w:val="-2"/>
                            <w:sz w:val="18"/>
                            <w:szCs w:val="18"/>
                          </w:rPr>
                          <w:t>（</w:t>
                        </w:r>
                        <w:r>
                          <w:rPr>
                            <w:rFonts w:ascii="宋体" w:hAnsi="宋体" w:cs="宋体" w:eastAsia="宋体" w:hint="default"/>
                            <w:sz w:val="18"/>
                            <w:szCs w:val="18"/>
                          </w:rPr>
                          <w:t>含离任监事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人</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高级管理人员共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r>
                          <w:rPr>
                            <w:rFonts w:ascii="宋体" w:hAnsi="宋体" w:cs="宋体" w:eastAsia="宋体" w:hint="default"/>
                            <w:spacing w:val="-9"/>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实际支付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788 </w:t>
                        </w:r>
                        <w:r>
                          <w:rPr>
                            <w:rFonts w:ascii="宋体" w:hAnsi="宋体" w:cs="宋体" w:eastAsia="宋体" w:hint="default"/>
                            <w:sz w:val="18"/>
                            <w:szCs w:val="18"/>
                          </w:rPr>
                          <w:t>万元。</w:t>
                        </w:r>
                      </w:p>
                    </w:tc>
                  </w:tr>
                </w:tbl>
                <w:p>
                  <w:pPr/>
                </w:p>
              </w:txbxContent>
            </v:textbox>
            <w10:wrap type="none"/>
          </v:shape>
        </w:pict>
      </w:r>
      <w:bookmarkStart w:name="三、董事、监事、高级管理人员报酬情况" w:id="94"/>
      <w:bookmarkEnd w:id="94"/>
      <w:r>
        <w:rPr/>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0"/>
        <w:jc w:val="left"/>
      </w:pPr>
      <w:r>
        <w:rPr/>
        <w:t>公司报告期内董事、监事和高级管理人员报酬情况：</w:t>
      </w:r>
    </w:p>
    <w:p>
      <w:pPr>
        <w:spacing w:after="0" w:line="240" w:lineRule="auto"/>
        <w:jc w:val="left"/>
        <w:sectPr>
          <w:pgSz w:w="11910" w:h="16840"/>
          <w:pgMar w:header="747" w:footer="980" w:top="1060" w:bottom="1180" w:left="980" w:right="980"/>
        </w:sectPr>
      </w:pPr>
    </w:p>
    <w:p>
      <w:pPr>
        <w:spacing w:line="240" w:lineRule="auto" w:before="13"/>
        <w:rPr>
          <w:rFonts w:ascii="宋体" w:hAnsi="宋体" w:cs="宋体" w:eastAsia="宋体" w:hint="default"/>
          <w:sz w:val="25"/>
          <w:szCs w:val="25"/>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郭东辉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陈汉文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仲丽华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吴顺祥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高龙腾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11"/>
        <w:rPr>
          <w:rFonts w:ascii="宋体" w:hAnsi="宋体" w:cs="宋体" w:eastAsia="宋体" w:hint="default"/>
          <w:sz w:val="7"/>
          <w:szCs w:val="7"/>
        </w:rPr>
      </w:pPr>
    </w:p>
    <w:p>
      <w:pPr>
        <w:pStyle w:val="BodyText"/>
        <w:spacing w:line="240" w:lineRule="auto" w:before="35"/>
        <w:ind w:right="0"/>
        <w:jc w:val="left"/>
      </w:pPr>
      <w:r>
        <w:rPr/>
        <w:t>公司董事、监事、高级管理人员报告期内被授予的股权激励情况：</w:t>
      </w:r>
    </w:p>
    <w:p>
      <w:pPr>
        <w:spacing w:line="240" w:lineRule="auto" w:before="4"/>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4"/>
              <w:jc w:val="right"/>
              <w:rPr>
                <w:rFonts w:ascii="宋体" w:hAnsi="宋体" w:cs="宋体" w:eastAsia="宋体" w:hint="default"/>
                <w:sz w:val="18"/>
                <w:szCs w:val="18"/>
              </w:rPr>
            </w:pPr>
            <w:r>
              <w:rPr>
                <w:rFonts w:ascii="宋体" w:hAnsi="宋体" w:cs="宋体" w:eastAsia="宋体" w:hint="default"/>
                <w:sz w:val="18"/>
                <w:szCs w:val="18"/>
              </w:rPr>
              <w:t>职务</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报告期内可 行权的期权 股数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center"/>
              <w:rPr>
                <w:rFonts w:ascii="宋体" w:hAnsi="宋体" w:cs="宋体" w:eastAsia="宋体" w:hint="default"/>
                <w:sz w:val="18"/>
                <w:szCs w:val="18"/>
              </w:rPr>
            </w:pPr>
            <w:r>
              <w:rPr>
                <w:rFonts w:ascii="宋体" w:hAnsi="宋体" w:cs="宋体" w:eastAsia="宋体" w:hint="default"/>
                <w:sz w:val="18"/>
                <w:szCs w:val="18"/>
              </w:rPr>
              <w:t>报告期内已 行权的期权 股数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22" w:firstLine="52"/>
              <w:jc w:val="both"/>
              <w:rPr>
                <w:rFonts w:ascii="宋体" w:hAnsi="宋体" w:cs="宋体" w:eastAsia="宋体" w:hint="default"/>
                <w:sz w:val="18"/>
                <w:szCs w:val="18"/>
              </w:rPr>
            </w:pPr>
            <w:r>
              <w:rPr>
                <w:rFonts w:ascii="宋体" w:hAnsi="宋体" w:cs="宋体" w:eastAsia="宋体" w:hint="default"/>
                <w:sz w:val="18"/>
                <w:szCs w:val="18"/>
              </w:rPr>
              <w:t>报告期内已 行权期限的 </w:t>
            </w:r>
            <w:r>
              <w:rPr>
                <w:rFonts w:ascii="宋体" w:hAnsi="宋体" w:cs="宋体" w:eastAsia="宋体" w:hint="default"/>
                <w:spacing w:val="-13"/>
                <w:sz w:val="18"/>
                <w:szCs w:val="18"/>
              </w:rPr>
              <w:t>行权价格（元</w:t>
            </w:r>
          </w:p>
          <w:p>
            <w:pPr>
              <w:pStyle w:val="TableParagraph"/>
              <w:spacing w:line="240" w:lineRule="auto" w:before="20"/>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 w:right="50" w:firstLine="25"/>
              <w:jc w:val="both"/>
              <w:rPr>
                <w:rFonts w:ascii="宋体" w:hAnsi="宋体" w:cs="宋体" w:eastAsia="宋体" w:hint="default"/>
                <w:sz w:val="18"/>
                <w:szCs w:val="18"/>
              </w:rPr>
            </w:pPr>
            <w:r>
              <w:rPr>
                <w:rFonts w:ascii="宋体" w:hAnsi="宋体" w:cs="宋体" w:eastAsia="宋体" w:hint="default"/>
                <w:sz w:val="18"/>
                <w:szCs w:val="18"/>
              </w:rPr>
              <w:t>报告期末持 有的股权市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报告期行权 的限制性股 票数量</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7"/>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副总经理，董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四、公司董事、监事、高</w:t>
      </w:r>
      <w:bookmarkStart w:name="四、公司董事、监事、高级管理人员变动情况" w:id="95"/>
      <w:bookmarkEnd w:id="95"/>
      <w:r>
        <w:rPr/>
        <w:t>级管理人</w:t>
      </w:r>
      <w:r>
        <w:rPr/>
        <w:t>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2246"/>
        <w:gridCol w:w="3330"/>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2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吴顺祥</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个人申请辞去监事职务。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监事吴顺祥离职，补选监事。</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w:t>
      </w:r>
      <w:bookmarkStart w:name="五、报告期核心技术团队或关键技术人员变动情况（非董事、监事、高级管理人员）" w:id="96"/>
      <w:bookmarkEnd w:id="96"/>
      <w:r>
        <w:rPr/>
        <w:t>况（非董</w:t>
      </w:r>
      <w:r>
        <w:rPr/>
        <w:t>事、监事、高级管理人员）</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报告期内，公司核心技术团队或关键技术人员无重大变动。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firstLine="420"/>
        <w:jc w:val="left"/>
      </w:pPr>
      <w:r>
        <w:rPr>
          <w:spacing w:val="-1"/>
        </w:rPr>
        <w:t>截至报告期末，公司（含控股子公司）共有员工</w:t>
      </w:r>
      <w:r>
        <w:rPr>
          <w:rFonts w:ascii="Times New Roman" w:hAnsi="Times New Roman" w:cs="Times New Roman" w:eastAsia="Times New Roman" w:hint="default"/>
          <w:spacing w:val="-1"/>
        </w:rPr>
        <w:t>1133</w:t>
      </w:r>
      <w:r>
        <w:rPr>
          <w:spacing w:val="-1"/>
        </w:rPr>
        <w:t>人，</w:t>
      </w:r>
      <w:bookmarkStart w:name="六、公司员工情况" w:id="97"/>
      <w:bookmarkEnd w:id="97"/>
      <w:r>
        <w:rPr>
          <w:spacing w:val="-1"/>
        </w:rPr>
        <w:t>没有需要承担费用的离退休人员</w:t>
      </w:r>
      <w:r>
        <w:rPr>
          <w:spacing w:val="-1"/>
        </w:rPr>
        <w:t>。员工结构</w:t>
      </w:r>
      <w:r>
        <w:rPr/>
        <w:t> 如下：</w:t>
      </w:r>
    </w:p>
    <w:p>
      <w:pPr>
        <w:pStyle w:val="BodyText"/>
        <w:spacing w:line="240" w:lineRule="auto" w:before="175"/>
        <w:ind w:right="0"/>
        <w:jc w:val="left"/>
      </w:pPr>
      <w:r>
        <w:rPr>
          <w:rFonts w:ascii="Times New Roman" w:hAnsi="Times New Roman" w:cs="Times New Roman" w:eastAsia="Times New Roman" w:hint="default"/>
        </w:rPr>
        <w:t>1</w:t>
      </w:r>
      <w:r>
        <w:rPr/>
        <w:t>）专业结构</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060"/>
        <w:gridCol w:w="2470"/>
        <w:gridCol w:w="2834"/>
      </w:tblGrid>
      <w:tr>
        <w:trPr>
          <w:trHeight w:val="427" w:hRule="exact"/>
        </w:trPr>
        <w:tc>
          <w:tcPr>
            <w:tcW w:w="3060"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人员类型</w:t>
            </w:r>
          </w:p>
        </w:tc>
        <w:tc>
          <w:tcPr>
            <w:tcW w:w="2470"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834"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42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研发及技术支持人员</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743</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65.58%</w:t>
            </w:r>
          </w:p>
        </w:tc>
      </w:tr>
      <w:tr>
        <w:trPr>
          <w:trHeight w:val="42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市场、营销人员</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175</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15.45%</w:t>
            </w:r>
          </w:p>
        </w:tc>
      </w:tr>
      <w:tr>
        <w:trPr>
          <w:trHeight w:val="42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116</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10.24%</w:t>
            </w:r>
          </w:p>
        </w:tc>
      </w:tr>
      <w:tr>
        <w:trPr>
          <w:trHeight w:val="426"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27</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2.38%</w:t>
            </w:r>
          </w:p>
        </w:tc>
      </w:tr>
      <w:tr>
        <w:trPr>
          <w:trHeight w:val="42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72</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6.35%</w:t>
            </w:r>
          </w:p>
        </w:tc>
      </w:tr>
      <w:tr>
        <w:trPr>
          <w:trHeight w:val="428"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1133</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7"/>
          <w:szCs w:val="7"/>
        </w:rPr>
      </w:pPr>
    </w:p>
    <w:p>
      <w:pPr>
        <w:pStyle w:val="BodyText"/>
        <w:spacing w:line="240" w:lineRule="auto" w:before="35"/>
        <w:ind w:right="0"/>
        <w:jc w:val="left"/>
      </w:pPr>
      <w:r>
        <w:rPr>
          <w:rFonts w:ascii="Times New Roman" w:hAnsi="Times New Roman" w:cs="Times New Roman" w:eastAsia="Times New Roman" w:hint="default"/>
        </w:rPr>
        <w:t>2</w:t>
      </w:r>
      <w:r>
        <w:rPr/>
        <w:t>）受教育程度分布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060"/>
        <w:gridCol w:w="2470"/>
        <w:gridCol w:w="2834"/>
      </w:tblGrid>
      <w:tr>
        <w:trPr>
          <w:trHeight w:val="427" w:hRule="exact"/>
        </w:trPr>
        <w:tc>
          <w:tcPr>
            <w:tcW w:w="3060"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学历</w:t>
            </w:r>
          </w:p>
        </w:tc>
        <w:tc>
          <w:tcPr>
            <w:tcW w:w="2470"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834"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428"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硕士及以上学历</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83</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7.33%</w:t>
            </w:r>
          </w:p>
        </w:tc>
      </w:tr>
      <w:tr>
        <w:trPr>
          <w:trHeight w:val="42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658</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58.08%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060"/>
        <w:gridCol w:w="2470"/>
        <w:gridCol w:w="2834"/>
      </w:tblGrid>
      <w:tr>
        <w:trPr>
          <w:trHeight w:val="42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92" w:right="0"/>
              <w:jc w:val="left"/>
              <w:rPr>
                <w:rFonts w:ascii="Times New Roman" w:hAnsi="Times New Roman" w:cs="Times New Roman" w:eastAsia="Times New Roman" w:hint="default"/>
                <w:sz w:val="18"/>
                <w:szCs w:val="18"/>
              </w:rPr>
            </w:pPr>
            <w:r>
              <w:rPr>
                <w:rFonts w:ascii="Times New Roman"/>
                <w:sz w:val="18"/>
              </w:rPr>
              <w:t>316</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27.89%</w:t>
            </w:r>
          </w:p>
        </w:tc>
      </w:tr>
      <w:tr>
        <w:trPr>
          <w:trHeight w:val="42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36" w:right="0"/>
              <w:jc w:val="left"/>
              <w:rPr>
                <w:rFonts w:ascii="Times New Roman" w:hAnsi="Times New Roman" w:cs="Times New Roman" w:eastAsia="Times New Roman" w:hint="default"/>
                <w:sz w:val="18"/>
                <w:szCs w:val="18"/>
              </w:rPr>
            </w:pPr>
            <w:r>
              <w:rPr>
                <w:rFonts w:ascii="Times New Roman"/>
                <w:sz w:val="18"/>
              </w:rPr>
              <w:t>76</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6.71%</w:t>
            </w:r>
          </w:p>
        </w:tc>
      </w:tr>
      <w:tr>
        <w:trPr>
          <w:trHeight w:val="42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46" w:right="0"/>
              <w:jc w:val="left"/>
              <w:rPr>
                <w:rFonts w:ascii="Times New Roman" w:hAnsi="Times New Roman" w:cs="Times New Roman" w:eastAsia="Times New Roman" w:hint="default"/>
                <w:sz w:val="18"/>
                <w:szCs w:val="18"/>
              </w:rPr>
            </w:pPr>
            <w:r>
              <w:rPr>
                <w:rFonts w:ascii="Times New Roman"/>
                <w:sz w:val="18"/>
              </w:rPr>
              <w:t>1133</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7"/>
          <w:szCs w:val="7"/>
        </w:rPr>
      </w:pPr>
    </w:p>
    <w:p>
      <w:pPr>
        <w:pStyle w:val="BodyText"/>
        <w:spacing w:line="240" w:lineRule="auto" w:before="35"/>
        <w:ind w:right="0"/>
        <w:jc w:val="left"/>
      </w:pPr>
      <w:r>
        <w:rPr>
          <w:rFonts w:ascii="Times New Roman" w:hAnsi="Times New Roman" w:cs="Times New Roman" w:eastAsia="Times New Roman" w:hint="default"/>
        </w:rPr>
        <w:t>3</w:t>
      </w:r>
      <w:r>
        <w:rPr/>
        <w:t>）年龄分布</w:t>
      </w:r>
    </w:p>
    <w:p>
      <w:pPr>
        <w:spacing w:line="240" w:lineRule="auto" w:before="1"/>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3148"/>
        <w:gridCol w:w="2429"/>
        <w:gridCol w:w="2785"/>
      </w:tblGrid>
      <w:tr>
        <w:trPr>
          <w:trHeight w:val="415" w:hRule="exact"/>
        </w:trPr>
        <w:tc>
          <w:tcPr>
            <w:tcW w:w="3148"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9"/>
              <w:ind w:right="1205"/>
              <w:jc w:val="right"/>
              <w:rPr>
                <w:rFonts w:ascii="宋体" w:hAnsi="宋体" w:cs="宋体" w:eastAsia="宋体" w:hint="default"/>
                <w:sz w:val="18"/>
                <w:szCs w:val="18"/>
              </w:rPr>
            </w:pPr>
            <w:r>
              <w:rPr>
                <w:rFonts w:ascii="宋体" w:hAnsi="宋体" w:cs="宋体" w:eastAsia="宋体" w:hint="default"/>
                <w:sz w:val="18"/>
                <w:szCs w:val="18"/>
              </w:rPr>
              <w:t>年龄区间</w:t>
            </w:r>
          </w:p>
        </w:tc>
        <w:tc>
          <w:tcPr>
            <w:tcW w:w="2429"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78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占员工总数的比例</w:t>
            </w:r>
          </w:p>
        </w:tc>
      </w:tr>
      <w:tr>
        <w:trPr>
          <w:trHeight w:val="427" w:hRule="exact"/>
        </w:trPr>
        <w:tc>
          <w:tcPr>
            <w:tcW w:w="3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05"/>
              <w:jc w:val="righ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684</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60.37%</w:t>
            </w:r>
          </w:p>
        </w:tc>
      </w:tr>
      <w:tr>
        <w:trPr>
          <w:trHeight w:val="427" w:hRule="exact"/>
        </w:trPr>
        <w:tc>
          <w:tcPr>
            <w:tcW w:w="3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65"/>
              <w:jc w:val="right"/>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387</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34.16%</w:t>
            </w:r>
          </w:p>
        </w:tc>
      </w:tr>
      <w:tr>
        <w:trPr>
          <w:trHeight w:val="427" w:hRule="exact"/>
        </w:trPr>
        <w:tc>
          <w:tcPr>
            <w:tcW w:w="3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05"/>
              <w:jc w:val="right"/>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岁以上</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62</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5.47%</w:t>
            </w:r>
          </w:p>
        </w:tc>
      </w:tr>
      <w:tr>
        <w:trPr>
          <w:trHeight w:val="427" w:hRule="exact"/>
        </w:trPr>
        <w:tc>
          <w:tcPr>
            <w:tcW w:w="3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1133</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54" w:right="210"/>
        <w:jc w:val="center"/>
        <w:rPr>
          <w:b w:val="0"/>
          <w:bCs w:val="0"/>
        </w:rPr>
      </w:pPr>
      <w:bookmarkStart w:name="第八节 公司治理" w:id="98"/>
      <w:bookmarkEnd w:id="98"/>
      <w:r>
        <w:rPr>
          <w:b w:val="0"/>
          <w:bCs w:val="0"/>
        </w:rPr>
      </w:r>
      <w:bookmarkStart w:name="_bookmark7" w:id="99"/>
      <w:bookmarkEnd w:id="99"/>
      <w:r>
        <w:rPr>
          <w:b w:val="0"/>
          <w:bCs w:val="0"/>
        </w:rPr>
      </w:r>
      <w:r>
        <w:rPr/>
        <w:t>第八节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w:t>
      </w:r>
      <w:bookmarkStart w:name="一、公司治理的基本状况" w:id="100"/>
      <w:bookmarkEnd w:id="100"/>
      <w:r>
        <w:rPr/>
        <w:t>的基本状况</w:t>
      </w:r>
      <w:r>
        <w:rPr>
          <w:b w:val="0"/>
          <w:bCs w:val="0"/>
        </w:rPr>
      </w:r>
    </w:p>
    <w:p>
      <w:pPr>
        <w:spacing w:line="240" w:lineRule="auto" w:before="0"/>
        <w:rPr>
          <w:rFonts w:ascii="宋体" w:hAnsi="宋体" w:cs="宋体" w:eastAsia="宋体" w:hint="default"/>
          <w:b/>
          <w:bCs/>
          <w:sz w:val="27"/>
          <w:szCs w:val="27"/>
        </w:rPr>
      </w:pPr>
    </w:p>
    <w:p>
      <w:pPr>
        <w:pStyle w:val="BodyText"/>
        <w:spacing w:line="326" w:lineRule="auto"/>
        <w:ind w:right="211" w:firstLine="420"/>
        <w:jc w:val="both"/>
      </w:pPr>
      <w:r>
        <w:rPr>
          <w:spacing w:val="-1"/>
        </w:rPr>
        <w:t>报告期内，公司严格按照《公司法》、《证券法》、《上市公司治理准则》、《深圳证券交易所创业</w:t>
      </w:r>
      <w:r>
        <w:rPr/>
        <w:t> </w:t>
      </w:r>
      <w:r>
        <w:rPr>
          <w:spacing w:val="-5"/>
        </w:rPr>
        <w:t>板股票上市规则》、《深圳证券交易所创业板上市公司规范运作指引》等相关法律法规、规范性文件和《公</w:t>
      </w:r>
      <w:r>
        <w:rPr/>
        <w:t> </w:t>
      </w:r>
      <w:r>
        <w:rPr>
          <w:spacing w:val="-1"/>
        </w:rPr>
        <w:t>司章程》的要求，不断完善公司法人治理结构，建立健全公司内部管理和内控制度，持续深入开展公司治</w:t>
      </w:r>
      <w:r>
        <w:rPr>
          <w:spacing w:val="-86"/>
        </w:rPr>
        <w:t> </w:t>
      </w:r>
      <w:r>
        <w:rPr>
          <w:spacing w:val="-86"/>
        </w:rPr>
      </w:r>
      <w:r>
        <w:rPr>
          <w:spacing w:val="-1"/>
        </w:rPr>
        <w:t>理活动，进一步提升公司治理水平。截至报告期末，公司治理状况符合《公司法》和中国证监会、深圳证</w:t>
      </w:r>
      <w:r>
        <w:rPr>
          <w:spacing w:val="-83"/>
        </w:rPr>
        <w:t> </w:t>
      </w:r>
      <w:r>
        <w:rPr>
          <w:spacing w:val="-83"/>
        </w:rPr>
      </w:r>
      <w:r>
        <w:rPr/>
        <w:t>券交易所等发布的法律法规和规范性文件的要求。</w:t>
      </w:r>
    </w:p>
    <w:p>
      <w:pPr>
        <w:pStyle w:val="BodyText"/>
        <w:spacing w:line="240" w:lineRule="auto" w:before="144"/>
        <w:ind w:left="574" w:right="0"/>
        <w:jc w:val="left"/>
      </w:pPr>
      <w:r>
        <w:rPr/>
        <w:t>基本情况如下：</w:t>
      </w:r>
    </w:p>
    <w:p>
      <w:pPr>
        <w:spacing w:line="240" w:lineRule="auto" w:before="10"/>
        <w:rPr>
          <w:rFonts w:ascii="宋体" w:hAnsi="宋体" w:cs="宋体" w:eastAsia="宋体" w:hint="default"/>
          <w:sz w:val="16"/>
          <w:szCs w:val="16"/>
        </w:rPr>
      </w:pPr>
    </w:p>
    <w:p>
      <w:pPr>
        <w:pStyle w:val="BodyText"/>
        <w:spacing w:line="408" w:lineRule="auto"/>
        <w:ind w:left="574" w:right="0"/>
        <w:jc w:val="left"/>
      </w:pPr>
      <w:r>
        <w:rPr>
          <w:rFonts w:ascii="Times New Roman" w:hAnsi="Times New Roman" w:cs="Times New Roman" w:eastAsia="Times New Roman" w:hint="default"/>
        </w:rPr>
        <w:t>1</w:t>
      </w:r>
      <w:r>
        <w:rPr/>
        <w:t>、内控体系和内控制度的建立健全情况 </w:t>
      </w:r>
      <w:r>
        <w:rPr>
          <w:spacing w:val="-1"/>
        </w:rPr>
        <w:t>为有效应对公司规模快速扩张可能导致的内部控制和管理风险，报告期内，公司继续将完善内控制度</w:t>
      </w:r>
    </w:p>
    <w:p>
      <w:pPr>
        <w:pStyle w:val="BodyText"/>
        <w:spacing w:line="227" w:lineRule="exact"/>
        <w:ind w:right="0"/>
        <w:jc w:val="both"/>
      </w:pPr>
      <w:r>
        <w:rPr/>
        <w:t>和业务流程作为管理工作的重点，深入落实内控优化建议。报告期内，公司成立内控评价小组，依据公司</w:t>
      </w:r>
    </w:p>
    <w:p>
      <w:pPr>
        <w:pStyle w:val="BodyText"/>
        <w:spacing w:line="326" w:lineRule="auto" w:before="99"/>
        <w:ind w:right="190"/>
        <w:jc w:val="both"/>
      </w:pPr>
      <w:r>
        <w:rPr>
          <w:spacing w:val="-1"/>
        </w:rPr>
        <w:t>《内部控制标准手册》，结合相关法律法规，组织开展内部评价工作。同时，公司董事会根据最新法律法</w:t>
      </w:r>
      <w:r>
        <w:rPr>
          <w:spacing w:val="-83"/>
        </w:rPr>
        <w:t> </w:t>
      </w:r>
      <w:r>
        <w:rPr>
          <w:spacing w:val="-83"/>
        </w:rPr>
      </w:r>
      <w:r>
        <w:rPr/>
        <w:t>规的要求，结合公司实际情况，对《公司章程》、《股东大会议事规则》、《董事监事薪酬管理制度》、</w:t>
      </w:r>
    </w:p>
    <w:p>
      <w:pPr>
        <w:pStyle w:val="BodyText"/>
        <w:spacing w:line="326" w:lineRule="auto" w:before="24"/>
        <w:ind w:right="211"/>
        <w:jc w:val="both"/>
      </w:pPr>
      <w:r>
        <w:rPr>
          <w:spacing w:val="-1"/>
        </w:rPr>
        <w:t>《董事监事津贴制度》等内控制度进行了修订、完善。公司内部控制制度设计基本符合公司现阶段的发展</w:t>
      </w:r>
      <w:r>
        <w:rPr>
          <w:spacing w:val="-83"/>
        </w:rPr>
        <w:t> </w:t>
      </w:r>
      <w:r>
        <w:rPr>
          <w:spacing w:val="-83"/>
        </w:rPr>
      </w:r>
      <w:r>
        <w:rPr>
          <w:spacing w:val="-1"/>
        </w:rPr>
        <w:t>需要，公司内部控制制度得到了有效执行，公司经营风险和财务风险得到有效控制，保证了公司资产的安</w:t>
      </w:r>
      <w:r>
        <w:rPr>
          <w:spacing w:val="-83"/>
        </w:rPr>
        <w:t> </w:t>
      </w:r>
      <w:r>
        <w:rPr>
          <w:spacing w:val="-83"/>
        </w:rPr>
      </w:r>
      <w:r>
        <w:rPr>
          <w:spacing w:val="-1"/>
        </w:rPr>
        <w:t>全完整、财务数据的真实、完整、准确。在企业管理各个过程、各个关键环节、重大投资、关联交易等方</w:t>
      </w:r>
      <w:r>
        <w:rPr>
          <w:spacing w:val="-85"/>
        </w:rPr>
        <w:t> </w:t>
      </w:r>
      <w:r>
        <w:rPr>
          <w:spacing w:val="-85"/>
        </w:rPr>
      </w:r>
      <w:r>
        <w:rPr/>
        <w:t>面发挥了较好的控制与防范作用。</w:t>
      </w:r>
    </w:p>
    <w:p>
      <w:pPr>
        <w:pStyle w:val="BodyText"/>
        <w:spacing w:line="408" w:lineRule="auto" w:before="144"/>
        <w:ind w:left="574" w:right="0"/>
        <w:jc w:val="left"/>
      </w:pPr>
      <w:r>
        <w:rPr>
          <w:rFonts w:ascii="Times New Roman" w:hAnsi="Times New Roman" w:cs="Times New Roman" w:eastAsia="Times New Roman" w:hint="default"/>
        </w:rPr>
        <w:t>2</w:t>
      </w:r>
      <w:r>
        <w:rPr/>
        <w:t>、独立性运作情况 </w:t>
      </w:r>
      <w:r>
        <w:rPr>
          <w:spacing w:val="-1"/>
        </w:rPr>
        <w:t>公司拥有独立完整的采购、研发、生产、销售、服务体系，具备自主经营能力。报告期内，公司严格</w:t>
      </w:r>
    </w:p>
    <w:p>
      <w:pPr>
        <w:pStyle w:val="BodyText"/>
        <w:spacing w:line="226" w:lineRule="exact"/>
        <w:ind w:right="0"/>
        <w:jc w:val="both"/>
      </w:pPr>
      <w:r>
        <w:rPr/>
        <w:t>按照《公司章程》和有关法律法规的规定规范运作，在人员、资产、财务、机构、业务等方面与控股股东</w:t>
      </w:r>
    </w:p>
    <w:p>
      <w:pPr>
        <w:pStyle w:val="BodyText"/>
        <w:spacing w:line="326" w:lineRule="auto" w:before="99"/>
        <w:ind w:right="211"/>
        <w:jc w:val="both"/>
      </w:pPr>
      <w:r>
        <w:rPr>
          <w:spacing w:val="-1"/>
        </w:rPr>
        <w:t>及实际控制人保持相互独立。公司控股股东严格遵守相关法律法规，严格规范自己的行为，没有发生超越</w:t>
      </w:r>
      <w:r>
        <w:rPr>
          <w:spacing w:val="-83"/>
        </w:rPr>
        <w:t> </w:t>
      </w:r>
      <w:r>
        <w:rPr>
          <w:spacing w:val="-83"/>
        </w:rPr>
      </w:r>
      <w:r>
        <w:rPr/>
        <w:t>股东大会直接或间接干预公司的经营活动和公司决策的情况。</w:t>
      </w:r>
    </w:p>
    <w:p>
      <w:pPr>
        <w:pStyle w:val="BodyText"/>
        <w:spacing w:line="408" w:lineRule="auto" w:before="144"/>
        <w:ind w:left="574" w:right="0"/>
        <w:jc w:val="left"/>
      </w:pPr>
      <w:r>
        <w:rPr>
          <w:rFonts w:ascii="Times New Roman" w:hAnsi="Times New Roman" w:cs="Times New Roman" w:eastAsia="Times New Roman" w:hint="default"/>
        </w:rPr>
        <w:t>3</w:t>
      </w:r>
      <w:r>
        <w:rPr/>
        <w:t>、股东大会制度运行情况 </w:t>
      </w:r>
      <w:r>
        <w:rPr>
          <w:spacing w:val="-1"/>
        </w:rPr>
        <w:t>公司严格按照《公司法》、《上市公司股东大会规则》、《公司章程》、《股东大会议事规则》以及</w:t>
      </w:r>
    </w:p>
    <w:p>
      <w:pPr>
        <w:pStyle w:val="BodyText"/>
        <w:spacing w:line="227" w:lineRule="exact"/>
        <w:ind w:left="153" w:right="0"/>
        <w:jc w:val="both"/>
      </w:pPr>
      <w:r>
        <w:rPr>
          <w:spacing w:val="-3"/>
        </w:rPr>
        <w:t>深圳证券交易所创业板的相关法律法规，规范股东大会的召集、召开以及相关事项的表决程序，科学决策。</w:t>
      </w:r>
    </w:p>
    <w:p>
      <w:pPr>
        <w:pStyle w:val="BodyText"/>
        <w:spacing w:line="309" w:lineRule="auto" w:before="99"/>
        <w:ind w:left="153" w:right="191"/>
        <w:jc w:val="both"/>
      </w:pPr>
      <w:r>
        <w:rPr/>
        <w:t>报告期内，公司召开</w:t>
      </w:r>
      <w:r>
        <w:rPr>
          <w:rFonts w:ascii="Times New Roman" w:hAnsi="Times New Roman" w:cs="Times New Roman" w:eastAsia="Times New Roman" w:hint="default"/>
        </w:rPr>
        <w:t>1</w:t>
      </w:r>
      <w:r>
        <w:rPr/>
        <w:t>次年度股东大会，</w:t>
      </w:r>
      <w:r>
        <w:rPr>
          <w:rFonts w:ascii="Times New Roman" w:hAnsi="Times New Roman" w:cs="Times New Roman" w:eastAsia="Times New Roman" w:hint="default"/>
        </w:rPr>
        <w:t>1</w:t>
      </w:r>
      <w:r>
        <w:rPr/>
        <w:t>次临时股东大会。会议均由公司董事会召集召开，董事长主持， 并邀请见证律师进行现场见证和出具法律意见书。</w:t>
      </w:r>
    </w:p>
    <w:p>
      <w:pPr>
        <w:pStyle w:val="BodyText"/>
        <w:spacing w:line="319" w:lineRule="auto" w:before="158"/>
        <w:ind w:left="153" w:right="213" w:firstLine="420"/>
        <w:jc w:val="both"/>
      </w:pPr>
      <w:r>
        <w:rPr>
          <w:spacing w:val="-1"/>
        </w:rPr>
        <w:t>报告期内，公司召开的股东大会运作规范，不存在违反《上市公司股东大会规则》的情形，未发生单</w:t>
      </w:r>
      <w:r>
        <w:rPr/>
        <w:t> 独或合计持有公司有表决权股份总数</w:t>
      </w:r>
      <w:r>
        <w:rPr>
          <w:rFonts w:ascii="Times New Roman" w:hAnsi="Times New Roman" w:cs="Times New Roman" w:eastAsia="Times New Roman" w:hint="default"/>
        </w:rPr>
        <w:t>10%</w:t>
      </w:r>
      <w:r>
        <w:rPr/>
        <w:t>以上的股东请求召开临时股东大会的情形，也无应监事会提议召 开的股东大会。</w:t>
      </w:r>
    </w:p>
    <w:p>
      <w:pPr>
        <w:pStyle w:val="BodyText"/>
        <w:spacing w:line="240" w:lineRule="auto" w:before="150"/>
        <w:ind w:left="573" w:right="0"/>
        <w:jc w:val="left"/>
      </w:pPr>
      <w:r>
        <w:rPr>
          <w:rFonts w:ascii="Times New Roman" w:hAnsi="Times New Roman" w:cs="Times New Roman" w:eastAsia="Times New Roman" w:hint="default"/>
        </w:rPr>
        <w:t>4</w:t>
      </w:r>
      <w:r>
        <w:rPr/>
        <w:t>、董事会制度运行情况</w:t>
      </w:r>
    </w:p>
    <w:p>
      <w:pPr>
        <w:spacing w:after="0" w:line="240" w:lineRule="auto"/>
        <w:jc w:val="left"/>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314" w:lineRule="auto" w:before="35"/>
        <w:ind w:right="0" w:firstLine="419"/>
        <w:jc w:val="left"/>
      </w:pPr>
      <w:r>
        <w:rPr/>
        <w:t>公司董事会由</w:t>
      </w:r>
      <w:r>
        <w:rPr>
          <w:rFonts w:ascii="Times New Roman" w:hAnsi="Times New Roman" w:cs="Times New Roman" w:eastAsia="Times New Roman" w:hint="default"/>
        </w:rPr>
        <w:t>7</w:t>
      </w:r>
      <w:r>
        <w:rPr/>
        <w:t>名董事组成，其中独立董事</w:t>
      </w:r>
      <w:r>
        <w:rPr>
          <w:rFonts w:ascii="Times New Roman" w:hAnsi="Times New Roman" w:cs="Times New Roman" w:eastAsia="Times New Roman" w:hint="default"/>
        </w:rPr>
        <w:t>3</w:t>
      </w:r>
      <w:r>
        <w:rPr/>
        <w:t>名，董事会的人数及人员构成符合法律、法规和《公司章 程》的要求。董事会下设战略委员会、审计委员会、提名委员会及薪酬与考核委员会</w:t>
      </w:r>
      <w:r>
        <w:rPr>
          <w:rFonts w:ascii="Times New Roman" w:hAnsi="Times New Roman" w:cs="Times New Roman" w:eastAsia="Times New Roman" w:hint="default"/>
        </w:rPr>
        <w:t>4</w:t>
      </w:r>
      <w:r>
        <w:rPr/>
        <w:t>个专门委员会。报 </w:t>
      </w:r>
      <w:r>
        <w:rPr>
          <w:spacing w:val="-1"/>
        </w:rPr>
        <w:t>告期内，公司共召开</w:t>
      </w:r>
      <w:r>
        <w:rPr>
          <w:rFonts w:ascii="Times New Roman" w:hAnsi="Times New Roman" w:cs="Times New Roman" w:eastAsia="Times New Roman" w:hint="default"/>
          <w:spacing w:val="-1"/>
        </w:rPr>
        <w:t>6</w:t>
      </w:r>
      <w:r>
        <w:rPr>
          <w:spacing w:val="-1"/>
        </w:rPr>
        <w:t>次董事会，会议均由董事长召集和主持，会议的召开、决议内容及签署合法、合规、</w:t>
      </w:r>
      <w:r>
        <w:rPr>
          <w:spacing w:val="-84"/>
        </w:rPr>
        <w:t> </w:t>
      </w:r>
      <w:r>
        <w:rPr>
          <w:spacing w:val="-84"/>
        </w:rPr>
      </w:r>
      <w:r>
        <w:rPr/>
        <w:t>真实、有效。各位董事能够依据《董事会议事规则》、《独立董事工作制度》、《深圳证券交易所创业板</w:t>
      </w:r>
      <w:r>
        <w:rPr/>
        <w:t> 上市公司规范运作指引》等开展工作，出席董事会和股东大会，勤勉尽责地履行职务和义务。</w:t>
      </w:r>
    </w:p>
    <w:p>
      <w:pPr>
        <w:pStyle w:val="BodyText"/>
        <w:spacing w:line="494" w:lineRule="exact" w:before="4"/>
        <w:ind w:left="574" w:right="277"/>
        <w:jc w:val="left"/>
      </w:pPr>
      <w:r>
        <w:rPr>
          <w:rFonts w:ascii="Times New Roman" w:hAnsi="Times New Roman" w:cs="Times New Roman" w:eastAsia="Times New Roman" w:hint="default"/>
        </w:rPr>
        <w:t>5</w:t>
      </w:r>
      <w:r>
        <w:rPr/>
        <w:t>、监事会制度运行情况 公司监事会由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名。监事会设监事会主席</w:t>
      </w:r>
      <w:r>
        <w:rPr>
          <w:rFonts w:ascii="Times New Roman" w:hAnsi="Times New Roman" w:cs="Times New Roman" w:eastAsia="Times New Roman" w:hint="default"/>
        </w:rPr>
        <w:t>1</w:t>
      </w:r>
      <w:r>
        <w:rPr/>
        <w:t>名。报告期内，公司共召</w:t>
      </w:r>
    </w:p>
    <w:p>
      <w:pPr>
        <w:pStyle w:val="BodyText"/>
        <w:spacing w:line="319" w:lineRule="auto" w:before="30"/>
        <w:ind w:right="172"/>
        <w:jc w:val="left"/>
      </w:pPr>
      <w:r>
        <w:rPr/>
        <w:t>开</w:t>
      </w:r>
      <w:r>
        <w:rPr>
          <w:rFonts w:ascii="Times New Roman" w:hAnsi="Times New Roman" w:cs="Times New Roman" w:eastAsia="Times New Roman" w:hint="default"/>
        </w:rPr>
        <w:t>6</w:t>
      </w:r>
      <w:r>
        <w:rPr/>
        <w:t>次监事会会议，会议均由监事会主席召集和主持，监事会会议的召开、决议内容及签署合法、合规、 真实、有效。各位监事能够按照《监事会议事规则》的要求，认真履行自己的职责，对公司的重大交易、 关联交易、财务状况以及董事、高级管理人员履行职责的合法合规性进行监督。</w:t>
      </w:r>
    </w:p>
    <w:p>
      <w:pPr>
        <w:pStyle w:val="BodyText"/>
        <w:spacing w:line="408" w:lineRule="auto" w:before="150"/>
        <w:ind w:left="574" w:right="0"/>
        <w:jc w:val="left"/>
      </w:pPr>
      <w:r>
        <w:rPr>
          <w:rFonts w:ascii="Times New Roman" w:hAnsi="Times New Roman" w:cs="Times New Roman" w:eastAsia="Times New Roman" w:hint="default"/>
        </w:rPr>
        <w:t>6</w:t>
      </w:r>
      <w:r>
        <w:rPr/>
        <w:t>、内幕信息知情人管理制度运行情况 </w:t>
      </w:r>
      <w:r>
        <w:rPr>
          <w:spacing w:val="-1"/>
        </w:rPr>
        <w:t>报告期内，公司严格按照《内幕信息知情人登记管理制度》相关要求，加强对内幕信息知情人的监督</w:t>
      </w:r>
    </w:p>
    <w:p>
      <w:pPr>
        <w:pStyle w:val="BodyText"/>
        <w:spacing w:line="227" w:lineRule="exact"/>
        <w:ind w:right="0"/>
        <w:jc w:val="left"/>
      </w:pPr>
      <w:r>
        <w:rPr>
          <w:spacing w:val="-7"/>
        </w:rPr>
        <w:t>管理，督促公司内幕信息知情人及时登记，并根据证券监管部门的要求及时报备《内幕信息知情人登记表》。</w:t>
      </w:r>
    </w:p>
    <w:p>
      <w:pPr>
        <w:pStyle w:val="BodyText"/>
        <w:spacing w:line="240" w:lineRule="auto" w:before="99"/>
        <w:ind w:right="0"/>
        <w:jc w:val="left"/>
      </w:pPr>
      <w:r>
        <w:rPr/>
        <w:t>报告期内，公司未发生内幕信息泄露和内幕交易事件。</w:t>
      </w:r>
    </w:p>
    <w:p>
      <w:pPr>
        <w:spacing w:line="240" w:lineRule="auto" w:before="10"/>
        <w:rPr>
          <w:rFonts w:ascii="宋体" w:hAnsi="宋体" w:cs="宋体" w:eastAsia="宋体" w:hint="default"/>
          <w:sz w:val="16"/>
          <w:szCs w:val="16"/>
        </w:rPr>
      </w:pPr>
    </w:p>
    <w:p>
      <w:pPr>
        <w:pStyle w:val="BodyText"/>
        <w:spacing w:line="408" w:lineRule="auto"/>
        <w:ind w:left="574" w:right="172"/>
        <w:jc w:val="left"/>
      </w:pPr>
      <w:r>
        <w:rPr>
          <w:rFonts w:ascii="Times New Roman" w:hAnsi="Times New Roman" w:cs="Times New Roman" w:eastAsia="Times New Roman" w:hint="default"/>
        </w:rPr>
        <w:t>7</w:t>
      </w:r>
      <w:r>
        <w:rPr/>
        <w:t>、信息披露工作情况 公司严格按照《上市公司信息披露管理办法》、《深圳证券交易所创业板上市公司规范运作指引》、</w:t>
      </w:r>
    </w:p>
    <w:p>
      <w:pPr>
        <w:pStyle w:val="BodyText"/>
        <w:spacing w:line="227" w:lineRule="exact"/>
        <w:ind w:right="0"/>
        <w:jc w:val="left"/>
      </w:pPr>
      <w:r>
        <w:rPr/>
        <w:t>公司的《信息披露管理制度》等相关法律、法规和规范性文件的要求，真实、准确、完整、及时、公平地</w:t>
      </w:r>
    </w:p>
    <w:p>
      <w:pPr>
        <w:pStyle w:val="BodyText"/>
        <w:spacing w:line="321" w:lineRule="auto" w:before="99"/>
        <w:ind w:right="211"/>
        <w:jc w:val="both"/>
      </w:pPr>
      <w:r>
        <w:rPr>
          <w:spacing w:val="-1"/>
        </w:rPr>
        <w:t>披露有关信息，指定公司董事会秘书负责信息披露工作，协调公司与投资者的关系，接待股东来访、机构</w:t>
      </w:r>
      <w:r>
        <w:rPr>
          <w:spacing w:val="-86"/>
        </w:rPr>
        <w:t> </w:t>
      </w:r>
      <w:r>
        <w:rPr>
          <w:spacing w:val="-86"/>
        </w:rPr>
      </w:r>
      <w:r>
        <w:rPr>
          <w:spacing w:val="-5"/>
        </w:rPr>
        <w:t>调研，回答投资者的咨询，向投资者提供公司已披露的资料；并指定《证券时报》、《中国证券报》、《证</w:t>
      </w:r>
      <w:r>
        <w:rPr>
          <w:spacing w:val="-103"/>
        </w:rPr>
        <w:t> </w:t>
      </w:r>
      <w:r>
        <w:rPr>
          <w:spacing w:val="-103"/>
        </w:rPr>
      </w:r>
      <w:r>
        <w:rPr>
          <w:spacing w:val="-2"/>
        </w:rPr>
        <w:t>券日报》、《上海证券报》和中国证监会创业板指定信息披露网站（巨潮资讯网</w:t>
      </w:r>
      <w:hyperlink r:id="rId11">
        <w:r>
          <w:rPr>
            <w:rFonts w:ascii="Times New Roman" w:hAnsi="Times New Roman" w:cs="Times New Roman" w:eastAsia="Times New Roman" w:hint="default"/>
            <w:spacing w:val="-2"/>
          </w:rPr>
          <w:t>www.cninfo.com.cn</w:t>
        </w:r>
      </w:hyperlink>
      <w:r>
        <w:rPr>
          <w:spacing w:val="-2"/>
        </w:rPr>
        <w:t>）为公</w:t>
      </w:r>
      <w:r>
        <w:rPr>
          <w:spacing w:val="-75"/>
        </w:rPr>
        <w:t> </w:t>
      </w:r>
      <w:r>
        <w:rPr/>
        <w:t>司定期报告披露的指定报刊和网站，确保公司所有投资者能够平等地获得信息。</w:t>
      </w:r>
    </w:p>
    <w:p>
      <w:pPr>
        <w:pStyle w:val="BodyText"/>
        <w:spacing w:line="408" w:lineRule="auto" w:before="148"/>
        <w:ind w:left="574" w:right="0"/>
        <w:jc w:val="left"/>
      </w:pPr>
      <w:r>
        <w:rPr>
          <w:rFonts w:ascii="Times New Roman" w:hAnsi="Times New Roman" w:cs="Times New Roman" w:eastAsia="Times New Roman" w:hint="default"/>
        </w:rPr>
        <w:t>8</w:t>
      </w:r>
      <w:r>
        <w:rPr/>
        <w:t>、投资者关系管理工作 </w:t>
      </w:r>
      <w:r>
        <w:rPr>
          <w:spacing w:val="-1"/>
        </w:rPr>
        <w:t>公司指定董事会秘书为投资者关系管理工作第一责任人，公司证券部为开展投资者关系工作的日常执</w:t>
      </w:r>
    </w:p>
    <w:p>
      <w:pPr>
        <w:pStyle w:val="BodyText"/>
        <w:spacing w:line="227" w:lineRule="exact"/>
        <w:ind w:right="0"/>
        <w:jc w:val="left"/>
      </w:pPr>
      <w:r>
        <w:rPr/>
        <w:t>行机构。公司开设了投资者互动平台、电话、传真和电子邮箱，由董事会秘书组织有关人员及时回复投资</w:t>
      </w:r>
    </w:p>
    <w:p>
      <w:pPr>
        <w:pStyle w:val="BodyText"/>
        <w:spacing w:line="240" w:lineRule="auto" w:before="99"/>
        <w:ind w:right="0"/>
        <w:jc w:val="left"/>
      </w:pPr>
      <w:r>
        <w:rPr/>
        <w:t>者的询问。</w:t>
      </w:r>
    </w:p>
    <w:p>
      <w:pPr>
        <w:spacing w:line="240" w:lineRule="auto" w:before="10"/>
        <w:rPr>
          <w:rFonts w:ascii="宋体" w:hAnsi="宋体" w:cs="宋体" w:eastAsia="宋体" w:hint="default"/>
          <w:sz w:val="16"/>
          <w:szCs w:val="16"/>
        </w:rPr>
      </w:pPr>
    </w:p>
    <w:p>
      <w:pPr>
        <w:pStyle w:val="BodyText"/>
        <w:spacing w:line="321" w:lineRule="auto"/>
        <w:ind w:right="212"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日，公司在深圳证券信息有限公司提供的网上平台举行了</w:t>
      </w:r>
      <w:r>
        <w:rPr>
          <w:rFonts w:ascii="Times New Roman" w:hAnsi="Times New Roman" w:cs="Times New Roman" w:eastAsia="Times New Roman" w:hint="default"/>
          <w:spacing w:val="-1"/>
        </w:rPr>
        <w:t>2013</w:t>
      </w:r>
      <w:r>
        <w:rPr>
          <w:spacing w:val="-1"/>
        </w:rPr>
        <w:t>年度报告业绩说明会，本次</w:t>
      </w:r>
      <w:r>
        <w:rPr/>
        <w:t> </w:t>
      </w:r>
      <w:r>
        <w:rPr>
          <w:spacing w:val="-1"/>
        </w:rPr>
        <w:t>年度报告业绩说明会采用网络远程方式举行，公司董事长、总经理、常务副总经理、财务总监、董事会秘</w:t>
      </w:r>
      <w:r>
        <w:rPr>
          <w:spacing w:val="-83"/>
        </w:rPr>
        <w:t> </w:t>
      </w:r>
      <w:r>
        <w:rPr>
          <w:spacing w:val="-83"/>
        </w:rPr>
      </w:r>
      <w:r>
        <w:rPr>
          <w:spacing w:val="-1"/>
        </w:rPr>
        <w:t>书、保荐代表人以及独立董事代表出席了本次年度报告业绩说明会，与投资者就公司治理、经营情况、未</w:t>
      </w:r>
      <w:r>
        <w:rPr>
          <w:spacing w:val="-85"/>
        </w:rPr>
        <w:t> </w:t>
      </w:r>
      <w:r>
        <w:rPr>
          <w:spacing w:val="-85"/>
        </w:rPr>
      </w:r>
      <w:r>
        <w:rPr/>
        <w:t>来发展规划等投资者关心的问题进行了深入交流。</w:t>
      </w:r>
    </w:p>
    <w:p>
      <w:pPr>
        <w:pStyle w:val="BodyText"/>
        <w:spacing w:line="321" w:lineRule="auto" w:before="148"/>
        <w:ind w:right="103" w:firstLine="420"/>
        <w:jc w:val="left"/>
      </w:pPr>
      <w:r>
        <w:rPr/>
        <w:t>此外，为满足广大投资者对公司生产经营情况深入了解的需求，公司积极开展投资者实地调研活动。 报告期内，公司接待实地调研、采访等活动共</w:t>
      </w:r>
      <w:r>
        <w:rPr>
          <w:rFonts w:ascii="Times New Roman" w:hAnsi="Times New Roman" w:cs="Times New Roman" w:eastAsia="Times New Roman" w:hint="default"/>
        </w:rPr>
        <w:t>14</w:t>
      </w:r>
      <w:r>
        <w:rPr/>
        <w:t>批，</w:t>
      </w:r>
      <w:r>
        <w:rPr>
          <w:rFonts w:ascii="Times New Roman" w:hAnsi="Times New Roman" w:cs="Times New Roman" w:eastAsia="Times New Roman" w:hint="default"/>
        </w:rPr>
        <w:t>56</w:t>
      </w:r>
      <w:r>
        <w:rPr/>
        <w:t>人次，调研人员主要为机构投资者和分析师。在调 </w:t>
      </w:r>
      <w:r>
        <w:rPr>
          <w:spacing w:val="-3"/>
        </w:rPr>
        <w:t>研活动中，公司严格按照有关法律、法规的要求，对来访调研人员进行登记，并要求调研人员签署承诺书，</w:t>
      </w:r>
      <w:r>
        <w:rPr>
          <w:spacing w:val="-96"/>
        </w:rPr>
        <w:t> </w:t>
      </w:r>
      <w:r>
        <w:rPr>
          <w:spacing w:val="-96"/>
        </w:rPr>
      </w:r>
      <w:r>
        <w:rPr/>
        <w:t>做好调研记录，及时报监管部门备案。</w:t>
      </w:r>
    </w:p>
    <w:p>
      <w:pPr>
        <w:spacing w:after="0" w:line="321" w:lineRule="auto"/>
        <w:jc w:val="left"/>
        <w:sectPr>
          <w:pgSz w:w="11910" w:h="16840"/>
          <w:pgMar w:header="747" w:footer="980" w:top="1060" w:bottom="1180" w:left="980" w:right="920"/>
        </w:sectPr>
      </w:pPr>
    </w:p>
    <w:p>
      <w:pPr>
        <w:spacing w:line="240" w:lineRule="auto" w:before="10"/>
        <w:rPr>
          <w:rFonts w:ascii="宋体" w:hAnsi="宋体" w:cs="宋体" w:eastAsia="宋体" w:hint="default"/>
          <w:sz w:val="24"/>
          <w:szCs w:val="24"/>
        </w:rPr>
      </w:pPr>
    </w:p>
    <w:p>
      <w:pPr>
        <w:pStyle w:val="BodyText"/>
        <w:spacing w:line="240" w:lineRule="auto" w:before="35"/>
        <w:ind w:right="0"/>
        <w:jc w:val="left"/>
      </w:pPr>
      <w:bookmarkStart w:name="五、监事会工作情况" w:id="101"/>
      <w:bookmarkEnd w:id="101"/>
      <w:r>
        <w:rPr/>
      </w:r>
      <w:r>
        <w:rPr/>
        <w:t>公司治理与《公司法》和中国证监会相关规定的要求是否存在差异：</w:t>
      </w:r>
    </w:p>
    <w:p>
      <w:pPr>
        <w:spacing w:line="487" w:lineRule="auto" w:before="76"/>
        <w:ind w:left="154" w:right="33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否 </w:t>
      </w:r>
      <w:bookmarkStart w:name="二、报告期内召开的年度股东大会和临时股东大会的有关情况" w:id="102"/>
      <w:bookmarkEnd w:id="102"/>
      <w:r>
        <w:rPr>
          <w:rFonts w:ascii="宋体" w:hAnsi="宋体" w:cs="宋体" w:eastAsia="宋体" w:hint="default"/>
          <w:sz w:val="21"/>
          <w:szCs w:val="21"/>
        </w:rPr>
      </w:r>
      <w:r>
        <w:rPr>
          <w:rFonts w:ascii="宋体" w:hAnsi="宋体" w:cs="宋体" w:eastAsia="宋体" w:hint="default"/>
          <w:b/>
          <w:bCs/>
          <w:sz w:val="24"/>
          <w:szCs w:val="24"/>
        </w:rPr>
        <w:t>二、报告期内召开的年度股东大会和临时股东大会的有关情况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w:t>
      </w:r>
      <w:bookmarkStart w:name="1、本报告期年度股东大会情况" w:id="103"/>
      <w:bookmarkEnd w:id="103"/>
      <w:r>
        <w:rPr>
          <w:rFonts w:ascii="宋体" w:hAnsi="宋体" w:cs="宋体" w:eastAsia="宋体" w:hint="default"/>
          <w:b/>
          <w:bCs/>
          <w:sz w:val="21"/>
          <w:szCs w:val="21"/>
        </w:rPr>
        <w:t>度股东大</w:t>
      </w:r>
      <w:r>
        <w:rPr>
          <w:rFonts w:ascii="宋体" w:hAnsi="宋体" w:cs="宋体" w:eastAsia="宋体" w:hint="default"/>
          <w:b/>
          <w:bCs/>
          <w:sz w:val="21"/>
          <w:szCs w:val="21"/>
        </w:rPr>
        <w:t>会情况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843"/>
        <w:gridCol w:w="1985"/>
        <w:gridCol w:w="3118"/>
        <w:gridCol w:w="2622"/>
      </w:tblGrid>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03"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1720"/>
        <w:gridCol w:w="2834"/>
        <w:gridCol w:w="262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5" w:right="0"/>
              <w:jc w:val="left"/>
              <w:rPr>
                <w:rFonts w:ascii="宋体" w:hAnsi="宋体" w:cs="宋体" w:eastAsia="宋体" w:hint="default"/>
                <w:sz w:val="18"/>
                <w:szCs w:val="18"/>
              </w:rPr>
            </w:pPr>
            <w:bookmarkStart w:name="2、本报告期临时股东大会情况" w:id="104"/>
            <w:bookmarkEnd w:id="104"/>
            <w:r>
              <w:rPr/>
            </w:r>
            <w:r>
              <w:rPr>
                <w:rFonts w:ascii="宋体" w:hAnsi="宋体" w:cs="宋体" w:eastAsia="宋体" w:hint="default"/>
                <w:sz w:val="18"/>
                <w:szCs w:val="18"/>
              </w:rPr>
              <w:t>召开日期</w:t>
            </w:r>
          </w:p>
        </w:tc>
        <w:tc>
          <w:tcPr>
            <w:tcW w:w="2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1720"/>
        <w:gridCol w:w="2834"/>
        <w:gridCol w:w="262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9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2" w:right="0"/>
              <w:jc w:val="left"/>
              <w:rPr>
                <w:rFonts w:ascii="宋体" w:hAnsi="宋体" w:cs="宋体" w:eastAsia="宋体" w:hint="default"/>
                <w:sz w:val="18"/>
                <w:szCs w:val="18"/>
              </w:rPr>
            </w:pPr>
            <w:bookmarkStart w:name="三、报告期董事会召开情况" w:id="105"/>
            <w:bookmarkEnd w:id="105"/>
            <w:r>
              <w:rPr/>
            </w:r>
            <w:r>
              <w:rPr>
                <w:rFonts w:ascii="宋体" w:hAnsi="宋体" w:cs="宋体" w:eastAsia="宋体" w:hint="default"/>
                <w:sz w:val="18"/>
                <w:szCs w:val="18"/>
              </w:rPr>
              <w:t>会议决议刊登的指定网站查询索引</w:t>
            </w:r>
          </w:p>
        </w:tc>
        <w:tc>
          <w:tcPr>
            <w:tcW w:w="2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第二届董事会第十三次（临 时）会议</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pacing w:val="-5"/>
                <w:sz w:val="18"/>
                <w:szCs w:val="18"/>
              </w:rPr>
              <w:t>第二届董事会第十七次（临时</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会议</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both"/>
        <w:rPr>
          <w:b w:val="0"/>
          <w:bCs w:val="0"/>
        </w:rPr>
      </w:pPr>
      <w:r>
        <w:rPr/>
        <w:t>四、年度报告重大差错责任追究制度的建立与执行情况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74" w:right="0"/>
        <w:jc w:val="left"/>
      </w:pPr>
      <w:r>
        <w:rPr>
          <w:spacing w:val="-8"/>
        </w:rPr>
        <w:t>根据《公司法》、《证券法》、《会计法》、《上市公司信息披露管理办法》、《上市公司治理准则</w:t>
      </w:r>
      <w:bookmarkStart w:name="四、年度报告重大差错责任追究制度的建立与执行情况" w:id="106"/>
      <w:bookmarkEnd w:id="106"/>
      <w:r>
        <w:rPr>
          <w:spacing w:val="-8"/>
        </w:rPr>
        <w:t>》</w:t>
      </w:r>
      <w:r>
        <w:rPr>
          <w:spacing w:val="-8"/>
        </w:rPr>
        <w:t>、</w:t>
      </w:r>
    </w:p>
    <w:p>
      <w:pPr>
        <w:pStyle w:val="BodyText"/>
        <w:spacing w:line="319" w:lineRule="auto" w:before="99"/>
        <w:ind w:right="212"/>
        <w:jc w:val="both"/>
      </w:pPr>
      <w:r>
        <w:rPr>
          <w:spacing w:val="-1"/>
        </w:rPr>
        <w:t>《深圳证券交易所创业板股票上市规则》及《公司章程》等法律法规的相关规定，公司于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06</w:t>
      </w:r>
      <w:r>
        <w:rPr>
          <w:spacing w:val="-1"/>
        </w:rPr>
        <w:t>月</w:t>
      </w:r>
      <w:r>
        <w:rPr>
          <w:rFonts w:ascii="Times New Roman" w:hAnsi="Times New Roman" w:cs="Times New Roman" w:eastAsia="Times New Roman" w:hint="default"/>
          <w:spacing w:val="-1"/>
        </w:rPr>
        <w:t>22</w:t>
      </w:r>
      <w:r>
        <w:rPr>
          <w:spacing w:val="-1"/>
        </w:rPr>
        <w:t>日</w:t>
      </w:r>
      <w:r>
        <w:rPr>
          <w:spacing w:val="-85"/>
        </w:rPr>
        <w:t> </w:t>
      </w:r>
      <w:r>
        <w:rPr>
          <w:spacing w:val="-1"/>
        </w:rPr>
        <w:t>第一届董事会第十二次会议审议制定了《年报信息披露重大差错责任追究制度》。截至本报告期末，公司</w:t>
      </w:r>
      <w:r>
        <w:rPr>
          <w:spacing w:val="-86"/>
        </w:rPr>
        <w:t> </w:t>
      </w:r>
      <w:r>
        <w:rPr>
          <w:spacing w:val="-86"/>
        </w:rPr>
      </w:r>
      <w:r>
        <w:rPr/>
        <w:t>未发生年报信息披露重大差错事件。</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r>
        <w:rPr/>
        <w:t>五、监事会工作情况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both"/>
      </w:pPr>
      <w:r>
        <w:rPr/>
        <w:t>监事会在报告期内的监督活动是否发现公司存在风险</w:t>
      </w:r>
    </w:p>
    <w:p>
      <w:pPr>
        <w:spacing w:line="240" w:lineRule="auto" w:before="6"/>
        <w:rPr>
          <w:rFonts w:ascii="宋体" w:hAnsi="宋体" w:cs="宋体" w:eastAsia="宋体" w:hint="default"/>
          <w:sz w:val="14"/>
          <w:szCs w:val="14"/>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40" w:lineRule="auto" w:before="171"/>
        <w:ind w:left="574" w:right="0"/>
        <w:jc w:val="left"/>
      </w:pPr>
      <w:r>
        <w:rPr/>
        <w:t>公司监事会对报告期内的监督事项无异议。</w:t>
      </w:r>
    </w:p>
    <w:p>
      <w:pPr>
        <w:spacing w:after="0" w:line="240" w:lineRule="auto"/>
        <w:jc w:val="left"/>
        <w:sectPr>
          <w:pgSz w:w="11910" w:h="16840"/>
          <w:pgMar w:header="747" w:footer="980"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54" w:right="93"/>
        <w:jc w:val="center"/>
        <w:rPr>
          <w:b w:val="0"/>
          <w:bCs w:val="0"/>
        </w:rPr>
      </w:pPr>
      <w:bookmarkStart w:name="第九节 财务报告" w:id="107"/>
      <w:bookmarkEnd w:id="107"/>
      <w:r>
        <w:rPr>
          <w:b w:val="0"/>
          <w:bCs w:val="0"/>
        </w:rPr>
      </w:r>
      <w:bookmarkStart w:name="_bookmark8" w:id="108"/>
      <w:bookmarkEnd w:id="108"/>
      <w:r>
        <w:rPr>
          <w:b w:val="0"/>
          <w:bCs w:val="0"/>
        </w:rPr>
      </w:r>
      <w:r>
        <w:rPr/>
        <w:t>第九节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214"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bookmarkStart w:name="一、审计报告" w:id="109"/>
            <w:bookmarkEnd w:id="109"/>
            <w:r>
              <w:rPr/>
            </w: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350ZA0075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周俊超、胡高升</w:t>
            </w:r>
          </w:p>
        </w:tc>
      </w:tr>
    </w:tbl>
    <w:p>
      <w:pPr>
        <w:pStyle w:val="Heading3"/>
        <w:spacing w:line="240" w:lineRule="auto" w:before="1"/>
        <w:ind w:right="95"/>
        <w:jc w:val="center"/>
      </w:pPr>
      <w:r>
        <w:rPr/>
        <w:t>审计报告正文</w:t>
      </w:r>
    </w:p>
    <w:p>
      <w:pPr>
        <w:pStyle w:val="BodyText"/>
        <w:spacing w:line="240" w:lineRule="auto" w:before="60"/>
        <w:ind w:left="6608" w:right="0"/>
        <w:jc w:val="left"/>
      </w:pPr>
      <w:r>
        <w:rPr/>
        <w:t>致同审字（</w:t>
      </w:r>
      <w:r>
        <w:rPr>
          <w:rFonts w:ascii="Times New Roman" w:hAnsi="Times New Roman" w:cs="Times New Roman" w:eastAsia="Times New Roman" w:hint="default"/>
        </w:rPr>
        <w:t>2015</w:t>
      </w:r>
      <w:r>
        <w:rPr/>
        <w:t>）第</w:t>
      </w:r>
      <w:r>
        <w:rPr>
          <w:spacing w:val="-45"/>
        </w:rPr>
        <w:t> </w:t>
      </w:r>
      <w:r>
        <w:rPr>
          <w:rFonts w:ascii="Times New Roman" w:hAnsi="Times New Roman" w:cs="Times New Roman" w:eastAsia="Times New Roman" w:hint="default"/>
        </w:rPr>
        <w:t>350ZA0075</w:t>
      </w:r>
      <w:r>
        <w:rPr>
          <w:rFonts w:ascii="Times New Roman" w:hAnsi="Times New Roman" w:cs="Times New Roman" w:eastAsia="Times New Roman" w:hint="default"/>
          <w:spacing w:val="9"/>
        </w:rPr>
        <w:t> </w:t>
      </w:r>
      <w:r>
        <w:rPr/>
        <w:t>号</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4"/>
        <w:spacing w:line="240" w:lineRule="auto" w:before="35"/>
        <w:ind w:left="214" w:right="0"/>
        <w:jc w:val="left"/>
        <w:rPr>
          <w:b w:val="0"/>
          <w:bCs w:val="0"/>
        </w:rPr>
      </w:pPr>
      <w:r>
        <w:rPr/>
        <w:t>厦门市美亚柏科信息股份有限公司全体股东：</w:t>
      </w:r>
      <w:r>
        <w:rPr>
          <w:b w:val="0"/>
          <w:bCs w:val="0"/>
        </w:rPr>
      </w:r>
    </w:p>
    <w:p>
      <w:pPr>
        <w:spacing w:line="240" w:lineRule="auto" w:before="5"/>
        <w:rPr>
          <w:rFonts w:ascii="宋体" w:hAnsi="宋体" w:cs="宋体" w:eastAsia="宋体" w:hint="default"/>
          <w:b/>
          <w:bCs/>
          <w:sz w:val="14"/>
          <w:szCs w:val="14"/>
        </w:rPr>
      </w:pPr>
    </w:p>
    <w:p>
      <w:pPr>
        <w:pStyle w:val="BodyText"/>
        <w:spacing w:line="309" w:lineRule="auto"/>
        <w:ind w:left="213" w:right="151" w:firstLine="420"/>
        <w:jc w:val="both"/>
      </w:pPr>
      <w:r>
        <w:rPr>
          <w:spacing w:val="-1"/>
        </w:rPr>
        <w:t>我们审计了后附的厦门市美亚柏科信息股份有限公司（以下简称美亚柏科公司）财务报表，包括</w:t>
      </w:r>
      <w:r>
        <w:rPr>
          <w:rFonts w:ascii="Times New Roman" w:hAnsi="Times New Roman" w:cs="Times New Roman" w:eastAsia="Times New Roman" w:hint="default"/>
          <w:spacing w:val="-1"/>
        </w:rPr>
        <w:t>2014</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日的合并及公司资产负债表，</w:t>
      </w:r>
      <w:r>
        <w:rPr>
          <w:rFonts w:ascii="Times New Roman" w:hAnsi="Times New Roman" w:cs="Times New Roman" w:eastAsia="Times New Roman" w:hint="default"/>
          <w:spacing w:val="-1"/>
        </w:rPr>
        <w:t>2014</w:t>
      </w:r>
      <w:r>
        <w:rPr>
          <w:spacing w:val="-1"/>
        </w:rPr>
        <w:t>年度的合并及公司利润表、合并及公司现金流量表、合并及公</w:t>
      </w:r>
      <w:r>
        <w:rPr>
          <w:spacing w:val="-86"/>
        </w:rPr>
        <w:t> </w:t>
      </w:r>
      <w:r>
        <w:rPr>
          <w:spacing w:val="-86"/>
        </w:rPr>
      </w:r>
      <w:r>
        <w:rPr/>
        <w:t>司股东权益变动表以及财务报表附注。</w:t>
      </w:r>
    </w:p>
    <w:p>
      <w:pPr>
        <w:spacing w:line="464" w:lineRule="exact" w:before="37"/>
        <w:ind w:left="633" w:right="218" w:firstLine="6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z w:val="21"/>
          <w:szCs w:val="21"/>
        </w:rPr>
        <w:t>编制和公允列报财务报表是美亚柏科公司管理层的责任，这种责任包括：（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w:t>
      </w:r>
    </w:p>
    <w:p>
      <w:pPr>
        <w:pStyle w:val="BodyText"/>
        <w:spacing w:line="309" w:lineRule="auto" w:before="36"/>
        <w:ind w:left="213" w:right="218"/>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）设计、执行和维护必要的内部控制，以使财务报表不存 在由于舞弊或错误导致的重大错报。</w:t>
      </w:r>
    </w:p>
    <w:p>
      <w:pPr>
        <w:pStyle w:val="BodyText"/>
        <w:spacing w:line="405" w:lineRule="auto" w:before="163"/>
        <w:ind w:left="634" w:right="0" w:firstLine="62"/>
        <w:jc w:val="left"/>
      </w:pPr>
      <w:r>
        <w:rPr>
          <w:rFonts w:ascii="宋体" w:hAnsi="宋体" w:cs="宋体" w:eastAsia="宋体" w:hint="default"/>
          <w:b/>
          <w:bCs/>
        </w:rPr>
        <w:t>二、注册会计师的责任</w:t>
      </w:r>
      <w:r>
        <w:rPr>
          <w:rFonts w:ascii="宋体" w:hAnsi="宋体" w:cs="宋体" w:eastAsia="宋体" w:hint="default"/>
          <w:b/>
          <w:bCs/>
          <w:spacing w:val="1"/>
          <w:w w:val="99"/>
        </w:rPr>
        <w:t> </w:t>
      </w:r>
      <w:r>
        <w:rPr>
          <w:spacing w:val="-1"/>
        </w:rPr>
        <w:t>我们的责任是在执行审计工作的基础上对财务报表发表审计意见。我们按照中国注册会计师审计准则</w:t>
      </w:r>
    </w:p>
    <w:p>
      <w:pPr>
        <w:pStyle w:val="BodyText"/>
        <w:spacing w:line="230" w:lineRule="exact"/>
        <w:ind w:left="214" w:right="0"/>
        <w:jc w:val="left"/>
      </w:pPr>
      <w:r>
        <w:rPr/>
        <w:t>的规定执行了审计工作。中国注册会计师审计准则要求我们遵守中国注册会计师职业道德守则，计划和执</w:t>
      </w:r>
    </w:p>
    <w:p>
      <w:pPr>
        <w:pStyle w:val="BodyText"/>
        <w:spacing w:line="240" w:lineRule="auto" w:before="99"/>
        <w:ind w:left="214" w:right="0"/>
        <w:jc w:val="left"/>
      </w:pPr>
      <w:r>
        <w:rPr/>
        <w:t>行审计工作以对财务报表是否不存在重大错报获取合理保证。</w:t>
      </w:r>
    </w:p>
    <w:p>
      <w:pPr>
        <w:spacing w:line="240" w:lineRule="auto" w:before="10"/>
        <w:rPr>
          <w:rFonts w:ascii="宋体" w:hAnsi="宋体" w:cs="宋体" w:eastAsia="宋体" w:hint="default"/>
          <w:sz w:val="16"/>
          <w:szCs w:val="16"/>
        </w:rPr>
      </w:pPr>
    </w:p>
    <w:p>
      <w:pPr>
        <w:pStyle w:val="BodyText"/>
        <w:spacing w:line="326" w:lineRule="auto"/>
        <w:ind w:left="214" w:right="15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436" w:lineRule="auto" w:before="144"/>
        <w:ind w:left="696" w:right="2003" w:hanging="6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40" w:lineRule="auto" w:before="16"/>
        <w:ind w:left="634" w:right="0"/>
        <w:jc w:val="left"/>
      </w:pPr>
      <w:r>
        <w:rPr/>
        <w:t>我们认为，美亚柏科公司财务报表在所有重大方面按照企业会计准则的规定编制，公允反映了美亚柏</w:t>
      </w:r>
    </w:p>
    <w:p>
      <w:pPr>
        <w:spacing w:after="0" w:line="240" w:lineRule="auto"/>
        <w:jc w:val="left"/>
        <w:sectPr>
          <w:pgSz w:w="11910" w:h="16840"/>
          <w:pgMar w:header="747" w:footer="980" w:top="1060" w:bottom="1180" w:left="920" w:right="980"/>
        </w:sectPr>
      </w:pPr>
    </w:p>
    <w:p>
      <w:pPr>
        <w:spacing w:line="240" w:lineRule="auto" w:before="1"/>
        <w:rPr>
          <w:rFonts w:ascii="宋体" w:hAnsi="宋体" w:cs="宋体" w:eastAsia="宋体" w:hint="default"/>
          <w:sz w:val="27"/>
          <w:szCs w:val="27"/>
        </w:rPr>
      </w:pPr>
    </w:p>
    <w:p>
      <w:pPr>
        <w:pStyle w:val="BodyText"/>
        <w:spacing w:line="309" w:lineRule="auto" w:before="35"/>
        <w:ind w:left="153" w:right="323"/>
        <w:jc w:val="left"/>
      </w:pPr>
      <w:r>
        <w:rPr/>
        <w:t>科公司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2014</w:t>
      </w:r>
      <w:r>
        <w:rPr/>
        <w:t>年度的合并及公司经营成果和合并及公司现金流 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605" w:type="dxa"/>
        <w:tblLayout w:type="fixed"/>
        <w:tblCellMar>
          <w:top w:w="0" w:type="dxa"/>
          <w:left w:w="0" w:type="dxa"/>
          <w:bottom w:w="0" w:type="dxa"/>
          <w:right w:w="0" w:type="dxa"/>
        </w:tblCellMar>
        <w:tblLook w:val="01E0"/>
      </w:tblPr>
      <w:tblGrid>
        <w:gridCol w:w="3406"/>
        <w:gridCol w:w="3031"/>
        <w:gridCol w:w="1030"/>
      </w:tblGrid>
      <w:tr>
        <w:trPr>
          <w:trHeight w:val="2086"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4"/>
                <w:szCs w:val="24"/>
              </w:rPr>
            </w:pPr>
            <w:r>
              <w:rPr>
                <w:rFonts w:ascii="宋体" w:hAnsi="宋体" w:cs="宋体" w:eastAsia="宋体" w:hint="default"/>
                <w:spacing w:val="7"/>
                <w:sz w:val="24"/>
                <w:szCs w:val="24"/>
              </w:rPr>
              <w:t>致同会计师事务所</w:t>
            </w:r>
            <w:r>
              <w:rPr>
                <w:rFonts w:ascii="宋体" w:hAnsi="宋体" w:cs="宋体" w:eastAsia="宋体" w:hint="default"/>
                <w:sz w:val="24"/>
                <w:szCs w:val="24"/>
              </w:rPr>
            </w: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pacing w:val="7"/>
                <w:sz w:val="24"/>
                <w:szCs w:val="24"/>
              </w:rPr>
              <w:t>（特殊普通合伙）</w:t>
            </w:r>
            <w:r>
              <w:rPr>
                <w:rFonts w:ascii="宋体" w:hAnsi="宋体" w:cs="宋体" w:eastAsia="宋体" w:hint="default"/>
                <w:sz w:val="24"/>
                <w:szCs w:val="24"/>
              </w:rPr>
            </w:r>
          </w:p>
        </w:tc>
        <w:tc>
          <w:tcPr>
            <w:tcW w:w="3031" w:type="dxa"/>
            <w:tcBorders>
              <w:top w:val="nil" w:sz="6" w:space="0" w:color="auto"/>
              <w:left w:val="nil" w:sz="6" w:space="0" w:color="auto"/>
              <w:bottom w:val="nil" w:sz="6" w:space="0" w:color="auto"/>
              <w:right w:val="nil" w:sz="6" w:space="0" w:color="auto"/>
            </w:tcBorders>
          </w:tcPr>
          <w:p>
            <w:pPr>
              <w:pStyle w:val="TableParagraph"/>
              <w:spacing w:line="225" w:lineRule="exact"/>
              <w:ind w:left="1243" w:right="0"/>
              <w:jc w:val="left"/>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8"/>
              <w:ind w:left="1243"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c>
          <w:tcPr>
            <w:tcW w:w="1030" w:type="dxa"/>
            <w:tcBorders>
              <w:top w:val="nil" w:sz="6" w:space="0" w:color="auto"/>
              <w:left w:val="nil" w:sz="6" w:space="0" w:color="auto"/>
              <w:bottom w:val="nil" w:sz="6" w:space="0" w:color="auto"/>
              <w:right w:val="nil" w:sz="6" w:space="0" w:color="auto"/>
            </w:tcBorders>
          </w:tcPr>
          <w:p>
            <w:pPr>
              <w:pStyle w:val="TableParagraph"/>
              <w:spacing w:line="225" w:lineRule="exact"/>
              <w:ind w:left="107" w:right="0"/>
              <w:jc w:val="left"/>
              <w:rPr>
                <w:rFonts w:ascii="宋体" w:hAnsi="宋体" w:cs="宋体" w:eastAsia="宋体" w:hint="default"/>
                <w:sz w:val="24"/>
                <w:szCs w:val="24"/>
              </w:rPr>
            </w:pPr>
            <w:r>
              <w:rPr>
                <w:rFonts w:ascii="宋体" w:hAnsi="宋体" w:cs="宋体" w:eastAsia="宋体" w:hint="default"/>
                <w:sz w:val="24"/>
                <w:szCs w:val="24"/>
              </w:rPr>
              <w:t>周俊超</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107" w:right="0"/>
              <w:jc w:val="left"/>
              <w:rPr>
                <w:rFonts w:ascii="宋体" w:hAnsi="宋体" w:cs="宋体" w:eastAsia="宋体" w:hint="default"/>
                <w:sz w:val="24"/>
                <w:szCs w:val="24"/>
              </w:rPr>
            </w:pPr>
            <w:r>
              <w:rPr>
                <w:rFonts w:ascii="宋体" w:hAnsi="宋体" w:cs="宋体" w:eastAsia="宋体" w:hint="default"/>
                <w:sz w:val="24"/>
                <w:szCs w:val="24"/>
              </w:rPr>
              <w:t>胡高升</w:t>
            </w:r>
          </w:p>
        </w:tc>
      </w:tr>
      <w:tr>
        <w:trPr>
          <w:trHeight w:val="662"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Microsoft Sans Serif" w:hAnsi="Microsoft Sans Serif" w:cs="Microsoft Sans Serif" w:eastAsia="Microsoft Sans Serif" w:hint="default"/>
                <w:sz w:val="24"/>
                <w:szCs w:val="24"/>
              </w:rPr>
              <w:t>·</w:t>
            </w:r>
            <w:r>
              <w:rPr>
                <w:rFonts w:ascii="宋体" w:hAnsi="宋体" w:cs="宋体" w:eastAsia="宋体" w:hint="default"/>
                <w:sz w:val="24"/>
                <w:szCs w:val="24"/>
              </w:rPr>
              <w:t>北京</w:t>
            </w:r>
          </w:p>
        </w:tc>
        <w:tc>
          <w:tcPr>
            <w:tcW w:w="40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221" w:right="0"/>
              <w:jc w:val="left"/>
              <w:rPr>
                <w:rFonts w:ascii="宋体" w:hAnsi="宋体" w:cs="宋体" w:eastAsia="宋体" w:hint="default"/>
                <w:sz w:val="24"/>
                <w:szCs w:val="24"/>
              </w:rPr>
            </w:pPr>
            <w:r>
              <w:rPr>
                <w:rFonts w:ascii="宋体" w:hAnsi="宋体" w:cs="宋体" w:eastAsia="宋体" w:hint="default"/>
                <w:sz w:val="24"/>
                <w:szCs w:val="24"/>
              </w:rPr>
              <w:t>二Ｏ一五年三月二十五日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t>二、财务报表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编制单位：厦门市美亚柏科信息股份有限公司</w:t>
      </w:r>
    </w:p>
    <w:p>
      <w:pPr>
        <w:spacing w:before="116"/>
        <w:ind w:left="0" w:right="151" w:firstLine="0"/>
        <w:jc w:val="right"/>
        <w:rPr>
          <w:rFonts w:ascii="宋体" w:hAnsi="宋体" w:cs="宋体" w:eastAsia="宋体" w:hint="default"/>
          <w:sz w:val="18"/>
          <w:szCs w:val="18"/>
        </w:rPr>
      </w:pPr>
      <w:bookmarkStart w:name="二、财务报表" w:id="110"/>
      <w:bookmarkEnd w:id="110"/>
      <w:r>
        <w:rPr/>
      </w:r>
      <w:bookmarkStart w:name="1、合并资产负债表" w:id="111"/>
      <w:bookmarkEnd w:id="111"/>
      <w:r>
        <w:rPr/>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521,675,111.47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390,544,835.41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172,468,410.78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125,143,124.91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7,682,872.00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10,766,227.05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2,134,534.58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1,292,517.61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38,856,979.55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28,482,252.71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185,015,384.88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118,570,260.06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753,399.38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389,745.23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929,586,692.64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675,238,962.98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3,850,530.97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4,624,940.96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9,749,104.35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26,078,363.61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244,151,252.04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231,628,903.65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322,487.67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55,037,614.48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29,788,688.43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2,799,283.36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20,167,263.83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43,856,030.99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43,856,030.99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901,166.11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1,545,504.31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16,312,921.51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4,624,252.87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384,860,391.48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370,193,948.65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1,314,447,084.12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1,045,432,911.63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67,241,518.83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39,361,222.22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131,387,990.19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67,935,758.25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53,043,033.07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39,091,267.21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45,011,195.19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14,070,168.56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18,749,179.89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17,267,273.81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315,432,917.17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177,725,690.05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22,302,918.52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16,542,594.91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22,302,918.52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16,792,594.91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337,735,835.69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194,518,284.96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221,581,600.00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221,813,200.00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389,719,961.64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381,666,980.65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35,686,525.88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24,996,888.89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296,653,550.96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199,392,324.68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943,641,638.48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827,869,394.22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33,069,609.95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23,045,232.45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976,711,248.43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850,914,626.67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1,314,447,084.12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1,045,432,911.63</w:t>
            </w:r>
          </w:p>
        </w:tc>
      </w:tr>
    </w:tbl>
    <w:p>
      <w:pPr>
        <w:spacing w:line="240" w:lineRule="auto" w:before="3"/>
        <w:rPr>
          <w:rFonts w:ascii="Times New Roman" w:hAnsi="Times New Roman" w:cs="Times New Roman" w:eastAsia="Times New Roman" w:hint="default"/>
          <w:sz w:val="23"/>
          <w:szCs w:val="23"/>
        </w:rPr>
      </w:pPr>
    </w:p>
    <w:p>
      <w:pPr>
        <w:tabs>
          <w:tab w:pos="3419" w:val="left" w:leader="none"/>
          <w:tab w:pos="7559" w:val="left" w:leader="none"/>
        </w:tabs>
        <w:spacing w:before="44"/>
        <w:ind w:left="0" w:right="250" w:firstLine="0"/>
        <w:jc w:val="right"/>
        <w:rPr>
          <w:rFonts w:ascii="宋体" w:hAnsi="宋体" w:cs="宋体" w:eastAsia="宋体" w:hint="default"/>
          <w:sz w:val="18"/>
          <w:szCs w:val="18"/>
        </w:rPr>
      </w:pPr>
      <w:r>
        <w:rPr>
          <w:rFonts w:ascii="宋体" w:hAnsi="宋体" w:cs="宋体" w:eastAsia="宋体" w:hint="default"/>
          <w:sz w:val="18"/>
          <w:szCs w:val="18"/>
        </w:rPr>
        <w:t>法定代表人：刘祥南</w:t>
        <w:tab/>
        <w:t>主管会计工作负责人：张乃军</w:t>
        <w:tab/>
        <w:t>会计机构负责人：陈志友</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2、母公司资产负债表" w:id="112"/>
      <w:bookmarkEnd w:id="112"/>
      <w:r>
        <w:rPr/>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463,533,507.17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355,897,364.92</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154,587,916.14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116,516,227.82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5,177,891.76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10,662,589.93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2,134,534.58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1,292,517.61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35,500,974.00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26,255,115.08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169,577,662.03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107,853,932.87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831,512,485.68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618,477,748.23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78,124,762.97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77,642,940.96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26,320,282.23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26,078,363.61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225,921,965.32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230,869,282.79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322,487.67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54,974,101.48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29,755,515.35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2,799,283.36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20,167,263.83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880,423.04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1,545,504.31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14,501,073.55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4,233,240.28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411,724,379.62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398,172,111.13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1,243,236,865.30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1,016,649,859.36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74,220,569.08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51,142,102.13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114,672,273.78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64,418,595.88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44,292,065.33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33,221,274.08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39,717,574.92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9,753,741.71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20,483,691.78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21,500,337.62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293,386,174.89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180,036,051.42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21,962,918.52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16,542,594.91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21,962,918.52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16,792,594.91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315,349,093.41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196,828,646.33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221,581,600.00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221,813,200.00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389,719,961.64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381,666,980.65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35,686,525.88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24,996,888.89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280,899,684.37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191,344,143.49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927,887,771.89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819,821,213.03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1,243,236,865.30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1,016,649,859.36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合并利润表" w:id="113"/>
      <w:bookmarkEnd w:id="113"/>
      <w:r>
        <w:rPr/>
      </w: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506"/>
        <w:gridCol w:w="1996"/>
        <w:gridCol w:w="2054"/>
      </w:tblGrid>
      <w:tr>
        <w:trPr>
          <w:trHeight w:val="403"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603,095,207.02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390,413,350.38</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603,095,207.02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390,413,350.38</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482,766,837.70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348,086,599.04</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218,718,371.68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150,548,711.11</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7,928,642.66</w:t>
            </w:r>
            <w:r>
              <w:rPr>
                <w:rFonts w:ascii="Times New Roman"/>
                <w:sz w:val="18"/>
              </w:rPr>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3,928,863.26</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83,884,737.84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73,017,128.91</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171,753,866.36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117,448,882.90</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-7,328,182.25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-5,752,334.76</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7,809,401.41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8,895,347.62</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543"/>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-4,297,571.35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4,687,590.54</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523"/>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116,030,797.97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47,014,341.88</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22,194,764.81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25,431,911.55</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740,746.61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332,031.29</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256,715.51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40,266.52</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137,484,816.17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72,114,222.14</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14,065,351.40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9,234,094.58</w:t>
            </w:r>
          </w:p>
        </w:tc>
      </w:tr>
      <w:tr>
        <w:trPr>
          <w:trHeight w:val="403"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123,419,464.77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62,880,127.56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506"/>
        <w:gridCol w:w="1996"/>
        <w:gridCol w:w="2054"/>
      </w:tblGrid>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114,602,055.27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56,286,872.37</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8,817,409.50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6,593,255.19</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12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权益法下在被投资单位不能重分类进损益的其他综合收 益中享有的份额</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12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权益法下在被投资单位以后将重分类进损益的其他综合 收益中享有的份额</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996" w:type="dxa"/>
            <w:tcBorders>
              <w:top w:val="single" w:sz="4" w:space="0" w:color="000000"/>
              <w:left w:val="single" w:sz="13" w:space="0" w:color="D4D4D4"/>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123,419,464.77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62,880,127.56</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114,602,055.27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56,286,872.37</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8,817,409.50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6,593,255.19</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99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bl>
    <w:p>
      <w:pPr>
        <w:tabs>
          <w:tab w:pos="3573" w:val="left" w:leader="none"/>
          <w:tab w:pos="7713" w:val="left" w:leader="none"/>
        </w:tabs>
        <w:spacing w:line="592" w:lineRule="auto" w:before="51"/>
        <w:ind w:left="154" w:right="250" w:firstLine="0"/>
        <w:jc w:val="left"/>
        <w:rPr>
          <w:rFonts w:ascii="宋体" w:hAnsi="宋体" w:cs="宋体" w:eastAsia="宋体" w:hint="default"/>
          <w:sz w:val="21"/>
          <w:szCs w:val="21"/>
        </w:rPr>
      </w:pPr>
      <w:bookmarkStart w:name="4、母公司利润表" w:id="114"/>
      <w:bookmarkEnd w:id="114"/>
      <w:r>
        <w:rPr/>
      </w: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法定代表人：刘祥南</w:t>
        <w:tab/>
        <w:t>主管会计工作负责人：张乃军</w:t>
        <w:tab/>
        <w:t>会计机构负责人：陈志友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647"/>
        <w:gridCol w:w="2139"/>
        <w:gridCol w:w="1770"/>
      </w:tblGrid>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555,036,077.42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369,189,517.71</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230,708,138.04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161,584,317.77</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6,456,850.77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3,415,368.35</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69,573,337.39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67,134,142.42</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143,471,379.67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106,305,994.47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647"/>
        <w:gridCol w:w="2139"/>
        <w:gridCol w:w="1770"/>
      </w:tblGrid>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-6,595,774.43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-5,642,585.32</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6,545,299.37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8,388,464.80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-4,297,571.35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3,562,852.21</w:t>
            </w:r>
            <w:r>
              <w:rPr>
                <w:rFonts w:ascii="Times New Roman"/>
                <w:sz w:val="18"/>
              </w:rPr>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100,579,275.26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31,566,667.43</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19,331,962.80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24,356,698.13</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736,706.62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301,514.03</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253,660.77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38,528.10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119,174,531.44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55,621,851.53</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12,278,161.57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7,267,741.24</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106,896,369.87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48,354,110.29</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8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权益法下在被投资单位不能重分类进损益的其他综合收益 中享有的份额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8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权益法下在被投资单位以后将重分类进损益的其他综合收 益中享有的份额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106,896,369.87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48,354,110.29</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13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15"/>
      <w:bookmarkEnd w:id="11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670"/>
        <w:gridCol w:w="2128"/>
        <w:gridCol w:w="1759"/>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647"/>
        <w:gridCol w:w="2139"/>
        <w:gridCol w:w="1770"/>
      </w:tblGrid>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748,040,506.24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484,942,307.52</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17,312,847.46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13,933,963.63</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21,307,279.72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14,381,924.01</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786,660,633.42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513,258,195.16</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325,719,909.71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209,397,082.60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134,432,820.85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124,558,802.33</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59,795,319.58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43,251,090.73</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93,051,425.87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87,059,199.29</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612,999,476.01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464,266,174.95</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173,661,157.41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48,992,020.21</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173,971,537.39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317,770,800.00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4,106,724.63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3,510,865.57</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8,402,123.38</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178,078,262.02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329,683,788.95</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35,548,745.76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22,058,367.45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647"/>
        <w:gridCol w:w="2139"/>
        <w:gridCol w:w="1770"/>
      </w:tblGrid>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271,314,174.63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298,016,800.00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844"/>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4,854,800.00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25,257,138.66</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311,717,720.39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345,332,306.11</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-133,639,458.37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-15,648,517.16</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1,206,968.00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844"/>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1,206,968.00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1,206,968.00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6,461,046.00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16,635,990.00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844"/>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854,430.00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7,315,476.00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16,635,990.00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-6,108,508.00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-16,635,990.00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-29,385.22</w:t>
            </w:r>
            <w:r>
              <w:rPr>
                <w:rFonts w:ascii="Times New Roman"/>
                <w:sz w:val="18"/>
              </w:rPr>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97,276.00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33,883,805.82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16,804,789.05</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212,815,985.41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196,011,196.36</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246,699,791.23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212,815,985.41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母公司现金流量表" w:id="116"/>
      <w:bookmarkEnd w:id="116"/>
      <w:r>
        <w:rPr/>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647"/>
        <w:gridCol w:w="2139"/>
        <w:gridCol w:w="1770"/>
      </w:tblGrid>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658,081,951.87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461,334,518.63</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14,583,772.45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13,376,376.52</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16,178,694.36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13,917,087.94</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688,844,418.68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488,627,983.09</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309,220,478.54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205,692,377.54</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110,003,716.84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113,979,999.29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647"/>
        <w:gridCol w:w="2139"/>
        <w:gridCol w:w="1770"/>
      </w:tblGrid>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44,398,612.96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39,935,131.62</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74,392,471.84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80,794,624.24</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538,015,280.18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440,402,132.69</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150,829,138.50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48,225,850.40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173,971,537.39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317,770,800.00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4,106,724.63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3,510,865.57</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178,078,262.02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329,781,665.57</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34,095,776.17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21,737,228.87</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272,570,406.63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298,016,800.00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4,854,800.00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43,983,600.00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311,520,982.80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363,737,628.87</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-133,442,720.78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-33,955,963.30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39" w:type="dxa"/>
            <w:tcBorders>
              <w:top w:val="single" w:sz="4" w:space="0" w:color="000000"/>
              <w:left w:val="single" w:sz="13" w:space="0" w:color="D4D4D4"/>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6,461,046.00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16,635,990.00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854,430.00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7,315,476.00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16,635,990.00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-7,315,476.00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-16,635,990.00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-19,369.71</w:t>
            </w:r>
            <w:r>
              <w:rPr>
                <w:rFonts w:ascii="Times New Roman"/>
                <w:sz w:val="18"/>
              </w:rPr>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97,274.10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10,051,572.01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-2,268,828.80</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178,957,414.92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181,226,243.72</w:t>
            </w:r>
          </w:p>
        </w:tc>
      </w:tr>
      <w:tr>
        <w:trPr>
          <w:trHeight w:val="402"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3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189,008,986.93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178,957,414.92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bookmarkStart w:name="7、合并所有者权益变动表" w:id="117"/>
      <w:bookmarkEnd w:id="117"/>
      <w:r>
        <w:rPr/>
      </w:r>
      <w:r>
        <w:rPr>
          <w:rFonts w:ascii="宋体" w:hAnsi="宋体" w:cs="宋体" w:eastAsia="宋体" w:hint="default"/>
          <w:sz w:val="18"/>
          <w:szCs w:val="18"/>
        </w:rPr>
        <w:t>本期金额</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4D4D4"/>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4D4D4"/>
          </w:tcPr>
          <w:p>
            <w:pPr/>
          </w:p>
        </w:tc>
        <w:tc>
          <w:tcPr>
            <w:tcW w:w="6820"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5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6820"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5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4D4D4"/>
          </w:tcPr>
          <w:p>
            <w:pPr/>
          </w:p>
        </w:tc>
        <w:tc>
          <w:tcPr>
            <w:tcW w:w="159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4" w:type="dxa"/>
            <w:tcBorders>
              <w:top w:val="single" w:sz="4" w:space="0" w:color="000000"/>
              <w:left w:val="single" w:sz="4" w:space="0" w:color="000000"/>
              <w:bottom w:val="nil" w:sz="6" w:space="0" w:color="auto"/>
              <w:right w:val="single" w:sz="4" w:space="0" w:color="000000"/>
            </w:tcBorders>
            <w:shd w:val="clear" w:color="auto" w:fill="D4D4D4"/>
          </w:tcPr>
          <w:p>
            <w:pPr/>
          </w:p>
        </w:tc>
        <w:tc>
          <w:tcPr>
            <w:tcW w:w="666"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4D4D4"/>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574" w:type="dxa"/>
            <w:vMerge/>
            <w:tcBorders>
              <w:left w:val="single" w:sz="4" w:space="0" w:color="000000"/>
              <w:bottom w:val="nil" w:sz="6" w:space="0" w:color="auto"/>
              <w:right w:val="single" w:sz="4" w:space="0" w:color="000000"/>
            </w:tcBorders>
            <w:shd w:val="clear" w:color="auto" w:fill="D4D4D4"/>
          </w:tcPr>
          <w:p>
            <w:pPr/>
          </w:p>
        </w:tc>
        <w:tc>
          <w:tcPr>
            <w:tcW w:w="1592"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4D4D4"/>
          </w:tcPr>
          <w:p>
            <w:pPr/>
          </w:p>
        </w:tc>
        <w:tc>
          <w:tcPr>
            <w:tcW w:w="5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4" w:type="dxa"/>
            <w:vMerge/>
            <w:tcBorders>
              <w:left w:val="single" w:sz="4" w:space="0" w:color="000000"/>
              <w:right w:val="single" w:sz="4" w:space="0" w:color="000000"/>
            </w:tcBorders>
            <w:shd w:val="clear" w:color="auto" w:fill="D4D4D4"/>
          </w:tcPr>
          <w:p>
            <w:pPr/>
          </w:p>
        </w:tc>
        <w:tc>
          <w:tcPr>
            <w:tcW w:w="666"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r>
      <w:tr>
        <w:trPr>
          <w:trHeight w:val="169" w:hRule="exact"/>
        </w:trPr>
        <w:tc>
          <w:tcPr>
            <w:tcW w:w="1415" w:type="dxa"/>
            <w:vMerge/>
            <w:tcBorders>
              <w:left w:val="single" w:sz="4" w:space="0" w:color="000000"/>
              <w:right w:val="single" w:sz="4" w:space="0" w:color="000000"/>
            </w:tcBorders>
            <w:shd w:val="clear" w:color="auto" w:fill="D4D4D4"/>
          </w:tcPr>
          <w:p>
            <w:pPr/>
          </w:p>
        </w:tc>
        <w:tc>
          <w:tcPr>
            <w:tcW w:w="574"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2"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4" w:type="dxa"/>
            <w:vMerge/>
            <w:tcBorders>
              <w:left w:val="single" w:sz="4" w:space="0" w:color="000000"/>
              <w:right w:val="single" w:sz="4" w:space="0" w:color="000000"/>
            </w:tcBorders>
            <w:shd w:val="clear" w:color="auto" w:fill="D4D4D4"/>
          </w:tcPr>
          <w:p>
            <w:pPr/>
          </w:p>
        </w:tc>
        <w:tc>
          <w:tcPr>
            <w:tcW w:w="666"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r>
      <w:tr>
        <w:trPr>
          <w:trHeight w:val="156" w:hRule="exact"/>
        </w:trPr>
        <w:tc>
          <w:tcPr>
            <w:tcW w:w="1415" w:type="dxa"/>
            <w:vMerge/>
            <w:tcBorders>
              <w:left w:val="single" w:sz="4" w:space="0" w:color="000000"/>
              <w:right w:val="single" w:sz="4" w:space="0" w:color="000000"/>
            </w:tcBorders>
            <w:shd w:val="clear" w:color="auto" w:fill="D4D4D4"/>
          </w:tcPr>
          <w:p>
            <w:pPr/>
          </w:p>
        </w:tc>
        <w:tc>
          <w:tcPr>
            <w:tcW w:w="574"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2"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4" w:type="dxa"/>
            <w:vMerge/>
            <w:tcBorders>
              <w:left w:val="single" w:sz="4" w:space="0" w:color="000000"/>
              <w:bottom w:val="nil" w:sz="6" w:space="0" w:color="auto"/>
              <w:right w:val="single" w:sz="4" w:space="0" w:color="000000"/>
            </w:tcBorders>
            <w:shd w:val="clear" w:color="auto" w:fill="D4D4D4"/>
          </w:tcPr>
          <w:p>
            <w:pPr/>
          </w:p>
        </w:tc>
        <w:tc>
          <w:tcPr>
            <w:tcW w:w="666"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59"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4D4D4"/>
          </w:tcPr>
          <w:p>
            <w:pPr/>
          </w:p>
        </w:tc>
        <w:tc>
          <w:tcPr>
            <w:tcW w:w="574"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2"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4" w:type="dxa"/>
            <w:tcBorders>
              <w:top w:val="nil" w:sz="6" w:space="0" w:color="auto"/>
              <w:left w:val="single" w:sz="4" w:space="0" w:color="000000"/>
              <w:bottom w:val="single" w:sz="4" w:space="0" w:color="000000"/>
              <w:right w:val="single" w:sz="4" w:space="0" w:color="000000"/>
            </w:tcBorders>
            <w:shd w:val="clear" w:color="auto" w:fill="D4D4D4"/>
          </w:tcPr>
          <w:p>
            <w:pPr/>
          </w:p>
        </w:tc>
        <w:tc>
          <w:tcPr>
            <w:tcW w:w="666"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5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4" w:type="dxa"/>
            <w:vMerge w:val="restart"/>
            <w:tcBorders>
              <w:top w:val="single" w:sz="4" w:space="0" w:color="000000"/>
              <w:left w:val="single" w:sz="9" w:space="0" w:color="D4D4D4"/>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221,81</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381,666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,980.65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888.89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199,392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,324.68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232.45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850,914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,626.67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4"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4" w:type="dxa"/>
            <w:vMerge w:val="restart"/>
            <w:tcBorders>
              <w:top w:val="single" w:sz="4" w:space="0" w:color="000000"/>
              <w:left w:val="single" w:sz="9" w:space="0" w:color="D4D4D4"/>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221,81</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381,666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,980.65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888.89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199,392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,324.68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232.45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850,914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,626.67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4"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-231,6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8,052,9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80.99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10,689,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636.99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97,261,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226.28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10,024,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377.50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125,796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,621.76</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114,602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,055.27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8,817,4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09.50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123,419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,464.77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-231,6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8,052,9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80.99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1,206,9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68.00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9,028,3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48.99</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-231,6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-742,95</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1,206,9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68.00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232,418</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2,088,8</w:t>
            </w:r>
          </w:p>
          <w:p>
            <w:pPr>
              <w:pStyle w:val="TableParagraph"/>
              <w:spacing w:line="240" w:lineRule="auto" w:before="105"/>
              <w:ind w:left="208" w:right="0"/>
              <w:jc w:val="center"/>
              <w:rPr>
                <w:rFonts w:ascii="Times New Roman" w:hAnsi="Times New Roman" w:cs="Times New Roman" w:eastAsia="Times New Roman" w:hint="default"/>
                <w:sz w:val="18"/>
                <w:szCs w:val="18"/>
              </w:rPr>
            </w:pPr>
            <w:r>
              <w:rPr>
                <w:rFonts w:ascii="Times New Roman"/>
                <w:sz w:val="18"/>
              </w:rPr>
              <w:t>68.11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2,088,8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68.11</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4" w:type="dxa"/>
            <w:vMerge w:val="restart"/>
            <w:tcBorders>
              <w:top w:val="single" w:sz="4" w:space="0" w:color="000000"/>
              <w:left w:val="single" w:sz="9" w:space="0" w:color="D4D4D4"/>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6,707,0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62.88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6,707,0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62.88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4"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10,689,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-17,340,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-6,651,1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636.99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828.99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92.00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10,689,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636.99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-10,668,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636.99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-6,651,1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-6,651,1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92.00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221,58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389,719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,961.64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35,686,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525.88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296,653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,550.96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33,069,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609.95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976,711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,248.43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4D4D4"/>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4D4D4"/>
          </w:tcPr>
          <w:p>
            <w:pPr/>
          </w:p>
        </w:tc>
        <w:tc>
          <w:tcPr>
            <w:tcW w:w="6821"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4D4D4"/>
          </w:tcPr>
          <w:p>
            <w:pPr/>
          </w:p>
        </w:tc>
        <w:tc>
          <w:tcPr>
            <w:tcW w:w="65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6821" w:type="dxa"/>
            <w:gridSpan w:val="11"/>
            <w:vMerge/>
            <w:tcBorders>
              <w:left w:val="single" w:sz="4" w:space="0" w:color="000000"/>
              <w:bottom w:val="single" w:sz="4" w:space="0" w:color="000000"/>
              <w:right w:val="single" w:sz="4" w:space="0" w:color="000000"/>
            </w:tcBorders>
            <w:shd w:val="clear" w:color="auto" w:fill="D4D4D4"/>
          </w:tcPr>
          <w:p>
            <w:pPr/>
          </w:p>
        </w:tc>
        <w:tc>
          <w:tcPr>
            <w:tcW w:w="652" w:type="dxa"/>
            <w:vMerge/>
            <w:tcBorders>
              <w:left w:val="single" w:sz="4" w:space="0" w:color="000000"/>
              <w:bottom w:val="nil" w:sz="6" w:space="0" w:color="auto"/>
              <w:right w:val="single" w:sz="4" w:space="0" w:color="000000"/>
            </w:tcBorders>
            <w:shd w:val="clear" w:color="auto" w:fill="D4D4D4"/>
          </w:tcPr>
          <w:p>
            <w:pPr/>
          </w:p>
        </w:tc>
        <w:tc>
          <w:tcPr>
            <w:tcW w:w="659"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7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2"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4D4D4"/>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2"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4"/>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8" w:type="dxa"/>
            <w:vMerge/>
            <w:tcBorders>
              <w:left w:val="single" w:sz="4" w:space="0" w:color="000000"/>
              <w:right w:val="single" w:sz="4" w:space="0" w:color="000000"/>
            </w:tcBorders>
            <w:shd w:val="clear" w:color="auto" w:fill="D4D4D4"/>
          </w:tcPr>
          <w:p>
            <w:pPr/>
          </w:p>
        </w:tc>
        <w:tc>
          <w:tcPr>
            <w:tcW w:w="652" w:type="dxa"/>
            <w:vMerge/>
            <w:tcBorders>
              <w:left w:val="single" w:sz="4" w:space="0" w:color="000000"/>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r>
      <w:tr>
        <w:trPr>
          <w:trHeight w:val="169" w:hRule="exact"/>
        </w:trPr>
        <w:tc>
          <w:tcPr>
            <w:tcW w:w="1438"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2"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8" w:type="dxa"/>
            <w:vMerge/>
            <w:tcBorders>
              <w:left w:val="single" w:sz="4" w:space="0" w:color="000000"/>
              <w:right w:val="single" w:sz="4" w:space="0" w:color="000000"/>
            </w:tcBorders>
            <w:shd w:val="clear" w:color="auto" w:fill="D4D4D4"/>
          </w:tcPr>
          <w:p>
            <w:pPr/>
          </w:p>
        </w:tc>
        <w:tc>
          <w:tcPr>
            <w:tcW w:w="652" w:type="dxa"/>
            <w:vMerge/>
            <w:tcBorders>
              <w:left w:val="single" w:sz="4" w:space="0" w:color="000000"/>
              <w:bottom w:val="nil" w:sz="6" w:space="0" w:color="auto"/>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r>
      <w:tr>
        <w:trPr>
          <w:trHeight w:val="156" w:hRule="exact"/>
        </w:trPr>
        <w:tc>
          <w:tcPr>
            <w:tcW w:w="1438"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2"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78" w:type="dxa"/>
            <w:vMerge/>
            <w:tcBorders>
              <w:left w:val="single" w:sz="4" w:space="0" w:color="000000"/>
              <w:bottom w:val="nil" w:sz="6" w:space="0" w:color="auto"/>
              <w:right w:val="single" w:sz="4" w:space="0" w:color="000000"/>
            </w:tcBorders>
            <w:shd w:val="clear" w:color="auto" w:fill="D4D4D4"/>
          </w:tcPr>
          <w:p>
            <w:pPr/>
          </w:p>
        </w:tc>
        <w:tc>
          <w:tcPr>
            <w:tcW w:w="652" w:type="dxa"/>
            <w:vMerge w:val="restart"/>
            <w:tcBorders>
              <w:top w:val="nil" w:sz="6" w:space="0" w:color="auto"/>
              <w:left w:val="single" w:sz="4" w:space="0" w:color="000000"/>
              <w:right w:val="single" w:sz="4" w:space="0" w:color="000000"/>
            </w:tcBorders>
            <w:shd w:val="clear" w:color="auto" w:fill="D4D4D4"/>
          </w:tcPr>
          <w:p>
            <w:pPr/>
          </w:p>
        </w:tc>
        <w:tc>
          <w:tcPr>
            <w:tcW w:w="659"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2"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7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2" w:type="dxa"/>
            <w:vMerge/>
            <w:tcBorders>
              <w:left w:val="single" w:sz="4" w:space="0" w:color="000000"/>
              <w:bottom w:val="single" w:sz="4" w:space="0" w:color="000000"/>
              <w:right w:val="single" w:sz="4" w:space="0" w:color="000000"/>
            </w:tcBorders>
            <w:shd w:val="clear" w:color="auto" w:fill="D4D4D4"/>
          </w:tcPr>
          <w:p>
            <w:pPr/>
          </w:p>
        </w:tc>
        <w:tc>
          <w:tcPr>
            <w:tcW w:w="65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9" w:space="0" w:color="D4D4D4"/>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110,90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6,600.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483,289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,268.09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20,161,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477.86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164,576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,853.34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2,336,1</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63.90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781,270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,363.19</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110,90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6,600.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483,289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,268.09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20,161,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477.86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164,576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,853.34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2,336,1</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63.90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781,270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,363.19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110,90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6,600.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2,287.4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4,835,4</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11.03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34,815,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471.34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20,709,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068.55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69,644,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263.48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56,286,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872.37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6,593,2</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55.19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62,880,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127.56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9,284,3</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12.56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14,115,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813.36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23,400,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125.92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5,503,8</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94.24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5,503,8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94.24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3,780,4</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18.32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14,115,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813.36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17,896,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231.68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4,835,4</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11.03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-21,471,</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401.03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-16,635,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990.00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4,835,4</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11.03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-4,835,4</w:t>
            </w:r>
          </w:p>
          <w:p>
            <w:pPr>
              <w:pStyle w:val="TableParagraph"/>
              <w:spacing w:line="240" w:lineRule="auto" w:before="106"/>
              <w:ind w:left="245" w:right="0"/>
              <w:jc w:val="left"/>
              <w:rPr>
                <w:rFonts w:ascii="Times New Roman" w:hAnsi="Times New Roman" w:cs="Times New Roman" w:eastAsia="Times New Roman" w:hint="default"/>
                <w:sz w:val="18"/>
                <w:szCs w:val="18"/>
              </w:rPr>
            </w:pPr>
            <w:r>
              <w:rPr>
                <w:rFonts w:ascii="Times New Roman"/>
                <w:sz w:val="18"/>
              </w:rPr>
              <w:t>11.03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-16,635,</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990.00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-16,635,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990.00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110,90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6,600.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110,90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6,600.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221,81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381,666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,980.65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888.89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199,392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,324.68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232.45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850,914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,626.67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bookmarkStart w:name="8、母公司所有者权益变动表" w:id="118"/>
      <w:bookmarkEnd w:id="118"/>
      <w:r>
        <w:rPr/>
      </w: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97" w:hRule="exact"/>
        </w:trPr>
        <w:tc>
          <w:tcPr>
            <w:tcW w:w="144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1" w:type="dxa"/>
            <w:vMerge/>
            <w:tcBorders>
              <w:left w:val="single" w:sz="4" w:space="0" w:color="000000"/>
              <w:bottom w:val="nil" w:sz="6" w:space="0" w:color="auto"/>
              <w:right w:val="single" w:sz="4" w:space="0" w:color="000000"/>
            </w:tcBorders>
            <w:shd w:val="clear" w:color="auto" w:fill="D4D4D4"/>
          </w:tcPr>
          <w:p>
            <w:pPr/>
          </w:p>
        </w:tc>
        <w:tc>
          <w:tcPr>
            <w:tcW w:w="69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7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4D4D4"/>
          </w:tcPr>
          <w:p>
            <w:pPr/>
          </w:p>
        </w:tc>
        <w:tc>
          <w:tcPr>
            <w:tcW w:w="781" w:type="dxa"/>
            <w:vMerge/>
            <w:tcBorders>
              <w:left w:val="single" w:sz="4" w:space="0" w:color="000000"/>
              <w:right w:val="single" w:sz="4" w:space="0" w:color="000000"/>
            </w:tcBorders>
            <w:shd w:val="clear" w:color="auto" w:fill="D4D4D4"/>
          </w:tcPr>
          <w:p>
            <w:pPr/>
          </w:p>
        </w:tc>
      </w:tr>
      <w:tr>
        <w:trPr>
          <w:trHeight w:val="202" w:hRule="exact"/>
        </w:trPr>
        <w:tc>
          <w:tcPr>
            <w:tcW w:w="1441" w:type="dxa"/>
            <w:vMerge w:val="restart"/>
            <w:tcBorders>
              <w:top w:val="nil" w:sz="6" w:space="0" w:color="auto"/>
              <w:left w:val="single" w:sz="4" w:space="0" w:color="000000"/>
              <w:right w:val="single" w:sz="4" w:space="0" w:color="000000"/>
            </w:tcBorders>
            <w:shd w:val="clear" w:color="auto" w:fill="D4D4D4"/>
          </w:tcPr>
          <w:p>
            <w:pPr/>
          </w:p>
        </w:tc>
        <w:tc>
          <w:tcPr>
            <w:tcW w:w="691"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798"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6" w:type="dxa"/>
            <w:vMerge/>
            <w:tcBorders>
              <w:left w:val="single" w:sz="4" w:space="0" w:color="000000"/>
              <w:right w:val="single" w:sz="4" w:space="0" w:color="000000"/>
            </w:tcBorders>
            <w:shd w:val="clear" w:color="auto" w:fill="D4D4D4"/>
          </w:tcPr>
          <w:p>
            <w:pPr/>
          </w:p>
        </w:tc>
        <w:tc>
          <w:tcPr>
            <w:tcW w:w="781" w:type="dxa"/>
            <w:vMerge/>
            <w:tcBorders>
              <w:left w:val="single" w:sz="4" w:space="0" w:color="000000"/>
              <w:right w:val="single" w:sz="4" w:space="0" w:color="000000"/>
            </w:tcBorders>
            <w:shd w:val="clear" w:color="auto" w:fill="D4D4D4"/>
          </w:tcPr>
          <w:p>
            <w:pPr/>
          </w:p>
        </w:tc>
      </w:tr>
      <w:tr>
        <w:trPr>
          <w:trHeight w:val="205" w:hRule="exact"/>
        </w:trPr>
        <w:tc>
          <w:tcPr>
            <w:tcW w:w="1441" w:type="dxa"/>
            <w:vMerge/>
            <w:tcBorders>
              <w:left w:val="single" w:sz="4" w:space="0" w:color="000000"/>
              <w:bottom w:val="single" w:sz="4" w:space="0" w:color="000000"/>
              <w:right w:val="single" w:sz="4" w:space="0" w:color="000000"/>
            </w:tcBorders>
            <w:shd w:val="clear" w:color="auto" w:fill="D4D4D4"/>
          </w:tcPr>
          <w:p>
            <w:pPr/>
          </w:p>
        </w:tc>
        <w:tc>
          <w:tcPr>
            <w:tcW w:w="691"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c>
          <w:tcPr>
            <w:tcW w:w="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6" w:type="dxa"/>
            <w:vMerge/>
            <w:tcBorders>
              <w:left w:val="single" w:sz="4" w:space="0" w:color="000000"/>
              <w:bottom w:val="single" w:sz="4" w:space="0" w:color="000000"/>
              <w:right w:val="single" w:sz="4" w:space="0" w:color="000000"/>
            </w:tcBorders>
            <w:shd w:val="clear" w:color="auto" w:fill="D4D4D4"/>
          </w:tcPr>
          <w:p>
            <w:pPr/>
          </w:p>
        </w:tc>
        <w:tc>
          <w:tcPr>
            <w:tcW w:w="781"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41"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221,813,</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200.00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381,666,9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80.65</w:t>
            </w:r>
          </w:p>
        </w:tc>
        <w:tc>
          <w:tcPr>
            <w:tcW w:w="798" w:type="dxa"/>
            <w:vMerge w:val="restart"/>
            <w:tcBorders>
              <w:top w:val="single" w:sz="22" w:space="0" w:color="D4D4D4"/>
              <w:left w:val="single" w:sz="4" w:space="0" w:color="000000"/>
              <w:right w:val="single" w:sz="4" w:space="0" w:color="000000"/>
            </w:tcBorders>
          </w:tcPr>
          <w:p>
            <w:pPr/>
          </w:p>
        </w:tc>
        <w:tc>
          <w:tcPr>
            <w:tcW w:w="798" w:type="dxa"/>
            <w:vMerge w:val="restart"/>
            <w:tcBorders>
              <w:top w:val="single" w:sz="22" w:space="0" w:color="D4D4D4"/>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24,996,88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8.89</w:t>
            </w:r>
          </w:p>
        </w:tc>
        <w:tc>
          <w:tcPr>
            <w:tcW w:w="676" w:type="dxa"/>
            <w:vMerge w:val="restart"/>
            <w:tcBorders>
              <w:top w:val="single" w:sz="22" w:space="0" w:color="D4D4D4"/>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191,344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,143.49</w:t>
            </w:r>
          </w:p>
        </w:tc>
        <w:tc>
          <w:tcPr>
            <w:tcW w:w="781" w:type="dxa"/>
            <w:vMerge w:val="restart"/>
            <w:tcBorders>
              <w:top w:val="single" w:sz="22" w:space="0" w:color="D4D4D4"/>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819,821,2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13.03</w:t>
            </w:r>
          </w:p>
        </w:tc>
      </w:tr>
      <w:tr>
        <w:trPr>
          <w:trHeight w:val="392" w:hRule="exact"/>
        </w:trPr>
        <w:tc>
          <w:tcPr>
            <w:tcW w:w="144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1"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1"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221,813,</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200.00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381,666,9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80.65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24,996,88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191,344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,143.49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819,821,2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13.03</w:t>
            </w:r>
          </w:p>
        </w:tc>
      </w:tr>
      <w:tr>
        <w:trPr>
          <w:trHeight w:val="392" w:hRule="exact"/>
        </w:trPr>
        <w:tc>
          <w:tcPr>
            <w:tcW w:w="144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1"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-231,60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8,052,980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10,689,63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89,555,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540.88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108,066,5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58.86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106,896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,369.87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106,896,3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69.87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-231,60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8,052,980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7,821,380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-231,60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-742,950.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-974,550.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2,088,868</w:t>
            </w:r>
          </w:p>
          <w:p>
            <w:pPr>
              <w:pStyle w:val="TableParagraph"/>
              <w:spacing w:line="240" w:lineRule="auto" w:before="106"/>
              <w:ind w:right="28"/>
              <w:jc w:val="righ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2,088,868</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6,707,062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6,707,062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10,689,63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-17,340,</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828.99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-6,651,19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10,689,63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-10,689,</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636.99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-6,651,1</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92.00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-6,651,19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221,581,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389,719,9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61.64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35,686,52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280,899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,684.37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927,887,7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71.89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29"/>
        <w:gridCol w:w="703"/>
        <w:gridCol w:w="665"/>
        <w:gridCol w:w="665"/>
        <w:gridCol w:w="665"/>
        <w:gridCol w:w="797"/>
        <w:gridCol w:w="798"/>
        <w:gridCol w:w="798"/>
        <w:gridCol w:w="798"/>
        <w:gridCol w:w="797"/>
        <w:gridCol w:w="676"/>
        <w:gridCol w:w="781"/>
      </w:tblGrid>
      <w:tr>
        <w:trPr>
          <w:trHeight w:val="397"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9" w:type="dxa"/>
            <w:vMerge/>
            <w:tcBorders>
              <w:left w:val="single" w:sz="4" w:space="0" w:color="000000"/>
              <w:bottom w:val="nil" w:sz="6" w:space="0" w:color="auto"/>
              <w:right w:val="single" w:sz="4" w:space="0" w:color="000000"/>
            </w:tcBorders>
            <w:shd w:val="clear" w:color="auto" w:fill="D4D4D4"/>
          </w:tcPr>
          <w:p>
            <w:pPr/>
          </w:p>
        </w:tc>
        <w:tc>
          <w:tcPr>
            <w:tcW w:w="70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7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4D4D4"/>
          </w:tcPr>
          <w:p>
            <w:pPr/>
          </w:p>
        </w:tc>
        <w:tc>
          <w:tcPr>
            <w:tcW w:w="781" w:type="dxa"/>
            <w:vMerge/>
            <w:tcBorders>
              <w:left w:val="single" w:sz="4" w:space="0" w:color="000000"/>
              <w:right w:val="single" w:sz="4" w:space="0" w:color="000000"/>
            </w:tcBorders>
            <w:shd w:val="clear" w:color="auto" w:fill="D4D4D4"/>
          </w:tcPr>
          <w:p>
            <w:pPr/>
          </w:p>
        </w:tc>
      </w:tr>
      <w:tr>
        <w:trPr>
          <w:trHeight w:val="199" w:hRule="exact"/>
        </w:trPr>
        <w:tc>
          <w:tcPr>
            <w:tcW w:w="1429" w:type="dxa"/>
            <w:vMerge w:val="restart"/>
            <w:tcBorders>
              <w:top w:val="nil" w:sz="6" w:space="0" w:color="auto"/>
              <w:left w:val="single" w:sz="4" w:space="0" w:color="000000"/>
              <w:right w:val="single" w:sz="4" w:space="0" w:color="000000"/>
            </w:tcBorders>
            <w:shd w:val="clear" w:color="auto" w:fill="D4D4D4"/>
          </w:tcPr>
          <w:p>
            <w:pPr/>
          </w:p>
        </w:tc>
        <w:tc>
          <w:tcPr>
            <w:tcW w:w="703"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798"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6" w:type="dxa"/>
            <w:vMerge/>
            <w:tcBorders>
              <w:left w:val="single" w:sz="4" w:space="0" w:color="000000"/>
              <w:right w:val="single" w:sz="4" w:space="0" w:color="000000"/>
            </w:tcBorders>
            <w:shd w:val="clear" w:color="auto" w:fill="D4D4D4"/>
          </w:tcPr>
          <w:p>
            <w:pPr/>
          </w:p>
        </w:tc>
        <w:tc>
          <w:tcPr>
            <w:tcW w:w="781" w:type="dxa"/>
            <w:vMerge/>
            <w:tcBorders>
              <w:left w:val="single" w:sz="4" w:space="0" w:color="000000"/>
              <w:right w:val="single" w:sz="4" w:space="0" w:color="000000"/>
            </w:tcBorders>
            <w:shd w:val="clear" w:color="auto" w:fill="D4D4D4"/>
          </w:tcPr>
          <w:p>
            <w:pPr/>
          </w:p>
        </w:tc>
      </w:tr>
      <w:tr>
        <w:trPr>
          <w:trHeight w:val="205" w:hRule="exact"/>
        </w:trPr>
        <w:tc>
          <w:tcPr>
            <w:tcW w:w="1429" w:type="dxa"/>
            <w:vMerge/>
            <w:tcBorders>
              <w:left w:val="single" w:sz="4" w:space="0" w:color="000000"/>
              <w:bottom w:val="single" w:sz="4" w:space="0" w:color="000000"/>
              <w:right w:val="single" w:sz="4" w:space="0" w:color="000000"/>
            </w:tcBorders>
            <w:shd w:val="clear" w:color="auto" w:fill="D4D4D4"/>
          </w:tcPr>
          <w:p>
            <w:pPr/>
          </w:p>
        </w:tc>
        <w:tc>
          <w:tcPr>
            <w:tcW w:w="70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c>
          <w:tcPr>
            <w:tcW w:w="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6" w:type="dxa"/>
            <w:vMerge/>
            <w:tcBorders>
              <w:left w:val="single" w:sz="4" w:space="0" w:color="000000"/>
              <w:bottom w:val="single" w:sz="4" w:space="0" w:color="000000"/>
              <w:right w:val="single" w:sz="4" w:space="0" w:color="000000"/>
            </w:tcBorders>
            <w:shd w:val="clear" w:color="auto" w:fill="D4D4D4"/>
          </w:tcPr>
          <w:p>
            <w:pPr/>
          </w:p>
        </w:tc>
        <w:tc>
          <w:tcPr>
            <w:tcW w:w="781" w:type="dxa"/>
            <w:vMerge/>
            <w:tcBorders>
              <w:left w:val="single" w:sz="4" w:space="0" w:color="000000"/>
              <w:bottom w:val="single" w:sz="4" w:space="0" w:color="000000"/>
              <w:right w:val="single" w:sz="4" w:space="0" w:color="000000"/>
            </w:tcBorders>
            <w:shd w:val="clear" w:color="auto" w:fill="D4D4D4"/>
          </w:tcPr>
          <w:p>
            <w:pPr/>
          </w:p>
        </w:tc>
      </w:tr>
      <w:tr>
        <w:trPr>
          <w:trHeight w:val="162"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3" w:type="dxa"/>
            <w:vMerge w:val="restart"/>
            <w:tcBorders>
              <w:top w:val="single" w:sz="4" w:space="0" w:color="000000"/>
              <w:left w:val="single" w:sz="10" w:space="0" w:color="D4D4D4"/>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110,906,</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483,289,2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68.09</w:t>
            </w:r>
          </w:p>
        </w:tc>
        <w:tc>
          <w:tcPr>
            <w:tcW w:w="798" w:type="dxa"/>
            <w:vMerge w:val="restart"/>
            <w:tcBorders>
              <w:top w:val="single" w:sz="22" w:space="0" w:color="D4D4D4"/>
              <w:left w:val="single" w:sz="4" w:space="0" w:color="000000"/>
              <w:right w:val="single" w:sz="4" w:space="0" w:color="000000"/>
            </w:tcBorders>
          </w:tcPr>
          <w:p>
            <w:pPr/>
          </w:p>
        </w:tc>
        <w:tc>
          <w:tcPr>
            <w:tcW w:w="798" w:type="dxa"/>
            <w:vMerge w:val="restart"/>
            <w:tcBorders>
              <w:top w:val="single" w:sz="22" w:space="0" w:color="D4D4D4"/>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20,161,47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7.86</w:t>
            </w:r>
          </w:p>
        </w:tc>
        <w:tc>
          <w:tcPr>
            <w:tcW w:w="676" w:type="dxa"/>
            <w:vMerge w:val="restart"/>
            <w:tcBorders>
              <w:top w:val="single" w:sz="22" w:space="0" w:color="D4D4D4"/>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164,899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,345.48</w:t>
            </w:r>
          </w:p>
        </w:tc>
        <w:tc>
          <w:tcPr>
            <w:tcW w:w="781" w:type="dxa"/>
            <w:vMerge w:val="restart"/>
            <w:tcBorders>
              <w:top w:val="single" w:sz="22" w:space="0" w:color="D4D4D4"/>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779,256,6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91.43</w:t>
            </w:r>
          </w:p>
        </w:tc>
      </w:tr>
      <w:tr>
        <w:trPr>
          <w:trHeight w:val="391" w:hRule="exact"/>
        </w:trPr>
        <w:tc>
          <w:tcPr>
            <w:tcW w:w="14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4D4D4"/>
          </w:tcPr>
          <w:p>
            <w:pPr/>
          </w:p>
        </w:tc>
        <w:tc>
          <w:tcPr>
            <w:tcW w:w="703"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703"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-437,91</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1.25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-437,911.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110,906,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483,289,2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20,161,47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164,461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,434.23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778,818,7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80.18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110,906,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-101,622,</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287.44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4,835,411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26,882,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709.26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41,002,43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2.85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48,354,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110.29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48,354,11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0.29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9,284,312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9,284,312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5,503,894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5,503,894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3,780,418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3,780,418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4,835,411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-21,471,</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401.03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-16,635,9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4,835,411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-4,835,4</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11.03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-16,635,</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990.00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-16,635,9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110,906,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-110,906,</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110,906,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-110,906,</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221,813,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381,666,9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80.65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24,996,88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191,344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,143.49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819,821,2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13.03</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381" w:lineRule="auto"/>
        <w:ind w:left="573" w:right="0" w:hanging="330"/>
        <w:jc w:val="left"/>
      </w:pPr>
      <w:r>
        <w:rPr>
          <w:rFonts w:ascii="Times New Roman" w:hAnsi="Times New Roman" w:cs="Times New Roman" w:eastAsia="Times New Roman" w:hint="default"/>
          <w:b/>
          <w:bCs/>
        </w:rPr>
        <w:t>1</w:t>
      </w:r>
      <w:r>
        <w:rPr>
          <w:rFonts w:ascii="宋体" w:hAnsi="宋体" w:cs="宋体" w:eastAsia="宋体" w:hint="default"/>
          <w:b/>
          <w:bCs/>
        </w:rPr>
        <w:t>、公司概况</w:t>
      </w:r>
      <w:r>
        <w:rPr>
          <w:rFonts w:ascii="宋体" w:hAnsi="宋体" w:cs="宋体" w:eastAsia="宋体" w:hint="default"/>
          <w:b/>
          <w:bCs/>
          <w:w w:val="99"/>
        </w:rPr>
        <w:t> </w:t>
      </w:r>
      <w:r>
        <w:rPr/>
        <w:t>厦门市美亚</w:t>
      </w:r>
      <w:bookmarkStart w:name="三、公司基本情况" w:id="119"/>
      <w:bookmarkEnd w:id="119"/>
      <w:r>
        <w:rPr/>
        <w:t>柏科信</w:t>
      </w:r>
      <w:r>
        <w:rPr/>
        <w:t>息股份有限公司（以下简称“本公司”）成立于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月，经厦门市工商行政管</w:t>
      </w:r>
    </w:p>
    <w:p>
      <w:pPr>
        <w:pStyle w:val="BodyText"/>
        <w:spacing w:line="237" w:lineRule="exact"/>
        <w:ind w:left="153" w:right="0"/>
        <w:jc w:val="left"/>
      </w:pPr>
      <w:r>
        <w:rPr/>
        <w:t>理局核准登记，企业法人营业执照</w:t>
      </w:r>
      <w:r>
        <w:rPr>
          <w:rFonts w:ascii="Times New Roman" w:hAnsi="Times New Roman" w:cs="Times New Roman" w:eastAsia="Times New Roman" w:hint="default"/>
        </w:rPr>
        <w:t>350298200005610</w:t>
      </w:r>
      <w:r>
        <w:rPr/>
        <w:t>号。本公司注册地址：厦门市软件园二期观日路</w:t>
      </w:r>
      <w:r>
        <w:rPr>
          <w:rFonts w:ascii="Times New Roman" w:hAnsi="Times New Roman" w:cs="Times New Roman" w:eastAsia="Times New Roman" w:hint="default"/>
        </w:rPr>
        <w:t>12</w:t>
      </w:r>
      <w:r>
        <w:rPr/>
        <w:t>号</w:t>
      </w:r>
    </w:p>
    <w:p>
      <w:pPr>
        <w:pStyle w:val="BodyText"/>
        <w:spacing w:line="408" w:lineRule="auto" w:before="83"/>
        <w:ind w:left="573" w:right="0" w:hanging="420"/>
        <w:jc w:val="left"/>
      </w:pPr>
      <w:r>
        <w:rPr>
          <w:rFonts w:ascii="Times New Roman" w:hAnsi="Times New Roman" w:cs="Times New Roman" w:eastAsia="Times New Roman" w:hint="default"/>
        </w:rPr>
        <w:t>102-402</w:t>
      </w:r>
      <w:r>
        <w:rPr/>
        <w:t>单元，法定代表人：刘祥南。 </w:t>
      </w:r>
      <w:r>
        <w:rPr>
          <w:spacing w:val="-1"/>
        </w:rPr>
        <w:t>本公司前身为原厦门市美亚柏科资讯科技有限公司，系由滕达和刘祥南出资组建的有限公司。初始注</w:t>
      </w:r>
    </w:p>
    <w:p>
      <w:pPr>
        <w:pStyle w:val="BodyText"/>
        <w:spacing w:line="243" w:lineRule="exact"/>
        <w:ind w:left="153" w:right="0"/>
        <w:jc w:val="left"/>
        <w:rPr>
          <w:rFonts w:ascii="Times New Roman" w:hAnsi="Times New Roman" w:cs="Times New Roman" w:eastAsia="Times New Roman" w:hint="default"/>
        </w:rPr>
      </w:pPr>
      <w:r>
        <w:rPr/>
        <w:t>册资本人民币</w:t>
      </w:r>
      <w:r>
        <w:rPr>
          <w:rFonts w:ascii="Times New Roman" w:hAnsi="Times New Roman" w:cs="Times New Roman" w:eastAsia="Times New Roman" w:hint="default"/>
        </w:rPr>
        <w:t>50</w:t>
      </w:r>
      <w:r>
        <w:rPr/>
        <w:t>万元，经历次增资及股权转让后，本公司注册资本变更为人民币</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p>
    <w:p>
      <w:pPr>
        <w:pStyle w:val="BodyText"/>
        <w:spacing w:line="240" w:lineRule="auto" w:before="83"/>
        <w:ind w:left="153" w:right="0"/>
        <w:jc w:val="left"/>
      </w:pPr>
      <w:r>
        <w:rPr/>
        <w:t>日，本公司整体变更为股份有限公司，注册资本变更为</w:t>
      </w:r>
      <w:r>
        <w:rPr>
          <w:rFonts w:ascii="Times New Roman" w:hAnsi="Times New Roman" w:cs="Times New Roman" w:eastAsia="Times New Roman" w:hint="default"/>
        </w:rPr>
        <w:t>4000</w:t>
      </w:r>
      <w:r>
        <w:rPr/>
        <w:t>万元。</w:t>
      </w:r>
    </w:p>
    <w:p>
      <w:pPr>
        <w:spacing w:line="240" w:lineRule="auto" w:before="7"/>
        <w:rPr>
          <w:rFonts w:ascii="宋体" w:hAnsi="宋体" w:cs="宋体" w:eastAsia="宋体" w:hint="default"/>
          <w:sz w:val="15"/>
          <w:szCs w:val="15"/>
        </w:rPr>
      </w:pPr>
    </w:p>
    <w:p>
      <w:pPr>
        <w:pStyle w:val="BodyText"/>
        <w:spacing w:line="309" w:lineRule="auto"/>
        <w:ind w:right="127" w:firstLine="419"/>
        <w:jc w:val="both"/>
      </w:pPr>
      <w:r>
        <w:rPr/>
        <w:t>根据本公司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日股东会决议，同意将公司整体变更为股份有限公司，公司更名为现名。根 </w:t>
      </w:r>
      <w:r>
        <w:rPr>
          <w:spacing w:val="-1"/>
        </w:rPr>
        <w:t>据本公司发起人协议、创立大会决议及修改后公司章程的规定：以本公司原全体股东作为发起人，以</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年</w:t>
      </w:r>
      <w:r>
        <w:rPr>
          <w:spacing w:val="-80"/>
        </w:rPr>
        <w:t> </w:t>
      </w:r>
      <w:r>
        <w:rPr>
          <w:rFonts w:ascii="Times New Roman" w:hAnsi="Times New Roman" w:cs="Times New Roman" w:eastAsia="Times New Roman" w:hint="default"/>
        </w:rPr>
        <w:t>8</w:t>
      </w:r>
      <w:r>
        <w:rPr>
          <w:rFonts w:ascii="Times New Roman" w:hAnsi="Times New Roman" w:cs="Times New Roman" w:eastAsia="Times New Roman" w:hint="default"/>
          <w:spacing w:val="-27"/>
        </w:rPr>
        <w:t> </w:t>
      </w:r>
      <w:r>
        <w:rPr/>
        <w:t>月</w:t>
      </w:r>
      <w:r>
        <w:rPr>
          <w:spacing w:val="-80"/>
        </w:rPr>
        <w:t> </w:t>
      </w:r>
      <w:r>
        <w:rPr>
          <w:rFonts w:ascii="Times New Roman" w:hAnsi="Times New Roman" w:cs="Times New Roman" w:eastAsia="Times New Roman" w:hint="default"/>
        </w:rPr>
        <w:t>31</w:t>
      </w:r>
      <w:r>
        <w:rPr>
          <w:rFonts w:ascii="Times New Roman" w:hAnsi="Times New Roman" w:cs="Times New Roman" w:eastAsia="Times New Roman" w:hint="default"/>
          <w:spacing w:val="-27"/>
        </w:rPr>
        <w:t> </w:t>
      </w:r>
      <w:r>
        <w:rPr/>
        <w:t>日</w:t>
      </w:r>
      <w:r>
        <w:rPr>
          <w:spacing w:val="-79"/>
        </w:rPr>
        <w:t> </w:t>
      </w:r>
      <w:r>
        <w:rPr>
          <w:spacing w:val="16"/>
        </w:rPr>
        <w:t>为改制</w:t>
      </w:r>
      <w:r>
        <w:rPr>
          <w:spacing w:val="-79"/>
        </w:rPr>
        <w:t> </w:t>
      </w:r>
      <w:r>
        <w:rPr>
          <w:spacing w:val="12"/>
        </w:rPr>
        <w:t>变更</w:t>
      </w:r>
      <w:r>
        <w:rPr>
          <w:spacing w:val="-79"/>
        </w:rPr>
        <w:t> </w:t>
      </w:r>
      <w:r>
        <w:rPr>
          <w:spacing w:val="16"/>
        </w:rPr>
        <w:t>基准日</w:t>
      </w:r>
      <w:r>
        <w:rPr>
          <w:spacing w:val="-79"/>
        </w:rPr>
        <w:t> </w:t>
      </w:r>
      <w:r>
        <w:rPr>
          <w:spacing w:val="12"/>
        </w:rPr>
        <w:t>，全</w:t>
      </w:r>
      <w:r>
        <w:rPr>
          <w:spacing w:val="-79"/>
        </w:rPr>
        <w:t> </w:t>
      </w:r>
      <w:r>
        <w:rPr>
          <w:spacing w:val="16"/>
        </w:rPr>
        <w:t>体股东</w:t>
      </w:r>
      <w:r>
        <w:rPr>
          <w:spacing w:val="-79"/>
        </w:rPr>
        <w:t> </w:t>
      </w:r>
      <w:r>
        <w:rPr>
          <w:spacing w:val="12"/>
        </w:rPr>
        <w:t>同意</w:t>
      </w:r>
      <w:r>
        <w:rPr>
          <w:spacing w:val="-79"/>
        </w:rPr>
        <w:t> </w:t>
      </w:r>
      <w:r>
        <w:rPr>
          <w:spacing w:val="16"/>
        </w:rPr>
        <w:t>以本公</w:t>
      </w:r>
      <w:r>
        <w:rPr>
          <w:spacing w:val="-79"/>
        </w:rPr>
        <w:t> </w:t>
      </w:r>
      <w:r>
        <w:rPr>
          <w:spacing w:val="12"/>
        </w:rPr>
        <w:t>司截</w:t>
      </w:r>
      <w:r>
        <w:rPr>
          <w:spacing w:val="-79"/>
        </w:rPr>
        <w:t> </w:t>
      </w:r>
      <w:r>
        <w:rPr/>
        <w:t>止</w:t>
      </w:r>
      <w:r>
        <w:rPr>
          <w:spacing w:val="-8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8"/>
        </w:rPr>
        <w:t> </w:t>
      </w:r>
      <w:r>
        <w:rPr/>
        <w:t>年</w:t>
      </w:r>
      <w:r>
        <w:rPr>
          <w:spacing w:val="-80"/>
        </w:rPr>
        <w:t> </w:t>
      </w:r>
      <w:r>
        <w:rPr>
          <w:rFonts w:ascii="Times New Roman" w:hAnsi="Times New Roman" w:cs="Times New Roman" w:eastAsia="Times New Roman" w:hint="default"/>
        </w:rPr>
        <w:t>8</w:t>
      </w:r>
      <w:r>
        <w:rPr>
          <w:rFonts w:ascii="Times New Roman" w:hAnsi="Times New Roman" w:cs="Times New Roman" w:eastAsia="Times New Roman" w:hint="default"/>
          <w:spacing w:val="-28"/>
        </w:rPr>
        <w:t> </w:t>
      </w:r>
      <w:r>
        <w:rPr/>
        <w:t>月</w:t>
      </w:r>
      <w:r>
        <w:rPr>
          <w:spacing w:val="-80"/>
        </w:rPr>
        <w:t> </w:t>
      </w:r>
      <w:r>
        <w:rPr>
          <w:rFonts w:ascii="Times New Roman" w:hAnsi="Times New Roman" w:cs="Times New Roman" w:eastAsia="Times New Roman" w:hint="default"/>
        </w:rPr>
        <w:t>31</w:t>
      </w:r>
      <w:r>
        <w:rPr>
          <w:rFonts w:ascii="Times New Roman" w:hAnsi="Times New Roman" w:cs="Times New Roman" w:eastAsia="Times New Roman" w:hint="default"/>
          <w:spacing w:val="-27"/>
        </w:rPr>
        <w:t> </w:t>
      </w:r>
      <w:r>
        <w:rPr>
          <w:spacing w:val="16"/>
        </w:rPr>
        <w:t>日经审</w:t>
      </w:r>
      <w:r>
        <w:rPr>
          <w:spacing w:val="-79"/>
        </w:rPr>
        <w:t> </w:t>
      </w:r>
      <w:r>
        <w:rPr>
          <w:spacing w:val="16"/>
        </w:rPr>
        <w:t>计的净</w:t>
      </w:r>
      <w:r>
        <w:rPr>
          <w:spacing w:val="-79"/>
        </w:rPr>
        <w:t> </w:t>
      </w:r>
      <w:r>
        <w:rPr>
          <w:spacing w:val="12"/>
        </w:rPr>
        <w:t>资产</w:t>
      </w:r>
      <w:r>
        <w:rPr>
          <w:spacing w:val="-79"/>
        </w:rPr>
        <w:t> </w:t>
      </w:r>
      <w:r>
        <w:rPr>
          <w:spacing w:val="12"/>
        </w:rPr>
        <w:t>中的</w:t>
      </w:r>
      <w:r>
        <w:rPr>
          <w:spacing w:val="-80"/>
        </w:rPr>
        <w:t> </w:t>
      </w:r>
      <w:r>
        <w:rPr>
          <w:rFonts w:ascii="Times New Roman" w:hAnsi="Times New Roman" w:cs="Times New Roman" w:eastAsia="Times New Roman" w:hint="default"/>
        </w:rPr>
        <w:t>40,000,000.00</w:t>
      </w:r>
      <w:r>
        <w:rPr/>
        <w:t>元折为股份公司的总股本</w:t>
      </w:r>
      <w:r>
        <w:rPr>
          <w:rFonts w:ascii="Times New Roman" w:hAnsi="Times New Roman" w:cs="Times New Roman" w:eastAsia="Times New Roman" w:hint="default"/>
        </w:rPr>
        <w:t>4,000</w:t>
      </w:r>
      <w:r>
        <w:rPr/>
        <w:t>万股，每股面值为人民币</w:t>
      </w:r>
      <w:r>
        <w:rPr>
          <w:rFonts w:ascii="Times New Roman" w:hAnsi="Times New Roman" w:cs="Times New Roman" w:eastAsia="Times New Roman" w:hint="default"/>
        </w:rPr>
        <w:t>1</w:t>
      </w:r>
      <w:r>
        <w:rPr/>
        <w:t>元，各发起人按变更前所持有的股</w:t>
      </w:r>
      <w:r>
        <w:rPr>
          <w:spacing w:val="-41"/>
        </w:rPr>
        <w:t> </w:t>
      </w:r>
      <w:r>
        <w:rPr>
          <w:spacing w:val="-41"/>
        </w:rPr>
      </w:r>
      <w:r>
        <w:rPr>
          <w:spacing w:val="-5"/>
        </w:rPr>
        <w:t>权比例认购本公司的股份，变更前后各股东出资比例不变，超出股本部分作为公司资本公积。本公司于</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日取得厦门市工商行政管理局颁发的变更后营业执照，注册资本为</w:t>
      </w:r>
      <w:r>
        <w:rPr>
          <w:rFonts w:ascii="Times New Roman" w:hAnsi="Times New Roman" w:cs="Times New Roman" w:eastAsia="Times New Roman" w:hint="default"/>
        </w:rPr>
        <w:t>4,000</w:t>
      </w:r>
      <w:r>
        <w:rPr/>
        <w:t>万元。</w:t>
      </w:r>
    </w:p>
    <w:p>
      <w:pPr>
        <w:pStyle w:val="BodyText"/>
        <w:spacing w:line="314" w:lineRule="auto" w:before="136"/>
        <w:ind w:right="148" w:firstLine="420"/>
        <w:jc w:val="both"/>
      </w:pPr>
      <w:r>
        <w:rPr>
          <w:spacing w:val="-2"/>
        </w:rPr>
        <w:t>根据本公司股东大会决议，并经中国证券监督管理委员会“证监许可</w:t>
      </w:r>
      <w:r>
        <w:rPr>
          <w:rFonts w:ascii="Times New Roman" w:hAnsi="Times New Roman" w:cs="Times New Roman" w:eastAsia="Times New Roman" w:hint="default"/>
          <w:spacing w:val="-2"/>
        </w:rPr>
        <w:t>[2011]263</w:t>
      </w:r>
      <w:r>
        <w:rPr>
          <w:spacing w:val="-2"/>
        </w:rPr>
        <w:t>号”文《关于核准厦门</w:t>
      </w:r>
      <w:r>
        <w:rPr/>
        <w:t> </w:t>
      </w:r>
      <w:r>
        <w:rPr>
          <w:spacing w:val="-1"/>
        </w:rPr>
        <w:t>市美亚柏科信息股份有限公司首次公开发行股票并在创业板上市的批复》核准，本公司申请首次向社会公</w:t>
      </w:r>
      <w:r>
        <w:rPr>
          <w:spacing w:val="-81"/>
        </w:rPr>
        <w:t> </w:t>
      </w:r>
      <w:r>
        <w:rPr>
          <w:spacing w:val="-81"/>
        </w:rPr>
      </w:r>
      <w:r>
        <w:rPr>
          <w:spacing w:val="-4"/>
        </w:rPr>
        <w:t>开发行人民币普通股（</w:t>
      </w:r>
      <w:r>
        <w:rPr>
          <w:rFonts w:ascii="Times New Roman" w:hAnsi="Times New Roman" w:cs="Times New Roman" w:eastAsia="Times New Roman" w:hint="default"/>
          <w:spacing w:val="-4"/>
        </w:rPr>
        <w:t>A</w:t>
      </w:r>
      <w:r>
        <w:rPr>
          <w:spacing w:val="-4"/>
        </w:rPr>
        <w:t>股）</w:t>
      </w:r>
      <w:r>
        <w:rPr>
          <w:rFonts w:ascii="Times New Roman" w:hAnsi="Times New Roman" w:cs="Times New Roman" w:eastAsia="Times New Roman" w:hint="default"/>
          <w:spacing w:val="-4"/>
        </w:rPr>
        <w:t>1,350</w:t>
      </w:r>
      <w:r>
        <w:rPr>
          <w:spacing w:val="-4"/>
        </w:rPr>
        <w:t>万股，每股面值</w:t>
      </w:r>
      <w:r>
        <w:rPr>
          <w:rFonts w:ascii="Times New Roman" w:hAnsi="Times New Roman" w:cs="Times New Roman" w:eastAsia="Times New Roman" w:hint="default"/>
          <w:spacing w:val="-4"/>
        </w:rPr>
        <w:t>1</w:t>
      </w:r>
      <w:r>
        <w:rPr>
          <w:spacing w:val="-4"/>
        </w:rPr>
        <w:t>元，实际发行价格</w:t>
      </w:r>
      <w:r>
        <w:rPr>
          <w:rFonts w:ascii="Times New Roman" w:hAnsi="Times New Roman" w:cs="Times New Roman" w:eastAsia="Times New Roman" w:hint="default"/>
          <w:spacing w:val="-4"/>
        </w:rPr>
        <w:t>40</w:t>
      </w:r>
      <w:r>
        <w:rPr>
          <w:spacing w:val="-4"/>
        </w:rPr>
        <w:t>元</w:t>
      </w:r>
      <w:r>
        <w:rPr>
          <w:rFonts w:ascii="Times New Roman" w:hAnsi="Times New Roman" w:cs="Times New Roman" w:eastAsia="Times New Roman" w:hint="default"/>
          <w:spacing w:val="-4"/>
        </w:rPr>
        <w:t>/</w:t>
      </w:r>
      <w:r>
        <w:rPr>
          <w:spacing w:val="-4"/>
        </w:rPr>
        <w:t>股，发行后本公司注册资本（股</w:t>
      </w:r>
      <w:r>
        <w:rPr>
          <w:spacing w:val="-88"/>
        </w:rPr>
        <w:t> </w:t>
      </w:r>
      <w:r>
        <w:rPr>
          <w:spacing w:val="-88"/>
        </w:rPr>
      </w:r>
      <w:r>
        <w:rPr/>
        <w:t>本）变更为</w:t>
      </w:r>
      <w:r>
        <w:rPr>
          <w:rFonts w:ascii="Times New Roman" w:hAnsi="Times New Roman" w:cs="Times New Roman" w:eastAsia="Times New Roman" w:hint="default"/>
        </w:rPr>
        <w:t>5,350</w:t>
      </w:r>
      <w:r>
        <w:rPr/>
        <w:t>万元。本公司</w:t>
      </w:r>
      <w:r>
        <w:rPr>
          <w:rFonts w:ascii="Times New Roman" w:hAnsi="Times New Roman" w:cs="Times New Roman" w:eastAsia="Times New Roman" w:hint="default"/>
        </w:rPr>
        <w:t>A</w:t>
      </w:r>
      <w:r>
        <w:rPr/>
        <w:t>股股票自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日起在深圳证券交易所创业板上市交易，证券简称</w:t>
      </w:r>
      <w:r>
        <w:rPr>
          <w:spacing w:val="-32"/>
        </w:rPr>
        <w:t> </w:t>
      </w:r>
      <w:r>
        <w:rPr>
          <w:spacing w:val="-32"/>
        </w:rPr>
      </w:r>
      <w:r>
        <w:rPr/>
        <w:t>为“美亚柏科”，证券代码为“</w:t>
      </w:r>
      <w:r>
        <w:rPr>
          <w:rFonts w:ascii="Times New Roman" w:hAnsi="Times New Roman" w:cs="Times New Roman" w:eastAsia="Times New Roman" w:hint="default"/>
        </w:rPr>
        <w:t>300188</w:t>
      </w:r>
      <w:r>
        <w:rPr/>
        <w:t>”。</w:t>
      </w:r>
    </w:p>
    <w:p>
      <w:pPr>
        <w:pStyle w:val="BodyText"/>
        <w:spacing w:line="309" w:lineRule="auto" w:before="131"/>
        <w:ind w:left="153" w:right="150" w:firstLine="420"/>
        <w:jc w:val="both"/>
      </w:pP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日本公司召开的</w:t>
      </w:r>
      <w:r>
        <w:rPr>
          <w:rFonts w:ascii="Times New Roman" w:hAnsi="Times New Roman" w:cs="Times New Roman" w:eastAsia="Times New Roman" w:hint="default"/>
        </w:rPr>
        <w:t>2011</w:t>
      </w:r>
      <w:r>
        <w:rPr/>
        <w:t>年度股东大会审议通过</w:t>
      </w:r>
      <w:r>
        <w:rPr>
          <w:rFonts w:ascii="Times New Roman" w:hAnsi="Times New Roman" w:cs="Times New Roman" w:eastAsia="Times New Roman" w:hint="default"/>
        </w:rPr>
        <w:t>2011</w:t>
      </w:r>
      <w:r>
        <w:rPr/>
        <w:t>年度利润分配方案，以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 </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5,350</w:t>
      </w:r>
      <w:r>
        <w:rPr>
          <w:spacing w:val="-1"/>
        </w:rPr>
        <w:t>万股为基数，以资本公积金每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股，共计转增</w:t>
      </w:r>
      <w:r>
        <w:rPr>
          <w:rFonts w:ascii="Times New Roman" w:hAnsi="Times New Roman" w:cs="Times New Roman" w:eastAsia="Times New Roman" w:hint="default"/>
          <w:spacing w:val="-1"/>
        </w:rPr>
        <w:t>5,350</w:t>
      </w:r>
      <w:r>
        <w:rPr>
          <w:spacing w:val="-1"/>
        </w:rPr>
        <w:t>万股。根据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日本</w:t>
      </w:r>
      <w:r>
        <w:rPr>
          <w:spacing w:val="-87"/>
        </w:rPr>
        <w:t> </w:t>
      </w:r>
      <w:r>
        <w:rPr/>
        <w:t>公司召开的</w:t>
      </w:r>
      <w:r>
        <w:rPr>
          <w:rFonts w:ascii="Times New Roman" w:hAnsi="Times New Roman" w:cs="Times New Roman" w:eastAsia="Times New Roman" w:hint="default"/>
        </w:rPr>
        <w:t>2012 </w:t>
      </w:r>
      <w:r>
        <w:rPr/>
        <w:t>年第一次临时股东大会决议、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日第一届董事会第二十一次会议决议和修改后</w:t>
      </w:r>
      <w:r>
        <w:rPr>
          <w:spacing w:val="-91"/>
        </w:rPr>
        <w:t> </w:t>
      </w:r>
      <w:r>
        <w:rPr>
          <w:spacing w:val="-91"/>
        </w:rPr>
      </w:r>
      <w:r>
        <w:rPr/>
        <w:t>的章程规定，本公司以定向增发方式向</w:t>
      </w:r>
      <w:r>
        <w:rPr>
          <w:rFonts w:ascii="Times New Roman" w:hAnsi="Times New Roman" w:cs="Times New Roman" w:eastAsia="Times New Roman" w:hint="default"/>
        </w:rPr>
        <w:t>201</w:t>
      </w:r>
      <w:r>
        <w:rPr/>
        <w:t>名激励对象授予限制性人民币普通股（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spacing w:val="-5"/>
        </w:rPr>
        <w:t>股）</w:t>
      </w:r>
      <w:r>
        <w:rPr>
          <w:rFonts w:ascii="Times New Roman" w:hAnsi="Times New Roman" w:cs="Times New Roman" w:eastAsia="Times New Roman" w:hint="default"/>
          <w:spacing w:val="-5"/>
        </w:rPr>
        <w:t>390.66</w:t>
      </w:r>
      <w:r>
        <w:rPr>
          <w:spacing w:val="-5"/>
        </w:rPr>
        <w:t>万股，每股</w:t>
      </w:r>
      <w:r>
        <w:rPr/>
        <w:t> 面值</w:t>
      </w:r>
      <w:r>
        <w:rPr>
          <w:rFonts w:ascii="Times New Roman" w:hAnsi="Times New Roman" w:cs="Times New Roman" w:eastAsia="Times New Roman" w:hint="default"/>
        </w:rPr>
        <w:t>1</w:t>
      </w:r>
      <w:r>
        <w:rPr/>
        <w:t>元，发行价格每股</w:t>
      </w:r>
      <w:r>
        <w:rPr>
          <w:rFonts w:ascii="Times New Roman" w:hAnsi="Times New Roman" w:cs="Times New Roman" w:eastAsia="Times New Roman" w:hint="default"/>
        </w:rPr>
        <w:t>8.58</w:t>
      </w:r>
      <w:r>
        <w:rPr/>
        <w:t>元</w:t>
      </w:r>
      <w:r>
        <w:rPr>
          <w:rFonts w:ascii="Times New Roman" w:hAnsi="Times New Roman" w:cs="Times New Roman" w:eastAsia="Times New Roman" w:hint="default"/>
        </w:rPr>
        <w:t>/</w:t>
      </w:r>
      <w:r>
        <w:rPr/>
        <w:t>股，募集资金总额</w:t>
      </w:r>
      <w:r>
        <w:rPr>
          <w:rFonts w:ascii="Times New Roman" w:hAnsi="Times New Roman" w:cs="Times New Roman" w:eastAsia="Times New Roman" w:hint="default"/>
        </w:rPr>
        <w:t>33,518,628.00 </w:t>
      </w:r>
      <w:r>
        <w:rPr/>
        <w:t>元，其中计入股本</w:t>
      </w:r>
      <w:r>
        <w:rPr>
          <w:rFonts w:ascii="Times New Roman" w:hAnsi="Times New Roman" w:cs="Times New Roman" w:eastAsia="Times New Roman" w:hint="default"/>
        </w:rPr>
        <w:t>3,906,600.00</w:t>
      </w:r>
      <w:r>
        <w:rPr>
          <w:rFonts w:ascii="Times New Roman" w:hAnsi="Times New Roman" w:cs="Times New Roman" w:eastAsia="Times New Roman" w:hint="default"/>
          <w:spacing w:val="-9"/>
        </w:rPr>
        <w:t> </w:t>
      </w:r>
      <w:r>
        <w:rPr>
          <w:spacing w:val="-5"/>
        </w:rPr>
        <w:t>元，计入资</w:t>
      </w:r>
      <w:r>
        <w:rPr/>
        <w:t> 本公积</w:t>
      </w:r>
      <w:r>
        <w:rPr>
          <w:rFonts w:ascii="Times New Roman" w:hAnsi="Times New Roman" w:cs="Times New Roman" w:eastAsia="Times New Roman" w:hint="default"/>
        </w:rPr>
        <w:t>29,612,028.00</w:t>
      </w:r>
      <w:r>
        <w:rPr/>
        <w:t>元。上述增资后注册资本变更为人民币</w:t>
      </w:r>
      <w:r>
        <w:rPr>
          <w:rFonts w:ascii="Times New Roman" w:hAnsi="Times New Roman" w:cs="Times New Roman" w:eastAsia="Times New Roman" w:hint="default"/>
        </w:rPr>
        <w:t>110,906,600</w:t>
      </w:r>
      <w:r>
        <w:rPr/>
        <w:t>元。</w:t>
      </w:r>
    </w:p>
    <w:p>
      <w:pPr>
        <w:pStyle w:val="BodyText"/>
        <w:spacing w:line="309" w:lineRule="auto" w:before="136"/>
        <w:ind w:left="153" w:right="153" w:firstLine="420"/>
        <w:jc w:val="both"/>
      </w:pPr>
      <w:r>
        <w:rPr/>
        <w:t>根据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日本公司召开的</w:t>
      </w:r>
      <w:r>
        <w:rPr>
          <w:rFonts w:ascii="Times New Roman" w:hAnsi="Times New Roman" w:cs="Times New Roman" w:eastAsia="Times New Roman" w:hint="default"/>
        </w:rPr>
        <w:t>2012</w:t>
      </w:r>
      <w:r>
        <w:rPr/>
        <w:t>年度股东大会审议通过</w:t>
      </w:r>
      <w:r>
        <w:rPr>
          <w:rFonts w:ascii="Times New Roman" w:hAnsi="Times New Roman" w:cs="Times New Roman" w:eastAsia="Times New Roman" w:hint="default"/>
        </w:rPr>
        <w:t>2012</w:t>
      </w:r>
      <w:r>
        <w:rPr/>
        <w:t>年度利润分配方案，以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 </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11,090.66</w:t>
      </w:r>
      <w:r>
        <w:rPr>
          <w:spacing w:val="-1"/>
        </w:rPr>
        <w:t>万股为基数，以资本公积金每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股，共计转增</w:t>
      </w:r>
      <w:r>
        <w:rPr>
          <w:rFonts w:ascii="Times New Roman" w:hAnsi="Times New Roman" w:cs="Times New Roman" w:eastAsia="Times New Roman" w:hint="default"/>
          <w:spacing w:val="-1"/>
        </w:rPr>
        <w:t>11,090.66</w:t>
      </w:r>
      <w:r>
        <w:rPr>
          <w:spacing w:val="-1"/>
        </w:rPr>
        <w:t>万股，注册资本变更</w:t>
      </w:r>
      <w:r>
        <w:rPr>
          <w:spacing w:val="-86"/>
        </w:rPr>
        <w:t> </w:t>
      </w:r>
      <w:r>
        <w:rPr>
          <w:spacing w:val="-86"/>
        </w:rPr>
      </w:r>
      <w:r>
        <w:rPr/>
        <w:t>为人民币</w:t>
      </w:r>
      <w:r>
        <w:rPr>
          <w:rFonts w:ascii="Times New Roman" w:hAnsi="Times New Roman" w:cs="Times New Roman" w:eastAsia="Times New Roman" w:hint="default"/>
        </w:rPr>
        <w:t>221,813,200</w:t>
      </w:r>
      <w:r>
        <w:rPr/>
        <w:t>元。</w:t>
      </w:r>
    </w:p>
    <w:p>
      <w:pPr>
        <w:spacing w:after="0" w:line="309" w:lineRule="auto"/>
        <w:jc w:val="both"/>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309" w:lineRule="auto" w:before="35"/>
        <w:ind w:left="153" w:right="213" w:firstLine="420"/>
        <w:jc w:val="both"/>
      </w:pPr>
      <w:bookmarkStart w:name="五、重要会计政策及会计估计" w:id="120"/>
      <w:bookmarkEnd w:id="120"/>
      <w:r>
        <w:rPr/>
      </w:r>
      <w:bookmarkStart w:name="1、遵循企业会计准则的声明" w:id="121"/>
      <w:bookmarkEnd w:id="121"/>
      <w:r>
        <w:rPr/>
      </w:r>
      <w:r>
        <w:rPr>
          <w:spacing w:val="-2"/>
        </w:rPr>
        <w:t>因部分激励对象离职，</w:t>
      </w:r>
      <w:r>
        <w:rPr>
          <w:rFonts w:ascii="Times New Roman" w:hAnsi="Times New Roman" w:cs="Times New Roman" w:eastAsia="Times New Roman" w:hint="default"/>
          <w:spacing w:val="-2"/>
        </w:rPr>
        <w:t>2014</w:t>
      </w:r>
      <w:r>
        <w:rPr>
          <w:spacing w:val="-2"/>
        </w:rPr>
        <w:t>年度本公司回购注销限制性股票数量共计</w:t>
      </w:r>
      <w:r>
        <w:rPr>
          <w:rFonts w:ascii="Times New Roman" w:hAnsi="Times New Roman" w:cs="Times New Roman" w:eastAsia="Times New Roman" w:hint="default"/>
          <w:spacing w:val="-2"/>
        </w:rPr>
        <w:t>23.16</w:t>
      </w:r>
      <w:r>
        <w:rPr>
          <w:spacing w:val="-2"/>
        </w:rPr>
        <w:t>万股，回购注销完成后，本</w:t>
      </w:r>
      <w:r>
        <w:rPr/>
        <w:t> 公司总股本从</w:t>
      </w:r>
      <w:r>
        <w:rPr>
          <w:rFonts w:ascii="Times New Roman" w:hAnsi="Times New Roman" w:cs="Times New Roman" w:eastAsia="Times New Roman" w:hint="default"/>
        </w:rPr>
        <w:t>22,181.32</w:t>
      </w:r>
      <w:r>
        <w:rPr/>
        <w:t>万股减至</w:t>
      </w:r>
      <w:r>
        <w:rPr>
          <w:rFonts w:ascii="Times New Roman" w:hAnsi="Times New Roman" w:cs="Times New Roman" w:eastAsia="Times New Roman" w:hint="default"/>
        </w:rPr>
        <w:t>22,158.16</w:t>
      </w:r>
      <w:r>
        <w:rPr/>
        <w:t>万股，注册资本变更为人民币</w:t>
      </w:r>
      <w:r>
        <w:rPr>
          <w:rFonts w:ascii="Times New Roman" w:hAnsi="Times New Roman" w:cs="Times New Roman" w:eastAsia="Times New Roman" w:hint="default"/>
        </w:rPr>
        <w:t>221,581,600.00</w:t>
      </w:r>
      <w:r>
        <w:rPr/>
        <w:t>元。</w:t>
      </w:r>
    </w:p>
    <w:p>
      <w:pPr>
        <w:pStyle w:val="BodyText"/>
        <w:spacing w:line="326" w:lineRule="auto" w:before="136"/>
        <w:ind w:left="153" w:right="213" w:firstLine="420"/>
        <w:jc w:val="both"/>
      </w:pPr>
      <w:r>
        <w:rPr>
          <w:spacing w:val="-1"/>
        </w:rPr>
        <w:t>本公司建立了股东大会、董事会、监事会的法人治理结构，目前设营销中心、采购中心、研究院等部</w:t>
      </w:r>
      <w:r>
        <w:rPr/>
        <w:t> 门，拥有厦门美亚中敏电子科技有限公司、珠海市新德汇信息技术有限公司等子公司。</w:t>
      </w:r>
    </w:p>
    <w:p>
      <w:pPr>
        <w:pStyle w:val="BodyText"/>
        <w:spacing w:line="324" w:lineRule="auto" w:before="144"/>
        <w:ind w:left="153" w:right="210" w:firstLine="420"/>
        <w:jc w:val="both"/>
      </w:pPr>
      <w:r>
        <w:rPr>
          <w:spacing w:val="-1"/>
        </w:rPr>
        <w:t>本公司及其子公司（以下简称“本集团”）属电子信息行业，经营范围主要包括：系统集成、计算机</w:t>
      </w:r>
      <w:r>
        <w:rPr>
          <w:spacing w:val="1"/>
        </w:rPr>
        <w:t> </w:t>
      </w:r>
      <w:r>
        <w:rPr>
          <w:spacing w:val="-1"/>
        </w:rPr>
        <w:t>软件开发；信息咨询服务（不含证券、期货等需经许可的金融、咨询业务）；批发零售电子计算机、网络</w:t>
      </w:r>
      <w:r>
        <w:rPr>
          <w:spacing w:val="-85"/>
        </w:rPr>
        <w:t> </w:t>
      </w:r>
      <w:r>
        <w:rPr>
          <w:spacing w:val="-85"/>
        </w:rPr>
      </w:r>
      <w:r>
        <w:rPr>
          <w:spacing w:val="-1"/>
        </w:rPr>
        <w:t>设备、通信设备；代制作网页、服务器内存空间出租、网站建设；互联网上网服务（限分公司经营）。经</w:t>
      </w:r>
      <w:r>
        <w:rPr>
          <w:spacing w:val="-84"/>
        </w:rPr>
        <w:t> </w:t>
      </w:r>
      <w:r>
        <w:rPr>
          <w:spacing w:val="-84"/>
        </w:rPr>
      </w:r>
      <w:r>
        <w:rPr>
          <w:spacing w:val="-1"/>
        </w:rPr>
        <w:t>营各类商品和技术的进出口（不另附进出口商品目录）但国家限定公司经营或禁止进出口的商品及技术除</w:t>
      </w:r>
      <w:r>
        <w:rPr>
          <w:spacing w:val="-81"/>
        </w:rPr>
        <w:t> </w:t>
      </w:r>
      <w:r>
        <w:rPr>
          <w:spacing w:val="-81"/>
        </w:rPr>
      </w:r>
      <w:r>
        <w:rPr>
          <w:spacing w:val="-1"/>
        </w:rPr>
        <w:t>外；国内版电子出版物批发零售：非限定发行范围进口电子出版物零售；计算机软件、硬件设备租赁。经</w:t>
      </w:r>
      <w:r>
        <w:rPr>
          <w:spacing w:val="-83"/>
        </w:rPr>
        <w:t> </w:t>
      </w:r>
      <w:r>
        <w:rPr>
          <w:spacing w:val="-83"/>
        </w:rPr>
      </w:r>
      <w:r>
        <w:rPr>
          <w:spacing w:val="-5"/>
        </w:rPr>
        <w:t>国家密码管理机构批准的商用密码产品的开发、生产（有效期自</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22</w:t>
      </w:r>
      <w:r>
        <w:rPr>
          <w:spacing w:val="-5"/>
        </w:rPr>
        <w:t>日至</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22</w:t>
      </w:r>
      <w:r>
        <w:rPr>
          <w:spacing w:val="-5"/>
        </w:rPr>
        <w:t>日）。（以</w:t>
      </w:r>
      <w:r>
        <w:rPr>
          <w:spacing w:val="-76"/>
        </w:rPr>
        <w:t> </w:t>
      </w:r>
      <w:r>
        <w:rPr>
          <w:spacing w:val="-76"/>
        </w:rPr>
      </w:r>
      <w:r>
        <w:rPr/>
        <w:t>上经营范围涉及许可经营项目的，应在取得有关部门的许可后方可经营）。</w:t>
      </w:r>
    </w:p>
    <w:p>
      <w:pPr>
        <w:pStyle w:val="BodyText"/>
        <w:spacing w:line="240" w:lineRule="auto" w:before="146"/>
        <w:ind w:left="574" w:right="0"/>
        <w:jc w:val="left"/>
      </w:pPr>
      <w:r>
        <w:rPr/>
        <w:t>本财务报表及财务报表附注业经本公司第二届董事会第二十次会议于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日批准。</w:t>
      </w:r>
    </w:p>
    <w:p>
      <w:pPr>
        <w:spacing w:line="240" w:lineRule="auto" w:before="7"/>
        <w:rPr>
          <w:rFonts w:ascii="宋体" w:hAnsi="宋体" w:cs="宋体" w:eastAsia="宋体" w:hint="default"/>
          <w:sz w:val="15"/>
          <w:szCs w:val="15"/>
        </w:rPr>
      </w:pPr>
    </w:p>
    <w:p>
      <w:pPr>
        <w:pStyle w:val="BodyText"/>
        <w:spacing w:line="408" w:lineRule="auto"/>
        <w:ind w:left="574" w:right="97" w:hanging="421"/>
        <w:jc w:val="left"/>
      </w:pPr>
      <w:r>
        <w:rPr>
          <w:rFonts w:ascii="Times New Roman" w:hAnsi="Times New Roman" w:cs="Times New Roman" w:eastAsia="Times New Roman" w:hint="default"/>
          <w:b/>
          <w:bCs/>
        </w:rPr>
        <w:t>2</w:t>
      </w:r>
      <w:r>
        <w:rPr>
          <w:rFonts w:ascii="宋体" w:hAnsi="宋体" w:cs="宋体" w:eastAsia="宋体" w:hint="default"/>
          <w:b/>
          <w:bCs/>
        </w:rPr>
        <w:t>、合并财务报表范围</w:t>
      </w:r>
      <w:r>
        <w:rPr>
          <w:rFonts w:ascii="宋体" w:hAnsi="宋体" w:cs="宋体" w:eastAsia="宋体" w:hint="default"/>
          <w:b/>
          <w:bCs/>
          <w:spacing w:val="1"/>
          <w:w w:val="99"/>
        </w:rPr>
        <w:t> </w:t>
      </w:r>
      <w:r>
        <w:rPr>
          <w:spacing w:val="-3"/>
        </w:rPr>
        <w:t>本集团合并报表范围包括本公司及全部子公司，本报告期合并财务报表范围未发生变化。详见附注九、</w:t>
      </w:r>
    </w:p>
    <w:p>
      <w:pPr>
        <w:pStyle w:val="BodyText"/>
        <w:spacing w:line="227" w:lineRule="exact"/>
        <w:ind w:right="0"/>
        <w:jc w:val="left"/>
      </w:pPr>
      <w:r>
        <w:rPr/>
        <w:t>在其他主体中的权益披露。</w:t>
      </w:r>
    </w:p>
    <w:p>
      <w:pPr>
        <w:spacing w:line="240" w:lineRule="auto" w:before="6"/>
        <w:rPr>
          <w:rFonts w:ascii="宋体" w:hAnsi="宋体" w:cs="宋体" w:eastAsia="宋体" w:hint="default"/>
          <w:sz w:val="26"/>
          <w:szCs w:val="26"/>
        </w:rPr>
      </w:pPr>
    </w:p>
    <w:p>
      <w:pPr>
        <w:pStyle w:val="Heading2"/>
        <w:spacing w:line="240" w:lineRule="auto"/>
        <w:ind w:right="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2"/>
        <w:rPr>
          <w:rFonts w:ascii="宋体" w:hAnsi="宋体" w:cs="宋体" w:eastAsia="宋体" w:hint="default"/>
          <w:b/>
          <w:bCs/>
          <w:sz w:val="26"/>
          <w:szCs w:val="26"/>
        </w:rPr>
      </w:pPr>
    </w:p>
    <w:p>
      <w:pPr>
        <w:pStyle w:val="BodyText"/>
        <w:spacing w:line="309" w:lineRule="auto"/>
        <w:ind w:right="212" w:firstLine="420"/>
        <w:jc w:val="both"/>
      </w:pPr>
      <w:r>
        <w:rPr>
          <w:spacing w:val="-3"/>
        </w:rPr>
        <w:t>本财务报表按照财政部</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2</w:t>
      </w:r>
      <w:r>
        <w:rPr>
          <w:spacing w:val="-3"/>
        </w:rPr>
        <w:t>月颁布的企业会计准则及其应用指南</w:t>
      </w:r>
      <w:bookmarkStart w:name="四、财务报表的编制基础" w:id="122"/>
      <w:bookmarkEnd w:id="122"/>
      <w:r>
        <w:rPr>
          <w:spacing w:val="-3"/>
        </w:rPr>
        <w:t>、</w:t>
      </w:r>
      <w:bookmarkStart w:name="1、编制基础" w:id="123"/>
      <w:bookmarkEnd w:id="123"/>
      <w:r>
        <w:rPr>
          <w:spacing w:val="-3"/>
        </w:rPr>
        <w:t>解释及其他有关规</w:t>
      </w:r>
      <w:r>
        <w:rPr>
          <w:spacing w:val="-3"/>
        </w:rPr>
        <w:t>定（统称“企</w:t>
      </w:r>
      <w:r>
        <w:rPr/>
        <w:t> </w:t>
      </w:r>
      <w:r>
        <w:rPr>
          <w:spacing w:val="-1"/>
        </w:rPr>
        <w:t>业会计准则”）编制。此外，本集团还按照中国证监会《公开发行证券的公司信息披露编报规则第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2"/>
        </w:rPr>
        <w:t> </w:t>
      </w:r>
      <w:r>
        <w:rPr/>
        <w:t>财务报告的一般规定》（</w:t>
      </w:r>
      <w:r>
        <w:rPr>
          <w:rFonts w:ascii="Times New Roman" w:hAnsi="Times New Roman" w:cs="Times New Roman" w:eastAsia="Times New Roman" w:hint="default"/>
        </w:rPr>
        <w:t>2014</w:t>
      </w:r>
      <w:r>
        <w:rPr/>
        <w:t>年修订）披露有关财务信息。</w:t>
      </w:r>
    </w:p>
    <w:p>
      <w:pPr>
        <w:spacing w:line="240" w:lineRule="auto" w:before="1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pStyle w:val="BodyText"/>
        <w:spacing w:line="490" w:lineRule="atLeast" w:before="137"/>
        <w:ind w:left="574" w:right="0"/>
        <w:jc w:val="left"/>
      </w:pPr>
      <w:r>
        <w:rPr/>
        <w:t>本财务报表以持续经营为基础列报。 </w:t>
      </w:r>
      <w:r>
        <w:rPr>
          <w:spacing w:val="-1"/>
        </w:rPr>
        <w:t>本集团会计核算以权责发生制为基础。除某些金融工具外，</w:t>
      </w:r>
      <w:bookmarkStart w:name="2、持续经营" w:id="124"/>
      <w:bookmarkEnd w:id="124"/>
      <w:r>
        <w:rPr>
          <w:spacing w:val="-1"/>
        </w:rPr>
        <w:t>本财务报表均以历史成本为计量基础</w:t>
      </w:r>
      <w:r>
        <w:rPr>
          <w:spacing w:val="-1"/>
        </w:rPr>
        <w:t>。资</w:t>
      </w:r>
    </w:p>
    <w:p>
      <w:pPr>
        <w:pStyle w:val="BodyText"/>
        <w:spacing w:line="240" w:lineRule="auto" w:before="99"/>
        <w:ind w:right="0"/>
        <w:jc w:val="left"/>
      </w:pPr>
      <w:r>
        <w:rPr/>
        <w:t>产如果发生减值，则按照相关规定计提相应的减值准备。</w:t>
      </w:r>
    </w:p>
    <w:p>
      <w:pPr>
        <w:spacing w:line="240" w:lineRule="auto" w:before="6"/>
        <w:rPr>
          <w:rFonts w:ascii="宋体" w:hAnsi="宋体" w:cs="宋体" w:eastAsia="宋体" w:hint="default"/>
          <w:sz w:val="26"/>
          <w:szCs w:val="26"/>
        </w:rPr>
      </w:pPr>
    </w:p>
    <w:p>
      <w:pPr>
        <w:pStyle w:val="Heading2"/>
        <w:spacing w:line="240" w:lineRule="auto"/>
        <w:ind w:right="0"/>
        <w:jc w:val="left"/>
        <w:rPr>
          <w:b w:val="0"/>
          <w:bCs w:val="0"/>
        </w:rPr>
      </w:pPr>
      <w:r>
        <w:rPr/>
        <w:t>五、重要会计政策及会计估计</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right="211" w:firstLine="420"/>
        <w:jc w:val="both"/>
      </w:pPr>
      <w:r>
        <w:rPr>
          <w:spacing w:val="-1"/>
        </w:rPr>
        <w:t>本集团根据自身生产经营特点，确定固定资产折旧、无形资产摊销、研发费用资本化条件以及收入确</w:t>
      </w:r>
      <w:r>
        <w:rPr/>
        <w:t> 认政策，具体会计政策参见附注五之</w:t>
      </w:r>
      <w:r>
        <w:rPr>
          <w:rFonts w:ascii="Times New Roman" w:hAnsi="Times New Roman" w:cs="Times New Roman" w:eastAsia="Times New Roman" w:hint="default"/>
        </w:rPr>
        <w:t>16</w:t>
      </w:r>
      <w:r>
        <w:rPr/>
        <w:t>、附注五之</w:t>
      </w:r>
      <w:r>
        <w:rPr>
          <w:rFonts w:ascii="Times New Roman" w:hAnsi="Times New Roman" w:cs="Times New Roman" w:eastAsia="Times New Roman" w:hint="default"/>
        </w:rPr>
        <w:t>21</w:t>
      </w:r>
      <w:r>
        <w:rPr/>
        <w:t>和附注五之</w:t>
      </w:r>
      <w:r>
        <w:rPr>
          <w:rFonts w:ascii="Times New Roman" w:hAnsi="Times New Roman" w:cs="Times New Roman" w:eastAsia="Times New Roman" w:hint="default"/>
        </w:rPr>
        <w:t>28</w:t>
      </w:r>
      <w:r>
        <w:rPr/>
        <w:t>。</w:t>
      </w:r>
    </w:p>
    <w:p>
      <w:pPr>
        <w:spacing w:line="644" w:lineRule="exact" w:before="0"/>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本财务报表符合企业会计准则的要求，真实、完整地反映了本集团</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日的合并及公司财务</w:t>
      </w:r>
    </w:p>
    <w:p>
      <w:pPr>
        <w:spacing w:after="0" w:line="644" w:lineRule="exact"/>
        <w:jc w:val="left"/>
        <w:rPr>
          <w:rFonts w:ascii="宋体" w:hAnsi="宋体" w:cs="宋体" w:eastAsia="宋体" w:hint="default"/>
          <w:sz w:val="21"/>
          <w:szCs w:val="21"/>
        </w:rPr>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240" w:lineRule="auto" w:before="35"/>
        <w:ind w:right="0"/>
        <w:jc w:val="both"/>
      </w:pPr>
      <w:r>
        <w:rPr/>
        <w:t>状况以及</w:t>
      </w:r>
      <w:r>
        <w:rPr>
          <w:rFonts w:ascii="Times New Roman" w:hAnsi="Times New Roman" w:cs="Times New Roman" w:eastAsia="Times New Roman" w:hint="default"/>
        </w:rPr>
        <w:t>2014</w:t>
      </w:r>
      <w:r>
        <w:rPr/>
        <w:t>年度的合并及公司经营成果和合并及公司现金流量等有关信息。</w:t>
      </w:r>
    </w:p>
    <w:p>
      <w:pPr>
        <w:spacing w:line="240" w:lineRule="auto" w:before="0"/>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2</w:t>
      </w:r>
      <w:bookmarkStart w:name="2、会计期间" w:id="125"/>
      <w:bookmarkEnd w:id="125"/>
      <w:r>
        <w:rPr>
          <w:rFonts w:ascii="Times New Roman" w:hAnsi="Times New Roman" w:cs="Times New Roman" w:eastAsia="Times New Roman" w:hint="default"/>
        </w:rPr>
      </w:r>
      <w:r>
        <w:rPr/>
        <w:t>、会计期间</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74" w:right="0"/>
        <w:jc w:val="left"/>
      </w:pPr>
      <w:r>
        <w:rPr/>
        <w:t>本集团会计期间采用公历年度，即每年自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74" w:right="0"/>
        <w:jc w:val="left"/>
      </w:pPr>
      <w:r>
        <w:rPr/>
        <w:t>本集团</w:t>
      </w:r>
      <w:bookmarkStart w:name="3、营业周期" w:id="126"/>
      <w:bookmarkEnd w:id="126"/>
      <w:r>
        <w:rPr/>
        <w:t>的营业周期为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right="0" w:firstLine="420"/>
        <w:jc w:val="left"/>
      </w:pPr>
      <w:bookmarkStart w:name="4、记账本位币" w:id="127"/>
      <w:bookmarkEnd w:id="127"/>
      <w:r>
        <w:rPr/>
      </w:r>
      <w:r>
        <w:rPr>
          <w:spacing w:val="-1"/>
        </w:rPr>
        <w:t>本公司及境内子公司以人民币为记账本位币。本公司下属子公司香港鼎永泰克科技有限公司采用美元</w:t>
      </w:r>
      <w:r>
        <w:rPr/>
        <w:t> 为记账本位币，编制财务报表时折算为人民币。本集团编制本财务报表时所采用的货币为人民币。</w:t>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w:t>
      </w:r>
      <w:bookmarkStart w:name="5、同一控制下和非同一控制下企业合并的会计处理方法" w:id="128"/>
      <w:bookmarkEnd w:id="128"/>
      <w:r>
        <w:rPr/>
        <w:t>理方法</w:t>
      </w:r>
      <w:r>
        <w:rPr>
          <w:b w:val="0"/>
          <w:bCs w:val="0"/>
        </w:rPr>
      </w:r>
    </w:p>
    <w:p>
      <w:pPr>
        <w:pStyle w:val="BodyText"/>
        <w:spacing w:line="540" w:lineRule="atLeast" w:before="72"/>
        <w:ind w:left="574" w:right="0" w:hanging="420"/>
        <w:jc w:val="left"/>
      </w:pPr>
      <w:r>
        <w:rPr/>
        <w:t>（</w:t>
      </w:r>
      <w:r>
        <w:rPr>
          <w:rFonts w:ascii="Times New Roman" w:hAnsi="Times New Roman" w:cs="Times New Roman" w:eastAsia="Times New Roman" w:hint="default"/>
        </w:rPr>
        <w:t>1</w:t>
      </w:r>
      <w:r>
        <w:rPr/>
        <w:t>）同一控制下的企业合并 </w:t>
      </w:r>
      <w:r>
        <w:rPr>
          <w:spacing w:val="-1"/>
        </w:rPr>
        <w:t>对于同一控制下的企业合并，合并方在合并中取得的被合并方的资产、负债，除因会计政策不同而进</w:t>
      </w:r>
    </w:p>
    <w:p>
      <w:pPr>
        <w:pStyle w:val="BodyText"/>
        <w:spacing w:line="326" w:lineRule="auto" w:before="99"/>
        <w:ind w:right="211"/>
        <w:jc w:val="both"/>
      </w:pPr>
      <w:r>
        <w:rPr>
          <w:spacing w:val="-1"/>
        </w:rPr>
        <w:t>行的调整以外，按合并日被合并方在最终控制方合并财务报表中的账面价值计量。合并对价的账面价值与</w:t>
      </w:r>
      <w:r>
        <w:rPr>
          <w:spacing w:val="-81"/>
        </w:rPr>
        <w:t> </w:t>
      </w:r>
      <w:r>
        <w:rPr>
          <w:spacing w:val="-81"/>
        </w:rPr>
      </w:r>
      <w:r>
        <w:rPr>
          <w:spacing w:val="-1"/>
        </w:rPr>
        <w:t>合并中取得的净资产账面价值的差额调整资本公积（股本溢价），资本公积（股本溢价）不足冲减的，调</w:t>
      </w:r>
      <w:r>
        <w:rPr>
          <w:spacing w:val="-83"/>
        </w:rPr>
        <w:t> </w:t>
      </w:r>
      <w:r>
        <w:rPr>
          <w:spacing w:val="-83"/>
        </w:rPr>
      </w:r>
      <w:r>
        <w:rPr/>
        <w:t>整留存收益。</w:t>
      </w:r>
    </w:p>
    <w:p>
      <w:pPr>
        <w:pStyle w:val="BodyText"/>
        <w:spacing w:line="240" w:lineRule="auto" w:before="144"/>
        <w:ind w:left="574" w:right="0"/>
        <w:jc w:val="left"/>
      </w:pPr>
      <w:r>
        <w:rPr/>
        <w:t>通过多次交易分步实现同一控制下的企业合并：</w:t>
      </w:r>
    </w:p>
    <w:p>
      <w:pPr>
        <w:spacing w:line="240" w:lineRule="auto" w:before="10"/>
        <w:rPr>
          <w:rFonts w:ascii="宋体" w:hAnsi="宋体" w:cs="宋体" w:eastAsia="宋体" w:hint="default"/>
          <w:sz w:val="16"/>
          <w:szCs w:val="16"/>
        </w:rPr>
      </w:pPr>
    </w:p>
    <w:p>
      <w:pPr>
        <w:pStyle w:val="BodyText"/>
        <w:spacing w:line="326" w:lineRule="auto"/>
        <w:ind w:right="212" w:firstLine="420"/>
        <w:jc w:val="both"/>
      </w:pPr>
      <w:r>
        <w:rPr>
          <w:spacing w:val="-1"/>
        </w:rPr>
        <w:t>在个别财务报表中，以合并日持股比例计算的合并日应享有被合并方净资产在最终控制方合并财务报</w:t>
      </w:r>
      <w:r>
        <w:rPr/>
        <w:t> </w:t>
      </w:r>
      <w:r>
        <w:rPr>
          <w:spacing w:val="-1"/>
        </w:rPr>
        <w:t>表中的账面价值的份额作为该项投资的初始投资成本；初始投资成本与原持有投资的账面价值加上合并日</w:t>
      </w:r>
      <w:r>
        <w:rPr>
          <w:spacing w:val="-81"/>
        </w:rPr>
        <w:t> </w:t>
      </w:r>
      <w:r>
        <w:rPr>
          <w:spacing w:val="-81"/>
        </w:rPr>
      </w:r>
      <w:r>
        <w:rPr/>
        <w:t>新增投资成本之和的差额，调整资本公积（资本溢价），资本公积不足冲减的，调整留存收益。</w:t>
      </w:r>
    </w:p>
    <w:p>
      <w:pPr>
        <w:pStyle w:val="BodyText"/>
        <w:spacing w:line="326" w:lineRule="auto" w:before="144"/>
        <w:ind w:right="103" w:firstLine="420"/>
        <w:jc w:val="left"/>
      </w:pPr>
      <w:r>
        <w:rPr/>
        <w:t>在合并财务报表中，合并方在合并中取得的被合并方的资产、负债，除因会计政策不同而进行的调整 以外，按合并日在最终控制方合并财务报表中的账面价值计量；原持有投资的账面价值加上合并日新增投 </w:t>
      </w:r>
      <w:r>
        <w:rPr>
          <w:spacing w:val="-3"/>
        </w:rPr>
        <w:t>资成本之和，与合并中取得的净资产账面价值的差额，调整资本公积（资本溢价），资本公积不足冲减的，</w:t>
      </w:r>
      <w:r>
        <w:rPr>
          <w:spacing w:val="-94"/>
        </w:rPr>
        <w:t> </w:t>
      </w:r>
      <w:r>
        <w:rPr>
          <w:spacing w:val="-94"/>
        </w:rPr>
      </w:r>
      <w:r>
        <w:rPr/>
        <w:t>调整留存收益。合并方在达到合并之前持有的长期股权投资，在取得日与合并方与被合并方同处于同一方</w:t>
      </w:r>
      <w:r>
        <w:rPr/>
        <w:t> 最终控制之日孰晚日与合并日之间已确认有关损益、其他综合收益和其他所有者权益变动，应分别冲减比 较报表期间的期初留存收益或当期损益。</w:t>
      </w:r>
    </w:p>
    <w:p>
      <w:pPr>
        <w:pStyle w:val="BodyText"/>
        <w:spacing w:line="240" w:lineRule="auto" w:before="113"/>
        <w:ind w:right="0"/>
        <w:jc w:val="both"/>
      </w:pPr>
      <w:r>
        <w:rPr/>
        <w:t>（</w:t>
      </w:r>
      <w:r>
        <w:rPr>
          <w:rFonts w:ascii="Times New Roman" w:hAnsi="Times New Roman" w:cs="Times New Roman" w:eastAsia="Times New Roman" w:hint="default"/>
        </w:rPr>
        <w:t>2</w:t>
      </w:r>
      <w:r>
        <w:rPr/>
        <w:t>）非同一控制下的企业合并</w:t>
      </w:r>
    </w:p>
    <w:p>
      <w:pPr>
        <w:spacing w:line="240" w:lineRule="auto" w:before="7"/>
        <w:rPr>
          <w:rFonts w:ascii="宋体" w:hAnsi="宋体" w:cs="宋体" w:eastAsia="宋体" w:hint="default"/>
          <w:sz w:val="20"/>
          <w:szCs w:val="20"/>
        </w:rPr>
      </w:pPr>
    </w:p>
    <w:p>
      <w:pPr>
        <w:pStyle w:val="BodyText"/>
        <w:spacing w:line="326" w:lineRule="auto"/>
        <w:ind w:right="211" w:firstLine="420"/>
        <w:jc w:val="both"/>
      </w:pPr>
      <w:r>
        <w:rPr>
          <w:spacing w:val="-1"/>
        </w:rPr>
        <w:t>对于非同一控制下的企业合并，合并成本为购买日为取得对被购买方的控制权而付出的资产、发生或</w:t>
      </w:r>
      <w:r>
        <w:rPr/>
        <w:t> </w:t>
      </w:r>
      <w:r>
        <w:rPr>
          <w:spacing w:val="-1"/>
        </w:rPr>
        <w:t>承担的负债以及发行的权益性证券的公允价值。在购买日，取得的被购买方的资产、负债及或有负债按公</w:t>
      </w:r>
      <w:r>
        <w:rPr>
          <w:spacing w:val="-83"/>
        </w:rPr>
        <w:t> </w:t>
      </w:r>
      <w:r>
        <w:rPr>
          <w:spacing w:val="-83"/>
        </w:rPr>
      </w:r>
      <w:r>
        <w:rPr/>
        <w:t>允价值确认。</w:t>
      </w:r>
    </w:p>
    <w:p>
      <w:pPr>
        <w:pStyle w:val="BodyText"/>
        <w:spacing w:line="240" w:lineRule="auto" w:before="144"/>
        <w:ind w:left="574" w:right="0"/>
        <w:jc w:val="left"/>
      </w:pPr>
      <w:r>
        <w:rPr/>
        <w:t>对合并成本大于合并中取得的被购买方可辨认净资产公允价值份额的差额，确认为商誉，按成本扣除</w:t>
      </w:r>
    </w:p>
    <w:p>
      <w:pPr>
        <w:spacing w:after="0" w:line="240" w:lineRule="auto"/>
        <w:jc w:val="left"/>
        <w:sectPr>
          <w:footerReference w:type="default" r:id="rId29"/>
          <w:pgSz w:w="11910" w:h="16840"/>
          <w:pgMar w:footer="980" w:header="747" w:top="1060" w:bottom="1180" w:left="980" w:right="920"/>
          <w:pgNumType w:start="88"/>
        </w:sectPr>
      </w:pPr>
    </w:p>
    <w:p>
      <w:pPr>
        <w:spacing w:line="240" w:lineRule="auto" w:before="1"/>
        <w:rPr>
          <w:rFonts w:ascii="宋体" w:hAnsi="宋体" w:cs="宋体" w:eastAsia="宋体" w:hint="default"/>
          <w:sz w:val="27"/>
          <w:szCs w:val="27"/>
        </w:rPr>
      </w:pPr>
    </w:p>
    <w:p>
      <w:pPr>
        <w:pStyle w:val="BodyText"/>
        <w:spacing w:line="326" w:lineRule="auto" w:before="35"/>
        <w:ind w:right="172"/>
        <w:jc w:val="left"/>
      </w:pPr>
      <w:r>
        <w:rPr/>
        <w:t>累计减值准备进行后续计量；对合并成本小于合并中取得的被购买方可辨认净资产公允价值份额的差额， 经复核后计入当期损益。</w:t>
      </w:r>
    </w:p>
    <w:p>
      <w:pPr>
        <w:pStyle w:val="BodyText"/>
        <w:spacing w:line="326" w:lineRule="auto" w:before="144"/>
        <w:ind w:left="153" w:right="213" w:firstLine="420"/>
        <w:jc w:val="both"/>
      </w:pPr>
      <w:r>
        <w:rPr>
          <w:spacing w:val="-1"/>
        </w:rPr>
        <w:t>所涉及的或有对价按其在购买日的公允价值计入合并成本，购买日后</w:t>
      </w:r>
      <w:r>
        <w:rPr>
          <w:rFonts w:ascii="宋体" w:hAnsi="宋体" w:cs="宋体" w:eastAsia="宋体" w:hint="default"/>
          <w:spacing w:val="-1"/>
        </w:rPr>
        <w:t>12</w:t>
      </w:r>
      <w:r>
        <w:rPr>
          <w:spacing w:val="-1"/>
        </w:rPr>
        <w:t>个月内出现对购买日已存在情</w:t>
      </w:r>
      <w:r>
        <w:rPr/>
        <w:t> 况的新的或进一步证据而需要调整或有对价的，相应调整合并商誉。</w:t>
      </w:r>
    </w:p>
    <w:p>
      <w:pPr>
        <w:pStyle w:val="BodyText"/>
        <w:spacing w:line="240" w:lineRule="auto" w:before="144"/>
        <w:ind w:left="573" w:right="0"/>
        <w:jc w:val="left"/>
      </w:pPr>
      <w:r>
        <w:rPr/>
        <w:t>通过多次交易分步实现非同一控制下的企业合并：</w:t>
      </w:r>
    </w:p>
    <w:p>
      <w:pPr>
        <w:spacing w:line="240" w:lineRule="auto" w:before="10"/>
        <w:rPr>
          <w:rFonts w:ascii="宋体" w:hAnsi="宋体" w:cs="宋体" w:eastAsia="宋体" w:hint="default"/>
          <w:sz w:val="16"/>
          <w:szCs w:val="16"/>
        </w:rPr>
      </w:pPr>
    </w:p>
    <w:p>
      <w:pPr>
        <w:pStyle w:val="BodyText"/>
        <w:spacing w:line="326" w:lineRule="auto"/>
        <w:ind w:left="153" w:right="190" w:firstLine="420"/>
        <w:jc w:val="both"/>
      </w:pPr>
      <w:r>
        <w:rPr/>
        <w:t>在个别财务报表中，以购买日之前所持被购买方的股权投资的账面价值与购买日新增投资成本之和， </w:t>
      </w:r>
      <w:r>
        <w:rPr>
          <w:spacing w:val="-1"/>
        </w:rPr>
        <w:t>作为该项投资的初始投资成本。购买日之前持有的股权投资因采用权益法核算而确认的其他综合收益，应</w:t>
      </w:r>
      <w:r>
        <w:rPr>
          <w:spacing w:val="-81"/>
        </w:rPr>
        <w:t> </w:t>
      </w:r>
      <w:r>
        <w:rPr>
          <w:spacing w:val="-81"/>
        </w:rPr>
      </w:r>
      <w:r>
        <w:rPr>
          <w:spacing w:val="-1"/>
        </w:rPr>
        <w:t>当在处置该项投资时采用与被投资单位直接处置相关资产或负债相同的基础进行会计处理；因被投资方除</w:t>
      </w:r>
      <w:r>
        <w:rPr>
          <w:spacing w:val="-81"/>
        </w:rPr>
        <w:t> </w:t>
      </w:r>
      <w:r>
        <w:rPr>
          <w:spacing w:val="-81"/>
        </w:rPr>
      </w:r>
      <w:r>
        <w:rPr>
          <w:spacing w:val="-1"/>
        </w:rPr>
        <w:t>净损益、其他综合收益和利润分配以外的其他所有者权益变动而确认的所有者权益，应当在处置该项投资</w:t>
      </w:r>
      <w:r>
        <w:rPr>
          <w:spacing w:val="-81"/>
        </w:rPr>
        <w:t> </w:t>
      </w:r>
      <w:r>
        <w:rPr>
          <w:spacing w:val="-81"/>
        </w:rPr>
      </w:r>
      <w:r>
        <w:rPr>
          <w:spacing w:val="-1"/>
        </w:rPr>
        <w:t>时转入处置期间的当期损益。购买日之前持有的股权投资按照《企业会计准则第</w:t>
      </w:r>
      <w:r>
        <w:rPr>
          <w:rFonts w:ascii="宋体" w:hAnsi="宋体" w:cs="宋体" w:eastAsia="宋体" w:hint="default"/>
          <w:spacing w:val="-1"/>
        </w:rPr>
        <w:t>22</w:t>
      </w:r>
      <w:r>
        <w:rPr>
          <w:spacing w:val="-1"/>
        </w:rPr>
        <w:t>号</w:t>
      </w:r>
      <w:r>
        <w:rPr>
          <w:rFonts w:ascii="宋体" w:hAnsi="宋体" w:cs="宋体" w:eastAsia="宋体" w:hint="default"/>
          <w:spacing w:val="-1"/>
        </w:rPr>
        <w:t>——</w:t>
      </w:r>
      <w:r>
        <w:rPr>
          <w:spacing w:val="-1"/>
        </w:rPr>
        <w:t>金融工具确认和</w:t>
      </w:r>
      <w:r>
        <w:rPr>
          <w:spacing w:val="-83"/>
        </w:rPr>
        <w:t> </w:t>
      </w:r>
      <w:r>
        <w:rPr>
          <w:spacing w:val="-83"/>
        </w:rPr>
      </w:r>
      <w:r>
        <w:rPr>
          <w:spacing w:val="-1"/>
        </w:rPr>
        <w:t>计量》的有关规定进行会计处理的，原计入其他综合收益的累计公允价值变动应当在改按成本法核算时转</w:t>
      </w:r>
      <w:r>
        <w:rPr>
          <w:spacing w:val="-81"/>
        </w:rPr>
        <w:t> </w:t>
      </w:r>
      <w:r>
        <w:rPr>
          <w:spacing w:val="-81"/>
        </w:rPr>
      </w:r>
      <w:r>
        <w:rPr/>
        <w:t>入当期损益。</w:t>
      </w:r>
    </w:p>
    <w:p>
      <w:pPr>
        <w:pStyle w:val="BodyText"/>
        <w:spacing w:line="326" w:lineRule="auto" w:before="144"/>
        <w:ind w:left="153" w:right="204" w:firstLine="420"/>
        <w:jc w:val="both"/>
      </w:pPr>
      <w:r>
        <w:rPr>
          <w:spacing w:val="-1"/>
        </w:rPr>
        <w:t>在合并财务报表中，合并成本为购买日支付的对价与购买日之前已经持有的被购买方的股权在购买日</w:t>
      </w:r>
      <w:r>
        <w:rPr/>
        <w:t> </w:t>
      </w:r>
      <w:r>
        <w:rPr>
          <w:spacing w:val="-1"/>
        </w:rPr>
        <w:t>的公允价值之和；对于购买日之前已经持有的被购买方的股权，按照购买日的公允价值进行重新计量，公</w:t>
      </w:r>
      <w:r>
        <w:rPr>
          <w:spacing w:val="-83"/>
        </w:rPr>
        <w:t> </w:t>
      </w:r>
      <w:r>
        <w:rPr>
          <w:spacing w:val="-83"/>
        </w:rPr>
      </w:r>
      <w:r>
        <w:rPr>
          <w:spacing w:val="3"/>
        </w:rPr>
        <w:t>允价值与其账面价值之间的差额计入当期收益；购买日之前已经持有的被购买方的股权涉及其他综合收</w:t>
      </w:r>
      <w:r>
        <w:rPr>
          <w:spacing w:val="-78"/>
        </w:rPr>
        <w:t> </w:t>
      </w:r>
      <w:r>
        <w:rPr>
          <w:spacing w:val="-78"/>
        </w:rPr>
      </w:r>
      <w:r>
        <w:rPr>
          <w:spacing w:val="-1"/>
        </w:rPr>
        <w:t>益、其他所有者权益变动应当转为购买日当期收益，由于被投资方重新计量设定收益计划净负债或净资产</w:t>
      </w:r>
      <w:r>
        <w:rPr>
          <w:spacing w:val="-81"/>
        </w:rPr>
        <w:t> </w:t>
      </w:r>
      <w:r>
        <w:rPr>
          <w:spacing w:val="-81"/>
        </w:rPr>
      </w:r>
      <w:r>
        <w:rPr/>
        <w:t>变动而产生的其他综合收益除外。</w:t>
      </w:r>
    </w:p>
    <w:p>
      <w:pPr>
        <w:pStyle w:val="BodyText"/>
        <w:spacing w:line="240" w:lineRule="auto" w:before="113"/>
        <w:ind w:left="155" w:right="0"/>
        <w:jc w:val="left"/>
      </w:pPr>
      <w:r>
        <w:rPr/>
        <w:t>（</w:t>
      </w:r>
      <w:r>
        <w:rPr>
          <w:rFonts w:ascii="Times New Roman" w:hAnsi="Times New Roman" w:cs="Times New Roman" w:eastAsia="Times New Roman" w:hint="default"/>
        </w:rPr>
        <w:t>3</w:t>
      </w:r>
      <w:r>
        <w:rPr/>
        <w:t>）企业合并中有关交易费用的处理</w:t>
      </w:r>
    </w:p>
    <w:p>
      <w:pPr>
        <w:spacing w:line="240" w:lineRule="auto" w:before="7"/>
        <w:rPr>
          <w:rFonts w:ascii="宋体" w:hAnsi="宋体" w:cs="宋体" w:eastAsia="宋体" w:hint="default"/>
          <w:sz w:val="20"/>
          <w:szCs w:val="20"/>
        </w:rPr>
      </w:pPr>
    </w:p>
    <w:p>
      <w:pPr>
        <w:pStyle w:val="BodyText"/>
        <w:spacing w:line="326" w:lineRule="auto"/>
        <w:ind w:right="211" w:firstLine="420"/>
        <w:jc w:val="both"/>
      </w:pPr>
      <w:r>
        <w:rPr>
          <w:spacing w:val="-1"/>
        </w:rPr>
        <w:t>为进行企业合并发生的审计、法律服务、评估咨询等中介费用以及其他相关管理费用，于发生时计入</w:t>
      </w:r>
      <w:r>
        <w:rPr/>
        <w:t> </w:t>
      </w:r>
      <w:r>
        <w:rPr>
          <w:spacing w:val="-1"/>
        </w:rPr>
        <w:t>当期损益。作为合并对价发行的权益性证券或债务性证券的交易费用，计入权益性证券或债务性证券的初</w:t>
      </w:r>
      <w:r>
        <w:rPr>
          <w:spacing w:val="-81"/>
        </w:rPr>
        <w:t> </w:t>
      </w:r>
      <w:r>
        <w:rPr>
          <w:spacing w:val="-81"/>
        </w:rPr>
      </w:r>
      <w:r>
        <w:rPr/>
        <w:t>始确认金额。</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）合并范围</w:t>
      </w:r>
    </w:p>
    <w:p>
      <w:pPr>
        <w:spacing w:line="240" w:lineRule="auto" w:before="7"/>
        <w:rPr>
          <w:rFonts w:ascii="宋体" w:hAnsi="宋体" w:cs="宋体" w:eastAsia="宋体" w:hint="default"/>
          <w:sz w:val="20"/>
          <w:szCs w:val="20"/>
        </w:rPr>
      </w:pPr>
    </w:p>
    <w:p>
      <w:pPr>
        <w:pStyle w:val="BodyText"/>
        <w:spacing w:line="326" w:lineRule="auto"/>
        <w:ind w:right="103" w:firstLine="420"/>
        <w:jc w:val="left"/>
      </w:pPr>
      <w:r>
        <w:rPr/>
        <w:t>合并财务报表的合并范围以控制为基础予以确定。控制是指本公司拥有对被投资单位的权力，</w:t>
      </w:r>
      <w:bookmarkStart w:name="6、合并财务报表的编制方法" w:id="129"/>
      <w:bookmarkEnd w:id="129"/>
      <w:r>
        <w:rPr/>
        <w:t>通过参</w:t>
      </w:r>
      <w:r>
        <w:rPr/>
        <w:t> </w:t>
      </w:r>
      <w:r>
        <w:rPr>
          <w:spacing w:val="-3"/>
        </w:rPr>
        <w:t>与被投资单位的相关活动而享有可变回报，并且有能力运用对被投资单位的权力影响其回报金额。子公司，</w:t>
      </w:r>
      <w:r>
        <w:rPr>
          <w:spacing w:val="-92"/>
        </w:rPr>
        <w:t> </w:t>
      </w:r>
      <w:r>
        <w:rPr>
          <w:spacing w:val="-92"/>
        </w:rPr>
      </w:r>
      <w:r>
        <w:rPr/>
        <w:t>是指被本公司控制的主体（含企业、被投资单位中可分割的部分，以及企业所控制的结构化主体等）。</w:t>
      </w:r>
    </w:p>
    <w:p>
      <w:pPr>
        <w:pStyle w:val="BodyText"/>
        <w:spacing w:line="240" w:lineRule="auto" w:before="113"/>
        <w:ind w:right="0"/>
        <w:jc w:val="left"/>
      </w:pPr>
      <w:r>
        <w:rPr/>
        <w:t>（</w:t>
      </w:r>
      <w:r>
        <w:rPr>
          <w:rFonts w:ascii="Times New Roman" w:hAnsi="Times New Roman" w:cs="Times New Roman" w:eastAsia="Times New Roman" w:hint="default"/>
        </w:rPr>
        <w:t>2</w:t>
      </w:r>
      <w:r>
        <w:rPr/>
        <w:t>）合并财务报表的编制方法</w:t>
      </w:r>
    </w:p>
    <w:p>
      <w:pPr>
        <w:spacing w:line="240" w:lineRule="auto" w:before="7"/>
        <w:rPr>
          <w:rFonts w:ascii="宋体" w:hAnsi="宋体" w:cs="宋体" w:eastAsia="宋体" w:hint="default"/>
          <w:sz w:val="20"/>
          <w:szCs w:val="20"/>
        </w:rPr>
      </w:pPr>
    </w:p>
    <w:p>
      <w:pPr>
        <w:pStyle w:val="BodyText"/>
        <w:spacing w:line="326" w:lineRule="auto"/>
        <w:ind w:right="211" w:firstLine="420"/>
        <w:jc w:val="both"/>
      </w:pPr>
      <w:r>
        <w:rPr>
          <w:spacing w:val="-1"/>
        </w:rPr>
        <w:t>合并财务报表以本公司和子公司的财务报表为基础，根据其他有关资料，由本公司编制。在编制合并</w:t>
      </w:r>
      <w:r>
        <w:rPr/>
        <w:t> </w:t>
      </w:r>
      <w:r>
        <w:rPr>
          <w:spacing w:val="-1"/>
        </w:rPr>
        <w:t>财务报表时，本公司和子公司的会计政策和会计期间要求保持一致，公司间的重大交易和往来余额予以抵</w:t>
      </w:r>
      <w:r>
        <w:rPr>
          <w:spacing w:val="-81"/>
        </w:rPr>
        <w:t> </w:t>
      </w:r>
      <w:r>
        <w:rPr>
          <w:spacing w:val="-81"/>
        </w:rPr>
      </w:r>
      <w:r>
        <w:rPr/>
        <w:t>销。</w:t>
      </w:r>
    </w:p>
    <w:p>
      <w:pPr>
        <w:pStyle w:val="BodyText"/>
        <w:spacing w:line="326" w:lineRule="auto" w:before="144"/>
        <w:ind w:right="212" w:firstLine="420"/>
        <w:jc w:val="both"/>
      </w:pPr>
      <w:r>
        <w:rPr>
          <w:spacing w:val="-1"/>
        </w:rPr>
        <w:t>在报告期内因同一控制下企业合并增加的子公司以及业务，视同该子公司以及业务自同受最终控制方</w:t>
      </w:r>
      <w:r>
        <w:rPr/>
        <w:t> </w:t>
      </w:r>
      <w:r>
        <w:rPr>
          <w:spacing w:val="-1"/>
        </w:rPr>
        <w:t>控制之日起纳入本公司的合并范围，将其自同受最终控制方控制之日起的经营成果和现金流量纳入合并利</w:t>
      </w:r>
    </w:p>
    <w:p>
      <w:pPr>
        <w:spacing w:after="0" w:line="326" w:lineRule="auto"/>
        <w:jc w:val="both"/>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240" w:lineRule="auto" w:before="35"/>
        <w:ind w:right="0"/>
        <w:jc w:val="left"/>
      </w:pPr>
      <w:r>
        <w:rPr/>
        <w:t>润表和合并现金流量表中。</w:t>
      </w:r>
    </w:p>
    <w:p>
      <w:pPr>
        <w:spacing w:line="240" w:lineRule="auto" w:before="10"/>
        <w:rPr>
          <w:rFonts w:ascii="宋体" w:hAnsi="宋体" w:cs="宋体" w:eastAsia="宋体" w:hint="default"/>
          <w:sz w:val="16"/>
          <w:szCs w:val="16"/>
        </w:rPr>
      </w:pPr>
    </w:p>
    <w:p>
      <w:pPr>
        <w:pStyle w:val="BodyText"/>
        <w:spacing w:line="326" w:lineRule="auto"/>
        <w:ind w:right="190" w:firstLine="420"/>
        <w:jc w:val="both"/>
      </w:pPr>
      <w:r>
        <w:rPr/>
        <w:t>因非同一控制下企业合并增加的子公司以及业务，将该子公司以及业务自购买日至报告期末的收入、 费用、利润纳入合并利润表，将其现金流量纳入合并现金流量表。</w:t>
      </w:r>
    </w:p>
    <w:p>
      <w:pPr>
        <w:pStyle w:val="BodyText"/>
        <w:spacing w:line="326" w:lineRule="auto" w:before="144"/>
        <w:ind w:left="153" w:right="208" w:firstLine="420"/>
        <w:jc w:val="both"/>
      </w:pPr>
      <w:r>
        <w:rPr>
          <w:spacing w:val="3"/>
        </w:rPr>
        <w:t>子公司的股东权益中不属于本公司所拥有的部分作为少数股东权益在合并资产负债表中股东权益项</w:t>
      </w:r>
      <w:r>
        <w:rPr/>
        <w:t> </w:t>
      </w:r>
      <w:r>
        <w:rPr>
          <w:spacing w:val="-1"/>
        </w:rPr>
        <w:t>下单独列示。子公司当期净损益中属于少数股东权益的份额，在合并利润表中净利润项目下以“少数股东</w:t>
      </w:r>
      <w:r>
        <w:rPr>
          <w:spacing w:val="-83"/>
        </w:rPr>
        <w:t> </w:t>
      </w:r>
      <w:r>
        <w:rPr>
          <w:spacing w:val="-83"/>
        </w:rPr>
      </w:r>
      <w:r>
        <w:rPr>
          <w:spacing w:val="-1"/>
        </w:rPr>
        <w:t>损益”项目列示。少数股东分担的子公司的亏损超过了少数股东在该子公司期初所有者权益中所享有的份</w:t>
      </w:r>
      <w:r>
        <w:rPr>
          <w:spacing w:val="-81"/>
        </w:rPr>
        <w:t> </w:t>
      </w:r>
      <w:r>
        <w:rPr>
          <w:spacing w:val="-81"/>
        </w:rPr>
      </w:r>
      <w:r>
        <w:rPr/>
        <w:t>额，其余额仍冲减少数股东权益。</w:t>
      </w:r>
    </w:p>
    <w:p>
      <w:pPr>
        <w:pStyle w:val="BodyText"/>
        <w:spacing w:line="326" w:lineRule="auto" w:before="144"/>
        <w:ind w:left="153" w:right="190" w:firstLine="420"/>
        <w:jc w:val="both"/>
      </w:pPr>
      <w:r>
        <w:rPr>
          <w:spacing w:val="-1"/>
        </w:rPr>
        <w:t>对于购买子公司少数股权或因处置部分股权投资但没有丧失对该子公司控制权的交易，作为权益性交</w:t>
      </w:r>
      <w:r>
        <w:rPr/>
        <w:t> 易核算，调整归属于母公司所有者权益和少数股东权益的账面价值以反映其在子公司中相关权益的变化。 少数股东权益的调整额与支付</w:t>
      </w:r>
      <w:r>
        <w:rPr>
          <w:rFonts w:ascii="宋体" w:hAnsi="宋体" w:cs="宋体" w:eastAsia="宋体" w:hint="default"/>
        </w:rPr>
        <w:t>/</w:t>
      </w:r>
      <w:r>
        <w:rPr/>
        <w:t>收到对价的公允价值之间的差额调整资本公积，资本公积不足冲减的，调</w:t>
      </w:r>
      <w:r>
        <w:rPr>
          <w:spacing w:val="-35"/>
        </w:rPr>
        <w:t> </w:t>
      </w:r>
      <w:r>
        <w:rPr>
          <w:spacing w:val="-35"/>
        </w:rPr>
      </w:r>
      <w:r>
        <w:rPr/>
        <w:t>整留存收益。</w:t>
      </w:r>
    </w:p>
    <w:p>
      <w:pPr>
        <w:pStyle w:val="BodyText"/>
        <w:spacing w:line="240" w:lineRule="auto" w:before="113"/>
        <w:ind w:left="153" w:right="0"/>
        <w:jc w:val="left"/>
      </w:pPr>
      <w:r>
        <w:rPr/>
        <w:t>（</w:t>
      </w:r>
      <w:r>
        <w:rPr>
          <w:rFonts w:ascii="Times New Roman" w:hAnsi="Times New Roman" w:cs="Times New Roman" w:eastAsia="Times New Roman" w:hint="default"/>
        </w:rPr>
        <w:t>3</w:t>
      </w:r>
      <w:r>
        <w:rPr/>
        <w:t>）丧失子公司控制权的处理</w:t>
      </w:r>
    </w:p>
    <w:p>
      <w:pPr>
        <w:spacing w:line="240" w:lineRule="auto" w:before="7"/>
        <w:rPr>
          <w:rFonts w:ascii="宋体" w:hAnsi="宋体" w:cs="宋体" w:eastAsia="宋体" w:hint="default"/>
          <w:sz w:val="20"/>
          <w:szCs w:val="20"/>
        </w:rPr>
      </w:pPr>
    </w:p>
    <w:p>
      <w:pPr>
        <w:pStyle w:val="BodyText"/>
        <w:spacing w:line="326" w:lineRule="auto"/>
        <w:ind w:left="153" w:right="107" w:firstLine="420"/>
        <w:jc w:val="both"/>
      </w:pPr>
      <w:r>
        <w:rPr/>
        <w:t>因处置部分股权投资或其他原因丧失了对原有子公司控制权的，剩余股权按照其在丧失控制权日的公 允价值进行重新计量；处置股权取得的对价与剩余股权公允价值之和，减去按原持股比例计算应享有原子 </w:t>
      </w:r>
      <w:r>
        <w:rPr>
          <w:spacing w:val="-3"/>
        </w:rPr>
        <w:t>公司自购买日开始持续计算的净资产的份额之间的差额，计入丧失控制权当期的投资收益，同时冲减商誉。</w:t>
      </w:r>
    </w:p>
    <w:p>
      <w:pPr>
        <w:pStyle w:val="BodyText"/>
        <w:spacing w:line="326" w:lineRule="auto" w:before="144"/>
        <w:ind w:left="153" w:right="212" w:firstLine="420"/>
        <w:jc w:val="both"/>
      </w:pPr>
      <w:r>
        <w:rPr>
          <w:spacing w:val="-1"/>
        </w:rPr>
        <w:t>与原有子公司的股权投资相关的其他综合收益、其他所有者权益变动，应当在丧失控制权时转入当期</w:t>
      </w:r>
      <w:r>
        <w:rPr/>
        <w:t> 损益，由于被投资方重新计量设定收益计划净负债或净资产变动而产生的其他综合收益除外。</w:t>
      </w:r>
    </w:p>
    <w:p>
      <w:pPr>
        <w:pStyle w:val="BodyText"/>
        <w:spacing w:line="240" w:lineRule="auto" w:before="113"/>
        <w:ind w:left="153" w:right="0"/>
        <w:jc w:val="left"/>
      </w:pPr>
      <w:r>
        <w:rPr/>
        <w:t>（</w:t>
      </w:r>
      <w:r>
        <w:rPr>
          <w:rFonts w:ascii="Times New Roman" w:hAnsi="Times New Roman" w:cs="Times New Roman" w:eastAsia="Times New Roman" w:hint="default"/>
        </w:rPr>
        <w:t>4</w:t>
      </w:r>
      <w:r>
        <w:rPr/>
        <w:t>）分步处置股权至丧失控制权的特殊处理</w:t>
      </w:r>
    </w:p>
    <w:p>
      <w:pPr>
        <w:spacing w:line="240" w:lineRule="auto" w:before="7"/>
        <w:rPr>
          <w:rFonts w:ascii="宋体" w:hAnsi="宋体" w:cs="宋体" w:eastAsia="宋体" w:hint="default"/>
          <w:sz w:val="20"/>
          <w:szCs w:val="20"/>
        </w:rPr>
      </w:pPr>
    </w:p>
    <w:p>
      <w:pPr>
        <w:pStyle w:val="BodyText"/>
        <w:spacing w:line="326" w:lineRule="auto"/>
        <w:ind w:left="153" w:right="212" w:firstLine="420"/>
        <w:jc w:val="both"/>
      </w:pPr>
      <w:r>
        <w:rPr>
          <w:spacing w:val="-1"/>
        </w:rPr>
        <w:t>分步处置股权至丧失控制权的各项交易的条款、条件以及经济影响符合以下一种或多种情况，本集团</w:t>
      </w:r>
      <w:r>
        <w:rPr/>
        <w:t> 将多次交易事项作为一揽子交易进行会计处理：</w:t>
      </w:r>
    </w:p>
    <w:p>
      <w:pPr>
        <w:pStyle w:val="BodyText"/>
        <w:spacing w:line="240" w:lineRule="auto" w:before="144"/>
        <w:ind w:left="573" w:right="0"/>
        <w:jc w:val="left"/>
      </w:pPr>
      <w:r>
        <w:rPr/>
        <w:t>①这些交易是同时或者在考虑了彼此影响的情况下订立的；</w:t>
      </w:r>
    </w:p>
    <w:p>
      <w:pPr>
        <w:spacing w:line="240" w:lineRule="auto" w:before="10"/>
        <w:rPr>
          <w:rFonts w:ascii="宋体" w:hAnsi="宋体" w:cs="宋体" w:eastAsia="宋体" w:hint="default"/>
          <w:sz w:val="16"/>
          <w:szCs w:val="16"/>
        </w:rPr>
      </w:pPr>
    </w:p>
    <w:p>
      <w:pPr>
        <w:pStyle w:val="BodyText"/>
        <w:spacing w:line="240" w:lineRule="auto"/>
        <w:ind w:left="573" w:right="0"/>
        <w:jc w:val="left"/>
      </w:pPr>
      <w:r>
        <w:rPr/>
        <w:t>②这些交易整体才能达成一项完整的商业结果；</w:t>
      </w:r>
    </w:p>
    <w:p>
      <w:pPr>
        <w:spacing w:line="240" w:lineRule="auto" w:before="10"/>
        <w:rPr>
          <w:rFonts w:ascii="宋体" w:hAnsi="宋体" w:cs="宋体" w:eastAsia="宋体" w:hint="default"/>
          <w:sz w:val="16"/>
          <w:szCs w:val="16"/>
        </w:rPr>
      </w:pPr>
    </w:p>
    <w:p>
      <w:pPr>
        <w:pStyle w:val="BodyText"/>
        <w:spacing w:line="240" w:lineRule="auto"/>
        <w:ind w:left="573" w:right="0"/>
        <w:jc w:val="left"/>
      </w:pPr>
      <w:r>
        <w:rPr/>
        <w:t>③一项交易的发生取决于其他至少一项交易的发生；</w:t>
      </w:r>
    </w:p>
    <w:p>
      <w:pPr>
        <w:pStyle w:val="BodyText"/>
        <w:spacing w:line="490" w:lineRule="atLeast" w:before="4"/>
        <w:ind w:left="573" w:right="0"/>
        <w:jc w:val="left"/>
      </w:pPr>
      <w:r>
        <w:rPr/>
        <w:t>④一项交易单独看是不经济的，但是和其他交易一并考虑时是经济的。 </w:t>
      </w:r>
      <w:r>
        <w:rPr>
          <w:spacing w:val="-1"/>
        </w:rPr>
        <w:t>分步处置股权至丧失控制权的各项交易，在个别财务报表中，相应结转每一次处置股权相对应的长期</w:t>
      </w:r>
    </w:p>
    <w:p>
      <w:pPr>
        <w:pStyle w:val="BodyText"/>
        <w:spacing w:line="240" w:lineRule="auto" w:before="99"/>
        <w:ind w:left="153" w:right="0"/>
        <w:jc w:val="left"/>
      </w:pPr>
      <w:r>
        <w:rPr/>
        <w:t>股权投资的账面价值，所得价款与处置长期股权投资账面价值之间的差额计入当期投资收益。</w:t>
      </w:r>
    </w:p>
    <w:p>
      <w:pPr>
        <w:spacing w:line="240" w:lineRule="auto" w:before="10"/>
        <w:rPr>
          <w:rFonts w:ascii="宋体" w:hAnsi="宋体" w:cs="宋体" w:eastAsia="宋体" w:hint="default"/>
          <w:sz w:val="16"/>
          <w:szCs w:val="16"/>
        </w:rPr>
      </w:pPr>
    </w:p>
    <w:p>
      <w:pPr>
        <w:pStyle w:val="BodyText"/>
        <w:spacing w:line="326" w:lineRule="auto"/>
        <w:ind w:left="153" w:right="211" w:firstLine="420"/>
        <w:jc w:val="both"/>
      </w:pPr>
      <w:r>
        <w:rPr>
          <w:spacing w:val="-1"/>
        </w:rPr>
        <w:t>在合并财务报表中，分步处置股权至丧失控制权时，剩余股权的计量以及有关处置股权损益的核算比</w:t>
      </w:r>
      <w:r>
        <w:rPr/>
        <w:t> </w:t>
      </w:r>
      <w:r>
        <w:rPr>
          <w:spacing w:val="-1"/>
        </w:rPr>
        <w:t>照上述“丧失子公司控制权的处理”。在丧失控制权之前每一次处置价款与处置投资对应的享有该子公司</w:t>
      </w:r>
      <w:r>
        <w:rPr>
          <w:spacing w:val="-83"/>
        </w:rPr>
        <w:t> </w:t>
      </w:r>
      <w:r>
        <w:rPr>
          <w:spacing w:val="-83"/>
        </w:rPr>
      </w:r>
      <w:r>
        <w:rPr/>
        <w:t>净资产份额的差额：</w:t>
      </w:r>
    </w:p>
    <w:p>
      <w:pPr>
        <w:pStyle w:val="BodyText"/>
        <w:spacing w:line="240" w:lineRule="auto" w:before="144"/>
        <w:ind w:left="574" w:right="0"/>
        <w:jc w:val="left"/>
      </w:pPr>
      <w:r>
        <w:rPr/>
        <w:t>①属于“一揽子交易”的，确认为其他综合收益。在丧失控制权时一并转入丧失控制权当期的损益。</w:t>
      </w:r>
    </w:p>
    <w:p>
      <w:pPr>
        <w:spacing w:line="240" w:lineRule="auto" w:before="10"/>
        <w:rPr>
          <w:rFonts w:ascii="宋体" w:hAnsi="宋体" w:cs="宋体" w:eastAsia="宋体" w:hint="default"/>
          <w:sz w:val="16"/>
          <w:szCs w:val="16"/>
        </w:rPr>
      </w:pPr>
    </w:p>
    <w:p>
      <w:pPr>
        <w:pStyle w:val="BodyText"/>
        <w:spacing w:line="326" w:lineRule="auto"/>
        <w:ind w:right="211" w:firstLine="420"/>
        <w:jc w:val="both"/>
      </w:pPr>
      <w:r>
        <w:rPr>
          <w:spacing w:val="-1"/>
        </w:rPr>
        <w:t>②不属于“一揽子交易”的，作为权益性交易计入资本公积（资本溢价）。在丧失控制权时不得转入</w:t>
      </w:r>
      <w:r>
        <w:rPr/>
        <w:t> 丧失控制权当期的损益。</w:t>
      </w:r>
    </w:p>
    <w:p>
      <w:pPr>
        <w:spacing w:after="0" w:line="326" w:lineRule="auto"/>
        <w:jc w:val="both"/>
        <w:sectPr>
          <w:footerReference w:type="default" r:id="rId30"/>
          <w:pgSz w:w="11910" w:h="16840"/>
          <w:pgMar w:footer="980" w:header="747" w:top="1060" w:bottom="1180" w:left="980" w:right="920"/>
          <w:pgNumType w:start="9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r>
        <w:rPr>
          <w:rFonts w:ascii="Times New Roman" w:hAnsi="Times New Roman" w:cs="Times New Roman" w:eastAsia="Times New Roman" w:hint="default"/>
        </w:rPr>
        <w:t>7</w:t>
      </w:r>
      <w:bookmarkStart w:name="7、合营安排分类及共同经营会计处理方法" w:id="130"/>
      <w:bookmarkEnd w:id="130"/>
      <w:r>
        <w:rPr>
          <w:rFonts w:ascii="Times New Roman" w:hAnsi="Times New Roman" w:cs="Times New Roman" w:eastAsia="Times New Roman" w:hint="default"/>
        </w:rPr>
      </w:r>
      <w:r>
        <w:rPr/>
        <w:t>、合营安排分类及共同经营会计处理方法</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53" w:right="0" w:firstLine="420"/>
        <w:jc w:val="left"/>
      </w:pPr>
      <w:r>
        <w:rPr>
          <w:spacing w:val="-1"/>
        </w:rPr>
        <w:t>合营安排，是指一项由两个或两个以上的参与方共同控制的安排。本集团合营安排分为共同经营和合</w:t>
      </w:r>
      <w:r>
        <w:rPr/>
        <w:t> 营企业。</w:t>
      </w:r>
    </w:p>
    <w:p>
      <w:pPr>
        <w:pStyle w:val="BodyText"/>
        <w:spacing w:line="240" w:lineRule="auto" w:before="113"/>
        <w:ind w:left="153" w:right="0"/>
        <w:jc w:val="both"/>
      </w:pPr>
      <w:r>
        <w:rPr/>
        <w:t>（</w:t>
      </w:r>
      <w:r>
        <w:rPr>
          <w:rFonts w:ascii="Times New Roman" w:hAnsi="Times New Roman" w:cs="Times New Roman" w:eastAsia="Times New Roman" w:hint="default"/>
        </w:rPr>
        <w:t>1</w:t>
      </w:r>
      <w:r>
        <w:rPr/>
        <w:t>）共同经营</w:t>
      </w:r>
    </w:p>
    <w:p>
      <w:pPr>
        <w:spacing w:line="240" w:lineRule="auto" w:before="7"/>
        <w:rPr>
          <w:rFonts w:ascii="宋体" w:hAnsi="宋体" w:cs="宋体" w:eastAsia="宋体" w:hint="default"/>
          <w:sz w:val="20"/>
          <w:szCs w:val="20"/>
        </w:rPr>
      </w:pPr>
    </w:p>
    <w:p>
      <w:pPr>
        <w:pStyle w:val="BodyText"/>
        <w:spacing w:line="432" w:lineRule="auto"/>
        <w:ind w:left="573" w:right="173"/>
        <w:jc w:val="left"/>
      </w:pPr>
      <w:r>
        <w:rPr/>
        <w:t>共同经营是指本集团享有该安排相关资产且承担该安排相关负债的合营安排。 本集团确认与共同经营中利益份额相关的下列项目，并按照相关企业会计准则的规定进行会计处理： </w:t>
      </w:r>
      <w:r>
        <w:rPr>
          <w:rFonts w:ascii="宋体" w:hAnsi="宋体" w:cs="宋体" w:eastAsia="宋体" w:hint="default"/>
        </w:rPr>
        <w:t>A</w:t>
      </w:r>
      <w:r>
        <w:rPr/>
        <w:t>、确认单独所持有的资产，以及按其份额确认共同持有的资产； </w:t>
      </w:r>
      <w:r>
        <w:rPr>
          <w:rFonts w:ascii="宋体" w:hAnsi="宋体" w:cs="宋体" w:eastAsia="宋体" w:hint="default"/>
        </w:rPr>
        <w:t>B</w:t>
      </w:r>
      <w:r>
        <w:rPr/>
        <w:t>、确认单独所承担的负债，以及按其份额确认共同承担的负债； </w:t>
      </w:r>
      <w:r>
        <w:rPr>
          <w:rFonts w:ascii="宋体" w:hAnsi="宋体" w:cs="宋体" w:eastAsia="宋体" w:hint="default"/>
        </w:rPr>
        <w:t>C</w:t>
      </w:r>
      <w:r>
        <w:rPr/>
        <w:t>、确认出售其享有的共同经营产出份额所产生的收入； </w:t>
      </w:r>
      <w:r>
        <w:rPr>
          <w:rFonts w:ascii="宋体" w:hAnsi="宋体" w:cs="宋体" w:eastAsia="宋体" w:hint="default"/>
        </w:rPr>
        <w:t>D</w:t>
      </w:r>
      <w:r>
        <w:rPr/>
        <w:t>、按其份额确认共同经营因出售产出所产生的收入； </w:t>
      </w:r>
      <w:r>
        <w:rPr>
          <w:rFonts w:ascii="宋体" w:hAnsi="宋体" w:cs="宋体" w:eastAsia="宋体" w:hint="default"/>
        </w:rPr>
        <w:t>E</w:t>
      </w:r>
      <w:r>
        <w:rPr/>
        <w:t>、确认单独所发生的费用，以及按其份额确认共同经营发生的费用。</w:t>
      </w:r>
    </w:p>
    <w:p>
      <w:pPr>
        <w:pStyle w:val="BodyText"/>
        <w:spacing w:line="240" w:lineRule="auto" w:before="20"/>
        <w:ind w:right="0"/>
        <w:jc w:val="both"/>
      </w:pPr>
      <w:r>
        <w:rPr/>
        <w:t>（</w:t>
      </w:r>
      <w:r>
        <w:rPr>
          <w:rFonts w:ascii="Times New Roman" w:hAnsi="Times New Roman" w:cs="Times New Roman" w:eastAsia="Times New Roman" w:hint="default"/>
        </w:rPr>
        <w:t>2</w:t>
      </w:r>
      <w:r>
        <w:rPr/>
        <w:t>）合营企业</w:t>
      </w:r>
    </w:p>
    <w:p>
      <w:pPr>
        <w:spacing w:line="240" w:lineRule="auto" w:before="7"/>
        <w:rPr>
          <w:rFonts w:ascii="宋体" w:hAnsi="宋体" w:cs="宋体" w:eastAsia="宋体" w:hint="default"/>
          <w:sz w:val="20"/>
          <w:szCs w:val="20"/>
        </w:rPr>
      </w:pPr>
    </w:p>
    <w:p>
      <w:pPr>
        <w:pStyle w:val="BodyText"/>
        <w:spacing w:line="432" w:lineRule="auto"/>
        <w:ind w:left="574" w:right="1852"/>
        <w:jc w:val="left"/>
      </w:pPr>
      <w:r>
        <w:rPr/>
        <w:t>合营企业是指本集团仅对该安排的净资产享有权利的合营安排。 本集团按照长期股权投资有关权益法核算的规定对合营企业的投资进行会计处理。</w:t>
      </w:r>
    </w:p>
    <w:p>
      <w:pPr>
        <w:spacing w:line="240" w:lineRule="auto" w:before="6"/>
        <w:rPr>
          <w:rFonts w:ascii="宋体" w:hAnsi="宋体" w:cs="宋体" w:eastAsia="宋体" w:hint="default"/>
          <w:sz w:val="15"/>
          <w:szCs w:val="15"/>
        </w:rPr>
      </w:pPr>
    </w:p>
    <w:p>
      <w:pPr>
        <w:pStyle w:val="Heading4"/>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right="97" w:firstLine="420"/>
        <w:jc w:val="left"/>
      </w:pPr>
      <w:r>
        <w:rPr>
          <w:spacing w:val="-3"/>
        </w:rPr>
        <w:t>现金是指库存现金以及可以随时用于支付的存款。现金等价物，是指本集团</w:t>
      </w:r>
      <w:bookmarkStart w:name="8、现金及现金等价物的确定标准" w:id="131"/>
      <w:bookmarkEnd w:id="131"/>
      <w:r>
        <w:rPr>
          <w:spacing w:val="-3"/>
        </w:rPr>
        <w:t>持有的期限短</w:t>
      </w:r>
      <w:r>
        <w:rPr>
          <w:spacing w:val="-3"/>
        </w:rPr>
        <w:t>、流动性强、</w:t>
      </w:r>
      <w:r>
        <w:rPr/>
        <w:t> 易于转换为已知金额现金、价值变动风险很小的投资。</w:t>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pPr>
      <w:r>
        <w:rPr/>
        <w:t>（</w:t>
      </w:r>
      <w:r>
        <w:rPr>
          <w:rFonts w:ascii="Times New Roman" w:hAnsi="Times New Roman" w:cs="Times New Roman" w:eastAsia="Times New Roman" w:hint="default"/>
        </w:rPr>
        <w:t>1</w:t>
      </w:r>
      <w:r>
        <w:rPr/>
        <w:t>）外币业务</w:t>
      </w:r>
    </w:p>
    <w:p>
      <w:pPr>
        <w:pStyle w:val="BodyText"/>
        <w:spacing w:line="490" w:lineRule="atLeast" w:before="53"/>
        <w:ind w:left="574" w:right="0"/>
        <w:jc w:val="left"/>
      </w:pPr>
      <w:r>
        <w:rPr/>
        <w:t>本集团发生外币业务，按交易发生日的即期汇率折算为记账本位币金额。 </w:t>
      </w:r>
      <w:r>
        <w:rPr>
          <w:spacing w:val="-1"/>
        </w:rPr>
        <w:t>资产负债表日，对外币货币性项目，采用资产负债表日即期汇率折算。</w:t>
      </w:r>
      <w:bookmarkStart w:name="9、外币业务和外币报表折算" w:id="132"/>
      <w:bookmarkEnd w:id="132"/>
      <w:r>
        <w:rPr>
          <w:spacing w:val="-1"/>
        </w:rPr>
        <w:t>因资产负债表日即期汇率与初</w:t>
      </w:r>
    </w:p>
    <w:p>
      <w:pPr>
        <w:pStyle w:val="BodyText"/>
        <w:spacing w:line="326" w:lineRule="auto" w:before="99"/>
        <w:ind w:right="211"/>
        <w:jc w:val="both"/>
      </w:pPr>
      <w:r>
        <w:rPr>
          <w:spacing w:val="-1"/>
        </w:rPr>
        <w:t>始确认时或者前一资产负债表日即期汇率不同而产生的汇兑差额，计入当期损益；对以历史成本计量的外</w:t>
      </w:r>
      <w:r>
        <w:rPr>
          <w:spacing w:val="-81"/>
        </w:rPr>
        <w:t> </w:t>
      </w:r>
      <w:r>
        <w:rPr>
          <w:spacing w:val="-81"/>
        </w:rPr>
      </w:r>
      <w:r>
        <w:rPr>
          <w:spacing w:val="-1"/>
        </w:rPr>
        <w:t>币非货币性项目，仍采用交易发生日的即期汇率折算；对以公允价值计量的外币非货币性项目，采用公允</w:t>
      </w:r>
      <w:r>
        <w:rPr>
          <w:spacing w:val="-83"/>
        </w:rPr>
        <w:t> </w:t>
      </w:r>
      <w:r>
        <w:rPr>
          <w:spacing w:val="-83"/>
        </w:rPr>
      </w:r>
      <w:r>
        <w:rPr/>
        <w:t>价值确定日的即期汇率折算，折算后的记账本位币金额与原记账本位币金额的差额，计入当期损益。</w:t>
      </w:r>
    </w:p>
    <w:p>
      <w:pPr>
        <w:pStyle w:val="BodyText"/>
        <w:spacing w:line="240" w:lineRule="auto" w:before="113"/>
        <w:ind w:right="0"/>
        <w:jc w:val="both"/>
      </w:pPr>
      <w:r>
        <w:rPr/>
        <w:t>（</w:t>
      </w:r>
      <w:r>
        <w:rPr>
          <w:rFonts w:ascii="Times New Roman" w:hAnsi="Times New Roman" w:cs="Times New Roman" w:eastAsia="Times New Roman" w:hint="default"/>
        </w:rPr>
        <w:t>2</w:t>
      </w:r>
      <w:r>
        <w:rPr/>
        <w:t>）外币财务报表的折算</w:t>
      </w:r>
    </w:p>
    <w:p>
      <w:pPr>
        <w:spacing w:line="240" w:lineRule="auto" w:before="7"/>
        <w:rPr>
          <w:rFonts w:ascii="宋体" w:hAnsi="宋体" w:cs="宋体" w:eastAsia="宋体" w:hint="default"/>
          <w:sz w:val="20"/>
          <w:szCs w:val="20"/>
        </w:rPr>
      </w:pPr>
    </w:p>
    <w:p>
      <w:pPr>
        <w:pStyle w:val="BodyText"/>
        <w:spacing w:line="326" w:lineRule="auto"/>
        <w:ind w:right="0" w:firstLine="420"/>
        <w:jc w:val="left"/>
      </w:pPr>
      <w:r>
        <w:rPr>
          <w:spacing w:val="-1"/>
        </w:rPr>
        <w:t>资产负债表日，对境外子公司外币财务报表进行折算时，资产负债表中的资产和负债项目，采用资产</w:t>
      </w:r>
      <w:r>
        <w:rPr/>
        <w:t> 负债表日的即期汇率折算，股东权益项目除“未分配利润”外，其他项目采用发生日的即期汇率折算。</w:t>
      </w:r>
    </w:p>
    <w:p>
      <w:pPr>
        <w:pStyle w:val="BodyText"/>
        <w:spacing w:line="240" w:lineRule="auto" w:before="144"/>
        <w:ind w:left="574" w:right="0"/>
        <w:jc w:val="left"/>
      </w:pPr>
      <w:r>
        <w:rPr/>
        <w:t>利润表中的收入和费用项目，采用交易发生日的即期汇率折算。</w:t>
      </w:r>
    </w:p>
    <w:p>
      <w:pPr>
        <w:spacing w:after="0" w:line="240" w:lineRule="auto"/>
        <w:jc w:val="left"/>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326" w:lineRule="auto" w:before="35"/>
        <w:ind w:right="148" w:firstLine="420"/>
        <w:jc w:val="both"/>
      </w:pPr>
      <w:r>
        <w:rPr>
          <w:spacing w:val="3"/>
        </w:rPr>
        <w:t>现金流量表所有项目均按照现金流量发生日的即期汇率折算。汇率变动对现金的影响额作为调节项</w:t>
      </w:r>
      <w:r>
        <w:rPr/>
        <w:t> 目，在现金流量表中单独列示“汇率变动对现金及现金等价物的影响”</w:t>
      </w:r>
      <w:r>
        <w:rPr>
          <w:spacing w:val="-2"/>
        </w:rPr>
        <w:t> </w:t>
      </w:r>
      <w:r>
        <w:rPr/>
        <w:t>项目反映。</w:t>
      </w:r>
    </w:p>
    <w:p>
      <w:pPr>
        <w:pStyle w:val="BodyText"/>
        <w:spacing w:line="240" w:lineRule="auto" w:before="144"/>
        <w:ind w:left="573" w:right="0"/>
        <w:jc w:val="left"/>
      </w:pPr>
      <w:r>
        <w:rPr/>
        <w:t>由于财务报表折算而产生的差额，在资产负债表股东权益项目下的“其他综合收益”项目反映。</w:t>
      </w:r>
    </w:p>
    <w:p>
      <w:pPr>
        <w:spacing w:line="240" w:lineRule="auto" w:before="10"/>
        <w:rPr>
          <w:rFonts w:ascii="宋体" w:hAnsi="宋体" w:cs="宋体" w:eastAsia="宋体" w:hint="default"/>
          <w:sz w:val="16"/>
          <w:szCs w:val="16"/>
        </w:rPr>
      </w:pPr>
    </w:p>
    <w:p>
      <w:pPr>
        <w:pStyle w:val="BodyText"/>
        <w:spacing w:line="326" w:lineRule="auto"/>
        <w:ind w:left="153" w:right="152" w:firstLine="420"/>
        <w:jc w:val="both"/>
      </w:pPr>
      <w:r>
        <w:rPr>
          <w:spacing w:val="-1"/>
        </w:rPr>
        <w:t>处置境外经营并丧失控制权时，将资产负债表中股东权益项目下列示的、与该境外经营相关的外币报</w:t>
      </w:r>
      <w:r>
        <w:rPr/>
        <w:t> 表折算差额，全部或按处置该境外经营的比例转入处置当期损益。</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74" w:right="0"/>
        <w:jc w:val="left"/>
      </w:pPr>
      <w:bookmarkStart w:name="10、金融工具" w:id="133"/>
      <w:bookmarkEnd w:id="133"/>
      <w:r>
        <w:rPr/>
      </w:r>
      <w:r>
        <w:rPr/>
        <w:t>金融工具是指形成一个企业的金融资产，并形成其他单位的金融负债或权益工具的合同。</w:t>
      </w:r>
    </w:p>
    <w:p>
      <w:pPr>
        <w:spacing w:line="240" w:lineRule="auto" w:before="5"/>
        <w:rPr>
          <w:rFonts w:ascii="宋体" w:hAnsi="宋体" w:cs="宋体" w:eastAsia="宋体" w:hint="default"/>
          <w:sz w:val="14"/>
          <w:szCs w:val="14"/>
        </w:rPr>
      </w:pPr>
    </w:p>
    <w:p>
      <w:pPr>
        <w:pStyle w:val="BodyText"/>
        <w:spacing w:line="446" w:lineRule="auto"/>
        <w:ind w:left="574" w:right="3052" w:hanging="420"/>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39"/>
        <w:ind w:left="574" w:right="0"/>
        <w:jc w:val="left"/>
      </w:pPr>
      <w:r>
        <w:rPr/>
        <w:t>①</w:t>
      </w:r>
      <w:r>
        <w:rPr>
          <w:spacing w:val="-2"/>
        </w:rPr>
        <w:t> </w:t>
      </w:r>
      <w:r>
        <w:rPr/>
        <w:t>收取该金融资产现金流量的合同权利终止；</w:t>
      </w:r>
    </w:p>
    <w:p>
      <w:pPr>
        <w:pStyle w:val="BodyText"/>
        <w:spacing w:line="490" w:lineRule="atLeast" w:before="4"/>
        <w:ind w:left="574" w:right="0"/>
        <w:jc w:val="left"/>
      </w:pPr>
      <w:r>
        <w:rPr/>
        <w:t>②</w:t>
      </w:r>
      <w:r>
        <w:rPr>
          <w:spacing w:val="-1"/>
        </w:rPr>
        <w:t> </w:t>
      </w:r>
      <w:r>
        <w:rPr/>
        <w:t>该金融资产已转移，且符合下述金融资产转移的终止确认条件。</w:t>
      </w:r>
      <w:r>
        <w:rPr/>
        <w:t> </w:t>
      </w:r>
      <w:r>
        <w:rPr>
          <w:spacing w:val="-1"/>
        </w:rPr>
        <w:t>金融负债的现时义务全部或部分已经解除的，终止确认该金融负债或其一部分。本集团（债务人）与</w:t>
      </w:r>
    </w:p>
    <w:p>
      <w:pPr>
        <w:pStyle w:val="BodyText"/>
        <w:spacing w:line="326" w:lineRule="auto" w:before="99"/>
        <w:ind w:left="153" w:right="0"/>
        <w:jc w:val="left"/>
      </w:pPr>
      <w:r>
        <w:rPr>
          <w:spacing w:val="-1"/>
        </w:rPr>
        <w:t>债权人之间签订协议，以承担新金融负债方式替换现存金融负债，且新金融负债与现存金融负债的合同条</w:t>
      </w:r>
      <w:r>
        <w:rPr>
          <w:spacing w:val="-81"/>
        </w:rPr>
        <w:t> </w:t>
      </w:r>
      <w:r>
        <w:rPr>
          <w:spacing w:val="-81"/>
        </w:rPr>
      </w:r>
      <w:r>
        <w:rPr/>
        <w:t>款实质上不同的，终止确认现存金融负债，并同时确认新金融负债。</w:t>
      </w:r>
    </w:p>
    <w:p>
      <w:pPr>
        <w:pStyle w:val="BodyText"/>
        <w:spacing w:line="240" w:lineRule="auto" w:before="144"/>
        <w:ind w:left="573" w:right="0"/>
        <w:jc w:val="left"/>
      </w:pPr>
      <w:r>
        <w:rPr/>
        <w:t>以常规方式买卖金融资产，按交易日进行会计确认和终止确认。</w:t>
      </w:r>
    </w:p>
    <w:p>
      <w:pPr>
        <w:spacing w:line="240" w:lineRule="auto" w:before="5"/>
        <w:rPr>
          <w:rFonts w:ascii="宋体" w:hAnsi="宋体" w:cs="宋体" w:eastAsia="宋体" w:hint="default"/>
          <w:sz w:val="14"/>
          <w:szCs w:val="14"/>
        </w:rPr>
      </w:pPr>
    </w:p>
    <w:p>
      <w:pPr>
        <w:pStyle w:val="BodyText"/>
        <w:spacing w:line="240" w:lineRule="auto"/>
        <w:ind w:left="153" w:right="0"/>
        <w:jc w:val="left"/>
      </w:pPr>
      <w:r>
        <w:rPr/>
        <w:t>（</w:t>
      </w:r>
      <w:r>
        <w:rPr>
          <w:rFonts w:ascii="Times New Roman" w:hAnsi="Times New Roman" w:cs="Times New Roman" w:eastAsia="Times New Roman" w:hint="default"/>
        </w:rPr>
        <w:t>2</w:t>
      </w:r>
      <w:r>
        <w:rPr/>
        <w:t>）金融资产分类和计量</w:t>
      </w:r>
    </w:p>
    <w:p>
      <w:pPr>
        <w:spacing w:line="240" w:lineRule="auto" w:before="7"/>
        <w:rPr>
          <w:rFonts w:ascii="宋体" w:hAnsi="宋体" w:cs="宋体" w:eastAsia="宋体" w:hint="default"/>
          <w:sz w:val="20"/>
          <w:szCs w:val="20"/>
        </w:rPr>
      </w:pPr>
    </w:p>
    <w:p>
      <w:pPr>
        <w:pStyle w:val="BodyText"/>
        <w:spacing w:line="326" w:lineRule="auto"/>
        <w:ind w:left="153" w:right="130" w:firstLine="420"/>
        <w:jc w:val="both"/>
      </w:pPr>
      <w:r>
        <w:rPr/>
        <w:t>本集团的金融资产于初始确认时分为以下四类：以公允价值计量且其变动计入当期损益的金融资产、 </w:t>
      </w:r>
      <w:r>
        <w:rPr>
          <w:spacing w:val="-1"/>
        </w:rPr>
        <w:t>持有至到期投资、应收款项、可供出售金融资产。金融资产在初始确认时以公允价值计量。对于以公允价</w:t>
      </w:r>
      <w:r>
        <w:rPr>
          <w:spacing w:val="-86"/>
        </w:rPr>
        <w:t> </w:t>
      </w:r>
      <w:r>
        <w:rPr>
          <w:spacing w:val="-86"/>
        </w:rPr>
      </w:r>
      <w:r>
        <w:rPr>
          <w:spacing w:val="-1"/>
        </w:rPr>
        <w:t>值计量且其变动计入当期损益的金融资产，相关交易费用直接计入当期损益，其他类别的金融资产相关交</w:t>
      </w:r>
      <w:r>
        <w:rPr>
          <w:spacing w:val="-81"/>
        </w:rPr>
        <w:t> </w:t>
      </w:r>
      <w:r>
        <w:rPr>
          <w:spacing w:val="-81"/>
        </w:rPr>
      </w:r>
      <w:r>
        <w:rPr/>
        <w:t>易费用计入其初始确认金额。</w:t>
      </w:r>
    </w:p>
    <w:p>
      <w:pPr>
        <w:pStyle w:val="BodyText"/>
        <w:spacing w:line="240" w:lineRule="auto" w:before="144"/>
        <w:ind w:left="573" w:right="0"/>
        <w:jc w:val="left"/>
      </w:pPr>
      <w:r>
        <w:rPr/>
        <w:t>以公允价值计量且其变动计入当期损益的金融资产：</w:t>
      </w:r>
    </w:p>
    <w:p>
      <w:pPr>
        <w:spacing w:line="240" w:lineRule="auto" w:before="10"/>
        <w:rPr>
          <w:rFonts w:ascii="宋体" w:hAnsi="宋体" w:cs="宋体" w:eastAsia="宋体" w:hint="default"/>
          <w:sz w:val="16"/>
          <w:szCs w:val="16"/>
        </w:rPr>
      </w:pPr>
    </w:p>
    <w:p>
      <w:pPr>
        <w:pStyle w:val="BodyText"/>
        <w:spacing w:line="326" w:lineRule="auto"/>
        <w:ind w:left="153" w:right="151" w:firstLine="420"/>
        <w:jc w:val="both"/>
      </w:pPr>
      <w:r>
        <w:rPr>
          <w:spacing w:val="-1"/>
        </w:rPr>
        <w:t>以公允价值计量且其变动计入当期损益的金融资产，包括交易性金融资产和初始确认时指定为以公允</w:t>
      </w:r>
      <w:r>
        <w:rPr/>
        <w:t> </w:t>
      </w:r>
      <w:r>
        <w:rPr>
          <w:spacing w:val="-1"/>
        </w:rPr>
        <w:t>价值计量且其变动计入当期损益的金融资产。对于此类金融资产，采用公允价值进行后续计量，公允价值</w:t>
      </w:r>
      <w:r>
        <w:rPr>
          <w:spacing w:val="-83"/>
        </w:rPr>
        <w:t> </w:t>
      </w:r>
      <w:r>
        <w:rPr>
          <w:spacing w:val="-83"/>
        </w:rPr>
      </w:r>
      <w:r>
        <w:rPr/>
        <w:t>变动形成的利得或损失以及与该等金融资产相关的股利和利息收入计入当期损益。</w:t>
      </w:r>
    </w:p>
    <w:p>
      <w:pPr>
        <w:pStyle w:val="BodyText"/>
        <w:spacing w:line="240" w:lineRule="auto" w:before="144"/>
        <w:ind w:left="573" w:right="0"/>
        <w:jc w:val="left"/>
      </w:pPr>
      <w:r>
        <w:rPr/>
        <w:t>持有至到期投资：</w:t>
      </w:r>
    </w:p>
    <w:p>
      <w:pPr>
        <w:spacing w:line="240" w:lineRule="auto" w:before="10"/>
        <w:rPr>
          <w:rFonts w:ascii="宋体" w:hAnsi="宋体" w:cs="宋体" w:eastAsia="宋体" w:hint="default"/>
          <w:sz w:val="16"/>
          <w:szCs w:val="16"/>
        </w:rPr>
      </w:pPr>
    </w:p>
    <w:p>
      <w:pPr>
        <w:pStyle w:val="BodyText"/>
        <w:spacing w:line="326" w:lineRule="auto"/>
        <w:ind w:left="153" w:right="151" w:firstLine="420"/>
        <w:jc w:val="both"/>
      </w:pPr>
      <w:r>
        <w:rPr>
          <w:spacing w:val="-1"/>
        </w:rPr>
        <w:t>持有至到期投资，是指到期日固定、回收金额固定或可确定，且本集团有明确意图和能力持有至到期</w:t>
      </w:r>
      <w:r>
        <w:rPr/>
        <w:t> </w:t>
      </w:r>
      <w:r>
        <w:rPr>
          <w:spacing w:val="-1"/>
        </w:rPr>
        <w:t>的非衍生金融资产。持有至到期投资采用实际利率法，按照摊余成本进行后续计量，其终止确认、发生减</w:t>
      </w:r>
      <w:r>
        <w:rPr>
          <w:spacing w:val="-86"/>
        </w:rPr>
        <w:t> </w:t>
      </w:r>
      <w:r>
        <w:rPr>
          <w:spacing w:val="-86"/>
        </w:rPr>
      </w:r>
      <w:r>
        <w:rPr/>
        <w:t>值或摊销产生的利得或损失，均计入当期损益。</w:t>
      </w:r>
    </w:p>
    <w:p>
      <w:pPr>
        <w:pStyle w:val="BodyText"/>
        <w:spacing w:line="240" w:lineRule="auto" w:before="144"/>
        <w:ind w:left="573" w:right="0"/>
        <w:jc w:val="left"/>
      </w:pPr>
      <w:r>
        <w:rPr/>
        <w:t>应收款项：</w:t>
      </w:r>
    </w:p>
    <w:p>
      <w:pPr>
        <w:spacing w:after="0" w:line="240" w:lineRule="auto"/>
        <w:jc w:val="left"/>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319" w:lineRule="auto" w:before="35"/>
        <w:ind w:right="151" w:firstLine="420"/>
        <w:jc w:val="both"/>
      </w:pPr>
      <w:r>
        <w:rPr>
          <w:spacing w:val="-1"/>
        </w:rPr>
        <w:t>应收款项，是指在活跃市场中没有报价、回收金额固定或可确定的非衍生金融资产，包括应收账款和</w:t>
      </w:r>
      <w:r>
        <w:rPr/>
        <w:t> </w:t>
      </w:r>
      <w:r>
        <w:rPr>
          <w:spacing w:val="-1"/>
        </w:rPr>
        <w:t>其他应收款等（附注五、</w:t>
      </w:r>
      <w:r>
        <w:rPr>
          <w:rFonts w:ascii="Times New Roman" w:hAnsi="Times New Roman" w:cs="Times New Roman" w:eastAsia="Times New Roman" w:hint="default"/>
          <w:spacing w:val="-1"/>
        </w:rPr>
        <w:t>11</w:t>
      </w:r>
      <w:r>
        <w:rPr>
          <w:spacing w:val="-1"/>
        </w:rPr>
        <w:t>）。应收款项采用实际利率法，按摊余成本进行后续计量，在终止确认、发生</w:t>
      </w:r>
      <w:r>
        <w:rPr>
          <w:spacing w:val="-85"/>
        </w:rPr>
        <w:t> </w:t>
      </w:r>
      <w:r>
        <w:rPr>
          <w:spacing w:val="-85"/>
        </w:rPr>
      </w:r>
      <w:r>
        <w:rPr/>
        <w:t>减值或摊销时产生的利得或损失，计入当期损益。</w:t>
      </w:r>
    </w:p>
    <w:p>
      <w:pPr>
        <w:pStyle w:val="BodyText"/>
        <w:spacing w:line="494" w:lineRule="exact"/>
        <w:ind w:left="574" w:right="0"/>
        <w:jc w:val="left"/>
      </w:pPr>
      <w:r>
        <w:rPr/>
        <w:t>可供出售金融资产： </w:t>
      </w:r>
      <w:r>
        <w:rPr>
          <w:spacing w:val="-1"/>
        </w:rPr>
        <w:t>可供出售金融资产，是指初始确认时即指定为可供出售的非衍生金融资产，以及除上述金融资产类别</w:t>
      </w:r>
    </w:p>
    <w:p>
      <w:pPr>
        <w:pStyle w:val="BodyText"/>
        <w:spacing w:line="326" w:lineRule="auto" w:before="30"/>
        <w:ind w:right="151"/>
        <w:jc w:val="both"/>
      </w:pPr>
      <w:r>
        <w:rPr>
          <w:spacing w:val="-1"/>
        </w:rPr>
        <w:t>以外的金融资产。可供出售金融资产采用公允价值进行后续计量，其折溢价采用实际利率法摊销并确认为</w:t>
      </w:r>
      <w:r>
        <w:rPr>
          <w:spacing w:val="-81"/>
        </w:rPr>
        <w:t> </w:t>
      </w:r>
      <w:r>
        <w:rPr>
          <w:spacing w:val="-81"/>
        </w:rPr>
      </w:r>
      <w:r>
        <w:rPr>
          <w:spacing w:val="-1"/>
        </w:rPr>
        <w:t>利息收入。除减值损失及外币货币性金融资产的汇兑差额确认为当期损益外，可供出售金融资产的公允价</w:t>
      </w:r>
      <w:r>
        <w:rPr>
          <w:spacing w:val="-81"/>
        </w:rPr>
        <w:t> </w:t>
      </w:r>
      <w:r>
        <w:rPr>
          <w:spacing w:val="-81"/>
        </w:rPr>
      </w:r>
      <w:r>
        <w:rPr>
          <w:spacing w:val="-1"/>
        </w:rPr>
        <w:t>值变动确认为其他综合收益，在该金融资产终止确认时转出，计入当期损益。与可供出售金融资产相关的</w:t>
      </w:r>
      <w:r>
        <w:rPr>
          <w:spacing w:val="-83"/>
        </w:rPr>
        <w:t> </w:t>
      </w:r>
      <w:r>
        <w:rPr>
          <w:spacing w:val="-83"/>
        </w:rPr>
      </w:r>
      <w:r>
        <w:rPr/>
        <w:t>股利或利息收入，计入当期损益。</w:t>
      </w:r>
    </w:p>
    <w:p>
      <w:pPr>
        <w:pStyle w:val="BodyText"/>
        <w:spacing w:line="326" w:lineRule="auto" w:before="144"/>
        <w:ind w:right="152" w:firstLine="420"/>
        <w:jc w:val="both"/>
      </w:pPr>
      <w:r>
        <w:rPr>
          <w:spacing w:val="-1"/>
        </w:rPr>
        <w:t>对于在活跃市场中没有报价且其公允价值不能可靠计量的权益工具投资，以及与该权益工具挂钩并须</w:t>
      </w:r>
      <w:r>
        <w:rPr/>
        <w:t> 通过交付该权益工具结算的衍生金融资产，按成本计量。</w:t>
      </w:r>
    </w:p>
    <w:p>
      <w:pPr>
        <w:pStyle w:val="BodyText"/>
        <w:spacing w:line="240" w:lineRule="auto" w:before="113"/>
        <w:ind w:right="0"/>
        <w:jc w:val="both"/>
      </w:pPr>
      <w:r>
        <w:rPr/>
        <w:t>（</w:t>
      </w:r>
      <w:r>
        <w:rPr>
          <w:rFonts w:ascii="Times New Roman" w:hAnsi="Times New Roman" w:cs="Times New Roman" w:eastAsia="Times New Roman" w:hint="default"/>
        </w:rPr>
        <w:t>3</w:t>
      </w:r>
      <w:r>
        <w:rPr/>
        <w:t>）金融负债分类和计量</w:t>
      </w:r>
    </w:p>
    <w:p>
      <w:pPr>
        <w:spacing w:line="240" w:lineRule="auto" w:before="7"/>
        <w:rPr>
          <w:rFonts w:ascii="宋体" w:hAnsi="宋体" w:cs="宋体" w:eastAsia="宋体" w:hint="default"/>
          <w:sz w:val="20"/>
          <w:szCs w:val="20"/>
        </w:rPr>
      </w:pPr>
    </w:p>
    <w:p>
      <w:pPr>
        <w:pStyle w:val="BodyText"/>
        <w:spacing w:line="326" w:lineRule="auto"/>
        <w:ind w:right="152" w:firstLine="420"/>
        <w:jc w:val="both"/>
      </w:pPr>
      <w:r>
        <w:rPr>
          <w:spacing w:val="-1"/>
        </w:rPr>
        <w:t>本集团的金融负债于初始确认时分类为：以公允价值计量且其变动计入当期损益的金融负债、其他金</w:t>
      </w:r>
      <w:r>
        <w:rPr/>
        <w:t> </w:t>
      </w:r>
      <w:r>
        <w:rPr>
          <w:spacing w:val="-1"/>
        </w:rPr>
        <w:t>融负债。对于未划分为以公允价值计量且其变动计入当期损益的金融负债的，相关交易费用计入其初始确</w:t>
      </w:r>
      <w:r>
        <w:rPr>
          <w:spacing w:val="-81"/>
        </w:rPr>
        <w:t> </w:t>
      </w:r>
      <w:r>
        <w:rPr>
          <w:spacing w:val="-81"/>
        </w:rPr>
      </w:r>
      <w:r>
        <w:rPr/>
        <w:t>认金额。</w:t>
      </w:r>
    </w:p>
    <w:p>
      <w:pPr>
        <w:pStyle w:val="BodyText"/>
        <w:spacing w:line="240" w:lineRule="auto" w:before="144"/>
        <w:ind w:left="574" w:right="0"/>
        <w:jc w:val="left"/>
      </w:pPr>
      <w:r>
        <w:rPr/>
        <w:t>以公允价值计量且其变动计入当期损益的金融负债：</w:t>
      </w:r>
    </w:p>
    <w:p>
      <w:pPr>
        <w:spacing w:line="240" w:lineRule="auto" w:before="10"/>
        <w:rPr>
          <w:rFonts w:ascii="宋体" w:hAnsi="宋体" w:cs="宋体" w:eastAsia="宋体" w:hint="default"/>
          <w:sz w:val="16"/>
          <w:szCs w:val="16"/>
        </w:rPr>
      </w:pPr>
    </w:p>
    <w:p>
      <w:pPr>
        <w:pStyle w:val="BodyText"/>
        <w:spacing w:line="326" w:lineRule="auto"/>
        <w:ind w:right="151" w:firstLine="420"/>
        <w:jc w:val="both"/>
      </w:pPr>
      <w:r>
        <w:rPr>
          <w:spacing w:val="-1"/>
        </w:rPr>
        <w:t>以公允价值计量且其变动计入当期损益的金融负债，包括交易性金融负债和初始确认时指定为以公允</w:t>
      </w:r>
      <w:r>
        <w:rPr/>
        <w:t> </w:t>
      </w:r>
      <w:r>
        <w:rPr>
          <w:spacing w:val="-1"/>
        </w:rPr>
        <w:t>价值计量且其变动计入当期损益的金融负债。对于此类金融负债，按照公允价值进行后续计量，公允价值</w:t>
      </w:r>
      <w:r>
        <w:rPr>
          <w:spacing w:val="-83"/>
        </w:rPr>
        <w:t> </w:t>
      </w:r>
      <w:r>
        <w:rPr>
          <w:spacing w:val="-83"/>
        </w:rPr>
      </w:r>
      <w:r>
        <w:rPr/>
        <w:t>变动形成的利得或损失以及与该等金融负债相关的股利和利息支出计入当期损益。</w:t>
      </w:r>
    </w:p>
    <w:p>
      <w:pPr>
        <w:pStyle w:val="BodyText"/>
        <w:spacing w:line="240" w:lineRule="auto" w:before="144"/>
        <w:ind w:left="574" w:right="0"/>
        <w:jc w:val="left"/>
      </w:pPr>
      <w:r>
        <w:rPr/>
        <w:t>其他金融负债：</w:t>
      </w:r>
    </w:p>
    <w:p>
      <w:pPr>
        <w:spacing w:line="240" w:lineRule="auto" w:before="10"/>
        <w:rPr>
          <w:rFonts w:ascii="宋体" w:hAnsi="宋体" w:cs="宋体" w:eastAsia="宋体" w:hint="default"/>
          <w:sz w:val="16"/>
          <w:szCs w:val="16"/>
        </w:rPr>
      </w:pPr>
    </w:p>
    <w:p>
      <w:pPr>
        <w:pStyle w:val="BodyText"/>
        <w:spacing w:line="326" w:lineRule="auto"/>
        <w:ind w:right="152" w:firstLine="420"/>
        <w:jc w:val="both"/>
      </w:pPr>
      <w:r>
        <w:rPr>
          <w:spacing w:val="-1"/>
        </w:rPr>
        <w:t>与在活跃市场中没有报价、公允价值不能可靠计量的权益工具挂钩并须通过交付该权益工具结算的衍</w:t>
      </w:r>
      <w:r>
        <w:rPr/>
        <w:t> </w:t>
      </w: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BodyText"/>
        <w:spacing w:line="240" w:lineRule="auto" w:before="113"/>
        <w:ind w:right="0"/>
        <w:jc w:val="both"/>
      </w:pPr>
      <w:r>
        <w:rPr/>
        <w:t>（</w:t>
      </w:r>
      <w:r>
        <w:rPr>
          <w:rFonts w:ascii="Times New Roman" w:hAnsi="Times New Roman" w:cs="Times New Roman" w:eastAsia="Times New Roman" w:hint="default"/>
        </w:rPr>
        <w:t>4</w:t>
      </w:r>
      <w:r>
        <w:rPr/>
        <w:t>）金融工具的公允价值</w:t>
      </w:r>
    </w:p>
    <w:p>
      <w:pPr>
        <w:spacing w:line="240" w:lineRule="auto" w:before="7"/>
        <w:rPr>
          <w:rFonts w:ascii="宋体" w:hAnsi="宋体" w:cs="宋体" w:eastAsia="宋体" w:hint="default"/>
          <w:sz w:val="16"/>
          <w:szCs w:val="16"/>
        </w:rPr>
      </w:pPr>
    </w:p>
    <w:p>
      <w:pPr>
        <w:pStyle w:val="BodyText"/>
        <w:spacing w:line="240" w:lineRule="auto"/>
        <w:ind w:right="151" w:hanging="1"/>
        <w:jc w:val="both"/>
      </w:pPr>
      <w:r>
        <w:rPr>
          <w:spacing w:val="-1"/>
        </w:rPr>
        <w:t>金融资产和金融负债的公允价值确定方法：存在活跃市场的金融资产或金融负债，本集团采用活跃市场中</w:t>
      </w:r>
      <w:r>
        <w:rPr>
          <w:spacing w:val="-81"/>
        </w:rPr>
        <w:t> </w:t>
      </w:r>
      <w:r>
        <w:rPr>
          <w:spacing w:val="-81"/>
        </w:rPr>
      </w:r>
      <w:r>
        <w:rPr/>
        <w:t>的报价确定其公允价值。金融工具不存在活跃市场的，本集团采用估值技术确定其公允价值。</w:t>
      </w:r>
    </w:p>
    <w:p>
      <w:pPr>
        <w:spacing w:line="240" w:lineRule="auto" w:before="0"/>
        <w:rPr>
          <w:rFonts w:ascii="宋体" w:hAnsi="宋体" w:cs="宋体" w:eastAsia="宋体" w:hint="default"/>
          <w:sz w:val="25"/>
          <w:szCs w:val="25"/>
        </w:rPr>
      </w:pPr>
    </w:p>
    <w:p>
      <w:pPr>
        <w:pStyle w:val="BodyText"/>
        <w:spacing w:line="408" w:lineRule="auto"/>
        <w:ind w:left="574" w:right="0" w:hanging="420"/>
        <w:jc w:val="left"/>
      </w:pPr>
      <w:r>
        <w:rPr/>
        <w:t>（</w:t>
      </w:r>
      <w:r>
        <w:rPr>
          <w:rFonts w:ascii="Times New Roman" w:hAnsi="Times New Roman" w:cs="Times New Roman" w:eastAsia="Times New Roman" w:hint="default"/>
        </w:rPr>
        <w:t>5</w:t>
      </w:r>
      <w:r>
        <w:rPr/>
        <w:t>）金融资产减值 </w:t>
      </w:r>
      <w:r>
        <w:rPr>
          <w:spacing w:val="-1"/>
        </w:rPr>
        <w:t>除了以公允价值计量且其变动计入当期损益的金融资产外，本集团于资产负债表日对其他金融资产的</w:t>
      </w:r>
    </w:p>
    <w:p>
      <w:pPr>
        <w:pStyle w:val="BodyText"/>
        <w:spacing w:line="227" w:lineRule="exact"/>
        <w:ind w:right="0"/>
        <w:jc w:val="both"/>
      </w:pPr>
      <w:r>
        <w:rPr/>
        <w:t>账面价值进行检查，有客观证据表明该金融资产发生减值的，计提减值准备。表明金融资产发生减值的客</w:t>
      </w:r>
    </w:p>
    <w:p>
      <w:pPr>
        <w:pStyle w:val="BodyText"/>
        <w:spacing w:line="326" w:lineRule="auto" w:before="99"/>
        <w:ind w:right="151"/>
        <w:jc w:val="both"/>
      </w:pPr>
      <w:r>
        <w:rPr>
          <w:spacing w:val="-1"/>
        </w:rPr>
        <w:t>观证据，是指金融资产初始确认后实际发生的、对该金融资产的预计未来现金流量有影响，且企业能够对</w:t>
      </w:r>
      <w:r>
        <w:rPr>
          <w:spacing w:val="-83"/>
        </w:rPr>
        <w:t> </w:t>
      </w:r>
      <w:r>
        <w:rPr>
          <w:spacing w:val="-83"/>
        </w:rPr>
      </w:r>
      <w:r>
        <w:rPr/>
        <w:t>该影响进行可靠计量的事项。</w:t>
      </w:r>
    </w:p>
    <w:p>
      <w:pPr>
        <w:pStyle w:val="BodyText"/>
        <w:spacing w:line="240" w:lineRule="auto" w:before="144"/>
        <w:ind w:left="574" w:right="0"/>
        <w:jc w:val="left"/>
      </w:pPr>
      <w:r>
        <w:rPr/>
        <w:t>金融资产发生减值的客观证据，包括下列可观察到的情形：</w:t>
      </w:r>
    </w:p>
    <w:p>
      <w:pPr>
        <w:spacing w:after="0" w:line="240" w:lineRule="auto"/>
        <w:jc w:val="left"/>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240" w:lineRule="auto" w:before="35"/>
        <w:ind w:left="574" w:right="0"/>
        <w:jc w:val="left"/>
      </w:pPr>
      <w:r>
        <w:rPr/>
        <w:t>①发行方或债务人发生严重财务困难；</w:t>
      </w:r>
    </w:p>
    <w:p>
      <w:pPr>
        <w:spacing w:line="240" w:lineRule="auto" w:before="10"/>
        <w:rPr>
          <w:rFonts w:ascii="宋体" w:hAnsi="宋体" w:cs="宋体" w:eastAsia="宋体" w:hint="default"/>
          <w:sz w:val="16"/>
          <w:szCs w:val="16"/>
        </w:rPr>
      </w:pPr>
    </w:p>
    <w:p>
      <w:pPr>
        <w:pStyle w:val="BodyText"/>
        <w:spacing w:line="240" w:lineRule="auto"/>
        <w:ind w:left="574" w:right="0"/>
        <w:jc w:val="left"/>
      </w:pPr>
      <w:r>
        <w:rPr/>
        <w:t>②债务人违反了合同条款，如偿付利息或本金发生违约或逾期等；</w:t>
      </w:r>
    </w:p>
    <w:p>
      <w:pPr>
        <w:spacing w:line="240" w:lineRule="auto" w:before="10"/>
        <w:rPr>
          <w:rFonts w:ascii="宋体" w:hAnsi="宋体" w:cs="宋体" w:eastAsia="宋体" w:hint="default"/>
          <w:sz w:val="16"/>
          <w:szCs w:val="16"/>
        </w:rPr>
      </w:pPr>
    </w:p>
    <w:p>
      <w:pPr>
        <w:pStyle w:val="BodyText"/>
        <w:spacing w:line="240" w:lineRule="auto"/>
        <w:ind w:left="574" w:right="0"/>
        <w:jc w:val="left"/>
      </w:pPr>
      <w:r>
        <w:rPr/>
        <w:t>③本集团出于经济或法律等方面因素的考虑，对发生财务困难的债务人作出让步；</w:t>
      </w:r>
    </w:p>
    <w:p>
      <w:pPr>
        <w:spacing w:line="240" w:lineRule="auto" w:before="10"/>
        <w:rPr>
          <w:rFonts w:ascii="宋体" w:hAnsi="宋体" w:cs="宋体" w:eastAsia="宋体" w:hint="default"/>
          <w:sz w:val="16"/>
          <w:szCs w:val="16"/>
        </w:rPr>
      </w:pPr>
    </w:p>
    <w:p>
      <w:pPr>
        <w:pStyle w:val="BodyText"/>
        <w:spacing w:line="240" w:lineRule="auto"/>
        <w:ind w:left="574" w:right="0"/>
        <w:jc w:val="left"/>
      </w:pPr>
      <w:r>
        <w:rPr/>
        <w:t>④债务人很可能倒闭或者进行其他财务重组；</w:t>
      </w:r>
    </w:p>
    <w:p>
      <w:pPr>
        <w:spacing w:line="240" w:lineRule="auto" w:before="10"/>
        <w:rPr>
          <w:rFonts w:ascii="宋体" w:hAnsi="宋体" w:cs="宋体" w:eastAsia="宋体" w:hint="default"/>
          <w:sz w:val="16"/>
          <w:szCs w:val="16"/>
        </w:rPr>
      </w:pPr>
    </w:p>
    <w:p>
      <w:pPr>
        <w:pStyle w:val="BodyText"/>
        <w:spacing w:line="240" w:lineRule="auto"/>
        <w:ind w:left="574" w:right="0"/>
        <w:jc w:val="left"/>
      </w:pPr>
      <w:r>
        <w:rPr/>
        <w:t>⑤因发行方发生重大财务困难，导致金融资产无法在活跃市场继续交易；</w:t>
      </w:r>
    </w:p>
    <w:p>
      <w:pPr>
        <w:spacing w:line="240" w:lineRule="auto" w:before="10"/>
        <w:rPr>
          <w:rFonts w:ascii="宋体" w:hAnsi="宋体" w:cs="宋体" w:eastAsia="宋体" w:hint="default"/>
          <w:sz w:val="16"/>
          <w:szCs w:val="16"/>
        </w:rPr>
      </w:pPr>
    </w:p>
    <w:p>
      <w:pPr>
        <w:pStyle w:val="BodyText"/>
        <w:spacing w:line="326" w:lineRule="auto"/>
        <w:ind w:right="152" w:firstLine="420"/>
        <w:jc w:val="both"/>
      </w:pPr>
      <w:r>
        <w:rPr>
          <w:spacing w:val="-1"/>
        </w:rPr>
        <w:t>⑥无法辨认一组金融资产中的某项资产的现金流量是否已经减少，但根据公开的数据对其进行总体评</w:t>
      </w:r>
      <w:r>
        <w:rPr/>
        <w:t> 价后发现，该组金融资产自初始确认以来的预计未来现金流量确已减少且可计量，包括：</w:t>
      </w:r>
    </w:p>
    <w:p>
      <w:pPr>
        <w:pStyle w:val="BodyText"/>
        <w:spacing w:line="432" w:lineRule="auto" w:before="144"/>
        <w:ind w:left="574" w:right="2422"/>
        <w:jc w:val="left"/>
      </w:pPr>
      <w:r>
        <w:rPr/>
        <w:t>该组金融资产的债务人支付能力逐步恶化； 债务人所在国家或地区经济出现了可能导致该组金融资产无法支付的状况；</w:t>
      </w:r>
    </w:p>
    <w:p>
      <w:pPr>
        <w:pStyle w:val="BodyText"/>
        <w:spacing w:line="326" w:lineRule="auto" w:before="51"/>
        <w:ind w:right="151" w:firstLine="420"/>
        <w:jc w:val="both"/>
      </w:pPr>
      <w:r>
        <w:rPr>
          <w:spacing w:val="-1"/>
        </w:rPr>
        <w:t>⑦债务人经营所处的技术、市场、经济或法律环境等发生重大不利变化，使权益工具投资人可能无法</w:t>
      </w:r>
      <w:r>
        <w:rPr/>
        <w:t> 收回投资成本；</w:t>
      </w:r>
    </w:p>
    <w:p>
      <w:pPr>
        <w:pStyle w:val="BodyText"/>
        <w:spacing w:line="432" w:lineRule="auto" w:before="144"/>
        <w:ind w:left="574" w:right="5362"/>
        <w:jc w:val="left"/>
      </w:pPr>
      <w:r>
        <w:rPr/>
        <w:t>⑧其他表明金融资产发生减值的客观证据。 以摊余成本计量的金融资产：</w:t>
      </w:r>
    </w:p>
    <w:p>
      <w:pPr>
        <w:pStyle w:val="BodyText"/>
        <w:spacing w:line="326" w:lineRule="auto" w:before="51"/>
        <w:ind w:right="152" w:firstLine="420"/>
        <w:jc w:val="both"/>
      </w:pPr>
      <w:r>
        <w:rPr>
          <w:spacing w:val="-1"/>
        </w:rPr>
        <w:t>如果有客观证据表明该金融资产发生减值，则将该金融资产的账面价值减记至预计未来现金流量（不</w:t>
      </w:r>
      <w:r>
        <w:rPr/>
        <w:t> </w:t>
      </w:r>
      <w:r>
        <w:rPr>
          <w:spacing w:val="-1"/>
        </w:rPr>
        <w:t>包括尚未发生的未来信用损失）现值，减记金额计入当期损益。预计未来现金流量现值，按照该金融资产</w:t>
      </w:r>
      <w:r>
        <w:rPr>
          <w:spacing w:val="-86"/>
        </w:rPr>
        <w:t> </w:t>
      </w:r>
      <w:r>
        <w:rPr>
          <w:spacing w:val="-86"/>
        </w:rPr>
      </w:r>
      <w:r>
        <w:rPr/>
        <w:t>原实际利率折现确定，并考虑相关担保物的价值。</w:t>
      </w:r>
    </w:p>
    <w:p>
      <w:pPr>
        <w:pStyle w:val="BodyText"/>
        <w:spacing w:line="326" w:lineRule="auto" w:before="144"/>
        <w:ind w:right="151" w:firstLine="420"/>
        <w:jc w:val="both"/>
      </w:pPr>
      <w:r>
        <w:rPr>
          <w:spacing w:val="-1"/>
        </w:rPr>
        <w:t>对单项金额重大的金融资产单独进行减值测试，如有客观证据表明其已发生减值，确认减值损失，计</w:t>
      </w:r>
      <w:r>
        <w:rPr/>
        <w:t> </w:t>
      </w:r>
      <w:r>
        <w:rPr>
          <w:spacing w:val="-1"/>
        </w:rPr>
        <w:t>入当期损益。对单项金额不重大的金融资产，包括在具有类似信用风险特征的金融资产组合中进行减值测</w:t>
      </w:r>
      <w:r>
        <w:rPr>
          <w:spacing w:val="-81"/>
        </w:rPr>
        <w:t> </w:t>
      </w:r>
      <w:r>
        <w:rPr>
          <w:spacing w:val="-81"/>
        </w:rPr>
      </w:r>
      <w:r>
        <w:rPr>
          <w:spacing w:val="-1"/>
        </w:rPr>
        <w:t>试。单独测试未发生减值的金融资产（包括单项金额重大和不重大的金融资产），包括在具有类似信用风</w:t>
      </w:r>
      <w:r>
        <w:rPr>
          <w:spacing w:val="-86"/>
        </w:rPr>
        <w:t> </w:t>
      </w:r>
      <w:r>
        <w:rPr>
          <w:spacing w:val="-86"/>
        </w:rPr>
      </w:r>
      <w:r>
        <w:rPr>
          <w:spacing w:val="-1"/>
        </w:rPr>
        <w:t>险特征的金融资产组合中再进行减值测试。已单项确认减值损失的金融资产，不包括在具有类似信用风险</w:t>
      </w:r>
      <w:r>
        <w:rPr>
          <w:spacing w:val="-81"/>
        </w:rPr>
        <w:t> </w:t>
      </w:r>
      <w:r>
        <w:rPr>
          <w:spacing w:val="-81"/>
        </w:rPr>
      </w:r>
      <w:r>
        <w:rPr/>
        <w:t>特征的金融资产组合中进行减值测试。</w:t>
      </w:r>
    </w:p>
    <w:p>
      <w:pPr>
        <w:pStyle w:val="BodyText"/>
        <w:spacing w:line="326" w:lineRule="auto" w:before="144"/>
        <w:ind w:right="152" w:firstLine="420"/>
        <w:jc w:val="both"/>
      </w:pPr>
      <w:r>
        <w:rPr>
          <w:spacing w:val="-1"/>
        </w:rPr>
        <w:t>本集团对以摊余成本计量的金融资产确认减值损失后，如有客观证据表明该金融资产价值已恢复，且</w:t>
      </w:r>
      <w:r>
        <w:rPr/>
        <w:t> </w:t>
      </w:r>
      <w:r>
        <w:rPr>
          <w:spacing w:val="-1"/>
        </w:rPr>
        <w:t>客观上与确认该损失后发生的事项有关，原确认的减值损失予以转回，计入当期损益。但是，该转回后的</w:t>
      </w:r>
      <w:r>
        <w:rPr>
          <w:spacing w:val="-86"/>
        </w:rPr>
        <w:t> </w:t>
      </w:r>
      <w:r>
        <w:rPr>
          <w:spacing w:val="-86"/>
        </w:rPr>
      </w:r>
      <w:r>
        <w:rPr/>
        <w:t>账面价值不超过假定不计提减值准备情况下该金融资产在转回日的摊余成本。</w:t>
      </w:r>
    </w:p>
    <w:p>
      <w:pPr>
        <w:pStyle w:val="BodyText"/>
        <w:spacing w:line="240" w:lineRule="auto" w:before="144"/>
        <w:ind w:left="574" w:right="0"/>
        <w:jc w:val="left"/>
      </w:pPr>
      <w:r>
        <w:rPr/>
        <w:t>可供出售金融资产：</w:t>
      </w:r>
    </w:p>
    <w:p>
      <w:pPr>
        <w:spacing w:line="240" w:lineRule="auto" w:before="10"/>
        <w:rPr>
          <w:rFonts w:ascii="宋体" w:hAnsi="宋体" w:cs="宋体" w:eastAsia="宋体" w:hint="default"/>
          <w:sz w:val="16"/>
          <w:szCs w:val="16"/>
        </w:rPr>
      </w:pPr>
    </w:p>
    <w:p>
      <w:pPr>
        <w:pStyle w:val="BodyText"/>
        <w:spacing w:line="326" w:lineRule="auto"/>
        <w:ind w:right="152" w:firstLine="420"/>
        <w:jc w:val="both"/>
      </w:pPr>
      <w:r>
        <w:rPr>
          <w:spacing w:val="-1"/>
        </w:rPr>
        <w:t>如果有客观证据表明该金融资产发生减值，原直接计入其他综合收益的因公允价值下降形成的累计损</w:t>
      </w:r>
      <w:r>
        <w:rPr/>
        <w:t> </w:t>
      </w:r>
      <w:r>
        <w:rPr>
          <w:spacing w:val="-1"/>
        </w:rPr>
        <w:t>失，予以转出，计入当期损益。该转出的累计损失，为可供出售金融资产的初始取得成本扣除已收回本金</w:t>
      </w:r>
      <w:r>
        <w:rPr>
          <w:spacing w:val="-86"/>
        </w:rPr>
        <w:t> </w:t>
      </w:r>
      <w:r>
        <w:rPr>
          <w:spacing w:val="-86"/>
        </w:rPr>
      </w:r>
      <w:r>
        <w:rPr/>
        <w:t>和已摊销金额、当前公允价值和原已计入损益的减值损失后的余额。</w:t>
      </w:r>
    </w:p>
    <w:p>
      <w:pPr>
        <w:pStyle w:val="BodyText"/>
        <w:spacing w:line="326" w:lineRule="auto" w:before="144"/>
        <w:ind w:right="151" w:firstLine="420"/>
        <w:jc w:val="both"/>
      </w:pPr>
      <w:r>
        <w:rPr>
          <w:spacing w:val="-1"/>
        </w:rPr>
        <w:t>对于已确认减值损失的可供出售债务工具，在随后的会计期间公允价值已上升且客观上与确认原减值</w:t>
      </w:r>
      <w:r>
        <w:rPr/>
        <w:t> </w:t>
      </w:r>
      <w:r>
        <w:rPr>
          <w:spacing w:val="-1"/>
        </w:rPr>
        <w:t>损失确认后发生的事项有关的，原确认的减值损失予以转回，计入当期损益。可供出售权益工具投资发生</w:t>
      </w:r>
      <w:r>
        <w:rPr>
          <w:spacing w:val="-83"/>
        </w:rPr>
        <w:t> </w:t>
      </w:r>
      <w:r>
        <w:rPr>
          <w:spacing w:val="-83"/>
        </w:rPr>
      </w:r>
      <w:r>
        <w:rPr/>
        <w:t>的减值损失，不通过损益转回。</w:t>
      </w:r>
    </w:p>
    <w:p>
      <w:pPr>
        <w:spacing w:after="0" w:line="326" w:lineRule="auto"/>
        <w:jc w:val="both"/>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240" w:lineRule="auto" w:before="35"/>
        <w:ind w:left="574" w:right="0"/>
        <w:jc w:val="left"/>
      </w:pPr>
      <w:r>
        <w:rPr/>
        <w:t>以成本计量的金融资产：</w:t>
      </w:r>
    </w:p>
    <w:p>
      <w:pPr>
        <w:spacing w:line="240" w:lineRule="auto" w:before="10"/>
        <w:rPr>
          <w:rFonts w:ascii="宋体" w:hAnsi="宋体" w:cs="宋体" w:eastAsia="宋体" w:hint="default"/>
          <w:sz w:val="16"/>
          <w:szCs w:val="16"/>
        </w:rPr>
      </w:pPr>
    </w:p>
    <w:p>
      <w:pPr>
        <w:pStyle w:val="BodyText"/>
        <w:spacing w:line="326" w:lineRule="auto"/>
        <w:ind w:right="151" w:firstLine="420"/>
        <w:jc w:val="both"/>
      </w:pPr>
      <w:r>
        <w:rPr>
          <w:spacing w:val="-1"/>
        </w:rPr>
        <w:t>在活跃市场中没有报价且其公允价值不能可靠计量的权益工具投资，或与该权益工具挂钩并须通过交</w:t>
      </w:r>
      <w:r>
        <w:rPr/>
        <w:t> </w:t>
      </w:r>
      <w:r>
        <w:rPr>
          <w:spacing w:val="-1"/>
        </w:rPr>
        <w:t>付该权益工具结算的衍生金融资产发生减值时，将该金融资产的账面价值，与按照类似金融资产当时市场</w:t>
      </w:r>
      <w:r>
        <w:rPr>
          <w:spacing w:val="-81"/>
        </w:rPr>
        <w:t> </w:t>
      </w:r>
      <w:r>
        <w:rPr>
          <w:spacing w:val="-81"/>
        </w:rPr>
      </w:r>
      <w:r>
        <w:rPr>
          <w:spacing w:val="-1"/>
        </w:rPr>
        <w:t>收益率对未来现金流量折现确定的现值之间的差额，确认为减值损失，计入当期损益。发生的减值损失一</w:t>
      </w:r>
      <w:r>
        <w:rPr>
          <w:spacing w:val="-83"/>
        </w:rPr>
        <w:t> </w:t>
      </w:r>
      <w:r>
        <w:rPr>
          <w:spacing w:val="-83"/>
        </w:rPr>
      </w:r>
      <w:r>
        <w:rPr/>
        <w:t>经确认，不得转回。</w:t>
      </w:r>
    </w:p>
    <w:p>
      <w:pPr>
        <w:pStyle w:val="Heading3"/>
        <w:spacing w:line="240" w:lineRule="auto"/>
        <w:ind w:right="0"/>
        <w:jc w:val="left"/>
      </w:pPr>
      <w:r>
        <w:rPr/>
        <w:t>（</w:t>
      </w:r>
      <w:r>
        <w:rPr>
          <w:rFonts w:ascii="Times New Roman" w:hAnsi="Times New Roman" w:cs="Times New Roman" w:eastAsia="Times New Roman" w:hint="default"/>
        </w:rPr>
        <w:t>6</w:t>
      </w:r>
      <w:r>
        <w:rPr/>
        <w:t>）金融资产转移</w:t>
      </w:r>
    </w:p>
    <w:p>
      <w:pPr>
        <w:pStyle w:val="BodyText"/>
        <w:spacing w:line="490" w:lineRule="atLeast" w:before="36"/>
        <w:ind w:left="574" w:right="0"/>
        <w:jc w:val="left"/>
      </w:pPr>
      <w:r>
        <w:rPr/>
        <w:t>金融资产转移，是指将金融资产让与或交付给该金融资产发行方以外的另一方（转入方）。 </w:t>
      </w:r>
      <w:r>
        <w:rPr>
          <w:spacing w:val="-1"/>
        </w:rPr>
        <w:t>本集团已将金融资产所有权上几乎所有的风险和报酬转移给转入方的，终止确认该金融资产；保留了</w:t>
      </w:r>
    </w:p>
    <w:p>
      <w:pPr>
        <w:pStyle w:val="BodyText"/>
        <w:spacing w:line="240" w:lineRule="auto" w:before="99"/>
        <w:ind w:right="0"/>
        <w:jc w:val="left"/>
      </w:pPr>
      <w:r>
        <w:rPr/>
        <w:t>金融资产所有权上几乎所有的风险和报酬的，不终止确认该金融资产。</w:t>
      </w:r>
    </w:p>
    <w:p>
      <w:pPr>
        <w:spacing w:line="240" w:lineRule="auto" w:before="10"/>
        <w:rPr>
          <w:rFonts w:ascii="宋体" w:hAnsi="宋体" w:cs="宋体" w:eastAsia="宋体" w:hint="default"/>
          <w:sz w:val="16"/>
          <w:szCs w:val="16"/>
        </w:rPr>
      </w:pPr>
    </w:p>
    <w:p>
      <w:pPr>
        <w:pStyle w:val="BodyText"/>
        <w:spacing w:line="326" w:lineRule="auto"/>
        <w:ind w:right="151" w:firstLine="420"/>
        <w:jc w:val="both"/>
      </w:pPr>
      <w:r>
        <w:rPr>
          <w:spacing w:val="-1"/>
        </w:rPr>
        <w:t>本集团既没有转移也没有保留金融资产所有权上几乎所有的风险和报酬的，分别下列情况处理：放弃</w:t>
      </w:r>
      <w:r>
        <w:rPr/>
        <w:t> </w:t>
      </w:r>
      <w:r>
        <w:rPr>
          <w:spacing w:val="-1"/>
        </w:rPr>
        <w:t>了对该金融资产控制的，终止确认该金融资产并确认产生的资产和负债；未放弃对该金融资产控制的，按</w:t>
      </w:r>
      <w:r>
        <w:rPr>
          <w:spacing w:val="-83"/>
        </w:rPr>
        <w:t> </w:t>
      </w:r>
      <w:r>
        <w:rPr>
          <w:spacing w:val="-83"/>
        </w:rPr>
      </w:r>
      <w:r>
        <w:rPr/>
        <w:t>照其继续涉入所转移金融资产的程度确认有关金融资产，并相应确认有关负债。</w:t>
      </w:r>
    </w:p>
    <w:p>
      <w:pPr>
        <w:pStyle w:val="Heading3"/>
        <w:spacing w:line="240" w:lineRule="auto"/>
        <w:ind w:right="0"/>
        <w:jc w:val="left"/>
      </w:pPr>
      <w:r>
        <w:rPr/>
        <w:t>（</w:t>
      </w:r>
      <w:r>
        <w:rPr>
          <w:rFonts w:ascii="Times New Roman" w:hAnsi="Times New Roman" w:cs="Times New Roman" w:eastAsia="Times New Roman" w:hint="default"/>
        </w:rPr>
        <w:t>7</w:t>
      </w:r>
      <w:r>
        <w:rPr/>
        <w:t>）金融资产和金融负债的抵销</w:t>
      </w:r>
    </w:p>
    <w:p>
      <w:pPr>
        <w:spacing w:line="240" w:lineRule="auto" w:before="3"/>
        <w:rPr>
          <w:rFonts w:ascii="宋体" w:hAnsi="宋体" w:cs="宋体" w:eastAsia="宋体" w:hint="default"/>
          <w:sz w:val="19"/>
          <w:szCs w:val="19"/>
        </w:rPr>
      </w:pPr>
    </w:p>
    <w:p>
      <w:pPr>
        <w:pStyle w:val="BodyText"/>
        <w:spacing w:line="326" w:lineRule="auto"/>
        <w:ind w:right="152" w:firstLine="420"/>
        <w:jc w:val="both"/>
      </w:pPr>
      <w:r>
        <w:rPr>
          <w:spacing w:val="-1"/>
        </w:rPr>
        <w:t>当本集团具有抵销已确认金融资产和金融负债的法定权利，且目前可执行该种法定权利，同时本集团</w:t>
      </w:r>
      <w:r>
        <w:rPr/>
        <w:t> </w:t>
      </w: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Heading3"/>
        <w:spacing w:line="240" w:lineRule="auto"/>
        <w:ind w:right="0"/>
        <w:jc w:val="left"/>
      </w:pPr>
      <w:r>
        <w:rPr/>
        <w:t>公允价值计量</w:t>
      </w:r>
    </w:p>
    <w:p>
      <w:pPr>
        <w:spacing w:line="240" w:lineRule="auto" w:before="8"/>
        <w:rPr>
          <w:rFonts w:ascii="宋体" w:hAnsi="宋体" w:cs="宋体" w:eastAsia="宋体" w:hint="default"/>
          <w:sz w:val="20"/>
          <w:szCs w:val="20"/>
        </w:rPr>
      </w:pPr>
    </w:p>
    <w:p>
      <w:pPr>
        <w:pStyle w:val="BodyText"/>
        <w:spacing w:line="326" w:lineRule="auto"/>
        <w:ind w:right="152" w:firstLine="420"/>
        <w:jc w:val="both"/>
      </w:pPr>
      <w:r>
        <w:rPr>
          <w:spacing w:val="-1"/>
        </w:rPr>
        <w:t>公允价值是指市场参与者在计量日发生的有序交易中，出售一项资产所能收到或者转移一项负债所需</w:t>
      </w:r>
      <w:r>
        <w:rPr/>
        <w:t> 支付的价格。</w:t>
      </w:r>
    </w:p>
    <w:p>
      <w:pPr>
        <w:pStyle w:val="BodyText"/>
        <w:spacing w:line="326" w:lineRule="auto" w:before="144"/>
        <w:ind w:left="153" w:right="150" w:firstLine="420"/>
        <w:jc w:val="both"/>
      </w:pPr>
      <w:r>
        <w:rPr>
          <w:spacing w:val="-1"/>
        </w:rPr>
        <w:t>本集团以公允价值计量相关资产或负债，假定出售资产或者转移负债的有序交易在相关资产或负债的</w:t>
      </w:r>
      <w:r>
        <w:rPr/>
        <w:t> </w:t>
      </w:r>
      <w:r>
        <w:rPr>
          <w:spacing w:val="-5"/>
        </w:rPr>
        <w:t>主要市场进行；不存在主要市场的，本集团假定该交易在相关资产或负债的最有利市场进行。主要市场（或</w:t>
      </w:r>
      <w:r>
        <w:rPr>
          <w:spacing w:val="-102"/>
        </w:rPr>
        <w:t> </w:t>
      </w:r>
      <w:r>
        <w:rPr>
          <w:spacing w:val="-102"/>
        </w:rPr>
      </w:r>
      <w:r>
        <w:rPr>
          <w:spacing w:val="-1"/>
        </w:rPr>
        <w:t>最有利市场）是本集团在计量日能够进入的交易市场。本集团采用市场参与者在对该资产或负债定价时为</w:t>
      </w:r>
      <w:r>
        <w:rPr>
          <w:spacing w:val="-81"/>
        </w:rPr>
        <w:t> </w:t>
      </w:r>
      <w:r>
        <w:rPr>
          <w:spacing w:val="-81"/>
        </w:rPr>
      </w:r>
      <w:r>
        <w:rPr/>
        <w:t>实现其经济利益最大化所使用的假设。</w:t>
      </w:r>
    </w:p>
    <w:p>
      <w:pPr>
        <w:pStyle w:val="BodyText"/>
        <w:spacing w:line="326" w:lineRule="auto" w:before="144"/>
        <w:ind w:left="153" w:right="151" w:firstLine="420"/>
        <w:jc w:val="both"/>
      </w:pPr>
      <w:r>
        <w:rPr>
          <w:spacing w:val="-1"/>
        </w:rPr>
        <w:t>存在活跃市场的金融资产或金融负债，本集团采用活跃市场中的报价确定其公允价值。金融工具不存</w:t>
      </w:r>
      <w:r>
        <w:rPr/>
        <w:t> 在活跃市场的，本集团采用估值技术确定其公允价值。</w:t>
      </w:r>
    </w:p>
    <w:p>
      <w:pPr>
        <w:pStyle w:val="BodyText"/>
        <w:spacing w:line="326" w:lineRule="auto" w:before="144"/>
        <w:ind w:left="153" w:right="152" w:firstLine="420"/>
        <w:jc w:val="both"/>
      </w:pPr>
      <w:r>
        <w:rPr>
          <w:spacing w:val="-1"/>
        </w:rPr>
        <w:t>以公允价值计量非金融资产的，考虑市场参与者将该资产用于最佳用途产生经济利益的能力，或者将</w:t>
      </w:r>
      <w:r>
        <w:rPr/>
        <w:t> 该资产出售给能够用于最佳用途的其他市场参与者产生经济利益的能力。</w:t>
      </w:r>
    </w:p>
    <w:p>
      <w:pPr>
        <w:pStyle w:val="BodyText"/>
        <w:spacing w:line="326" w:lineRule="auto" w:before="144"/>
        <w:ind w:left="153" w:right="152" w:firstLine="420"/>
        <w:jc w:val="both"/>
      </w:pPr>
      <w:r>
        <w:rPr>
          <w:spacing w:val="-1"/>
        </w:rPr>
        <w:t>本集团采用在当前情况下适用并且有足够可利用数据和其他信息支持的估值技术，优先使用相关可观</w:t>
      </w:r>
      <w:r>
        <w:rPr/>
        <w:t> 察输入值，只有在可观察输入值无法取得或取得不切实可行的情况下，才使用不可观察输入值。</w:t>
      </w:r>
    </w:p>
    <w:p>
      <w:pPr>
        <w:pStyle w:val="BodyText"/>
        <w:spacing w:line="326" w:lineRule="auto" w:before="144"/>
        <w:ind w:left="153" w:right="151" w:firstLine="420"/>
        <w:jc w:val="both"/>
      </w:pPr>
      <w:r>
        <w:rPr>
          <w:spacing w:val="-1"/>
        </w:rPr>
        <w:t>在财务报表中以公允价值计量或披露的资产和负债，根据对公允价值计量整体而言具有重要意义的最</w:t>
      </w:r>
      <w:r>
        <w:rPr/>
        <w:t> </w:t>
      </w:r>
      <w:r>
        <w:rPr>
          <w:spacing w:val="-1"/>
        </w:rPr>
        <w:t>低层次输入值，确定所属的公允价值层次：第一层次输入值，是在计量日能够取得的相同资产或负债在活</w:t>
      </w:r>
      <w:r>
        <w:rPr>
          <w:spacing w:val="-83"/>
        </w:rPr>
        <w:t> </w:t>
      </w:r>
      <w:r>
        <w:rPr>
          <w:spacing w:val="-83"/>
        </w:rPr>
      </w:r>
      <w:r>
        <w:rPr>
          <w:spacing w:val="-1"/>
        </w:rPr>
        <w:t>跃市场上未经调整的报价；第二层次输入值，是除第一层次输入值外相关资产或负债直接或间接可观察的</w:t>
      </w:r>
    </w:p>
    <w:p>
      <w:pPr>
        <w:spacing w:after="0" w:line="326" w:lineRule="auto"/>
        <w:jc w:val="both"/>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240" w:lineRule="auto" w:before="35"/>
        <w:ind w:right="0"/>
        <w:jc w:val="left"/>
      </w:pPr>
      <w:bookmarkStart w:name="（3）单项金额不重大但单独计提坏账准备的应收款项" w:id="134"/>
      <w:bookmarkEnd w:id="134"/>
      <w:r>
        <w:rPr/>
      </w:r>
      <w:r>
        <w:rPr/>
        <w:t>输入值；第三层次输入值，是相关资产或负债的不可观察输入值。</w:t>
      </w:r>
    </w:p>
    <w:p>
      <w:pPr>
        <w:spacing w:line="240" w:lineRule="auto" w:before="10"/>
        <w:rPr>
          <w:rFonts w:ascii="宋体" w:hAnsi="宋体" w:cs="宋体" w:eastAsia="宋体" w:hint="default"/>
          <w:sz w:val="16"/>
          <w:szCs w:val="16"/>
        </w:rPr>
      </w:pPr>
    </w:p>
    <w:p>
      <w:pPr>
        <w:pStyle w:val="BodyText"/>
        <w:spacing w:line="326" w:lineRule="auto"/>
        <w:ind w:right="112" w:firstLine="420"/>
        <w:jc w:val="left"/>
      </w:pPr>
      <w:r>
        <w:rPr/>
        <w:t>每个资产负债表日，本集团对在财务报表中确认的持续以公允价值计量的资产和负债进行重新评估， 以确定是否在公允价值计量层次之间发生转换。</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w:t>
      </w:r>
      <w:bookmarkStart w:name="11、应收款项" w:id="135"/>
      <w:bookmarkEnd w:id="135"/>
      <w:r>
        <w:rPr/>
        <w:t>重大并单</w:t>
      </w:r>
      <w:r>
        <w:rPr/>
        <w:t>独</w:t>
      </w:r>
      <w:bookmarkStart w:name="（1）单项金额重大并单独计提坏账准备的应收款项" w:id="136"/>
      <w:bookmarkEnd w:id="136"/>
      <w:r>
        <w:rPr/>
        <w:t>计提坏账</w:t>
      </w:r>
      <w:r>
        <w:rPr/>
        <w:t>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85"/>
        <w:gridCol w:w="7583"/>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单项金额重大的判断依 据或金额标准</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将单个欠款单位金额在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万元）以上的应收账款或单个欠款单位金额在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万元）以上的其他应收款，确定为单项金额重大的应收款项。</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提坏账准备的计提方法</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对于单项金额重大的应收款项单独进行减值测试，有客观证据表明发生了减值，根据其未来现金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流量现值低于其账面价值的差额计提坏账准备。单项金额重大经单独测试未发生减值的应收款 项，再按组合计提坏账准备。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bookmarkStart w:name="（2）按信用风险特征组合计提坏账准备的应收款项" w:id="137"/>
            <w:bookmarkEnd w:id="137"/>
            <w:r>
              <w:rPr/>
            </w: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销售货款及其他</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信用风险较小</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26"/>
        <w:ind w:right="0"/>
        <w:jc w:val="left"/>
      </w:pPr>
      <w:r>
        <w:rPr/>
        <w:t>组合中，采用账龄分析法计提坏账准备的：</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26"/>
        <w:ind w:right="0"/>
        <w:jc w:val="left"/>
      </w:pPr>
      <w:r>
        <w:rPr/>
        <w:t>组合中，采用余额百分比法计提坏账准备的：</w:t>
      </w:r>
    </w:p>
    <w:p>
      <w:pPr>
        <w:pStyle w:val="BodyText"/>
        <w:spacing w:line="290" w:lineRule="auto" w:before="78"/>
        <w:ind w:right="5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组合中，采用其他方法计提坏账准备的：</w:t>
      </w:r>
    </w:p>
    <w:p>
      <w:pPr>
        <w:spacing w:line="240" w:lineRule="auto" w:before="8"/>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员工暂借款及其他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27"/>
        <w:gridCol w:w="7441"/>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单个欠款单位金额在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万元以下，但有证据表明难以收回的应收账款或单个欠款单位金额在</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127"/>
        <w:gridCol w:w="7441"/>
      </w:tblGrid>
      <w:tr>
        <w:trPr>
          <w:trHeight w:val="362" w:hRule="exact"/>
        </w:trPr>
        <w:tc>
          <w:tcPr>
            <w:tcW w:w="212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万元以下，但有证据表明难以收回的其他应收款。</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3、划分为持有待售资产" w:id="138"/>
      <w:bookmarkEnd w:id="138"/>
      <w:r>
        <w:rPr>
          <w:b w:val="0"/>
          <w:bCs w:val="0"/>
        </w:rPr>
      </w:r>
      <w:bookmarkStart w:name="14、长期股权投资" w:id="139"/>
      <w:bookmarkEnd w:id="139"/>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460" w:lineRule="auto"/>
        <w:ind w:left="574" w:right="322" w:hanging="420"/>
        <w:jc w:val="left"/>
      </w:pPr>
      <w:r>
        <w:rPr/>
        <w:t>（</w:t>
      </w:r>
      <w:r>
        <w:rPr>
          <w:rFonts w:ascii="Times New Roman" w:hAnsi="Times New Roman" w:cs="Times New Roman" w:eastAsia="Times New Roman" w:hint="default"/>
        </w:rPr>
        <w:t>1</w:t>
      </w:r>
      <w:bookmarkStart w:name="12、存货" w:id="140"/>
      <w:bookmarkEnd w:id="140"/>
      <w:r>
        <w:rPr>
          <w:rFonts w:ascii="Times New Roman" w:hAnsi="Times New Roman" w:cs="Times New Roman" w:eastAsia="Times New Roman" w:hint="default"/>
        </w:rPr>
      </w:r>
      <w:r>
        <w:rPr/>
        <w:t>）存货的分类 本集团存货分为原材料、委托加工材料、周转材料、在产品、库存商品、发出商品、工程施工等。</w:t>
      </w:r>
    </w:p>
    <w:p>
      <w:pPr>
        <w:pStyle w:val="BodyText"/>
        <w:spacing w:line="286" w:lineRule="exact"/>
        <w:ind w:right="0"/>
        <w:jc w:val="left"/>
      </w:pPr>
      <w:r>
        <w:rPr/>
        <w:t>（</w:t>
      </w:r>
      <w:r>
        <w:rPr>
          <w:rFonts w:ascii="Times New Roman" w:hAnsi="Times New Roman" w:cs="Times New Roman" w:eastAsia="Times New Roman" w:hint="default"/>
        </w:rPr>
        <w:t>2</w:t>
      </w:r>
      <w:r>
        <w:rPr/>
        <w:t>）发出存货的计价方法</w:t>
      </w:r>
    </w:p>
    <w:p>
      <w:pPr>
        <w:spacing w:line="240" w:lineRule="auto" w:before="7"/>
        <w:rPr>
          <w:rFonts w:ascii="宋体" w:hAnsi="宋体" w:cs="宋体" w:eastAsia="宋体" w:hint="default"/>
          <w:sz w:val="20"/>
          <w:szCs w:val="20"/>
        </w:rPr>
      </w:pPr>
    </w:p>
    <w:p>
      <w:pPr>
        <w:pStyle w:val="BodyText"/>
        <w:spacing w:line="326" w:lineRule="auto"/>
        <w:ind w:right="153" w:firstLine="420"/>
        <w:jc w:val="both"/>
      </w:pPr>
      <w:r>
        <w:rPr>
          <w:spacing w:val="-1"/>
        </w:rPr>
        <w:t>本集团存货取得时按实际成本计价。原材料、在产品、库存商品、发出商品等发出时采用加权平均法</w:t>
      </w:r>
      <w:r>
        <w:rPr/>
        <w:t> 计价。</w:t>
      </w:r>
    </w:p>
    <w:p>
      <w:pPr>
        <w:pStyle w:val="BodyText"/>
        <w:spacing w:line="326" w:lineRule="auto" w:before="144"/>
        <w:ind w:right="151" w:firstLine="420"/>
        <w:jc w:val="both"/>
      </w:pPr>
      <w:r>
        <w:rPr>
          <w:spacing w:val="-1"/>
        </w:rPr>
        <w:t>工程施工成本的具体核算方法为：按照单个项目为核算对象，分别归集所发生的实际施工成本，包括</w:t>
      </w:r>
      <w:r>
        <w:rPr/>
        <w:t> </w:t>
      </w:r>
      <w:r>
        <w:rPr>
          <w:spacing w:val="-1"/>
        </w:rPr>
        <w:t>材料、人工、其他费用等。年末或者项目完工时，按照完工进度确认收入的同时结转该项目相应进度的项</w:t>
      </w:r>
      <w:r>
        <w:rPr>
          <w:spacing w:val="-85"/>
        </w:rPr>
        <w:t> </w:t>
      </w:r>
      <w:r>
        <w:rPr>
          <w:spacing w:val="-85"/>
        </w:rPr>
      </w:r>
      <w:r>
        <w:rPr/>
        <w:t>目成本。</w:t>
      </w:r>
    </w:p>
    <w:p>
      <w:pPr>
        <w:pStyle w:val="BodyText"/>
        <w:spacing w:line="240" w:lineRule="auto" w:before="113"/>
        <w:ind w:right="0"/>
        <w:jc w:val="left"/>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7"/>
        <w:rPr>
          <w:rFonts w:ascii="宋体" w:hAnsi="宋体" w:cs="宋体" w:eastAsia="宋体" w:hint="default"/>
          <w:sz w:val="20"/>
          <w:szCs w:val="20"/>
        </w:rPr>
      </w:pPr>
    </w:p>
    <w:p>
      <w:pPr>
        <w:pStyle w:val="BodyText"/>
        <w:spacing w:line="326" w:lineRule="auto"/>
        <w:ind w:right="151" w:firstLine="420"/>
        <w:jc w:val="both"/>
      </w:pPr>
      <w:r>
        <w:rPr>
          <w:spacing w:val="-1"/>
        </w:rPr>
        <w:t>存货可变现净值是按存货的估计售价减去至完工时估计将要发生的成本、估计的销售费用以及相关税</w:t>
      </w:r>
      <w:r>
        <w:rPr/>
        <w:t> </w:t>
      </w:r>
      <w:r>
        <w:rPr>
          <w:spacing w:val="-1"/>
        </w:rPr>
        <w:t>费后的金额。在确定存货的可变现净值时，以取得的确凿证据为基础，同时考虑持有存货的目的以及资产</w:t>
      </w:r>
      <w:r>
        <w:rPr>
          <w:spacing w:val="-83"/>
        </w:rPr>
        <w:t> </w:t>
      </w:r>
      <w:r>
        <w:rPr>
          <w:spacing w:val="-83"/>
        </w:rPr>
      </w:r>
      <w:r>
        <w:rPr/>
        <w:t>负债表日后事项的影响。</w:t>
      </w:r>
    </w:p>
    <w:p>
      <w:pPr>
        <w:pStyle w:val="BodyText"/>
        <w:spacing w:line="326" w:lineRule="auto" w:before="144"/>
        <w:ind w:right="151" w:firstLine="420"/>
        <w:jc w:val="both"/>
      </w:pPr>
      <w:r>
        <w:rPr>
          <w:spacing w:val="-1"/>
        </w:rPr>
        <w:t>资产负债表日，存货成本高于其可变现净值的，计提存货跌价准备。本集团通常按照单个存货项目计</w:t>
      </w:r>
      <w:r>
        <w:rPr/>
        <w:t> </w:t>
      </w:r>
      <w:r>
        <w:rPr>
          <w:spacing w:val="-1"/>
        </w:rPr>
        <w:t>提存货跌价准备，资产负债表日，以前减记存货价值的影响因素已经消失的，存货跌价准备在原已计提的</w:t>
      </w:r>
      <w:r>
        <w:rPr>
          <w:spacing w:val="-83"/>
        </w:rPr>
        <w:t> </w:t>
      </w:r>
      <w:r>
        <w:rPr>
          <w:spacing w:val="-83"/>
        </w:rPr>
      </w:r>
      <w:r>
        <w:rPr/>
        <w:t>金额内转回。</w:t>
      </w:r>
    </w:p>
    <w:p>
      <w:pPr>
        <w:pStyle w:val="BodyText"/>
        <w:spacing w:line="326" w:lineRule="auto" w:before="144"/>
        <w:ind w:right="153" w:firstLine="420"/>
        <w:jc w:val="both"/>
      </w:pPr>
      <w:r>
        <w:rPr>
          <w:spacing w:val="-1"/>
        </w:rPr>
        <w:t>对于工程施工成本，年末按照预计项目总成本超过项目预计总收入（扣除相关税费）的部分，计提存</w:t>
      </w:r>
      <w:r>
        <w:rPr/>
        <w:t> 货跌价准备，在项目完工时，转销存货跌价准备，计入当期损益。</w:t>
      </w:r>
    </w:p>
    <w:p>
      <w:pPr>
        <w:pStyle w:val="BodyText"/>
        <w:spacing w:line="460" w:lineRule="auto" w:before="113"/>
        <w:ind w:left="574" w:right="5782" w:hanging="420"/>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460" w:lineRule="auto"/>
        <w:ind w:left="574" w:right="4942" w:hanging="420"/>
        <w:jc w:val="left"/>
      </w:pPr>
      <w:r>
        <w:rPr/>
        <w:t>（</w:t>
      </w:r>
      <w:r>
        <w:rPr>
          <w:rFonts w:ascii="Times New Roman" w:hAnsi="Times New Roman" w:cs="Times New Roman" w:eastAsia="Times New Roman" w:hint="default"/>
        </w:rPr>
        <w:t>5</w:t>
      </w:r>
      <w:r>
        <w:rPr/>
        <w:t>）低值易耗品的摊销方法 本集团低值易耗品领用时采用一次转销法摊销。</w:t>
      </w:r>
    </w:p>
    <w:p>
      <w:pPr>
        <w:pStyle w:val="Heading4"/>
        <w:spacing w:line="530" w:lineRule="auto" w:before="176"/>
        <w:ind w:left="574" w:right="7454" w:hanging="420"/>
        <w:jc w:val="left"/>
        <w:rPr>
          <w:rFonts w:ascii="宋体" w:hAnsi="宋体" w:cs="宋体" w:eastAsia="宋体" w:hint="default"/>
          <w:b w:val="0"/>
          <w:bCs w:val="0"/>
        </w:rPr>
      </w:pPr>
      <w:r>
        <w:rPr>
          <w:rFonts w:ascii="Times New Roman" w:hAnsi="Times New Roman" w:cs="Times New Roman" w:eastAsia="Times New Roman" w:hint="default"/>
        </w:rPr>
        <w:t>13</w:t>
      </w:r>
      <w:r>
        <w:rPr/>
        <w:t>、划分为持有待售资产</w:t>
      </w:r>
      <w:r>
        <w:rPr>
          <w:spacing w:val="1"/>
          <w:w w:val="99"/>
        </w:rPr>
        <w:t> </w:t>
      </w:r>
      <w:r>
        <w:rPr>
          <w:rFonts w:ascii="宋体" w:hAnsi="宋体" w:cs="宋体" w:eastAsia="宋体" w:hint="default"/>
          <w:b w:val="0"/>
          <w:bCs w:val="0"/>
        </w:rPr>
        <w:t>无。</w:t>
      </w:r>
    </w:p>
    <w:p>
      <w:pPr>
        <w:pStyle w:val="BodyText"/>
        <w:spacing w:line="530" w:lineRule="auto" w:before="115"/>
        <w:ind w:left="574" w:right="0" w:hanging="420"/>
        <w:jc w:val="left"/>
      </w:pP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spacing w:val="1"/>
          <w:w w:val="99"/>
        </w:rPr>
        <w:t> </w:t>
      </w:r>
      <w:r>
        <w:rPr>
          <w:spacing w:val="-1"/>
        </w:rPr>
        <w:t>本集团长期股权投资包括对被投资单位实施控制、重大影响的权益性投资，以及对合营企业的权益性</w:t>
      </w:r>
    </w:p>
    <w:p>
      <w:pPr>
        <w:spacing w:after="0" w:line="530" w:lineRule="auto"/>
        <w:jc w:val="left"/>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240" w:lineRule="auto" w:before="35"/>
        <w:ind w:right="0"/>
        <w:jc w:val="left"/>
      </w:pPr>
      <w:r>
        <w:rPr/>
        <w:t>投资。本集团能够对被投资单位施加重大影响的，为本集团的联营企业。</w:t>
      </w:r>
    </w:p>
    <w:p>
      <w:pPr>
        <w:spacing w:line="240" w:lineRule="auto" w:before="5"/>
        <w:rPr>
          <w:rFonts w:ascii="宋体" w:hAnsi="宋体" w:cs="宋体" w:eastAsia="宋体" w:hint="default"/>
          <w:sz w:val="14"/>
          <w:szCs w:val="14"/>
        </w:rPr>
      </w:pPr>
    </w:p>
    <w:p>
      <w:pPr>
        <w:pStyle w:val="BodyText"/>
        <w:spacing w:line="240" w:lineRule="auto"/>
        <w:ind w:right="0"/>
        <w:jc w:val="left"/>
      </w:pPr>
      <w:r>
        <w:rPr/>
        <w:t>（</w:t>
      </w:r>
      <w:r>
        <w:rPr>
          <w:rFonts w:ascii="Times New Roman" w:hAnsi="Times New Roman" w:cs="Times New Roman" w:eastAsia="Times New Roman" w:hint="default"/>
        </w:rPr>
        <w:t>1</w:t>
      </w:r>
      <w:r>
        <w:rPr/>
        <w:t>）投资成本确定</w:t>
      </w:r>
    </w:p>
    <w:p>
      <w:pPr>
        <w:spacing w:line="240" w:lineRule="auto" w:before="7"/>
        <w:rPr>
          <w:rFonts w:ascii="宋体" w:hAnsi="宋体" w:cs="宋体" w:eastAsia="宋体" w:hint="default"/>
          <w:sz w:val="20"/>
          <w:szCs w:val="20"/>
        </w:rPr>
      </w:pPr>
    </w:p>
    <w:p>
      <w:pPr>
        <w:pStyle w:val="BodyText"/>
        <w:spacing w:line="326" w:lineRule="auto"/>
        <w:ind w:right="212" w:firstLine="420"/>
        <w:jc w:val="both"/>
      </w:pPr>
      <w:r>
        <w:rPr>
          <w:spacing w:val="-1"/>
        </w:rPr>
        <w:t>对于企业合并形成的长期股权投资：同一控制下企业合并取得的长期股权投资，在合并日按照取得被</w:t>
      </w:r>
      <w:r>
        <w:rPr/>
        <w:t> </w:t>
      </w:r>
      <w:r>
        <w:rPr>
          <w:spacing w:val="-1"/>
        </w:rPr>
        <w:t>合并方所有者权益在最终控制方合并财务报表中的账面价值份额作为投资成本；非同一控制下企业合并取</w:t>
      </w:r>
      <w:r>
        <w:rPr>
          <w:spacing w:val="-81"/>
        </w:rPr>
        <w:t> </w:t>
      </w:r>
      <w:r>
        <w:rPr>
          <w:spacing w:val="-81"/>
        </w:rPr>
      </w:r>
      <w:r>
        <w:rPr/>
        <w:t>得的长期股权投资，按照合并成本作为长期股权投资的投资成本。</w:t>
      </w:r>
    </w:p>
    <w:p>
      <w:pPr>
        <w:pStyle w:val="BodyText"/>
        <w:spacing w:line="326" w:lineRule="auto" w:before="144"/>
        <w:ind w:right="212" w:firstLine="420"/>
        <w:jc w:val="both"/>
      </w:pPr>
      <w:r>
        <w:rPr>
          <w:spacing w:val="-1"/>
        </w:rPr>
        <w:t>对于以企业合并以外的其他方式取得的长期股权投资：支付现金取得的长期股权投资，按照实际支付</w:t>
      </w:r>
      <w:r>
        <w:rPr/>
        <w:t> </w:t>
      </w:r>
      <w:r>
        <w:rPr>
          <w:spacing w:val="-1"/>
        </w:rPr>
        <w:t>的购买价款作为初始投资成本；发行权益性证券取得的长期股权投资，以发行权益性证券的公允价值作为</w:t>
      </w:r>
      <w:r>
        <w:rPr>
          <w:spacing w:val="-81"/>
        </w:rPr>
        <w:t> </w:t>
      </w:r>
      <w:r>
        <w:rPr>
          <w:spacing w:val="-81"/>
        </w:rPr>
      </w:r>
      <w:r>
        <w:rPr/>
        <w:t>初始投资成本。</w:t>
      </w:r>
    </w:p>
    <w:p>
      <w:pPr>
        <w:pStyle w:val="BodyText"/>
        <w:spacing w:line="240" w:lineRule="auto" w:before="113"/>
        <w:ind w:right="0"/>
        <w:jc w:val="left"/>
      </w:pPr>
      <w:r>
        <w:rPr/>
        <w:t>（</w:t>
      </w:r>
      <w:r>
        <w:rPr>
          <w:rFonts w:ascii="Times New Roman" w:hAnsi="Times New Roman" w:cs="Times New Roman" w:eastAsia="Times New Roman" w:hint="default"/>
        </w:rPr>
        <w:t>2</w:t>
      </w:r>
      <w:r>
        <w:rPr/>
        <w:t>）后续计量及损益确认方法</w:t>
      </w:r>
    </w:p>
    <w:p>
      <w:pPr>
        <w:spacing w:line="240" w:lineRule="auto" w:before="7"/>
        <w:rPr>
          <w:rFonts w:ascii="宋体" w:hAnsi="宋体" w:cs="宋体" w:eastAsia="宋体" w:hint="default"/>
          <w:sz w:val="20"/>
          <w:szCs w:val="20"/>
        </w:rPr>
      </w:pPr>
    </w:p>
    <w:p>
      <w:pPr>
        <w:pStyle w:val="BodyText"/>
        <w:spacing w:line="326" w:lineRule="auto"/>
        <w:ind w:right="212" w:firstLine="420"/>
        <w:jc w:val="both"/>
      </w:pPr>
      <w:r>
        <w:rPr>
          <w:spacing w:val="-1"/>
        </w:rPr>
        <w:t>本集团能够对被投资单位实施控制的长期股权投资采用成本法核算；对联营企业和合营企业的投资采</w:t>
      </w:r>
      <w:r>
        <w:rPr/>
        <w:t> 用权益法核算。</w:t>
      </w:r>
    </w:p>
    <w:p>
      <w:pPr>
        <w:pStyle w:val="BodyText"/>
        <w:spacing w:line="326" w:lineRule="auto" w:before="144"/>
        <w:ind w:right="212" w:firstLine="420"/>
        <w:jc w:val="both"/>
      </w:pPr>
      <w:r>
        <w:rPr>
          <w:spacing w:val="-1"/>
        </w:rPr>
        <w:t>采用成本法核算的长期股权投资，除取得投资时实际支付的价款或对价中包含的已宣告但尚未发放的</w:t>
      </w:r>
      <w:r>
        <w:rPr/>
        <w:t> 现金股利或利润外，被投资单位宣告分派的现金股利或利润，确认为投资收益计入当期损益。</w:t>
      </w:r>
    </w:p>
    <w:p>
      <w:pPr>
        <w:pStyle w:val="BodyText"/>
        <w:spacing w:line="326" w:lineRule="auto" w:before="144"/>
        <w:ind w:right="212" w:firstLine="420"/>
        <w:jc w:val="both"/>
      </w:pPr>
      <w:r>
        <w:rPr>
          <w:spacing w:val="-1"/>
        </w:rPr>
        <w:t>采用权益法核算的长期股权投资，初始投资成本大于投资时应享有被投资单位可辨认净资产公允价值</w:t>
      </w:r>
      <w:r>
        <w:rPr/>
        <w:t> </w:t>
      </w:r>
      <w:r>
        <w:rPr>
          <w:spacing w:val="-1"/>
        </w:rPr>
        <w:t>份额的，不调整长期股权投资的投资成本；初始投资成本小于投资时应享有被投资单位可辨认净资产公允</w:t>
      </w:r>
      <w:r>
        <w:rPr>
          <w:spacing w:val="-81"/>
        </w:rPr>
        <w:t> </w:t>
      </w:r>
      <w:r>
        <w:rPr>
          <w:spacing w:val="-81"/>
        </w:rPr>
      </w:r>
      <w:r>
        <w:rPr/>
        <w:t>价值份额的，对长期股权投资的账面价值进行调整，差额计入投资当期的损益。</w:t>
      </w:r>
    </w:p>
    <w:p>
      <w:pPr>
        <w:pStyle w:val="BodyText"/>
        <w:spacing w:line="326" w:lineRule="auto" w:before="144"/>
        <w:ind w:right="211"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股利计算应享有的部分，相应减少长期股权投资的账面价值；被投资单位除净损益、其他综合收益和利润</w:t>
      </w:r>
      <w:r>
        <w:rPr>
          <w:spacing w:val="-83"/>
        </w:rPr>
        <w:t> </w:t>
      </w:r>
      <w:r>
        <w:rPr>
          <w:spacing w:val="-83"/>
        </w:rPr>
      </w:r>
      <w:r>
        <w:rPr>
          <w:spacing w:val="-1"/>
        </w:rPr>
        <w:t>分配以外所有者权益的其他变动，调整长期股权投资的账面价值并计入所有者权益。在确认应享有被投资</w:t>
      </w:r>
      <w:r>
        <w:rPr>
          <w:spacing w:val="-81"/>
        </w:rPr>
        <w:t> </w:t>
      </w:r>
      <w:r>
        <w:rPr>
          <w:spacing w:val="-81"/>
        </w:rPr>
      </w:r>
      <w:r>
        <w:rPr>
          <w:spacing w:val="-1"/>
        </w:rPr>
        <w:t>单位净损益的份额时，以取得投资时被投资单位各项可辨认资产等的公允价值为基础，并按照本集团的会</w:t>
      </w:r>
      <w:r>
        <w:rPr>
          <w:spacing w:val="-81"/>
        </w:rPr>
        <w:t> </w:t>
      </w:r>
      <w:r>
        <w:rPr>
          <w:spacing w:val="-81"/>
        </w:rPr>
      </w:r>
      <w:r>
        <w:rPr/>
        <w:t>计政策及会计期间，对被投资单位的净利润进行调整后确认。</w:t>
      </w:r>
    </w:p>
    <w:p>
      <w:pPr>
        <w:pStyle w:val="BodyText"/>
        <w:spacing w:line="326" w:lineRule="auto" w:before="144"/>
        <w:ind w:right="212" w:firstLine="420"/>
        <w:jc w:val="both"/>
      </w:pPr>
      <w:r>
        <w:rPr>
          <w:spacing w:val="-1"/>
        </w:rPr>
        <w:t>因追加投资等原因能够对被投资单位施加重大影响或实施共同控制但不构成控制的，按照原持有的股</w:t>
      </w:r>
      <w:r>
        <w:rPr/>
        <w:t> </w:t>
      </w:r>
      <w:r>
        <w:rPr>
          <w:spacing w:val="-1"/>
        </w:rPr>
        <w:t>权投资的公允价值加上新增投资成本之和，作为改按权益法核算的初始投资成本。原持有的股权投资分类</w:t>
      </w:r>
      <w:r>
        <w:rPr>
          <w:spacing w:val="-81"/>
        </w:rPr>
        <w:t> </w:t>
      </w:r>
      <w:r>
        <w:rPr>
          <w:spacing w:val="-81"/>
        </w:rPr>
      </w:r>
      <w:r>
        <w:rPr>
          <w:spacing w:val="-1"/>
        </w:rPr>
        <w:t>为可供出售金融资产的，其公允价值与账面价值之间的差额，以及原计入其他综合收益的累计公允价值变</w:t>
      </w:r>
      <w:r>
        <w:rPr>
          <w:spacing w:val="-81"/>
        </w:rPr>
        <w:t> </w:t>
      </w:r>
      <w:r>
        <w:rPr>
          <w:spacing w:val="-81"/>
        </w:rPr>
      </w:r>
      <w:r>
        <w:rPr/>
        <w:t>动应当转入改按权益法核算的当期损益。</w:t>
      </w:r>
    </w:p>
    <w:p>
      <w:pPr>
        <w:pStyle w:val="BodyText"/>
        <w:spacing w:line="321" w:lineRule="auto" w:before="144"/>
        <w:ind w:right="211" w:firstLine="420"/>
        <w:jc w:val="both"/>
      </w:pPr>
      <w:r>
        <w:rPr>
          <w:spacing w:val="-1"/>
        </w:rPr>
        <w:t>因处置部分股权投资等原因丧失了对被投资单位的共同控制或重大影响的，处置后的剩余股权应当改</w:t>
      </w:r>
      <w:r>
        <w:rPr/>
        <w:t> </w:t>
      </w:r>
      <w:r>
        <w:rPr>
          <w:spacing w:val="-1"/>
        </w:rPr>
        <w:t>按《企业会计准则第</w:t>
      </w:r>
      <w:r>
        <w:rPr>
          <w:rFonts w:ascii="Times New Roman" w:hAnsi="Times New Roman" w:cs="Times New Roman" w:eastAsia="Times New Roman" w:hint="default"/>
          <w:spacing w:val="-1"/>
        </w:rPr>
        <w:t>22</w:t>
      </w:r>
      <w:r>
        <w:rPr>
          <w:spacing w:val="-1"/>
        </w:rPr>
        <w:t>号</w:t>
      </w:r>
      <w:r>
        <w:rPr>
          <w:rFonts w:ascii="宋体" w:hAnsi="宋体" w:cs="宋体" w:eastAsia="宋体" w:hint="default"/>
          <w:spacing w:val="-1"/>
        </w:rPr>
        <w:t>—</w:t>
      </w:r>
      <w:r>
        <w:rPr>
          <w:spacing w:val="-1"/>
        </w:rPr>
        <w:t>金融工具确认和计量》进行会计处理，在丧失共同控制或重大影响之日的公允</w:t>
      </w:r>
      <w:r>
        <w:rPr>
          <w:spacing w:val="-83"/>
        </w:rPr>
        <w:t> </w:t>
      </w:r>
      <w:r>
        <w:rPr>
          <w:spacing w:val="-83"/>
        </w:rPr>
      </w:r>
      <w:r>
        <w:rPr>
          <w:spacing w:val="-1"/>
        </w:rPr>
        <w:t>价值与账面价值之间的差额计入当期损益。原股权投资因采用权益法核算而确认的其他综合收益，应当在</w:t>
      </w:r>
      <w:r>
        <w:rPr>
          <w:spacing w:val="-81"/>
        </w:rPr>
        <w:t> </w:t>
      </w:r>
      <w:r>
        <w:rPr>
          <w:spacing w:val="-81"/>
        </w:rPr>
      </w:r>
      <w:r>
        <w:rPr>
          <w:spacing w:val="-1"/>
        </w:rPr>
        <w:t>终止采用权益法核算时采用与被投资单位直接处置相关资产或负债相同的基础进行会计处理；原股权投资</w:t>
      </w:r>
      <w:r>
        <w:rPr>
          <w:spacing w:val="-81"/>
        </w:rPr>
        <w:t> </w:t>
      </w:r>
      <w:r>
        <w:rPr>
          <w:spacing w:val="-81"/>
        </w:rPr>
      </w:r>
      <w:r>
        <w:rPr/>
        <w:t>相关的其他所有者权益变动转入当期损益。</w:t>
      </w:r>
    </w:p>
    <w:p>
      <w:pPr>
        <w:pStyle w:val="BodyText"/>
        <w:spacing w:line="326" w:lineRule="auto" w:before="148"/>
        <w:ind w:right="103" w:firstLine="420"/>
        <w:jc w:val="left"/>
      </w:pPr>
      <w:r>
        <w:rPr/>
        <w:t>因处置部分股权投资等原因丧失了对被投资单位的控制的，处置后的剩余股权能够对被投资单位实施 </w:t>
      </w:r>
      <w:r>
        <w:rPr>
          <w:spacing w:val="-3"/>
        </w:rPr>
        <w:t>共同控制或施加重大影响的，改按权益法核算，并对该剩余股权视同自取得时即采用权益法核算进行调整；</w:t>
      </w:r>
    </w:p>
    <w:p>
      <w:pPr>
        <w:spacing w:after="0" w:line="326" w:lineRule="auto"/>
        <w:jc w:val="left"/>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319" w:lineRule="auto" w:before="35"/>
        <w:ind w:right="152"/>
        <w:jc w:val="both"/>
      </w:pPr>
      <w:bookmarkStart w:name="15、投资性房地产" w:id="141"/>
      <w:bookmarkEnd w:id="141"/>
      <w:r>
        <w:rPr/>
      </w:r>
      <w:r>
        <w:rPr>
          <w:spacing w:val="-1"/>
        </w:rPr>
        <w:t>处置后的剩余股权不能对被投资单位实施共同控制或施加重大影响的，改按《企业会计准则第</w:t>
      </w:r>
      <w:r>
        <w:rPr>
          <w:rFonts w:ascii="Times New Roman" w:hAnsi="Times New Roman" w:cs="Times New Roman" w:eastAsia="Times New Roman" w:hint="default"/>
          <w:spacing w:val="-1"/>
        </w:rPr>
        <w:t>22</w:t>
      </w:r>
      <w:r>
        <w:rPr>
          <w:spacing w:val="-1"/>
        </w:rPr>
        <w:t>号</w:t>
      </w:r>
      <w:r>
        <w:rPr>
          <w:rFonts w:ascii="宋体" w:hAnsi="宋体" w:cs="宋体" w:eastAsia="宋体" w:hint="default"/>
          <w:spacing w:val="-1"/>
        </w:rPr>
        <w:t>—</w:t>
      </w:r>
      <w:r>
        <w:rPr>
          <w:spacing w:val="-1"/>
        </w:rPr>
        <w:t>金融</w:t>
      </w:r>
      <w:r>
        <w:rPr>
          <w:spacing w:val="-84"/>
        </w:rPr>
        <w:t> </w:t>
      </w:r>
      <w:r>
        <w:rPr>
          <w:spacing w:val="-1"/>
        </w:rPr>
        <w:t>工具确认和计量》的有关规定进行会计处理，其在丧失控制之日的公允价值与账面价值间的差额计入当期</w:t>
      </w:r>
      <w:r>
        <w:rPr>
          <w:spacing w:val="-81"/>
        </w:rPr>
        <w:t> </w:t>
      </w:r>
      <w:r>
        <w:rPr>
          <w:spacing w:val="-81"/>
        </w:rPr>
      </w:r>
      <w:r>
        <w:rPr/>
        <w:t>损益。</w:t>
      </w:r>
    </w:p>
    <w:p>
      <w:pPr>
        <w:pStyle w:val="BodyText"/>
        <w:spacing w:line="326" w:lineRule="auto" w:before="150"/>
        <w:ind w:right="146" w:firstLine="420"/>
        <w:jc w:val="both"/>
      </w:pPr>
      <w:r>
        <w:rPr>
          <w:spacing w:val="3"/>
        </w:rPr>
        <w:t>本集团与联营企业及合营企业之间发生的未实现内部交易损益按照持股比例计算归属于本集团的部 </w:t>
      </w:r>
      <w:r>
        <w:rPr>
          <w:spacing w:val="-1"/>
        </w:rPr>
        <w:t>分，在抵销基础上确认投资损益。但本集团与被投资单位发生的未实现内部交易损失，属于所转让资产减</w:t>
      </w:r>
      <w:r>
        <w:rPr>
          <w:spacing w:val="-83"/>
        </w:rPr>
        <w:t> </w:t>
      </w:r>
      <w:r>
        <w:rPr>
          <w:spacing w:val="-83"/>
        </w:rPr>
      </w:r>
      <w:r>
        <w:rPr/>
        <w:t>值损失的，不予以抵销。</w:t>
      </w:r>
    </w:p>
    <w:p>
      <w:pPr>
        <w:pStyle w:val="BodyText"/>
        <w:spacing w:line="240" w:lineRule="auto" w:before="113"/>
        <w:ind w:right="0"/>
        <w:jc w:val="both"/>
      </w:pPr>
      <w:r>
        <w:rPr/>
        <w:t>（</w:t>
      </w:r>
      <w:r>
        <w:rPr>
          <w:rFonts w:ascii="Times New Roman" w:hAnsi="Times New Roman" w:cs="Times New Roman" w:eastAsia="Times New Roman" w:hint="default"/>
        </w:rPr>
        <w:t>3</w:t>
      </w:r>
      <w:r>
        <w:rPr/>
        <w:t>）确定对被投资单位具有共同控制、重大影响的依据</w:t>
      </w:r>
    </w:p>
    <w:p>
      <w:pPr>
        <w:spacing w:line="240" w:lineRule="auto" w:before="7"/>
        <w:rPr>
          <w:rFonts w:ascii="宋体" w:hAnsi="宋体" w:cs="宋体" w:eastAsia="宋体" w:hint="default"/>
          <w:sz w:val="20"/>
          <w:szCs w:val="20"/>
        </w:rPr>
      </w:pPr>
    </w:p>
    <w:p>
      <w:pPr>
        <w:pStyle w:val="BodyText"/>
        <w:spacing w:line="326" w:lineRule="auto"/>
        <w:ind w:right="151" w:firstLine="420"/>
        <w:jc w:val="both"/>
      </w:pPr>
      <w:r>
        <w:rPr>
          <w:spacing w:val="-1"/>
        </w:rPr>
        <w:t>共同控制，是指按照相关约定对某项安排所共有的控制，并且该安排的相关活动必须经过分享控制权</w:t>
      </w:r>
      <w:r>
        <w:rPr/>
        <w:t> </w:t>
      </w:r>
      <w:r>
        <w:rPr>
          <w:spacing w:val="-1"/>
        </w:rPr>
        <w:t>的参与方一致同意后才能决策。在判断是否存在共同控制时，首先判断所有参与方或参与方组合是否集体</w:t>
      </w:r>
      <w:r>
        <w:rPr>
          <w:spacing w:val="-81"/>
        </w:rPr>
        <w:t> </w:t>
      </w:r>
      <w:r>
        <w:rPr>
          <w:spacing w:val="-81"/>
        </w:rPr>
      </w:r>
      <w:r>
        <w:rPr>
          <w:spacing w:val="-1"/>
        </w:rPr>
        <w:t>控制该安排，如果所有参与方或一组参与方必须一致行动才能决定某项安排的相关活动，则认为所有参与</w:t>
      </w:r>
      <w:r>
        <w:rPr>
          <w:spacing w:val="-81"/>
        </w:rPr>
        <w:t> </w:t>
      </w:r>
      <w:r>
        <w:rPr>
          <w:spacing w:val="-81"/>
        </w:rPr>
      </w:r>
      <w:r>
        <w:rPr>
          <w:spacing w:val="-1"/>
        </w:rPr>
        <w:t>方或一组参与方集体控制该安排。其次再判断该安排相关活动的决策是否必须经过这些集体控制该安排的</w:t>
      </w:r>
      <w:r>
        <w:rPr>
          <w:spacing w:val="-81"/>
        </w:rPr>
        <w:t> </w:t>
      </w:r>
      <w:r>
        <w:rPr>
          <w:spacing w:val="-81"/>
        </w:rPr>
      </w:r>
      <w:r>
        <w:rPr>
          <w:spacing w:val="-1"/>
        </w:rPr>
        <w:t>参与方一致同意。如果存在两个或两个以上的参与方组合能够集体控制某项安排的，不构成共同控制。判</w:t>
      </w:r>
      <w:r>
        <w:rPr>
          <w:spacing w:val="-83"/>
        </w:rPr>
        <w:t> </w:t>
      </w:r>
      <w:r>
        <w:rPr>
          <w:spacing w:val="-83"/>
        </w:rPr>
      </w:r>
      <w:r>
        <w:rPr/>
        <w:t>断是否存在共同控制时，不考虑享有的保护性权利。</w:t>
      </w:r>
    </w:p>
    <w:p>
      <w:pPr>
        <w:pStyle w:val="BodyText"/>
        <w:spacing w:line="326" w:lineRule="auto" w:before="144"/>
        <w:ind w:right="144" w:firstLine="420"/>
        <w:jc w:val="both"/>
      </w:pPr>
      <w:r>
        <w:rPr>
          <w:spacing w:val="-1"/>
        </w:rPr>
        <w:t>重大影响，是指投资方对被投资单位的财务和经营政策有参与决策的权力，但并不能够控制或者与其</w:t>
      </w:r>
      <w:r>
        <w:rPr/>
        <w:t> </w:t>
      </w:r>
      <w:r>
        <w:rPr>
          <w:spacing w:val="-1"/>
        </w:rPr>
        <w:t>他方一起共同控制这些政策的制定。在确定能否对被投资单位施加重大影响时，考虑投资方直接或间接持</w:t>
      </w:r>
      <w:r>
        <w:rPr>
          <w:spacing w:val="-81"/>
        </w:rPr>
        <w:t> </w:t>
      </w:r>
      <w:r>
        <w:rPr>
          <w:spacing w:val="-81"/>
        </w:rPr>
      </w:r>
      <w:r>
        <w:rPr>
          <w:spacing w:val="3"/>
        </w:rPr>
        <w:t>有被投资单位的表决权股份以及投资方及其他方持有的当期可执行潜在表决权在假定转换为对被投资方</w:t>
      </w:r>
      <w:r>
        <w:rPr>
          <w:spacing w:val="-78"/>
        </w:rPr>
        <w:t> </w:t>
      </w:r>
      <w:r>
        <w:rPr>
          <w:spacing w:val="-78"/>
        </w:rPr>
      </w:r>
      <w:r>
        <w:rPr>
          <w:spacing w:val="-1"/>
        </w:rPr>
        <w:t>单位的股权后产生的影响，包括被投资单位发行的当期可转换的认股权证、股份期权及可转换公司债券等</w:t>
      </w:r>
      <w:r>
        <w:rPr>
          <w:spacing w:val="-81"/>
        </w:rPr>
        <w:t> </w:t>
      </w:r>
      <w:r>
        <w:rPr>
          <w:spacing w:val="-81"/>
        </w:rPr>
      </w:r>
      <w:r>
        <w:rPr/>
        <w:t>的影响。</w:t>
      </w:r>
    </w:p>
    <w:p>
      <w:pPr>
        <w:pStyle w:val="BodyText"/>
        <w:spacing w:line="314" w:lineRule="auto" w:before="144"/>
        <w:ind w:left="153" w:right="147" w:firstLine="42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的表决权股份时，除</w:t>
      </w:r>
      <w:r>
        <w:rPr>
          <w:spacing w:val="2"/>
        </w:rPr>
        <w:t> </w:t>
      </w:r>
      <w:r>
        <w:rPr>
          <w:spacing w:val="-1"/>
        </w:rPr>
        <w:t>非有明确证据表明该种情况下不能参与被投资单位的生产经营决策，不形成重大影响外，均确定对被投资</w:t>
      </w:r>
      <w:r>
        <w:rPr>
          <w:spacing w:val="-81"/>
        </w:rPr>
        <w:t> </w:t>
      </w:r>
      <w:r>
        <w:rPr>
          <w:spacing w:val="-81"/>
        </w:rPr>
      </w:r>
      <w:r>
        <w:rPr/>
        <w:t>单位具有重大影响；本公司拥有被投资单位</w:t>
      </w:r>
      <w:r>
        <w:rPr>
          <w:rFonts w:ascii="Times New Roman" w:hAnsi="Times New Roman" w:cs="Times New Roman" w:eastAsia="Times New Roman" w:hint="default"/>
        </w:rPr>
        <w:t>20%</w:t>
      </w:r>
      <w:r>
        <w:rPr/>
        <w:t>（不含）以下的表决权股份，一般不认为对被投资单位具</w:t>
      </w:r>
      <w:r>
        <w:rPr>
          <w:spacing w:val="-98"/>
        </w:rPr>
        <w:t> </w:t>
      </w:r>
      <w:r>
        <w:rPr>
          <w:spacing w:val="-98"/>
        </w:rPr>
      </w:r>
      <w:r>
        <w:rPr/>
        <w:t>有重大影响，除非有明确证据表明该种情况下能够参与被投资单位的生产经营决策，形成重大影响。</w:t>
      </w:r>
    </w:p>
    <w:p>
      <w:pPr>
        <w:pStyle w:val="BodyText"/>
        <w:spacing w:line="460" w:lineRule="auto" w:before="123"/>
        <w:ind w:left="573" w:right="1583" w:hanging="420"/>
        <w:jc w:val="left"/>
      </w:pPr>
      <w:r>
        <w:rPr/>
        <w:t>（</w:t>
      </w:r>
      <w:r>
        <w:rPr>
          <w:rFonts w:ascii="Times New Roman" w:hAnsi="Times New Roman" w:cs="Times New Roman" w:eastAsia="Times New Roman" w:hint="default"/>
        </w:rPr>
        <w:t>4</w:t>
      </w:r>
      <w:r>
        <w:rPr/>
        <w:t>）减值测试方法及减值准备计提方法 对子公司、联营企业及合营企业的投资，本集团计提资产减值的方法见附注五之</w:t>
      </w:r>
      <w:r>
        <w:rPr>
          <w:rFonts w:ascii="Times New Roman" w:hAnsi="Times New Roman" w:cs="Times New Roman" w:eastAsia="Times New Roman" w:hint="default"/>
        </w:rPr>
        <w:t>22</w:t>
      </w:r>
      <w:r>
        <w:rPr/>
        <w:t>。</w:t>
      </w:r>
    </w:p>
    <w:p>
      <w:pPr>
        <w:pStyle w:val="Heading4"/>
        <w:spacing w:line="240" w:lineRule="auto" w:before="139"/>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2"/>
        <w:rPr>
          <w:rFonts w:ascii="宋体" w:hAnsi="宋体" w:cs="宋体" w:eastAsia="宋体" w:hint="default"/>
          <w:b/>
          <w:bCs/>
          <w:sz w:val="26"/>
          <w:szCs w:val="26"/>
        </w:rPr>
      </w:pPr>
    </w:p>
    <w:p>
      <w:pPr>
        <w:pStyle w:val="BodyText"/>
        <w:spacing w:line="432" w:lineRule="auto"/>
        <w:ind w:left="574" w:right="7042"/>
        <w:jc w:val="left"/>
      </w:pPr>
      <w:r>
        <w:rPr/>
        <w:t>投资性房地产计量模式： 成本法计量。 折旧或摊销方法：</w:t>
      </w:r>
    </w:p>
    <w:p>
      <w:pPr>
        <w:pStyle w:val="BodyText"/>
        <w:spacing w:line="326" w:lineRule="auto" w:before="51"/>
        <w:ind w:left="153" w:right="152" w:firstLine="420"/>
        <w:jc w:val="both"/>
      </w:pPr>
      <w:r>
        <w:rPr>
          <w:spacing w:val="-1"/>
        </w:rPr>
        <w:t>投资性房地产是指为赚取租金或资本增值，或两者兼有而持有的房地产。本集团投资性房地产包括已</w:t>
      </w:r>
      <w:r>
        <w:rPr/>
        <w:t> 出租的建筑物。</w:t>
      </w:r>
    </w:p>
    <w:p>
      <w:pPr>
        <w:pStyle w:val="BodyText"/>
        <w:spacing w:line="326" w:lineRule="auto" w:before="144"/>
        <w:ind w:left="153" w:right="152"/>
        <w:jc w:val="both"/>
      </w:pPr>
      <w:r>
        <w:rPr>
          <w:spacing w:val="-1"/>
        </w:rPr>
        <w:t>本集团投资性房地产按照取得时的成本进行初始计量，并按照固定资产或无形资产的有关规定，按期计提</w:t>
      </w:r>
      <w:r>
        <w:rPr>
          <w:spacing w:val="-81"/>
        </w:rPr>
        <w:t> </w:t>
      </w:r>
      <w:r>
        <w:rPr>
          <w:spacing w:val="-81"/>
        </w:rPr>
      </w:r>
      <w:r>
        <w:rPr/>
        <w:t>折旧或摊销。本集团确定投资性房地产的年折旧率如下：</w:t>
      </w:r>
    </w:p>
    <w:p>
      <w:pPr>
        <w:spacing w:after="0" w:line="326" w:lineRule="auto"/>
        <w:jc w:val="both"/>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34"/>
        <w:gridCol w:w="2128"/>
        <w:gridCol w:w="2146"/>
        <w:gridCol w:w="2147"/>
      </w:tblGrid>
      <w:tr>
        <w:trPr>
          <w:trHeight w:val="342"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6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b/>
                <w:bCs/>
                <w:sz w:val="18"/>
                <w:szCs w:val="18"/>
              </w:rPr>
              <w:t>使用年限（年）</w:t>
            </w:r>
            <w:r>
              <w:rPr>
                <w:rFonts w:ascii="宋体" w:hAnsi="宋体" w:cs="宋体" w:eastAsia="宋体" w:hint="default"/>
                <w:sz w:val="18"/>
                <w:szCs w:val="18"/>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4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残值率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5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2"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出租的建筑物</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20-30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1"/>
              <w:jc w:val="right"/>
              <w:rPr>
                <w:rFonts w:ascii="Times New Roman" w:hAnsi="Times New Roman" w:cs="Times New Roman" w:eastAsia="Times New Roman" w:hint="default"/>
                <w:sz w:val="18"/>
                <w:szCs w:val="18"/>
              </w:rPr>
            </w:pPr>
            <w:r>
              <w:rPr>
                <w:rFonts w:ascii="Times New Roman"/>
                <w:sz w:val="18"/>
              </w:rPr>
              <w:t>5</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16" w:right="0"/>
              <w:jc w:val="left"/>
              <w:rPr>
                <w:rFonts w:ascii="Times New Roman" w:hAnsi="Times New Roman" w:cs="Times New Roman" w:eastAsia="Times New Roman" w:hint="default"/>
                <w:sz w:val="18"/>
                <w:szCs w:val="18"/>
              </w:rPr>
            </w:pPr>
            <w:r>
              <w:rPr>
                <w:rFonts w:ascii="Times New Roman"/>
                <w:sz w:val="18"/>
              </w:rPr>
              <w:t>3.17-4.75</w:t>
            </w:r>
          </w:p>
        </w:tc>
      </w:tr>
    </w:tbl>
    <w:p>
      <w:pPr>
        <w:spacing w:line="240" w:lineRule="auto" w:before="10"/>
        <w:rPr>
          <w:rFonts w:ascii="宋体" w:hAnsi="宋体" w:cs="宋体" w:eastAsia="宋体" w:hint="default"/>
          <w:sz w:val="7"/>
          <w:szCs w:val="7"/>
        </w:rPr>
      </w:pPr>
    </w:p>
    <w:p>
      <w:pPr>
        <w:pStyle w:val="BodyText"/>
        <w:spacing w:line="408" w:lineRule="auto" w:before="35"/>
        <w:ind w:left="573" w:right="98"/>
        <w:jc w:val="left"/>
      </w:pPr>
      <w:bookmarkStart w:name="（3）融资租入固定资产的认定依据、计价和折旧方法" w:id="142"/>
      <w:bookmarkEnd w:id="142"/>
      <w:r>
        <w:rPr/>
      </w:r>
      <w:bookmarkStart w:name="17、在建工程" w:id="143"/>
      <w:bookmarkEnd w:id="143"/>
      <w:r>
        <w:rPr/>
      </w:r>
      <w:r>
        <w:rPr/>
        <w:t>采用成本模式进行后续计量的投资性房地产，计提资产减值方法见附注五之</w:t>
      </w:r>
      <w:r>
        <w:rPr>
          <w:rFonts w:ascii="Times New Roman" w:hAnsi="Times New Roman" w:cs="Times New Roman" w:eastAsia="Times New Roman" w:hint="default"/>
        </w:rPr>
        <w:t>22</w:t>
      </w:r>
      <w:r>
        <w:rPr/>
        <w:t>。 </w:t>
      </w:r>
      <w:r>
        <w:rPr>
          <w:spacing w:val="-3"/>
        </w:rPr>
        <w:t>投资性房地产出售、转让、报废或毁损的处置收入扣除其账面价值和相关税费后的差额计入当期损益。</w:t>
      </w: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right="190" w:firstLine="420"/>
        <w:jc w:val="both"/>
      </w:pPr>
      <w:r>
        <w:rPr>
          <w:spacing w:val="-1"/>
        </w:rPr>
        <w:t>本集团</w:t>
      </w:r>
      <w:bookmarkStart w:name="16、固定资产" w:id="144"/>
      <w:bookmarkEnd w:id="144"/>
      <w:r>
        <w:rPr>
          <w:spacing w:val="-1"/>
        </w:rPr>
      </w:r>
      <w:bookmarkStart w:name="（1）确认条件" w:id="145"/>
      <w:bookmarkEnd w:id="145"/>
      <w:r>
        <w:rPr>
          <w:spacing w:val="-1"/>
        </w:rPr>
        <w:t>固定资产是指为生产商品</w:t>
      </w:r>
      <w:r>
        <w:rPr>
          <w:spacing w:val="-1"/>
        </w:rPr>
        <w:t>、提供劳务、出租或经营管理而持有的，使用寿命超过一个会计年度</w:t>
      </w:r>
      <w:r>
        <w:rPr/>
        <w:t> 的有形资产。与该固定资产有关的经济利益很可能流入企业，并且该固定资产的成本能够可靠地计量时， 固定资产才能予以确认。本集团固定资产按照取得时的实际成本进行初始计量。</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21" w:right="0"/>
              <w:jc w:val="left"/>
              <w:rPr>
                <w:rFonts w:ascii="宋体" w:hAnsi="宋体" w:cs="宋体" w:eastAsia="宋体" w:hint="default"/>
                <w:sz w:val="18"/>
                <w:szCs w:val="18"/>
              </w:rPr>
            </w:pPr>
            <w:bookmarkStart w:name="（2）折旧方法" w:id="146"/>
            <w:bookmarkEnd w:id="146"/>
            <w:r>
              <w:rPr/>
            </w:r>
            <w:r>
              <w:rPr>
                <w:rFonts w:ascii="宋体" w:hAnsi="宋体" w:cs="宋体" w:eastAsia="宋体" w:hint="default"/>
                <w:sz w:val="18"/>
                <w:szCs w:val="18"/>
              </w:rPr>
              <w:t>折旧年限（年）</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19%-31.67%</w:t>
            </w:r>
          </w:p>
        </w:tc>
      </w:tr>
    </w:tbl>
    <w:p>
      <w:pPr>
        <w:spacing w:line="240" w:lineRule="auto" w:before="10"/>
        <w:rPr>
          <w:rFonts w:ascii="宋体" w:hAnsi="宋体" w:cs="宋体" w:eastAsia="宋体" w:hint="default"/>
          <w:b/>
          <w:bCs/>
          <w:sz w:val="7"/>
          <w:szCs w:val="7"/>
        </w:rPr>
      </w:pPr>
    </w:p>
    <w:p>
      <w:pPr>
        <w:pStyle w:val="BodyText"/>
        <w:spacing w:line="424" w:lineRule="auto" w:before="35"/>
        <w:ind w:left="574" w:right="172"/>
        <w:jc w:val="left"/>
      </w:pPr>
      <w:r>
        <w:rPr/>
        <w:t>其中，已计提减值准备的固定资产，还应扣除已计提的固定资产减值准备累计金额计算确定折旧率。 固定资产的减值测试方法、减值准备计提方法见附注五之</w:t>
      </w:r>
      <w:r>
        <w:rPr>
          <w:rFonts w:ascii="Times New Roman" w:hAnsi="Times New Roman" w:cs="Times New Roman" w:eastAsia="Times New Roman" w:hint="default"/>
        </w:rPr>
        <w:t>22</w:t>
      </w:r>
      <w:r>
        <w:rPr/>
        <w:t>。 每年年度终了，本集团对固定资产的使用寿命、预计净残值和折旧方法进行复核。 </w:t>
      </w:r>
      <w:r>
        <w:rPr>
          <w:spacing w:val="-1"/>
        </w:rPr>
        <w:t>使用寿命预计数与原先估计数有差异的，调整固定资产使用寿命；预计净残值预计数与原先估计数有</w:t>
      </w:r>
    </w:p>
    <w:p>
      <w:pPr>
        <w:pStyle w:val="BodyText"/>
        <w:spacing w:line="213" w:lineRule="exact"/>
        <w:ind w:right="0"/>
        <w:jc w:val="left"/>
      </w:pPr>
      <w:r>
        <w:rPr/>
        <w:t>差异的，调整预计净残值。</w:t>
      </w:r>
    </w:p>
    <w:p>
      <w:pPr>
        <w:pStyle w:val="BodyText"/>
        <w:spacing w:line="490" w:lineRule="atLeast" w:before="4"/>
        <w:ind w:left="574" w:right="172" w:firstLine="4"/>
        <w:jc w:val="left"/>
      </w:pPr>
      <w:r>
        <w:rPr/>
        <w:t>大修理费用 本集团对固定资产进行定期检查发生的大修理费用，有确凿证据表明符合固定资产确认条件的部分，</w:t>
      </w:r>
    </w:p>
    <w:p>
      <w:pPr>
        <w:pStyle w:val="BodyText"/>
        <w:spacing w:line="326" w:lineRule="auto" w:before="99"/>
        <w:ind w:right="0"/>
        <w:jc w:val="left"/>
      </w:pPr>
      <w:r>
        <w:rPr>
          <w:spacing w:val="-1"/>
        </w:rPr>
        <w:t>计入固定资产成本，不符合固定资产确认条件的计入当期损益。固定资产在定期大修理间隔期间，照提折</w:t>
      </w:r>
      <w:r>
        <w:rPr>
          <w:spacing w:val="-83"/>
        </w:rPr>
        <w:t> </w:t>
      </w:r>
      <w:r>
        <w:rPr>
          <w:spacing w:val="-83"/>
        </w:rPr>
      </w:r>
      <w:r>
        <w:rPr/>
        <w:t>旧。</w:t>
      </w:r>
    </w:p>
    <w:p>
      <w:pPr>
        <w:spacing w:line="240" w:lineRule="auto" w:before="6"/>
        <w:rPr>
          <w:rFonts w:ascii="宋体" w:hAnsi="宋体" w:cs="宋体" w:eastAsia="宋体" w:hint="default"/>
          <w:sz w:val="22"/>
          <w:szCs w:val="22"/>
        </w:rPr>
      </w:pPr>
    </w:p>
    <w:p>
      <w:pPr>
        <w:pStyle w:val="Heading4"/>
        <w:spacing w:line="506" w:lineRule="auto"/>
        <w:ind w:left="574" w:right="4878"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）融资租入固定资产的认定依据、计价和折旧方法</w:t>
      </w:r>
      <w:r>
        <w:rPr>
          <w:spacing w:val="1"/>
          <w:w w:val="99"/>
        </w:rPr>
        <w:t> </w:t>
      </w:r>
      <w:r>
        <w:rPr>
          <w:rFonts w:ascii="宋体" w:hAnsi="宋体" w:cs="宋体" w:eastAsia="宋体" w:hint="default"/>
          <w:b w:val="0"/>
          <w:bCs w:val="0"/>
        </w:rPr>
        <w:t>无。</w:t>
      </w:r>
    </w:p>
    <w:p>
      <w:pPr>
        <w:pStyle w:val="Heading4"/>
        <w:spacing w:line="240" w:lineRule="auto" w:before="103"/>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74" w:right="0"/>
        <w:jc w:val="left"/>
      </w:pPr>
      <w:r>
        <w:rPr/>
        <w:t>本集团在建工程成本按实际工程支出确定，包括在建期间发生的各项必要工程支出、工程达到预定可</w:t>
      </w:r>
    </w:p>
    <w:p>
      <w:pPr>
        <w:spacing w:after="0" w:line="240" w:lineRule="auto"/>
        <w:jc w:val="left"/>
        <w:sectPr>
          <w:footerReference w:type="default" r:id="rId31"/>
          <w:pgSz w:w="11910" w:h="16840"/>
          <w:pgMar w:footer="980" w:header="747" w:top="1060" w:bottom="1180" w:left="980" w:right="920"/>
        </w:sectPr>
      </w:pPr>
    </w:p>
    <w:p>
      <w:pPr>
        <w:spacing w:line="240" w:lineRule="auto" w:before="1"/>
        <w:rPr>
          <w:rFonts w:ascii="宋体" w:hAnsi="宋体" w:cs="宋体" w:eastAsia="宋体" w:hint="default"/>
          <w:sz w:val="27"/>
          <w:szCs w:val="27"/>
        </w:rPr>
      </w:pPr>
    </w:p>
    <w:p>
      <w:pPr>
        <w:pStyle w:val="BodyText"/>
        <w:spacing w:line="432" w:lineRule="auto" w:before="35"/>
        <w:ind w:left="574" w:right="4312" w:hanging="420"/>
        <w:jc w:val="left"/>
      </w:pPr>
      <w:bookmarkStart w:name="19、生物资产" w:id="147"/>
      <w:bookmarkEnd w:id="147"/>
      <w:r>
        <w:rPr/>
      </w:r>
      <w:bookmarkStart w:name="20、油气资产" w:id="148"/>
      <w:bookmarkEnd w:id="148"/>
      <w:r>
        <w:rPr/>
      </w:r>
      <w:r>
        <w:rPr/>
        <w:t>使用状态前的应予资本化的借款费用以及其他相关费用等。 在建工程在达到预定可使用状态时转入固定资产。 在建工程计提资产减值方法见附注五之</w:t>
      </w:r>
      <w:r>
        <w:rPr>
          <w:rFonts w:ascii="Times New Roman" w:hAnsi="Times New Roman" w:cs="Times New Roman" w:eastAsia="Times New Roman" w:hint="default"/>
        </w:rPr>
        <w:t>22</w:t>
      </w:r>
      <w:r>
        <w:rPr/>
        <w:t>。</w:t>
      </w:r>
    </w:p>
    <w:p>
      <w:pPr>
        <w:pStyle w:val="Heading4"/>
        <w:spacing w:line="240" w:lineRule="auto" w:before="167"/>
        <w:ind w:right="0"/>
        <w:jc w:val="left"/>
        <w:rPr>
          <w:b w:val="0"/>
          <w:bCs w:val="0"/>
        </w:rPr>
      </w:pPr>
      <w:r>
        <w:rPr>
          <w:rFonts w:ascii="Times New Roman" w:hAnsi="Times New Roman" w:cs="Times New Roman" w:eastAsia="Times New Roman" w:hint="default"/>
        </w:rPr>
        <w:t>18</w:t>
      </w:r>
      <w:r>
        <w:rPr/>
        <w:t>、借款费用</w:t>
      </w:r>
      <w:r>
        <w:rPr>
          <w:b w:val="0"/>
          <w:bCs w:val="0"/>
        </w:rPr>
      </w:r>
    </w:p>
    <w:p>
      <w:pPr>
        <w:pStyle w:val="BodyText"/>
        <w:spacing w:line="540" w:lineRule="atLeast" w:before="72"/>
        <w:ind w:left="574" w:right="0" w:hanging="420"/>
        <w:jc w:val="left"/>
      </w:pPr>
      <w:r>
        <w:rPr/>
        <w:t>（</w:t>
      </w:r>
      <w:r>
        <w:rPr>
          <w:rFonts w:ascii="Times New Roman" w:hAnsi="Times New Roman" w:cs="Times New Roman" w:eastAsia="Times New Roman" w:hint="default"/>
        </w:rPr>
        <w:t>1</w:t>
      </w:r>
      <w:r>
        <w:rPr/>
        <w:t>）借款费</w:t>
      </w:r>
      <w:bookmarkStart w:name="18、借款费用" w:id="149"/>
      <w:bookmarkEnd w:id="149"/>
      <w:r>
        <w:rPr/>
        <w:t>用资本化的确认原则</w:t>
      </w:r>
      <w:r>
        <w:rPr/>
        <w:t> </w:t>
      </w:r>
      <w:r>
        <w:rPr>
          <w:spacing w:val="-1"/>
        </w:rPr>
        <w:t>本集团发生的借款费用，可直接归属于符合资本化条件的资产的购建或者生产的，予以资本化，计入</w:t>
      </w:r>
    </w:p>
    <w:p>
      <w:pPr>
        <w:pStyle w:val="BodyText"/>
        <w:spacing w:line="326" w:lineRule="auto" w:before="99"/>
        <w:ind w:right="0"/>
        <w:jc w:val="left"/>
      </w:pPr>
      <w:r>
        <w:rPr>
          <w:spacing w:val="-1"/>
        </w:rPr>
        <w:t>相关资产成本；其他借款费用，在发生时根据其发生额确认为费用，计入当期损益。借款费用同时满足下</w:t>
      </w:r>
      <w:r>
        <w:rPr>
          <w:spacing w:val="-86"/>
        </w:rPr>
        <w:t> </w:t>
      </w:r>
      <w:r>
        <w:rPr>
          <w:spacing w:val="-86"/>
        </w:rPr>
      </w:r>
      <w:r>
        <w:rPr/>
        <w:t>列条件的，开始资本化：</w:t>
      </w:r>
    </w:p>
    <w:p>
      <w:pPr>
        <w:pStyle w:val="BodyText"/>
        <w:spacing w:line="326" w:lineRule="auto" w:before="144"/>
        <w:ind w:right="150" w:firstLine="420"/>
        <w:jc w:val="both"/>
      </w:pPr>
      <w:r>
        <w:rPr/>
        <w:t>①</w:t>
      </w:r>
      <w:r>
        <w:rPr>
          <w:spacing w:val="61"/>
        </w:rPr>
        <w:t> </w:t>
      </w:r>
      <w:r>
        <w:rPr/>
        <w:t>资产支出已经发生，资产支出包括为购建或者生产符合资本化条件的资产而以支付现金、转移非</w:t>
      </w:r>
      <w:r>
        <w:rPr>
          <w:spacing w:val="2"/>
        </w:rPr>
        <w:t> </w:t>
      </w:r>
      <w:r>
        <w:rPr/>
        <w:t>现金资产或者承担带息债务形式发生的支出；</w:t>
      </w:r>
    </w:p>
    <w:p>
      <w:pPr>
        <w:pStyle w:val="BodyText"/>
        <w:spacing w:line="240" w:lineRule="auto" w:before="144"/>
        <w:ind w:left="574" w:right="0"/>
        <w:jc w:val="left"/>
      </w:pPr>
      <w:r>
        <w:rPr/>
        <w:t>②</w:t>
      </w:r>
      <w:r>
        <w:rPr>
          <w:spacing w:val="-2"/>
        </w:rPr>
        <w:t> </w:t>
      </w:r>
      <w:r>
        <w:rPr/>
        <w:t>借款费用已经发生；</w:t>
      </w:r>
    </w:p>
    <w:p>
      <w:pPr>
        <w:spacing w:line="240" w:lineRule="auto" w:before="10"/>
        <w:rPr>
          <w:rFonts w:ascii="宋体" w:hAnsi="宋体" w:cs="宋体" w:eastAsia="宋体" w:hint="default"/>
          <w:sz w:val="16"/>
          <w:szCs w:val="16"/>
        </w:rPr>
      </w:pPr>
    </w:p>
    <w:p>
      <w:pPr>
        <w:pStyle w:val="BodyText"/>
        <w:spacing w:line="240" w:lineRule="auto"/>
        <w:ind w:left="574" w:right="0"/>
        <w:jc w:val="left"/>
      </w:pPr>
      <w:r>
        <w:rPr/>
        <w:t>③</w:t>
      </w:r>
      <w:r>
        <w:rPr>
          <w:spacing w:val="-2"/>
        </w:rPr>
        <w:t> </w:t>
      </w:r>
      <w:r>
        <w:rPr/>
        <w:t>为使资产达到预定可使用或者可销售状态所必要的购建或者生产活动已经开始。</w:t>
      </w:r>
    </w:p>
    <w:p>
      <w:pPr>
        <w:spacing w:line="240" w:lineRule="auto" w:before="5"/>
        <w:rPr>
          <w:rFonts w:ascii="宋体" w:hAnsi="宋体" w:cs="宋体" w:eastAsia="宋体" w:hint="default"/>
          <w:sz w:val="14"/>
          <w:szCs w:val="14"/>
        </w:rPr>
      </w:pPr>
    </w:p>
    <w:p>
      <w:pPr>
        <w:pStyle w:val="BodyText"/>
        <w:spacing w:line="240" w:lineRule="auto"/>
        <w:ind w:right="0"/>
        <w:jc w:val="left"/>
      </w:pPr>
      <w:r>
        <w:rPr/>
        <w:t>（</w:t>
      </w:r>
      <w:r>
        <w:rPr>
          <w:rFonts w:ascii="Times New Roman" w:hAnsi="Times New Roman" w:cs="Times New Roman" w:eastAsia="Times New Roman" w:hint="default"/>
        </w:rPr>
        <w:t>2</w:t>
      </w:r>
      <w:r>
        <w:rPr/>
        <w:t>）借款费用资本化期间</w:t>
      </w:r>
    </w:p>
    <w:p>
      <w:pPr>
        <w:spacing w:line="240" w:lineRule="auto" w:before="7"/>
        <w:rPr>
          <w:rFonts w:ascii="宋体" w:hAnsi="宋体" w:cs="宋体" w:eastAsia="宋体" w:hint="default"/>
          <w:sz w:val="20"/>
          <w:szCs w:val="20"/>
        </w:rPr>
      </w:pPr>
    </w:p>
    <w:p>
      <w:pPr>
        <w:pStyle w:val="BodyText"/>
        <w:spacing w:line="326" w:lineRule="auto"/>
        <w:ind w:right="148" w:firstLine="420"/>
        <w:jc w:val="both"/>
      </w:pPr>
      <w:r>
        <w:rPr>
          <w:spacing w:val="3"/>
        </w:rPr>
        <w:t>本集团购建或者生产符合资本化条件的资产达到预定可使用或者可销售状态时，借款费用停止资本</w:t>
      </w:r>
      <w:r>
        <w:rPr/>
        <w:t> </w:t>
      </w:r>
      <w:r>
        <w:rPr>
          <w:spacing w:val="-1"/>
        </w:rPr>
        <w:t>化。在符合资本化条件的资产达到预定可使用或者可销售状态之后所发生的借款费用，在发生时根据其发</w:t>
      </w:r>
      <w:r>
        <w:rPr>
          <w:spacing w:val="-81"/>
        </w:rPr>
        <w:t> </w:t>
      </w:r>
      <w:r>
        <w:rPr>
          <w:spacing w:val="-81"/>
        </w:rPr>
      </w:r>
      <w:r>
        <w:rPr/>
        <w:t>生额确认为费用，计入当期损益。</w:t>
      </w:r>
    </w:p>
    <w:p>
      <w:pPr>
        <w:pStyle w:val="BodyText"/>
        <w:spacing w:line="309" w:lineRule="auto" w:before="144"/>
        <w:ind w:right="149" w:firstLine="420"/>
        <w:jc w:val="both"/>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w:t>
      </w:r>
      <w:r>
        <w:rPr>
          <w:spacing w:val="2"/>
        </w:rPr>
        <w:t> </w:t>
      </w:r>
      <w:r>
        <w:rPr/>
        <w:t>借款费用的资本化；正常中断期间的借款费用继续资本化。</w:t>
      </w:r>
    </w:p>
    <w:p>
      <w:pPr>
        <w:pStyle w:val="BodyText"/>
        <w:spacing w:line="240" w:lineRule="auto" w:before="127"/>
        <w:ind w:right="0"/>
        <w:jc w:val="left"/>
      </w:pPr>
      <w:r>
        <w:rPr/>
        <w:t>（</w:t>
      </w:r>
      <w:r>
        <w:rPr>
          <w:rFonts w:ascii="Times New Roman" w:hAnsi="Times New Roman" w:cs="Times New Roman" w:eastAsia="Times New Roman" w:hint="default"/>
        </w:rPr>
        <w:t>3</w:t>
      </w:r>
      <w:r>
        <w:rPr/>
        <w:t>）借款费用资本化率以及资本化金额的计算方法</w:t>
      </w:r>
    </w:p>
    <w:p>
      <w:pPr>
        <w:spacing w:line="240" w:lineRule="auto" w:before="7"/>
        <w:rPr>
          <w:rFonts w:ascii="宋体" w:hAnsi="宋体" w:cs="宋体" w:eastAsia="宋体" w:hint="default"/>
          <w:sz w:val="20"/>
          <w:szCs w:val="20"/>
        </w:rPr>
      </w:pPr>
    </w:p>
    <w:p>
      <w:pPr>
        <w:pStyle w:val="BodyText"/>
        <w:spacing w:line="326" w:lineRule="auto"/>
        <w:ind w:right="152"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spacing w:line="240" w:lineRule="auto" w:before="6"/>
        <w:rPr>
          <w:rFonts w:ascii="宋体" w:hAnsi="宋体" w:cs="宋体" w:eastAsia="宋体" w:hint="default"/>
          <w:sz w:val="22"/>
          <w:szCs w:val="22"/>
        </w:rPr>
      </w:pPr>
    </w:p>
    <w:p>
      <w:pPr>
        <w:spacing w:line="542" w:lineRule="auto" w:before="0"/>
        <w:ind w:left="135" w:right="8507"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b/>
          <w:bCs/>
          <w:w w:val="99"/>
          <w:sz w:val="21"/>
          <w:szCs w:val="21"/>
        </w:rPr>
        <w:t> </w:t>
      </w:r>
      <w:r>
        <w:rPr>
          <w:rFonts w:ascii="宋体" w:hAnsi="宋体" w:cs="宋体" w:eastAsia="宋体" w:hint="default"/>
          <w:sz w:val="21"/>
          <w:szCs w:val="21"/>
        </w:rPr>
        <w:t>无。 </w:t>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after="0" w:line="542" w:lineRule="auto"/>
        <w:jc w:val="center"/>
        <w:rPr>
          <w:rFonts w:ascii="宋体" w:hAnsi="宋体" w:cs="宋体" w:eastAsia="宋体" w:hint="default"/>
          <w:sz w:val="21"/>
          <w:szCs w:val="21"/>
        </w:rPr>
        <w:sectPr>
          <w:footerReference w:type="default" r:id="rId32"/>
          <w:pgSz w:w="11910" w:h="16840"/>
          <w:pgMar w:footer="980" w:header="747" w:top="1060" w:bottom="1180" w:left="980" w:right="980"/>
          <w:pgNumType w:start="101"/>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21</w:t>
      </w:r>
      <w:bookmarkStart w:name="21、无形资产" w:id="150"/>
      <w:bookmarkEnd w:id="150"/>
      <w:r>
        <w:rPr>
          <w:rFonts w:ascii="Times New Roman" w:hAnsi="Times New Roman" w:cs="Times New Roman" w:eastAsia="Times New Roman" w:hint="default"/>
        </w:rPr>
      </w:r>
      <w:r>
        <w:rPr/>
        <w:t>、无形资产</w:t>
      </w:r>
      <w:r>
        <w:rPr>
          <w:b w:val="0"/>
          <w:bCs w:val="0"/>
        </w:rPr>
      </w:r>
    </w:p>
    <w:p>
      <w:pPr>
        <w:spacing w:line="644" w:lineRule="exact" w:before="52"/>
        <w:ind w:left="574" w:right="4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计价方法、使用寿命、减值测试" w:id="151"/>
      <w:bookmarkEnd w:id="151"/>
      <w:r>
        <w:rPr>
          <w:rFonts w:ascii="Times New Roman" w:hAnsi="Times New Roman" w:cs="Times New Roman" w:eastAsia="Times New Roman" w:hint="default"/>
          <w:b/>
          <w:bCs/>
          <w:sz w:val="21"/>
          <w:szCs w:val="21"/>
        </w:rPr>
      </w:r>
      <w:r>
        <w:rPr>
          <w:rFonts w:ascii="宋体" w:hAnsi="宋体" w:cs="宋体" w:eastAsia="宋体" w:hint="default"/>
          <w:b/>
          <w:bCs/>
          <w:sz w:val="21"/>
          <w:szCs w:val="21"/>
        </w:rPr>
        <w:t>）计价方法、使用寿命、减值测试</w:t>
      </w:r>
      <w:r>
        <w:rPr>
          <w:rFonts w:ascii="宋体" w:hAnsi="宋体" w:cs="宋体" w:eastAsia="宋体" w:hint="default"/>
          <w:b/>
          <w:bCs/>
          <w:spacing w:val="1"/>
          <w:w w:val="99"/>
          <w:sz w:val="21"/>
          <w:szCs w:val="21"/>
        </w:rPr>
        <w:t> </w:t>
      </w:r>
      <w:r>
        <w:rPr>
          <w:rFonts w:ascii="宋体" w:hAnsi="宋体" w:cs="宋体" w:eastAsia="宋体" w:hint="default"/>
          <w:sz w:val="21"/>
          <w:szCs w:val="21"/>
        </w:rPr>
        <w:t>本集团无形资产包括计算机软件、商标权、开发支出等。</w:t>
      </w:r>
    </w:p>
    <w:p>
      <w:pPr>
        <w:pStyle w:val="BodyText"/>
        <w:spacing w:line="326" w:lineRule="auto" w:before="120"/>
        <w:ind w:right="151" w:firstLine="420"/>
        <w:jc w:val="both"/>
      </w:pPr>
      <w:r>
        <w:rPr>
          <w:spacing w:val="-1"/>
        </w:rPr>
        <w:t>无形资产按照成本进行初始计量，并于取得无形资产时分析判断其使用寿命。使用寿命为有限的，自</w:t>
      </w:r>
      <w:r>
        <w:rPr/>
        <w:t> </w:t>
      </w:r>
      <w:r>
        <w:rPr>
          <w:spacing w:val="-1"/>
        </w:rPr>
        <w:t>无形资产可供使用时起，采用能反映与该资产有关的经济利益的预期实现方式的摊销方法，在预计使用年</w:t>
      </w:r>
      <w:r>
        <w:rPr>
          <w:spacing w:val="-81"/>
        </w:rPr>
        <w:t> </w:t>
      </w:r>
      <w:r>
        <w:rPr>
          <w:spacing w:val="-81"/>
        </w:rPr>
      </w:r>
      <w:r>
        <w:rPr/>
        <w:t>限内摊销；无法可靠确定预期实现方式的，采用直线法摊销；使用寿命不确定的无形资产，不作摊销。</w:t>
      </w:r>
    </w:p>
    <w:p>
      <w:pPr>
        <w:pStyle w:val="BodyText"/>
        <w:spacing w:line="240" w:lineRule="auto" w:before="144"/>
        <w:ind w:left="574" w:right="0"/>
        <w:jc w:val="left"/>
      </w:pPr>
      <w:r>
        <w:rPr/>
        <w:t>使用寿命有限的无形资产摊销方法如下：</w:t>
      </w:r>
    </w:p>
    <w:p>
      <w:pPr>
        <w:spacing w:line="240" w:lineRule="auto" w:before="7"/>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040"/>
        <w:gridCol w:w="2018"/>
        <w:gridCol w:w="2365"/>
        <w:gridCol w:w="1858"/>
      </w:tblGrid>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43" w:right="0"/>
              <w:jc w:val="left"/>
              <w:rPr>
                <w:rFonts w:ascii="宋体" w:hAnsi="宋体" w:cs="宋体" w:eastAsia="宋体" w:hint="default"/>
                <w:sz w:val="18"/>
                <w:szCs w:val="18"/>
              </w:rPr>
            </w:pPr>
            <w:r>
              <w:rPr>
                <w:rFonts w:ascii="宋体" w:hAnsi="宋体" w:cs="宋体" w:eastAsia="宋体" w:hint="default"/>
                <w:b/>
                <w:bCs/>
                <w:sz w:val="18"/>
                <w:szCs w:val="18"/>
              </w:rPr>
              <w:t>使用寿命</w:t>
            </w:r>
            <w:r>
              <w:rPr>
                <w:rFonts w:ascii="宋体" w:hAnsi="宋体" w:cs="宋体" w:eastAsia="宋体" w:hint="default"/>
                <w:sz w:val="18"/>
                <w:szCs w:val="18"/>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摊销方法</w:t>
            </w:r>
            <w:r>
              <w:rPr>
                <w:rFonts w:ascii="宋体" w:hAnsi="宋体" w:cs="宋体" w:eastAsia="宋体" w:hint="default"/>
                <w:sz w:val="18"/>
                <w:szCs w:val="18"/>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年限平均法</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年限平均法</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年限平均法</w:t>
            </w:r>
          </w:p>
        </w:tc>
        <w:tc>
          <w:tcPr>
            <w:tcW w:w="18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7"/>
          <w:szCs w:val="7"/>
        </w:rPr>
      </w:pPr>
    </w:p>
    <w:p>
      <w:pPr>
        <w:pStyle w:val="BodyText"/>
        <w:spacing w:line="326" w:lineRule="auto" w:before="35"/>
        <w:ind w:right="0" w:firstLine="420"/>
        <w:jc w:val="left"/>
      </w:pPr>
      <w:r>
        <w:rPr>
          <w:spacing w:val="-1"/>
        </w:rPr>
        <w:t>本集团于每年年度终了，对使用寿命有限的无形资产的使用寿命及摊销方法进行复核，与以前估计不</w:t>
      </w:r>
      <w:r>
        <w:rPr/>
        <w:t> 同的，调整原先估计数，并按会计估计变更处理。</w:t>
      </w:r>
    </w:p>
    <w:p>
      <w:pPr>
        <w:pStyle w:val="BodyText"/>
        <w:spacing w:line="326" w:lineRule="auto" w:before="144"/>
        <w:ind w:right="0" w:firstLine="420"/>
        <w:jc w:val="left"/>
      </w:pPr>
      <w:r>
        <w:rPr>
          <w:spacing w:val="-1"/>
        </w:rPr>
        <w:t>资产负债表日预计某项无形资产已经不能给企业带来未来经济利益的，将该项无形资产的账面价值全</w:t>
      </w:r>
      <w:r>
        <w:rPr/>
        <w:t> 部转入当期损益。</w:t>
      </w:r>
    </w:p>
    <w:p>
      <w:pPr>
        <w:pStyle w:val="BodyText"/>
        <w:spacing w:line="240" w:lineRule="auto" w:before="144"/>
        <w:ind w:left="574" w:right="0"/>
        <w:jc w:val="left"/>
      </w:pPr>
      <w:r>
        <w:rPr/>
        <w:t>无形资产计提资产减值方法见附注五之</w:t>
      </w:r>
      <w:r>
        <w:rPr>
          <w:rFonts w:ascii="Times New Roman" w:hAnsi="Times New Roman" w:cs="Times New Roman" w:eastAsia="Times New Roman" w:hint="default"/>
        </w:rPr>
        <w:t>22</w:t>
      </w:r>
      <w:r>
        <w:rPr/>
        <w:t>。</w:t>
      </w:r>
    </w:p>
    <w:p>
      <w:pPr>
        <w:spacing w:line="240" w:lineRule="auto" w:before="0"/>
        <w:rPr>
          <w:rFonts w:ascii="宋体" w:hAnsi="宋体" w:cs="宋体" w:eastAsia="宋体" w:hint="default"/>
          <w:sz w:val="27"/>
          <w:szCs w:val="27"/>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pStyle w:val="BodyText"/>
        <w:spacing w:line="490" w:lineRule="atLeast" w:before="138"/>
        <w:ind w:left="574" w:right="0"/>
        <w:jc w:val="left"/>
      </w:pPr>
      <w:r>
        <w:rPr/>
        <w:t>本集团将内部研究开发项目的支出，区分为研究阶段支出和开发阶段支出。 研究阶段的支出，于发生时计入当期损益。 </w:t>
      </w:r>
      <w:r>
        <w:rPr>
          <w:spacing w:val="-1"/>
        </w:rPr>
        <w:t>开发阶段的支出，同时满足下列条件的，才能予以资本化，即：完成</w:t>
      </w:r>
      <w:bookmarkStart w:name="（2）内部研究开发支出会计政策" w:id="152"/>
      <w:bookmarkEnd w:id="152"/>
      <w:r>
        <w:rPr>
          <w:spacing w:val="-1"/>
        </w:rPr>
        <w:t>该无形资产以使其能够使用或出</w:t>
      </w:r>
    </w:p>
    <w:p>
      <w:pPr>
        <w:pStyle w:val="BodyText"/>
        <w:spacing w:line="326" w:lineRule="auto" w:before="99"/>
        <w:ind w:right="151"/>
        <w:jc w:val="both"/>
      </w:pPr>
      <w:r>
        <w:rPr>
          <w:spacing w:val="-1"/>
        </w:rPr>
        <w:t>售在技术上具有可行性；具有完成该无形资产并使用或出售的意图；无形资产产生经济利益的方式，包括</w:t>
      </w:r>
      <w:r>
        <w:rPr>
          <w:spacing w:val="-83"/>
        </w:rPr>
        <w:t> </w:t>
      </w:r>
      <w:r>
        <w:rPr>
          <w:spacing w:val="-83"/>
        </w:rPr>
      </w:r>
      <w:r>
        <w:rPr>
          <w:spacing w:val="-1"/>
        </w:rPr>
        <w:t>能够证明运用该无形资产生产的产品存在市场或无形资产自身存在市场，无形资产将在内部使用的，能够</w:t>
      </w:r>
      <w:r>
        <w:rPr>
          <w:spacing w:val="-81"/>
        </w:rPr>
        <w:t> </w:t>
      </w:r>
      <w:r>
        <w:rPr>
          <w:spacing w:val="-81"/>
        </w:rPr>
      </w:r>
      <w:r>
        <w:rPr>
          <w:spacing w:val="-1"/>
        </w:rPr>
        <w:t>证明其有用性；有足够的技术、财务资源和其他资源支持，以完成该无形资产的开发，并有能力使用或出</w:t>
      </w:r>
      <w:r>
        <w:rPr>
          <w:spacing w:val="-86"/>
        </w:rPr>
        <w:t> </w:t>
      </w:r>
      <w:r>
        <w:rPr>
          <w:spacing w:val="-86"/>
        </w:rPr>
      </w:r>
      <w:r>
        <w:rPr>
          <w:spacing w:val="-1"/>
        </w:rPr>
        <w:t>售该无形资产；归属于该无形资产开发阶段的支出能够可靠地计量。不满足上述条件的开发支出计入当期</w:t>
      </w:r>
      <w:r>
        <w:rPr>
          <w:spacing w:val="-81"/>
        </w:rPr>
        <w:t> </w:t>
      </w:r>
      <w:r>
        <w:rPr>
          <w:spacing w:val="-81"/>
        </w:rPr>
      </w:r>
      <w:r>
        <w:rPr/>
        <w:t>损益。</w:t>
      </w:r>
    </w:p>
    <w:p>
      <w:pPr>
        <w:pStyle w:val="BodyText"/>
        <w:spacing w:line="326" w:lineRule="auto" w:before="144"/>
        <w:ind w:right="0" w:firstLine="420"/>
        <w:jc w:val="left"/>
      </w:pPr>
      <w:r>
        <w:rPr>
          <w:spacing w:val="-1"/>
        </w:rPr>
        <w:t>本集团研究开发项目在满足上述条件，通过技术可行性及经济可行性研究，形成项目立项后，进入开</w:t>
      </w:r>
      <w:r>
        <w:rPr/>
        <w:t> 发阶段。</w:t>
      </w:r>
    </w:p>
    <w:p>
      <w:pPr>
        <w:pStyle w:val="BodyText"/>
        <w:spacing w:line="326" w:lineRule="auto" w:before="144"/>
        <w:ind w:right="0" w:firstLine="420"/>
        <w:jc w:val="left"/>
      </w:pPr>
      <w:r>
        <w:rPr>
          <w:spacing w:val="-1"/>
        </w:rPr>
        <w:t>已资本化的开发阶段的支出在资产负债表上列示为开发支出，自该项目达到预定可使用状态之日转为</w:t>
      </w:r>
      <w:r>
        <w:rPr/>
        <w:t> 无形资产。</w:t>
      </w:r>
    </w:p>
    <w:p>
      <w:pPr>
        <w:spacing w:after="0" w:line="326" w:lineRule="auto"/>
        <w:jc w:val="left"/>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4、职工薪酬" w:id="153"/>
      <w:bookmarkEnd w:id="153"/>
      <w:r>
        <w:rPr>
          <w:b w:val="0"/>
          <w:bCs w:val="0"/>
        </w:rPr>
      </w:r>
      <w:bookmarkStart w:name="（1）短期薪酬的会计处理方法" w:id="154"/>
      <w:bookmarkEnd w:id="154"/>
      <w:r>
        <w:rPr>
          <w:b w:val="0"/>
          <w:bCs w:val="0"/>
        </w:rPr>
      </w:r>
      <w:r>
        <w:rPr>
          <w:rFonts w:ascii="Times New Roman" w:hAnsi="Times New Roman" w:cs="Times New Roman" w:eastAsia="Times New Roman" w:hint="default"/>
        </w:rPr>
        <w:t>22</w:t>
      </w:r>
      <w:bookmarkStart w:name="22、长期资产减值" w:id="155"/>
      <w:bookmarkEnd w:id="155"/>
      <w:r>
        <w:rPr>
          <w:rFonts w:ascii="Times New Roman" w:hAnsi="Times New Roman" w:cs="Times New Roman" w:eastAsia="Times New Roman" w:hint="default"/>
        </w:rPr>
      </w:r>
      <w:r>
        <w:rPr/>
        <w:t>、长期资产减值</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right="190" w:firstLine="420"/>
        <w:jc w:val="both"/>
      </w:pPr>
      <w:r>
        <w:rPr>
          <w:spacing w:val="-1"/>
        </w:rPr>
        <w:t>对子公司、联营企业和合营企业的长期股权投资、采用成本模式进行后续计量的投资性房地产、固定</w:t>
      </w:r>
      <w:r>
        <w:rPr/>
        <w:t> 资产、在建工程、采用成本模式计量的无形资产、商誉等（存货、按公允价值模式计量的投资性房地产、 递延所得税资产、金融资产除外）的资产减值，按以下方法确定：</w:t>
      </w:r>
    </w:p>
    <w:p>
      <w:pPr>
        <w:pStyle w:val="BodyText"/>
        <w:spacing w:line="326" w:lineRule="auto" w:before="144"/>
        <w:ind w:left="153" w:right="211" w:firstLine="420"/>
        <w:jc w:val="both"/>
      </w:pPr>
      <w:r>
        <w:rPr>
          <w:spacing w:val="-1"/>
        </w:rPr>
        <w:t>于资产负债表日判断资产是否存在可能发生减值的迹象，存在减值迹象的，本集团将估计其可收回金</w:t>
      </w:r>
      <w:r>
        <w:rPr/>
        <w:t> </w:t>
      </w:r>
      <w:r>
        <w:rPr>
          <w:spacing w:val="-1"/>
        </w:rPr>
        <w:t>额，进行减值测试。对因企业合并所形成的商誉、使用寿命不确定的无形资产和尚未达到可使用状态的无</w:t>
      </w:r>
      <w:r>
        <w:rPr>
          <w:spacing w:val="-83"/>
        </w:rPr>
        <w:t> </w:t>
      </w:r>
      <w:r>
        <w:rPr>
          <w:spacing w:val="-83"/>
        </w:rPr>
      </w:r>
      <w:r>
        <w:rPr/>
        <w:t>形资产无论是否存在减值迹象，每年都进行减值测试。</w:t>
      </w:r>
    </w:p>
    <w:p>
      <w:pPr>
        <w:pStyle w:val="BodyText"/>
        <w:spacing w:line="326" w:lineRule="auto" w:before="144"/>
        <w:ind w:right="209" w:firstLine="420"/>
        <w:jc w:val="both"/>
      </w:pPr>
      <w:r>
        <w:rPr>
          <w:spacing w:val="3"/>
        </w:rPr>
        <w:t>可收回金额根据资产的公允价值减去处置费用后的净额与资产预计未来现金流量的现值两者之间较</w:t>
      </w:r>
      <w:r>
        <w:rPr/>
        <w:t> </w:t>
      </w:r>
      <w:r>
        <w:rPr>
          <w:spacing w:val="-1"/>
        </w:rPr>
        <w:t>高者确定。本集团以单项资产为基础估计其可收回金额；难以对单项资产的可收回金额进行估计的，以该</w:t>
      </w:r>
      <w:r>
        <w:rPr>
          <w:spacing w:val="-83"/>
        </w:rPr>
        <w:t> </w:t>
      </w:r>
      <w:r>
        <w:rPr>
          <w:spacing w:val="-83"/>
        </w:rPr>
      </w:r>
      <w:r>
        <w:rPr>
          <w:spacing w:val="-1"/>
        </w:rPr>
        <w:t>资产所属的资产组为基础确定资产组的可收回金额。资产组的认定，以资产组产生的主要现金流入是否独</w:t>
      </w:r>
      <w:r>
        <w:rPr>
          <w:spacing w:val="-81"/>
        </w:rPr>
        <w:t> </w:t>
      </w:r>
      <w:r>
        <w:rPr>
          <w:spacing w:val="-81"/>
        </w:rPr>
      </w:r>
      <w:r>
        <w:rPr/>
        <w:t>立于其他资产或者资产组的现金流入为依据。</w:t>
      </w:r>
    </w:p>
    <w:p>
      <w:pPr>
        <w:pStyle w:val="BodyText"/>
        <w:spacing w:line="326" w:lineRule="auto" w:before="144"/>
        <w:ind w:right="211" w:firstLine="420"/>
        <w:jc w:val="both"/>
      </w:pPr>
      <w:r>
        <w:rPr>
          <w:spacing w:val="-1"/>
        </w:rPr>
        <w:t>当资产或资产组的可收回金额低于其账面价值时，本集团将其账面价值减记至可收回金额，减记的金</w:t>
      </w:r>
      <w:r>
        <w:rPr/>
        <w:t> 额计入当期损益，同时计提相应的资产减值准备。</w:t>
      </w:r>
    </w:p>
    <w:p>
      <w:pPr>
        <w:pStyle w:val="BodyText"/>
        <w:spacing w:line="326" w:lineRule="auto" w:before="144"/>
        <w:ind w:right="103" w:firstLine="420"/>
        <w:jc w:val="left"/>
      </w:pPr>
      <w:r>
        <w:rPr/>
        <w:t>就商誉的减值测试而言，对于因企业合并形成的商誉的账面价值，自购买日起按照合理的方法分摊至 </w:t>
      </w:r>
      <w:r>
        <w:rPr>
          <w:spacing w:val="-3"/>
        </w:rPr>
        <w:t>相关的资产组；难以分摊至相关的资产组的，将其分摊至相关的资产组组合。相关的资产组或资产组组合，</w:t>
      </w:r>
      <w:r>
        <w:rPr>
          <w:spacing w:val="-90"/>
        </w:rPr>
        <w:t> </w:t>
      </w:r>
      <w:r>
        <w:rPr>
          <w:spacing w:val="-90"/>
        </w:rPr>
      </w:r>
      <w:r>
        <w:rPr/>
        <w:t>是能够从企业合并的协同效应中受益的资产组或者资产组组合，且不大于本集团确定的报告分部。</w:t>
      </w:r>
    </w:p>
    <w:p>
      <w:pPr>
        <w:pStyle w:val="BodyText"/>
        <w:spacing w:line="326" w:lineRule="auto" w:before="144"/>
        <w:ind w:right="211" w:firstLine="420"/>
        <w:jc w:val="both"/>
      </w:pPr>
      <w:r>
        <w:rPr>
          <w:spacing w:val="-1"/>
        </w:rPr>
        <w:t>减值测试时，如与商誉相关的资产组或者资产组组合存在减值迹象的，首先对不包含商誉的资产组或</w:t>
      </w:r>
      <w:r>
        <w:rPr/>
        <w:t> </w:t>
      </w:r>
      <w:r>
        <w:rPr>
          <w:spacing w:val="-1"/>
        </w:rPr>
        <w:t>者资产组组合进行减值测试，计算可收回金额，确认相应的减值损失。然后对包含商誉的资产组或者资产</w:t>
      </w:r>
      <w:r>
        <w:rPr>
          <w:spacing w:val="-83"/>
        </w:rPr>
        <w:t> </w:t>
      </w:r>
      <w:r>
        <w:rPr>
          <w:spacing w:val="-83"/>
        </w:rPr>
      </w:r>
      <w:r>
        <w:rPr>
          <w:spacing w:val="-1"/>
        </w:rPr>
        <w:t>组组合进行减值测试，比较其账面价值与可收回金额，如可收回金额低于账面价值的，确认商誉的减值损</w:t>
      </w:r>
      <w:r>
        <w:rPr>
          <w:spacing w:val="-83"/>
        </w:rPr>
        <w:t> </w:t>
      </w:r>
      <w:r>
        <w:rPr>
          <w:spacing w:val="-83"/>
        </w:rPr>
      </w:r>
      <w:r>
        <w:rPr/>
        <w:t>失。</w:t>
      </w:r>
    </w:p>
    <w:p>
      <w:pPr>
        <w:pStyle w:val="BodyText"/>
        <w:spacing w:line="240" w:lineRule="auto" w:before="144"/>
        <w:ind w:left="574" w:right="0"/>
        <w:jc w:val="left"/>
      </w:pPr>
      <w:r>
        <w:rPr/>
        <w:t>资产减值损失一经确认，在以后会计期间不再转回。</w:t>
      </w:r>
    </w:p>
    <w:p>
      <w:pPr>
        <w:pStyle w:val="BodyText"/>
        <w:spacing w:line="620" w:lineRule="atLeast" w:before="40"/>
        <w:ind w:left="574" w:right="0" w:hanging="420"/>
        <w:jc w:val="left"/>
      </w:pP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spacing w:val="1"/>
          <w:w w:val="99"/>
        </w:rPr>
        <w:t> </w:t>
      </w:r>
      <w:r>
        <w:rPr>
          <w:spacing w:val="-1"/>
        </w:rPr>
        <w:t>本集团发生的长期待摊费用按实际成本计价，并按预计受益期限平均摊销。</w:t>
      </w:r>
      <w:bookmarkStart w:name="23、长期待摊费用" w:id="156"/>
      <w:bookmarkEnd w:id="156"/>
      <w:r>
        <w:rPr>
          <w:spacing w:val="-1"/>
        </w:rPr>
        <w:t>对不能使以后会计期间受</w:t>
      </w:r>
    </w:p>
    <w:p>
      <w:pPr>
        <w:pStyle w:val="BodyText"/>
        <w:spacing w:line="240" w:lineRule="auto" w:before="99"/>
        <w:ind w:right="0"/>
        <w:jc w:val="left"/>
      </w:pPr>
      <w:r>
        <w:rPr/>
        <w:t>益的长期待摊费用项目，其摊余价值全部计入当期损益。</w:t>
      </w: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644" w:lineRule="exact" w:before="52"/>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本集团在职工提供服务的会计期间，将实际发生的职工工资、奖金、按规定的基准和比例为职工缴纳</w:t>
      </w:r>
    </w:p>
    <w:p>
      <w:pPr>
        <w:pStyle w:val="BodyText"/>
        <w:spacing w:line="326" w:lineRule="auto"/>
        <w:ind w:right="211"/>
        <w:jc w:val="both"/>
      </w:pPr>
      <w:r>
        <w:rPr>
          <w:spacing w:val="-1"/>
        </w:rPr>
        <w:t>的医疗保险费、工伤保险费和生育保险费等社会保险费和住房公积金，确认为负债，并计入当期损益或相</w:t>
      </w:r>
      <w:r>
        <w:rPr>
          <w:spacing w:val="-83"/>
        </w:rPr>
        <w:t> </w:t>
      </w:r>
      <w:r>
        <w:rPr>
          <w:spacing w:val="-83"/>
        </w:rPr>
      </w:r>
      <w:r>
        <w:rPr>
          <w:spacing w:val="-1"/>
        </w:rPr>
        <w:t>关资产成本。如果该负债预期在职工提供相关服务的年度报告期结束后十二个月内不能完全支付，且财务</w:t>
      </w:r>
      <w:r>
        <w:rPr>
          <w:spacing w:val="-81"/>
        </w:rPr>
        <w:t> </w:t>
      </w:r>
      <w:r>
        <w:rPr>
          <w:spacing w:val="-81"/>
        </w:rPr>
      </w:r>
      <w:r>
        <w:rPr/>
        <w:t>影响重大的，则该负债将以折现后的金额计量。</w:t>
      </w:r>
    </w:p>
    <w:p>
      <w:pPr>
        <w:spacing w:after="0" w:line="326" w:lineRule="auto"/>
        <w:jc w:val="both"/>
        <w:sectPr>
          <w:pgSz w:w="11910" w:h="16840"/>
          <w:pgMar w:header="747" w:footer="980" w:top="1060" w:bottom="1180" w:left="980" w:right="92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6、股份支付" w:id="157"/>
      <w:bookmarkEnd w:id="157"/>
      <w:r>
        <w:rPr>
          <w:b w:val="0"/>
          <w:bCs w:val="0"/>
        </w:rPr>
      </w:r>
      <w:r>
        <w:rPr/>
        <w:t>（</w:t>
      </w:r>
      <w:r>
        <w:rPr>
          <w:rFonts w:ascii="Times New Roman" w:hAnsi="Times New Roman" w:cs="Times New Roman" w:eastAsia="Times New Roman" w:hint="default"/>
        </w:rPr>
        <w:t>2</w:t>
      </w:r>
      <w:bookmarkStart w:name="（2）离职后福利的会计处理方法" w:id="158"/>
      <w:bookmarkEnd w:id="158"/>
      <w:r>
        <w:rPr>
          <w:rFonts w:ascii="Times New Roman" w:hAnsi="Times New Roman" w:cs="Times New Roman" w:eastAsia="Times New Roman" w:hint="default"/>
        </w:rPr>
      </w:r>
      <w:r>
        <w:rPr/>
        <w:t>）离职后福利的会计处理方法</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right="211" w:firstLine="420"/>
        <w:jc w:val="both"/>
      </w:pPr>
      <w:r>
        <w:rPr>
          <w:spacing w:val="-1"/>
        </w:rPr>
        <w:t>离职后福利计划包括设定提存计划和设定受益计划。其中，设定提存计划，是指向独立的基金缴存固</w:t>
      </w:r>
      <w:r>
        <w:rPr/>
        <w:t> </w:t>
      </w:r>
      <w:r>
        <w:rPr>
          <w:spacing w:val="-1"/>
        </w:rPr>
        <w:t>定费用后，企业不再承担进一步支付义务的离职后福利计划；设定受益计划，是指除设定提存计划以外的</w:t>
      </w:r>
      <w:r>
        <w:rPr>
          <w:spacing w:val="-83"/>
        </w:rPr>
        <w:t> </w:t>
      </w:r>
      <w:r>
        <w:rPr>
          <w:spacing w:val="-83"/>
        </w:rPr>
      </w:r>
      <w:r>
        <w:rPr/>
        <w:t>离职后福利计划。</w:t>
      </w:r>
    </w:p>
    <w:p>
      <w:pPr>
        <w:pStyle w:val="BodyText"/>
        <w:spacing w:line="432" w:lineRule="auto" w:before="144"/>
        <w:ind w:left="574" w:right="3322"/>
        <w:jc w:val="left"/>
      </w:pPr>
      <w:r>
        <w:rPr/>
        <w:t>设定提存计划： 设定提存计划包括基本养老保险、失业保险以及企业年金计划等。</w:t>
      </w:r>
    </w:p>
    <w:p>
      <w:pPr>
        <w:pStyle w:val="BodyText"/>
        <w:spacing w:line="326" w:lineRule="auto" w:before="51"/>
        <w:ind w:left="153" w:right="202" w:firstLine="420"/>
        <w:jc w:val="both"/>
      </w:pPr>
      <w:r>
        <w:rPr>
          <w:spacing w:val="9"/>
        </w:rPr>
        <w:t>除了基本养老保险之外，本集团依据国家企业年金制度的相关政策建立企业年金计划（“年金计</w:t>
      </w:r>
      <w:r>
        <w:rPr>
          <w:spacing w:val="10"/>
        </w:rPr>
        <w:t> </w:t>
      </w:r>
      <w:r>
        <w:rPr>
          <w:spacing w:val="-1"/>
        </w:rPr>
        <w:t>划”），符合年金条件的公司员工可以自愿参加该年金计划。除此之外，本集团并无其他重大职工社会保</w:t>
      </w:r>
      <w:r>
        <w:rPr>
          <w:spacing w:val="-85"/>
        </w:rPr>
        <w:t> </w:t>
      </w:r>
      <w:r>
        <w:rPr>
          <w:spacing w:val="-85"/>
        </w:rPr>
      </w:r>
      <w:r>
        <w:rPr/>
        <w:t>障承诺。</w:t>
      </w:r>
    </w:p>
    <w:p>
      <w:pPr>
        <w:pStyle w:val="BodyText"/>
        <w:spacing w:line="326" w:lineRule="auto" w:before="144"/>
        <w:ind w:left="153" w:right="212" w:firstLine="420"/>
        <w:jc w:val="both"/>
      </w:pPr>
      <w:r>
        <w:rPr>
          <w:spacing w:val="-1"/>
        </w:rPr>
        <w:t>在职工提供服务的会计期间，根据设定提存计划计算的应缴存金额确认为负债，并计入当期损益或相</w:t>
      </w:r>
      <w:r>
        <w:rPr/>
        <w:t> 关资产成本。</w:t>
      </w:r>
    </w:p>
    <w:p>
      <w:pPr>
        <w:spacing w:line="644" w:lineRule="exact" w:before="24"/>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本集团向职工提供辞退福利的，</w:t>
      </w:r>
      <w:bookmarkStart w:name="（3）辞退福利的会计处理方法" w:id="159"/>
      <w:bookmarkEnd w:id="159"/>
      <w:r>
        <w:rPr>
          <w:rFonts w:ascii="宋体" w:hAnsi="宋体" w:cs="宋体" w:eastAsia="宋体" w:hint="default"/>
          <w:spacing w:val="-1"/>
          <w:sz w:val="21"/>
          <w:szCs w:val="21"/>
        </w:rPr>
        <w:t>在下列两者孰早日确认辞退福利产生的职工薪酬负债</w:t>
      </w:r>
      <w:r>
        <w:rPr>
          <w:rFonts w:ascii="宋体" w:hAnsi="宋体" w:cs="宋体" w:eastAsia="宋体" w:hint="default"/>
          <w:spacing w:val="-1"/>
          <w:sz w:val="21"/>
          <w:szCs w:val="21"/>
        </w:rPr>
        <w:t>，并计入当期损</w:t>
      </w:r>
    </w:p>
    <w:p>
      <w:pPr>
        <w:pStyle w:val="BodyText"/>
        <w:spacing w:line="326" w:lineRule="auto"/>
        <w:ind w:right="0" w:hanging="1"/>
        <w:jc w:val="left"/>
      </w:pPr>
      <w:r>
        <w:rPr>
          <w:spacing w:val="-1"/>
        </w:rPr>
        <w:t>益：本集团不能单方面撤回因解除劳动关系计划或裁减建议所提供的辞退福利时；本集团确认与涉及支付</w:t>
      </w:r>
      <w:r>
        <w:rPr>
          <w:spacing w:val="-81"/>
        </w:rPr>
        <w:t> </w:t>
      </w:r>
      <w:r>
        <w:rPr>
          <w:spacing w:val="-81"/>
        </w:rPr>
      </w:r>
      <w:r>
        <w:rPr/>
        <w:t>辞退福利的重组相关的成本或费用。</w:t>
      </w:r>
    </w:p>
    <w:p>
      <w:pPr>
        <w:spacing w:line="644" w:lineRule="exact" w:before="24"/>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本集团向职工提供的其他长期职工福利，符合设定提存计划条件的，</w:t>
      </w:r>
      <w:bookmarkStart w:name="（4）其他长期职工福利的会计处理方法" w:id="160"/>
      <w:bookmarkEnd w:id="160"/>
      <w:r>
        <w:rPr>
          <w:rFonts w:ascii="宋体" w:hAnsi="宋体" w:cs="宋体" w:eastAsia="宋体" w:hint="default"/>
          <w:spacing w:val="-1"/>
          <w:sz w:val="21"/>
          <w:szCs w:val="21"/>
        </w:rPr>
        <w:t>按照上述关于设定提存计划的有</w:t>
      </w:r>
    </w:p>
    <w:p>
      <w:pPr>
        <w:pStyle w:val="BodyText"/>
        <w:spacing w:line="326" w:lineRule="auto"/>
        <w:ind w:right="0"/>
        <w:jc w:val="left"/>
      </w:pPr>
      <w:r>
        <w:rPr>
          <w:spacing w:val="-1"/>
        </w:rPr>
        <w:t>关规定进行处理。符合设定受益计划的，按照上述关于设定受益计划的有关规定进行处理，但相关职工薪</w:t>
      </w:r>
      <w:r>
        <w:rPr>
          <w:spacing w:val="-83"/>
        </w:rPr>
        <w:t> </w:t>
      </w:r>
      <w:r>
        <w:rPr>
          <w:spacing w:val="-83"/>
        </w:rPr>
      </w:r>
      <w:r>
        <w:rPr/>
        <w:t>酬成本中“重新计量设定受益计划净负债或净资产所产生的变动”部分计入当期损益或相关资产成本。</w:t>
      </w:r>
    </w:p>
    <w:p>
      <w:pPr>
        <w:spacing w:line="240" w:lineRule="auto" w:before="6"/>
        <w:rPr>
          <w:rFonts w:ascii="宋体" w:hAnsi="宋体" w:cs="宋体" w:eastAsia="宋体" w:hint="default"/>
          <w:sz w:val="22"/>
          <w:szCs w:val="22"/>
        </w:rPr>
      </w:pPr>
    </w:p>
    <w:p>
      <w:pPr>
        <w:pStyle w:val="Heading4"/>
        <w:spacing w:line="547" w:lineRule="auto"/>
        <w:ind w:right="8586"/>
        <w:jc w:val="center"/>
        <w:rPr>
          <w:b w:val="0"/>
          <w:bCs w:val="0"/>
        </w:rPr>
      </w:pPr>
      <w:r>
        <w:rPr>
          <w:rFonts w:ascii="Times New Roman" w:hAnsi="Times New Roman" w:cs="Times New Roman" w:eastAsia="Times New Roman" w:hint="default"/>
        </w:rPr>
        <w:t>25</w:t>
      </w:r>
      <w:r>
        <w:rPr/>
        <w:t>、预计负债</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26</w:t>
      </w:r>
      <w:r>
        <w:rPr/>
        <w:t>、股份支付</w:t>
      </w:r>
      <w:r>
        <w:rPr>
          <w:b w:val="0"/>
          <w:bCs w:val="0"/>
        </w:rPr>
      </w:r>
    </w:p>
    <w:p>
      <w:pPr>
        <w:pStyle w:val="BodyText"/>
        <w:spacing w:line="460" w:lineRule="auto" w:before="23"/>
        <w:ind w:left="574" w:right="5422" w:hanging="420"/>
        <w:jc w:val="left"/>
      </w:pPr>
      <w:r>
        <w:rPr/>
        <w:t>（</w:t>
      </w:r>
      <w:r>
        <w:rPr>
          <w:rFonts w:ascii="Times New Roman" w:hAnsi="Times New Roman" w:cs="Times New Roman" w:eastAsia="Times New Roman" w:hint="default"/>
        </w:rPr>
        <w:t>1</w:t>
      </w:r>
      <w:r>
        <w:rPr/>
        <w:t>）股份支付的种类 本集团股份支付为以权益结算的股份支付。</w:t>
      </w:r>
    </w:p>
    <w:p>
      <w:pPr>
        <w:pStyle w:val="BodyText"/>
        <w:spacing w:line="286" w:lineRule="exact"/>
        <w:ind w:right="0"/>
        <w:jc w:val="left"/>
      </w:pPr>
      <w:r>
        <w:rPr/>
        <w:t>（</w:t>
      </w:r>
      <w:r>
        <w:rPr>
          <w:rFonts w:ascii="Times New Roman" w:hAnsi="Times New Roman" w:cs="Times New Roman" w:eastAsia="Times New Roman" w:hint="default"/>
        </w:rPr>
        <w:t>2</w:t>
      </w:r>
      <w:r>
        <w:rPr/>
        <w:t>）权益工具公允价值的确定方法</w:t>
      </w:r>
    </w:p>
    <w:p>
      <w:pPr>
        <w:spacing w:line="240" w:lineRule="auto" w:before="7"/>
        <w:rPr>
          <w:rFonts w:ascii="宋体" w:hAnsi="宋体" w:cs="宋体" w:eastAsia="宋体" w:hint="default"/>
          <w:sz w:val="20"/>
          <w:szCs w:val="20"/>
        </w:rPr>
      </w:pPr>
    </w:p>
    <w:p>
      <w:pPr>
        <w:pStyle w:val="BodyText"/>
        <w:spacing w:line="326" w:lineRule="auto"/>
        <w:ind w:right="108" w:firstLine="420"/>
        <w:jc w:val="both"/>
      </w:pPr>
      <w:r>
        <w:rPr/>
        <w:t>本集团对于授予的存在活跃市场的期权等权益工具，按照活跃市场中的报价确定其公允价值。</w:t>
      </w:r>
      <w:bookmarkStart w:name="25、预计负债" w:id="161"/>
      <w:bookmarkEnd w:id="161"/>
      <w:r>
        <w:rPr/>
        <w:t>对于授</w:t>
      </w:r>
      <w:r>
        <w:rPr/>
        <w:t> 予的不存在活跃市场的期权等权益工具，采用期权定价模型等确定其公允价值。选用的期权定价模型考虑 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、期权的有效期；</w:t>
      </w:r>
      <w:r>
        <w:rPr>
          <w:rFonts w:ascii="Times New Roman" w:hAnsi="Times New Roman" w:cs="Times New Roman" w:eastAsia="Times New Roman" w:hint="default"/>
        </w:rPr>
        <w:t>C</w:t>
      </w:r>
      <w:r>
        <w:rPr/>
        <w:t>、标的股份的现行价格；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w:t>
      </w:r>
    </w:p>
    <w:p>
      <w:pPr>
        <w:spacing w:after="0" w:line="326" w:lineRule="auto"/>
        <w:jc w:val="both"/>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240" w:lineRule="auto" w:before="35"/>
        <w:ind w:right="0"/>
        <w:jc w:val="left"/>
      </w:pPr>
      <w:bookmarkStart w:name="28、收入" w:id="162"/>
      <w:bookmarkEnd w:id="162"/>
      <w:r>
        <w:rPr/>
      </w:r>
      <w:r>
        <w:rPr/>
        <w:t>股份的预计股利；</w:t>
      </w:r>
      <w:r>
        <w:rPr>
          <w:rFonts w:ascii="Times New Roman" w:hAnsi="Times New Roman" w:cs="Times New Roman" w:eastAsia="Times New Roman" w:hint="default"/>
        </w:rPr>
        <w:t>F</w:t>
      </w:r>
      <w:r>
        <w:rPr/>
        <w:t>、期权有效期内的无风险利率。</w:t>
      </w:r>
    </w:p>
    <w:p>
      <w:pPr>
        <w:pStyle w:val="BodyText"/>
        <w:spacing w:line="240" w:lineRule="auto" w:before="172"/>
        <w:ind w:left="153" w:right="0"/>
        <w:jc w:val="left"/>
      </w:pPr>
      <w:r>
        <w:rPr/>
        <w:t>（</w:t>
      </w:r>
      <w:r>
        <w:rPr>
          <w:rFonts w:ascii="Times New Roman" w:hAnsi="Times New Roman" w:cs="Times New Roman" w:eastAsia="Times New Roman" w:hint="default"/>
        </w:rPr>
        <w:t>3</w:t>
      </w:r>
      <w:r>
        <w:rPr/>
        <w:t>）确认可行权权益工具最佳估计的依据</w:t>
      </w:r>
    </w:p>
    <w:p>
      <w:pPr>
        <w:spacing w:line="240" w:lineRule="auto" w:before="7"/>
        <w:rPr>
          <w:rFonts w:ascii="宋体" w:hAnsi="宋体" w:cs="宋体" w:eastAsia="宋体" w:hint="default"/>
          <w:sz w:val="20"/>
          <w:szCs w:val="20"/>
        </w:rPr>
      </w:pPr>
    </w:p>
    <w:p>
      <w:pPr>
        <w:pStyle w:val="BodyText"/>
        <w:spacing w:line="326" w:lineRule="auto"/>
        <w:ind w:left="153" w:right="130" w:firstLine="420"/>
        <w:jc w:val="both"/>
      </w:pPr>
      <w:r>
        <w:rPr/>
        <w:t>等待期内每个资产负债表日，本集团根据最新取得的可行权职工人数变动等后续信息作出最佳估计， </w:t>
      </w:r>
      <w:r>
        <w:rPr>
          <w:spacing w:val="-1"/>
        </w:rPr>
        <w:t>修正预计可行权的权益工具数量。在可行权日，最终预计可行权权益工具的数量应当与实际可行权数量一</w:t>
      </w:r>
      <w:r>
        <w:rPr>
          <w:spacing w:val="-81"/>
        </w:rPr>
        <w:t> </w:t>
      </w:r>
      <w:r>
        <w:rPr>
          <w:spacing w:val="-81"/>
        </w:rPr>
      </w:r>
      <w:r>
        <w:rPr/>
        <w:t>致。</w:t>
      </w:r>
    </w:p>
    <w:p>
      <w:pPr>
        <w:pStyle w:val="BodyText"/>
        <w:spacing w:line="240" w:lineRule="auto" w:before="113"/>
        <w:ind w:left="153" w:right="0"/>
        <w:jc w:val="left"/>
      </w:pPr>
      <w:r>
        <w:rPr/>
        <w:t>（</w:t>
      </w:r>
      <w:r>
        <w:rPr>
          <w:rFonts w:ascii="Times New Roman" w:hAnsi="Times New Roman" w:cs="Times New Roman" w:eastAsia="Times New Roman" w:hint="default"/>
        </w:rPr>
        <w:t>4</w:t>
      </w:r>
      <w:r>
        <w:rPr/>
        <w:t>）实施、修改、终止股份支付计划的相关会计处理</w:t>
      </w:r>
    </w:p>
    <w:p>
      <w:pPr>
        <w:spacing w:line="240" w:lineRule="auto" w:before="7"/>
        <w:rPr>
          <w:rFonts w:ascii="宋体" w:hAnsi="宋体" w:cs="宋体" w:eastAsia="宋体" w:hint="default"/>
          <w:sz w:val="20"/>
          <w:szCs w:val="20"/>
        </w:rPr>
      </w:pPr>
    </w:p>
    <w:p>
      <w:pPr>
        <w:pStyle w:val="BodyText"/>
        <w:spacing w:line="326" w:lineRule="auto"/>
        <w:ind w:left="153" w:right="151" w:firstLine="420"/>
        <w:jc w:val="both"/>
      </w:pPr>
      <w:r>
        <w:rPr>
          <w:spacing w:val="-1"/>
        </w:rPr>
        <w:t>以权益结算的股份支付，按授予职工权益工具的公允价值计量。授予后立即可行权的，在授予日按照</w:t>
      </w:r>
      <w:r>
        <w:rPr/>
        <w:t> </w:t>
      </w:r>
      <w:r>
        <w:rPr>
          <w:spacing w:val="-1"/>
        </w:rPr>
        <w:t>权益工具的公允价值计入相关成本或费用，相应增加资本公积。在完成等待期内的服务或达到规定业绩条</w:t>
      </w:r>
      <w:r>
        <w:rPr>
          <w:spacing w:val="-81"/>
        </w:rPr>
        <w:t> </w:t>
      </w:r>
      <w:r>
        <w:rPr>
          <w:spacing w:val="-81"/>
        </w:rPr>
      </w:r>
      <w:r>
        <w:rPr>
          <w:spacing w:val="-1"/>
        </w:rPr>
        <w:t>件才可行权的，在等待期内的每个资产负债表日，以对可行权权益工具数量的最佳估计为基础，按照权益</w:t>
      </w:r>
      <w:r>
        <w:rPr>
          <w:spacing w:val="-83"/>
        </w:rPr>
        <w:t> </w:t>
      </w:r>
      <w:r>
        <w:rPr>
          <w:spacing w:val="-83"/>
        </w:rPr>
      </w:r>
      <w:r>
        <w:rPr>
          <w:spacing w:val="-1"/>
        </w:rPr>
        <w:t>工具授予日的公允价值，将当期取得的服务计入相关成本或费用和资本公积。在可行权日之后不再对已确</w:t>
      </w:r>
      <w:r>
        <w:rPr>
          <w:spacing w:val="-81"/>
        </w:rPr>
        <w:t> </w:t>
      </w:r>
      <w:r>
        <w:rPr>
          <w:spacing w:val="-81"/>
        </w:rPr>
      </w:r>
      <w:r>
        <w:rPr/>
        <w:t>认的相关成本或费用和所有者权益总额进行调整。</w:t>
      </w:r>
    </w:p>
    <w:p>
      <w:pPr>
        <w:pStyle w:val="BodyText"/>
        <w:spacing w:line="326" w:lineRule="auto" w:before="144"/>
        <w:ind w:left="153" w:right="151" w:firstLine="420"/>
        <w:jc w:val="both"/>
      </w:pPr>
      <w:r>
        <w:rPr>
          <w:spacing w:val="-1"/>
        </w:rPr>
        <w:t>本集团对股份支付计划进行修改时，若修改增加了所授予权益工具的公允价值，按照权益工具公允价</w:t>
      </w:r>
      <w:r>
        <w:rPr/>
        <w:t> </w:t>
      </w:r>
      <w:r>
        <w:rPr>
          <w:spacing w:val="-1"/>
        </w:rPr>
        <w:t>值的增加相应地确认取得服务的增加；若修改增加了所授予权益工具的数量，则将增加的权益工具的公允</w:t>
      </w:r>
      <w:r>
        <w:rPr>
          <w:spacing w:val="-81"/>
        </w:rPr>
        <w:t> </w:t>
      </w:r>
      <w:r>
        <w:rPr>
          <w:spacing w:val="-81"/>
        </w:rPr>
      </w:r>
      <w:r>
        <w:rPr>
          <w:spacing w:val="-1"/>
        </w:rPr>
        <w:t>价值相应地确认为取得服务的增加。权益工具公允价值的增加是指修改前后的权益工具在修改日的公允价</w:t>
      </w:r>
      <w:r>
        <w:rPr>
          <w:spacing w:val="-81"/>
        </w:rPr>
        <w:t> </w:t>
      </w:r>
      <w:r>
        <w:rPr>
          <w:spacing w:val="-81"/>
        </w:rPr>
      </w:r>
      <w:r>
        <w:rPr>
          <w:spacing w:val="-1"/>
        </w:rPr>
        <w:t>值之间的差额。若修改减少了股份支付公允价值总额或采用了其他不利于职工的方式修改股份支付计划的</w:t>
      </w:r>
      <w:r>
        <w:rPr>
          <w:spacing w:val="-81"/>
        </w:rPr>
        <w:t> </w:t>
      </w:r>
      <w:r>
        <w:rPr>
          <w:spacing w:val="-81"/>
        </w:rPr>
      </w:r>
      <w:r>
        <w:rPr>
          <w:spacing w:val="-1"/>
        </w:rPr>
        <w:t>条款和条件，则仍继续对取得的服务进行会计处理，视同该变更从未发生，除非本集团取消了部分或全部</w:t>
      </w:r>
      <w:r>
        <w:rPr>
          <w:spacing w:val="-83"/>
        </w:rPr>
        <w:t> </w:t>
      </w:r>
      <w:r>
        <w:rPr>
          <w:spacing w:val="-83"/>
        </w:rPr>
      </w:r>
      <w:r>
        <w:rPr/>
        <w:t>已授予的权益工具。</w:t>
      </w:r>
    </w:p>
    <w:p>
      <w:pPr>
        <w:pStyle w:val="BodyText"/>
        <w:spacing w:line="326" w:lineRule="auto" w:before="144"/>
        <w:ind w:left="153" w:right="152" w:firstLine="420"/>
        <w:jc w:val="both"/>
      </w:pPr>
      <w:r>
        <w:rPr>
          <w:spacing w:val="-1"/>
        </w:rPr>
        <w:t>在等待期内，如果取消了授予的权益工具（因未满足可行权条件的非市场条件而被取消的除外），本</w:t>
      </w:r>
      <w:r>
        <w:rPr/>
        <w:t> </w:t>
      </w:r>
      <w:r>
        <w:rPr>
          <w:spacing w:val="-1"/>
        </w:rPr>
        <w:t>集团对取消所授予的权益性工具作为加速行权处理，将剩余等待期内应确认的金额立即计入当期损益，同</w:t>
      </w:r>
      <w:r>
        <w:rPr>
          <w:spacing w:val="-81"/>
        </w:rPr>
        <w:t> </w:t>
      </w:r>
      <w:r>
        <w:rPr>
          <w:spacing w:val="-81"/>
        </w:rPr>
      </w:r>
      <w:r>
        <w:rPr>
          <w:spacing w:val="-1"/>
        </w:rPr>
        <w:t>时确认资本公积。职工或其他方能够选择满足非可行权条件但在等待期内未满足的，本集团将其作为授予</w:t>
      </w:r>
      <w:r>
        <w:rPr>
          <w:spacing w:val="-81"/>
        </w:rPr>
        <w:t> </w:t>
      </w:r>
      <w:r>
        <w:rPr>
          <w:spacing w:val="-81"/>
        </w:rPr>
      </w:r>
      <w:r>
        <w:rPr/>
        <w:t>权益工具的取消处理。</w:t>
      </w:r>
    </w:p>
    <w:p>
      <w:pPr>
        <w:spacing w:line="240" w:lineRule="auto" w:before="6"/>
        <w:rPr>
          <w:rFonts w:ascii="宋体" w:hAnsi="宋体" w:cs="宋体" w:eastAsia="宋体" w:hint="default"/>
          <w:sz w:val="22"/>
          <w:szCs w:val="22"/>
        </w:rPr>
      </w:pPr>
    </w:p>
    <w:p>
      <w:pPr>
        <w:pStyle w:val="Heading4"/>
        <w:spacing w:line="530" w:lineRule="auto"/>
        <w:ind w:left="574" w:right="6400" w:hanging="420"/>
        <w:jc w:val="left"/>
        <w:rPr>
          <w:rFonts w:ascii="宋体" w:hAnsi="宋体" w:cs="宋体" w:eastAsia="宋体" w:hint="default"/>
          <w:b w:val="0"/>
          <w:bCs w:val="0"/>
        </w:rPr>
      </w:pPr>
      <w:r>
        <w:rPr>
          <w:rFonts w:ascii="Times New Roman" w:hAnsi="Times New Roman" w:cs="Times New Roman" w:eastAsia="Times New Roman" w:hint="default"/>
        </w:rPr>
        <w:t>27</w:t>
      </w:r>
      <w:r>
        <w:rPr/>
        <w:t>、优先股、永续债等其他金融工具</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）销售商品</w:t>
      </w:r>
    </w:p>
    <w:p>
      <w:pPr>
        <w:spacing w:line="240" w:lineRule="auto" w:before="7"/>
        <w:rPr>
          <w:rFonts w:ascii="宋体" w:hAnsi="宋体" w:cs="宋体" w:eastAsia="宋体" w:hint="default"/>
          <w:sz w:val="20"/>
          <w:szCs w:val="20"/>
        </w:rPr>
      </w:pPr>
    </w:p>
    <w:p>
      <w:pPr>
        <w:pStyle w:val="BodyText"/>
        <w:spacing w:line="326" w:lineRule="auto"/>
        <w:ind w:right="148" w:firstLine="420"/>
        <w:jc w:val="both"/>
      </w:pPr>
      <w:r>
        <w:rPr>
          <w:spacing w:val="3"/>
        </w:rPr>
        <w:t>在已将商品所有权上的主要风险和报酬转移给购货方，既没有保留通常与所有权相联系的继</w:t>
      </w:r>
      <w:bookmarkStart w:name="27、优先股、永续债等其他金融工具" w:id="163"/>
      <w:bookmarkEnd w:id="163"/>
      <w:r>
        <w:rPr>
          <w:spacing w:val="3"/>
        </w:rPr>
        <w:t>续</w:t>
      </w:r>
      <w:r>
        <w:rPr>
          <w:spacing w:val="3"/>
        </w:rPr>
        <w:t>管理</w:t>
      </w:r>
      <w:r>
        <w:rPr/>
        <w:t> </w:t>
      </w:r>
      <w:r>
        <w:rPr>
          <w:spacing w:val="-1"/>
        </w:rPr>
        <w:t>权，也没有对已售商品实施有效控制，收入的金额能够可靠地计量，相关的经济利益很可能流入企业，相</w:t>
      </w:r>
      <w:r>
        <w:rPr>
          <w:spacing w:val="-85"/>
        </w:rPr>
        <w:t> </w:t>
      </w:r>
      <w:r>
        <w:rPr>
          <w:spacing w:val="-85"/>
        </w:rPr>
      </w:r>
      <w:r>
        <w:rPr/>
        <w:t>关的已发生或将发生的成本能够可靠地计量时，确认商品销售收入的实现。具体方法如下：</w:t>
      </w:r>
    </w:p>
    <w:p>
      <w:pPr>
        <w:pStyle w:val="BodyText"/>
        <w:spacing w:line="326" w:lineRule="auto" w:before="144"/>
        <w:ind w:right="152" w:firstLine="420"/>
        <w:jc w:val="both"/>
      </w:pPr>
      <w:r>
        <w:rPr>
          <w:spacing w:val="-1"/>
        </w:rPr>
        <w:t>本集团软硬件开发与销售（以下统称“产品销售”）包括销售电子数据取证产品系列和网络信息安全</w:t>
      </w:r>
      <w:r>
        <w:rPr/>
        <w:t> </w:t>
      </w:r>
      <w:r>
        <w:rPr>
          <w:spacing w:val="-1"/>
        </w:rPr>
        <w:t>产品系列的硬件产品及软件产品，其中硬件产品包括自主开发硬件产品及外购配件商品，软件产品包括自</w:t>
      </w:r>
      <w:r>
        <w:rPr>
          <w:spacing w:val="-81"/>
        </w:rPr>
        <w:t> </w:t>
      </w:r>
      <w:r>
        <w:rPr>
          <w:spacing w:val="-81"/>
        </w:rPr>
      </w:r>
      <w:r>
        <w:rPr>
          <w:spacing w:val="-1"/>
        </w:rPr>
        <w:t>主开发标准软件产品和自主开发客户定制软件产品。自主开发标准软件产品指公司自行开发研制的销售时</w:t>
      </w:r>
    </w:p>
    <w:p>
      <w:pPr>
        <w:spacing w:after="0" w:line="326" w:lineRule="auto"/>
        <w:jc w:val="both"/>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326" w:lineRule="auto" w:before="35"/>
        <w:ind w:right="212"/>
        <w:jc w:val="both"/>
      </w:pPr>
      <w:r>
        <w:rPr>
          <w:spacing w:val="-1"/>
        </w:rPr>
        <w:t>不转让著作权的软件产品，由此开发出来的软件具有自主知识产权、无差异化、可批量复制的特性；自主</w:t>
      </w:r>
      <w:r>
        <w:rPr>
          <w:spacing w:val="-86"/>
        </w:rPr>
        <w:t> </w:t>
      </w:r>
      <w:r>
        <w:rPr>
          <w:spacing w:val="-86"/>
        </w:rPr>
      </w:r>
      <w:r>
        <w:rPr>
          <w:spacing w:val="-1"/>
        </w:rPr>
        <w:t>开发客户定制软件产品指公司根据客户的实际需求进行定制、开发的软件产品，由此开发出来的软件不具</w:t>
      </w:r>
      <w:r>
        <w:rPr>
          <w:spacing w:val="-81"/>
        </w:rPr>
        <w:t> </w:t>
      </w:r>
      <w:r>
        <w:rPr>
          <w:spacing w:val="-81"/>
        </w:rPr>
      </w:r>
      <w:r>
        <w:rPr/>
        <w:t>有通用性。</w:t>
      </w:r>
    </w:p>
    <w:p>
      <w:pPr>
        <w:pStyle w:val="BodyText"/>
        <w:spacing w:line="326" w:lineRule="auto" w:before="144"/>
        <w:ind w:right="211" w:firstLine="420"/>
        <w:jc w:val="both"/>
      </w:pPr>
      <w:r>
        <w:rPr>
          <w:spacing w:val="-1"/>
        </w:rPr>
        <w:t>本集团向客户销售软件产品的同时，为其提供软件应用所需的设备配件及安装服务，如果软件收入与</w:t>
      </w:r>
      <w:r>
        <w:rPr/>
        <w:t> </w:t>
      </w:r>
      <w:r>
        <w:rPr>
          <w:spacing w:val="-1"/>
        </w:rPr>
        <w:t>设备配件及安装服务收入能明确区分，则分别作为软件产品销售、硬件产品销售及技术服务进行核算；如</w:t>
      </w:r>
      <w:r>
        <w:rPr>
          <w:spacing w:val="-83"/>
        </w:rPr>
        <w:t> </w:t>
      </w:r>
      <w:r>
        <w:rPr>
          <w:spacing w:val="-83"/>
        </w:rPr>
      </w:r>
      <w:r>
        <w:rPr/>
        <w:t>果软件收入与设备配件及安装服务收入不能明确区分，则将其一并作为硬件产品销售进行核算。</w:t>
      </w:r>
    </w:p>
    <w:p>
      <w:pPr>
        <w:pStyle w:val="BodyText"/>
        <w:spacing w:line="326" w:lineRule="auto" w:before="144"/>
        <w:ind w:right="212" w:firstLine="420"/>
        <w:jc w:val="both"/>
      </w:pPr>
      <w:r>
        <w:rPr>
          <w:spacing w:val="-1"/>
        </w:rPr>
        <w:t>本集团产品销售收入确认的具体标准：无需安装调试的产品在交付并经客户验收合格后确认收入；需</w:t>
      </w:r>
      <w:r>
        <w:rPr/>
        <w:t> </w:t>
      </w:r>
      <w:r>
        <w:rPr>
          <w:spacing w:val="-1"/>
        </w:rPr>
        <w:t>安装调试的产品在项目实施完成并经客户验收合格取得对方签字的验收报告后确认收入；对需要分次交付</w:t>
      </w:r>
      <w:r>
        <w:rPr>
          <w:spacing w:val="-81"/>
        </w:rPr>
        <w:t> </w:t>
      </w:r>
      <w:r>
        <w:rPr>
          <w:spacing w:val="-81"/>
        </w:rPr>
      </w:r>
      <w:r>
        <w:rPr/>
        <w:t>验收的，在分次取得验收报告后确认收入。</w:t>
      </w:r>
    </w:p>
    <w:p>
      <w:pPr>
        <w:pStyle w:val="BodyText"/>
        <w:spacing w:line="240" w:lineRule="auto" w:before="113"/>
        <w:ind w:right="0"/>
        <w:jc w:val="both"/>
      </w:pPr>
      <w:r>
        <w:rPr/>
        <w:t>（</w:t>
      </w:r>
      <w:r>
        <w:rPr>
          <w:rFonts w:ascii="Times New Roman" w:hAnsi="Times New Roman" w:cs="Times New Roman" w:eastAsia="Times New Roman" w:hint="default"/>
        </w:rPr>
        <w:t>2</w:t>
      </w:r>
      <w:r>
        <w:rPr/>
        <w:t>）技术服务收入</w:t>
      </w:r>
    </w:p>
    <w:p>
      <w:pPr>
        <w:spacing w:line="240" w:lineRule="auto" w:before="7"/>
        <w:rPr>
          <w:rFonts w:ascii="宋体" w:hAnsi="宋体" w:cs="宋体" w:eastAsia="宋体" w:hint="default"/>
          <w:sz w:val="20"/>
          <w:szCs w:val="20"/>
        </w:rPr>
      </w:pPr>
    </w:p>
    <w:p>
      <w:pPr>
        <w:pStyle w:val="BodyText"/>
        <w:spacing w:line="326" w:lineRule="auto"/>
        <w:ind w:right="211" w:firstLine="420"/>
        <w:jc w:val="both"/>
      </w:pPr>
      <w:r>
        <w:rPr>
          <w:spacing w:val="-1"/>
        </w:rPr>
        <w:t>本集团在已根据合同约定提供了相应服务，取得明确的收款证据，相关成本能够可靠地计量时，确认</w:t>
      </w:r>
      <w:r>
        <w:rPr/>
        <w:t> </w:t>
      </w:r>
      <w:r>
        <w:rPr>
          <w:spacing w:val="-1"/>
        </w:rPr>
        <w:t>收入。技术服务收入包括向客户提供的技术支持、技术咨询以及技术培训服务收入等。合同明确约定服务</w:t>
      </w:r>
      <w:r>
        <w:rPr>
          <w:spacing w:val="-83"/>
        </w:rPr>
        <w:t> </w:t>
      </w:r>
      <w:r>
        <w:rPr>
          <w:spacing w:val="-83"/>
        </w:rPr>
      </w:r>
      <w:r>
        <w:rPr>
          <w:spacing w:val="-1"/>
        </w:rPr>
        <w:t>期限的，在合同约定的服务期限内，按进度确认收入；合同明确约定服务成果需经客户验收确认的，在本</w:t>
      </w:r>
      <w:r>
        <w:rPr>
          <w:spacing w:val="-86"/>
        </w:rPr>
        <w:t> </w:t>
      </w:r>
      <w:r>
        <w:rPr>
          <w:spacing w:val="-86"/>
        </w:rPr>
      </w:r>
      <w:r>
        <w:rPr>
          <w:spacing w:val="-1"/>
        </w:rPr>
        <w:t>集团提交了相应的服务成果并通过验收，取得客户的验收报告，获得明确的收款证据，相关成本能够可靠</w:t>
      </w:r>
      <w:r>
        <w:rPr>
          <w:spacing w:val="-83"/>
        </w:rPr>
        <w:t> </w:t>
      </w:r>
      <w:r>
        <w:rPr>
          <w:spacing w:val="-83"/>
        </w:rPr>
      </w:r>
      <w:r>
        <w:rPr>
          <w:spacing w:val="-1"/>
        </w:rPr>
        <w:t>地计量时，确认收入；其他服务在本集团提供了相应服务，取得明确的收款证据，相关成本能够可靠地计</w:t>
      </w:r>
      <w:r>
        <w:rPr>
          <w:spacing w:val="-86"/>
        </w:rPr>
        <w:t> </w:t>
      </w:r>
      <w:r>
        <w:rPr>
          <w:spacing w:val="-86"/>
        </w:rPr>
      </w:r>
      <w:r>
        <w:rPr>
          <w:spacing w:val="-1"/>
        </w:rPr>
        <w:t>量时，确认收入。同一合同中，既约定了产品销售金额又约定了服务费金额的，分别按照产品销售收入和</w:t>
      </w:r>
      <w:r>
        <w:rPr>
          <w:spacing w:val="-86"/>
        </w:rPr>
        <w:t> </w:t>
      </w:r>
      <w:r>
        <w:rPr>
          <w:spacing w:val="-86"/>
        </w:rPr>
      </w:r>
      <w:r>
        <w:rPr>
          <w:spacing w:val="-1"/>
        </w:rPr>
        <w:t>服务收入确认原则确认相应的收入；如果产品销售收入和服务收入不能区分，则将其一并作为产品销售进</w:t>
      </w:r>
      <w:r>
        <w:rPr>
          <w:spacing w:val="-81"/>
        </w:rPr>
        <w:t> </w:t>
      </w:r>
      <w:r>
        <w:rPr>
          <w:spacing w:val="-81"/>
        </w:rPr>
      </w:r>
      <w:r>
        <w:rPr/>
        <w:t>行核算。</w:t>
      </w:r>
    </w:p>
    <w:p>
      <w:pPr>
        <w:pStyle w:val="BodyText"/>
        <w:spacing w:line="460" w:lineRule="auto" w:before="113"/>
        <w:ind w:left="574" w:right="592" w:hanging="420"/>
        <w:jc w:val="left"/>
      </w:pPr>
      <w:r>
        <w:rPr/>
        <w:t>（</w:t>
      </w:r>
      <w:r>
        <w:rPr>
          <w:rFonts w:ascii="Times New Roman" w:hAnsi="Times New Roman" w:cs="Times New Roman" w:eastAsia="Times New Roman" w:hint="default"/>
        </w:rPr>
        <w:t>3</w:t>
      </w:r>
      <w:r>
        <w:rPr/>
        <w:t>）让渡资产使用权 与资产使用权让渡相关的经济利益能够流入及收入的金额能够可靠地计量时，本集团确认收入。</w:t>
      </w:r>
    </w:p>
    <w:p>
      <w:pPr>
        <w:pStyle w:val="BodyText"/>
        <w:spacing w:line="286" w:lineRule="exact"/>
        <w:ind w:right="0"/>
        <w:jc w:val="both"/>
      </w:pPr>
      <w:r>
        <w:rPr/>
        <w:t>（</w:t>
      </w:r>
      <w:r>
        <w:rPr>
          <w:rFonts w:ascii="Times New Roman" w:hAnsi="Times New Roman" w:cs="Times New Roman" w:eastAsia="Times New Roman" w:hint="default"/>
        </w:rPr>
        <w:t>4</w:t>
      </w:r>
      <w:r>
        <w:rPr/>
        <w:t>）建造合同</w:t>
      </w:r>
    </w:p>
    <w:p>
      <w:pPr>
        <w:spacing w:line="240" w:lineRule="auto" w:before="7"/>
        <w:rPr>
          <w:rFonts w:ascii="宋体" w:hAnsi="宋体" w:cs="宋体" w:eastAsia="宋体" w:hint="default"/>
          <w:sz w:val="20"/>
          <w:szCs w:val="20"/>
        </w:rPr>
      </w:pPr>
    </w:p>
    <w:p>
      <w:pPr>
        <w:pStyle w:val="BodyText"/>
        <w:spacing w:line="326" w:lineRule="auto"/>
        <w:ind w:left="153" w:right="98" w:firstLine="420"/>
        <w:jc w:val="left"/>
      </w:pPr>
      <w:r>
        <w:rPr>
          <w:spacing w:val="-3"/>
        </w:rPr>
        <w:t>于资产负债表日，建造合同的结果能够可靠地估计的，本集团根据完工百分比法确认合同收入和费用。</w:t>
      </w:r>
      <w:r>
        <w:rPr/>
        <w:t> 如果建造合同的结果不能可靠地估计，则区别情况处理：如合同成本能够收回的，则合同收入根据能够收 回的实际合同成本加以确认，合同成本在其发生的当期作为费用；如合同成本不可能收回的，则在发生时 作为费用，不确认收入。</w:t>
      </w:r>
    </w:p>
    <w:p>
      <w:pPr>
        <w:pStyle w:val="BodyText"/>
        <w:spacing w:line="432" w:lineRule="auto" w:before="144"/>
        <w:ind w:left="573" w:right="0"/>
        <w:jc w:val="left"/>
      </w:pPr>
      <w:r>
        <w:rPr/>
        <w:t>合同预计总成本超过合同总收入的，本集团将预计损失确认为当期费用。 合同完工进度按已经完成的合同工作量占合同预计总工作量的比例确定。</w:t>
      </w:r>
    </w:p>
    <w:p>
      <w:pPr>
        <w:pStyle w:val="BodyText"/>
        <w:spacing w:line="309" w:lineRule="auto" w:before="51"/>
        <w:ind w:right="213" w:firstLine="419"/>
        <w:jc w:val="both"/>
      </w:pPr>
      <w:r>
        <w:rPr>
          <w:spacing w:val="-3"/>
        </w:rPr>
        <w:t>建造合同的结果能够可靠估计是指同时满足：</w:t>
      </w:r>
      <w:r>
        <w:rPr>
          <w:rFonts w:ascii="Times New Roman" w:hAnsi="Times New Roman" w:cs="Times New Roman" w:eastAsia="Times New Roman" w:hint="default"/>
          <w:spacing w:val="-3"/>
        </w:rPr>
        <w:t>A</w:t>
      </w:r>
      <w:r>
        <w:rPr>
          <w:spacing w:val="-3"/>
        </w:rPr>
        <w:t>、合同总收入能够可靠地计量；</w:t>
      </w:r>
      <w:r>
        <w:rPr>
          <w:rFonts w:ascii="Times New Roman" w:hAnsi="Times New Roman" w:cs="Times New Roman" w:eastAsia="Times New Roman" w:hint="default"/>
          <w:spacing w:val="-3"/>
        </w:rPr>
        <w:t>B</w:t>
      </w:r>
      <w:r>
        <w:rPr>
          <w:spacing w:val="-3"/>
        </w:rPr>
        <w:t>、与合同相关的经济</w:t>
      </w:r>
      <w:r>
        <w:rPr/>
        <w:t> </w:t>
      </w:r>
      <w:r>
        <w:rPr>
          <w:spacing w:val="-6"/>
        </w:rPr>
        <w:t>利益很可能流入企业；</w:t>
      </w:r>
      <w:r>
        <w:rPr>
          <w:rFonts w:ascii="Times New Roman" w:hAnsi="Times New Roman" w:cs="Times New Roman" w:eastAsia="Times New Roman" w:hint="default"/>
          <w:spacing w:val="-6"/>
        </w:rPr>
        <w:t>C</w:t>
      </w:r>
      <w:r>
        <w:rPr>
          <w:spacing w:val="-6"/>
        </w:rPr>
        <w:t>、实际</w:t>
      </w:r>
      <w:r>
        <w:rPr>
          <w:spacing w:val="-69"/>
        </w:rPr>
        <w:t> </w:t>
      </w:r>
      <w:r>
        <w:rPr>
          <w:spacing w:val="-2"/>
        </w:rPr>
        <w:t>发生的合同成本能够清楚地区分和可靠地计量；</w:t>
      </w:r>
      <w:r>
        <w:rPr>
          <w:rFonts w:ascii="Times New Roman" w:hAnsi="Times New Roman" w:cs="Times New Roman" w:eastAsia="Times New Roman" w:hint="default"/>
          <w:spacing w:val="-2"/>
        </w:rPr>
        <w:t>D</w:t>
      </w:r>
      <w:r>
        <w:rPr>
          <w:spacing w:val="-2"/>
        </w:rPr>
        <w:t>、合同完工进度和为完成</w:t>
      </w:r>
      <w:r>
        <w:rPr>
          <w:spacing w:val="-101"/>
        </w:rPr>
        <w:t> </w:t>
      </w:r>
      <w:r>
        <w:rPr>
          <w:spacing w:val="-101"/>
        </w:rPr>
      </w:r>
      <w:r>
        <w:rPr/>
        <w:t>合同尚需发生的成本能够可靠地确定。</w:t>
      </w:r>
    </w:p>
    <w:p>
      <w:pPr>
        <w:spacing w:after="0" w:line="309" w:lineRule="auto"/>
        <w:jc w:val="both"/>
        <w:sectPr>
          <w:pgSz w:w="11910" w:h="16840"/>
          <w:pgMar w:header="747" w:footer="980" w:top="1060" w:bottom="1180" w:left="980" w:right="92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0、递延所得税资产/递延所得税负债" w:id="164"/>
      <w:bookmarkEnd w:id="164"/>
      <w:r>
        <w:rPr>
          <w:b w:val="0"/>
          <w:bCs w:val="0"/>
        </w:rPr>
      </w:r>
      <w:r>
        <w:rPr>
          <w:rFonts w:ascii="Times New Roman" w:hAnsi="Times New Roman" w:cs="Times New Roman" w:eastAsia="Times New Roman" w:hint="default"/>
        </w:rPr>
        <w:t>29</w:t>
      </w:r>
      <w:bookmarkStart w:name="29、政府补助" w:id="165"/>
      <w:bookmarkEnd w:id="165"/>
      <w:r>
        <w:rPr>
          <w:rFonts w:ascii="Times New Roman" w:hAnsi="Times New Roman" w:cs="Times New Roman" w:eastAsia="Times New Roman" w:hint="default"/>
        </w:rPr>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bookmarkStart w:name="（1）与资产相关的政府补助判断依据及会计处理方法" w:id="166"/>
      <w:bookmarkEnd w:id="166"/>
      <w:r>
        <w:rPr>
          <w:rFonts w:ascii="Times New Roman" w:hAnsi="Times New Roman" w:cs="Times New Roman" w:eastAsia="Times New Roman" w:hint="default"/>
        </w:rPr>
      </w:r>
      <w:r>
        <w:rPr/>
        <w:t>）与资产相关的政府补助判断依据及会计处理方法</w:t>
      </w:r>
      <w:r>
        <w:rPr>
          <w:b w:val="0"/>
          <w:bCs w:val="0"/>
        </w:rPr>
      </w:r>
    </w:p>
    <w:p>
      <w:pPr>
        <w:pStyle w:val="BodyText"/>
        <w:spacing w:line="490" w:lineRule="atLeast" w:before="137"/>
        <w:ind w:left="574" w:right="0"/>
        <w:jc w:val="left"/>
      </w:pPr>
      <w:r>
        <w:rPr/>
        <w:t>政府补助在满足政府补助所附条件并能够收到时确认。 </w:t>
      </w:r>
      <w:r>
        <w:rPr>
          <w:spacing w:val="-1"/>
        </w:rPr>
        <w:t>对于货币性资产的政府补助，按照收到或应收的金额计量。其中，对期末有确凿证据表明能够符合财</w:t>
      </w:r>
    </w:p>
    <w:p>
      <w:pPr>
        <w:pStyle w:val="BodyText"/>
        <w:spacing w:line="326" w:lineRule="auto" w:before="99"/>
        <w:ind w:right="151"/>
        <w:jc w:val="both"/>
      </w:pPr>
      <w:r>
        <w:rPr>
          <w:spacing w:val="-1"/>
        </w:rPr>
        <w:t>政扶持政策规定的相关条件且预计能够收到财政扶持资金时，按应收金额计量；否则，按照实际收到的金</w:t>
      </w:r>
      <w:r>
        <w:rPr>
          <w:spacing w:val="-83"/>
        </w:rPr>
        <w:t> </w:t>
      </w:r>
      <w:r>
        <w:rPr>
          <w:spacing w:val="-83"/>
        </w:rPr>
      </w:r>
      <w:r>
        <w:rPr>
          <w:spacing w:val="-1"/>
        </w:rPr>
        <w:t>额计量。对于非货币性资产的政府补助，按照公允价值计量；公允价值不能够可靠取得的，按照名义金额</w:t>
      </w:r>
      <w:r>
        <w:rPr>
          <w:spacing w:val="-86"/>
        </w:rPr>
        <w:t> </w:t>
      </w:r>
      <w:r>
        <w:rPr>
          <w:spacing w:val="-86"/>
        </w:rPr>
      </w:r>
      <w:r>
        <w:rPr>
          <w:rFonts w:ascii="Times New Roman" w:hAnsi="Times New Roman" w:cs="Times New Roman" w:eastAsia="Times New Roman" w:hint="default"/>
        </w:rPr>
        <w:t>1</w:t>
      </w:r>
      <w:r>
        <w:rPr/>
        <w:t>元计量。</w:t>
      </w:r>
    </w:p>
    <w:p>
      <w:pPr>
        <w:pStyle w:val="BodyText"/>
        <w:spacing w:line="326" w:lineRule="auto" w:before="120"/>
        <w:ind w:left="153" w:right="151" w:firstLine="420"/>
        <w:jc w:val="both"/>
      </w:pPr>
      <w:r>
        <w:rPr>
          <w:spacing w:val="-1"/>
        </w:rPr>
        <w:t>与资产相关的政府补助，是指本集团取得的、用于购建或以其他方式形成长期资产的政府补助；除此</w:t>
      </w:r>
      <w:r>
        <w:rPr/>
        <w:t> 之外，作为与收益相关的政府补助。</w:t>
      </w:r>
    </w:p>
    <w:p>
      <w:pPr>
        <w:pStyle w:val="BodyText"/>
        <w:spacing w:line="326" w:lineRule="auto" w:before="144"/>
        <w:ind w:left="153" w:right="151" w:firstLine="420"/>
        <w:jc w:val="both"/>
      </w:pPr>
      <w:r>
        <w:rPr>
          <w:spacing w:val="-1"/>
        </w:rPr>
        <w:t>对于政府文件未明确规定补助对象的，能够形成长期资产的，与资产价值相对应的政府补助部分作为</w:t>
      </w:r>
      <w:r>
        <w:rPr/>
        <w:t> </w:t>
      </w:r>
      <w:r>
        <w:rPr>
          <w:spacing w:val="-1"/>
        </w:rPr>
        <w:t>与资产相关的政府补助，其余部分作为与收益相关的政府补助；难以区分的，将政府补助整体作为与收益</w:t>
      </w:r>
      <w:r>
        <w:rPr>
          <w:spacing w:val="-83"/>
        </w:rPr>
        <w:t> </w:t>
      </w:r>
      <w:r>
        <w:rPr>
          <w:spacing w:val="-83"/>
        </w:rPr>
      </w:r>
      <w:r>
        <w:rPr/>
        <w:t>相关的政府补助。</w:t>
      </w:r>
    </w:p>
    <w:p>
      <w:pPr>
        <w:pStyle w:val="BodyText"/>
        <w:spacing w:line="240" w:lineRule="auto" w:before="144"/>
        <w:ind w:left="573" w:right="0"/>
        <w:jc w:val="left"/>
      </w:pPr>
      <w:r>
        <w:rPr/>
        <w:t>与资产相关的政府补助，确认为递延收益，并在相关资产使用期限内平均分配，计入当期损益。</w:t>
      </w:r>
    </w:p>
    <w:p>
      <w:pPr>
        <w:spacing w:line="620" w:lineRule="atLeast" w:before="40"/>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与资产相关的政府补助，是指本集团取得的、</w:t>
      </w:r>
      <w:bookmarkStart w:name="（2）与收益相关的政府补助判断依据及会计处理方法" w:id="167"/>
      <w:bookmarkEnd w:id="167"/>
      <w:r>
        <w:rPr>
          <w:rFonts w:ascii="宋体" w:hAnsi="宋体" w:cs="宋体" w:eastAsia="宋体" w:hint="default"/>
          <w:spacing w:val="-1"/>
          <w:sz w:val="21"/>
          <w:szCs w:val="21"/>
        </w:rPr>
        <w:t>用于购建或以其他方式形成长期资产的政府补助</w:t>
      </w:r>
      <w:r>
        <w:rPr>
          <w:rFonts w:ascii="宋体" w:hAnsi="宋体" w:cs="宋体" w:eastAsia="宋体" w:hint="default"/>
          <w:spacing w:val="-1"/>
          <w:sz w:val="21"/>
          <w:szCs w:val="21"/>
        </w:rPr>
        <w:t>；除此</w:t>
      </w:r>
    </w:p>
    <w:p>
      <w:pPr>
        <w:pStyle w:val="BodyText"/>
        <w:spacing w:line="240" w:lineRule="auto" w:before="99"/>
        <w:ind w:right="0"/>
        <w:jc w:val="left"/>
      </w:pPr>
      <w:r>
        <w:rPr/>
        <w:t>之外，作为与收益相关的政府补助。</w:t>
      </w:r>
    </w:p>
    <w:p>
      <w:pPr>
        <w:spacing w:line="240" w:lineRule="auto" w:before="10"/>
        <w:rPr>
          <w:rFonts w:ascii="宋体" w:hAnsi="宋体" w:cs="宋体" w:eastAsia="宋体" w:hint="default"/>
          <w:sz w:val="16"/>
          <w:szCs w:val="16"/>
        </w:rPr>
      </w:pPr>
    </w:p>
    <w:p>
      <w:pPr>
        <w:pStyle w:val="BodyText"/>
        <w:spacing w:line="326" w:lineRule="auto"/>
        <w:ind w:right="151" w:firstLine="420"/>
        <w:jc w:val="both"/>
      </w:pPr>
      <w:r>
        <w:rPr>
          <w:spacing w:val="-1"/>
        </w:rPr>
        <w:t>对于政府文件未明确规定补助对象的，能够形成长期资产的，与资产价值相对应的政府补助部分作为</w:t>
      </w:r>
      <w:r>
        <w:rPr/>
        <w:t> </w:t>
      </w:r>
      <w:r>
        <w:rPr>
          <w:spacing w:val="-1"/>
        </w:rPr>
        <w:t>与资产相关的政府补助，其余部分作为与收益相关的政府补助；难以区分的，将政府补助整体作为与收益</w:t>
      </w:r>
      <w:r>
        <w:rPr>
          <w:spacing w:val="-83"/>
        </w:rPr>
        <w:t> </w:t>
      </w:r>
      <w:r>
        <w:rPr>
          <w:spacing w:val="-83"/>
        </w:rPr>
      </w:r>
      <w:r>
        <w:rPr/>
        <w:t>相关的政府补助。</w:t>
      </w:r>
    </w:p>
    <w:p>
      <w:pPr>
        <w:pStyle w:val="BodyText"/>
        <w:spacing w:line="326" w:lineRule="auto" w:before="144"/>
        <w:ind w:right="151" w:firstLine="420"/>
        <w:jc w:val="both"/>
      </w:pPr>
      <w:r>
        <w:rPr>
          <w:spacing w:val="-1"/>
        </w:rPr>
        <w:t>与收益相关的政府补助，如果用于补偿已发生的相关费用或损失，则计入当期损益；如果用于补偿以</w:t>
      </w:r>
      <w:r>
        <w:rPr/>
        <w:t> </w:t>
      </w:r>
      <w:r>
        <w:rPr>
          <w:spacing w:val="-1"/>
        </w:rPr>
        <w:t>后期间的相关费用或损失，则计入递延收益，于费用确认期间计入当期损益。按照名义金额计量的政府补</w:t>
      </w:r>
      <w:r>
        <w:rPr>
          <w:spacing w:val="-83"/>
        </w:rPr>
        <w:t> </w:t>
      </w:r>
      <w:r>
        <w:rPr>
          <w:spacing w:val="-83"/>
        </w:rPr>
      </w:r>
      <w:r>
        <w:rPr/>
        <w:t>助，直接计入当期损益。</w:t>
      </w:r>
    </w:p>
    <w:p>
      <w:pPr>
        <w:pStyle w:val="BodyText"/>
        <w:spacing w:line="326" w:lineRule="auto" w:before="144"/>
        <w:ind w:right="151" w:firstLine="420"/>
        <w:jc w:val="both"/>
      </w:pPr>
      <w:r>
        <w:rPr>
          <w:spacing w:val="-1"/>
        </w:rPr>
        <w:t>已确认的政府补助需要返还时，存在相关递延收益余额的，冲减相关递延收益账面余额，超出部分计</w:t>
      </w:r>
      <w:r>
        <w:rPr/>
        <w:t> 入当期损益；不存在相关递延收益的，直接计入当期损益。</w:t>
      </w:r>
    </w:p>
    <w:p>
      <w:pPr>
        <w:spacing w:line="644" w:lineRule="exact" w:before="24"/>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所得税包括当期所得税和递延所得税。除由于企业合并产生的调整商誉，或与直接计入所有者权益的</w:t>
      </w:r>
    </w:p>
    <w:p>
      <w:pPr>
        <w:pStyle w:val="BodyText"/>
        <w:spacing w:line="240" w:lineRule="auto"/>
        <w:ind w:right="0"/>
        <w:jc w:val="left"/>
      </w:pPr>
      <w:r>
        <w:rPr/>
        <w:t>交易或者事项相关的递延所得税计入所有者权益外，均作为所得税费用计入当期损益。</w:t>
      </w:r>
    </w:p>
    <w:p>
      <w:pPr>
        <w:spacing w:line="240" w:lineRule="auto" w:before="10"/>
        <w:rPr>
          <w:rFonts w:ascii="宋体" w:hAnsi="宋体" w:cs="宋体" w:eastAsia="宋体" w:hint="default"/>
          <w:sz w:val="16"/>
          <w:szCs w:val="16"/>
        </w:rPr>
      </w:pPr>
    </w:p>
    <w:p>
      <w:pPr>
        <w:pStyle w:val="BodyText"/>
        <w:spacing w:line="326" w:lineRule="auto"/>
        <w:ind w:right="152" w:firstLine="420"/>
        <w:jc w:val="both"/>
      </w:pPr>
      <w:r>
        <w:rPr>
          <w:spacing w:val="-1"/>
        </w:rPr>
        <w:t>本集团根据资产、负债于资产负债表日的账面价值与计税基础之间的暂时性差异，采用资产负债表债</w:t>
      </w:r>
      <w:r>
        <w:rPr/>
        <w:t> 务法确认递延所得税。</w:t>
      </w:r>
    </w:p>
    <w:p>
      <w:pPr>
        <w:pStyle w:val="BodyText"/>
        <w:spacing w:line="240" w:lineRule="auto" w:before="144"/>
        <w:ind w:left="574" w:right="0"/>
        <w:jc w:val="left"/>
      </w:pPr>
      <w:r>
        <w:rPr/>
        <w:t>对于可抵扣暂时性差异、能够结转以后年度的可抵扣亏损和税款抵减，本集团以很可能取得用来抵扣</w:t>
      </w:r>
    </w:p>
    <w:p>
      <w:pPr>
        <w:spacing w:after="0" w:line="240" w:lineRule="auto"/>
        <w:jc w:val="left"/>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326" w:lineRule="auto" w:before="35"/>
        <w:ind w:right="112"/>
        <w:jc w:val="left"/>
      </w:pPr>
      <w:bookmarkStart w:name="32、其他重要的会计政策和会计估计" w:id="168"/>
      <w:bookmarkEnd w:id="168"/>
      <w:r>
        <w:rPr/>
      </w:r>
      <w:r>
        <w:rPr/>
        <w:t>可抵扣暂时性差异、可抵扣亏损和税款抵减的未来应纳税所得额为限，确认由此产生的递延所得税资产， 除非该可抵扣暂时性差异是在以下交易中产生的：</w:t>
      </w:r>
    </w:p>
    <w:p>
      <w:pPr>
        <w:pStyle w:val="BodyText"/>
        <w:spacing w:line="240" w:lineRule="auto" w:before="144"/>
        <w:ind w:left="574" w:right="0"/>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7"/>
        <w:rPr>
          <w:rFonts w:ascii="宋体" w:hAnsi="宋体" w:cs="宋体" w:eastAsia="宋体" w:hint="default"/>
          <w:sz w:val="15"/>
          <w:szCs w:val="15"/>
        </w:rPr>
      </w:pPr>
    </w:p>
    <w:p>
      <w:pPr>
        <w:pStyle w:val="BodyText"/>
        <w:spacing w:line="319" w:lineRule="auto"/>
        <w:ind w:right="150" w:firstLine="420"/>
        <w:jc w:val="both"/>
      </w:pPr>
      <w:r>
        <w:rPr/>
        <w:t>（</w:t>
      </w:r>
      <w:r>
        <w:rPr>
          <w:rFonts w:ascii="Times New Roman" w:hAnsi="Times New Roman" w:cs="Times New Roman" w:eastAsia="Times New Roman" w:hint="default"/>
        </w:rPr>
        <w:t>2</w:t>
      </w:r>
      <w:r>
        <w:rPr/>
        <w:t>）对于与子公司、合营企业及联营企业投资相关的可抵扣暂时性差异，同时满足下列条件的，确</w:t>
      </w:r>
      <w:r>
        <w:rPr>
          <w:spacing w:val="2"/>
        </w:rPr>
        <w:t> </w:t>
      </w:r>
      <w:r>
        <w:rPr>
          <w:spacing w:val="-1"/>
        </w:rPr>
        <w:t>认相应的递延所得税资产：暂时性差异在可预见的未来很可能转回，且未来很可能获得用来抵扣可抵扣暂</w:t>
      </w:r>
      <w:r>
        <w:rPr>
          <w:spacing w:val="-81"/>
        </w:rPr>
        <w:t> </w:t>
      </w:r>
      <w:r>
        <w:rPr>
          <w:spacing w:val="-81"/>
        </w:rPr>
      </w:r>
      <w:r>
        <w:rPr/>
        <w:t>时性差异的应纳税所得额。</w:t>
      </w:r>
    </w:p>
    <w:p>
      <w:pPr>
        <w:pStyle w:val="BodyText"/>
        <w:spacing w:line="326" w:lineRule="auto" w:before="150"/>
        <w:ind w:right="151" w:firstLine="420"/>
        <w:jc w:val="both"/>
      </w:pPr>
      <w:r>
        <w:rPr>
          <w:spacing w:val="-1"/>
        </w:rPr>
        <w:t>于资产负债表日，本集团对递延所得税资产和递延所得税负债，按照预期收回该资产或清偿该负债期</w:t>
      </w:r>
      <w:r>
        <w:rPr/>
        <w:t> 间的适用税率计量，并反映资产负债表日预期收回资产或清偿负债方式的所得税影响。</w:t>
      </w:r>
    </w:p>
    <w:p>
      <w:pPr>
        <w:pStyle w:val="BodyText"/>
        <w:spacing w:line="326" w:lineRule="auto" w:before="144"/>
        <w:ind w:right="151" w:firstLine="420"/>
        <w:jc w:val="both"/>
      </w:pPr>
      <w:r>
        <w:rPr>
          <w:spacing w:val="-1"/>
        </w:rPr>
        <w:t>于资产负债表日，本集团对递延所得税资产的账面价值进行复核。如果未来期间很可能无法获得足够</w:t>
      </w:r>
      <w:r>
        <w:rPr/>
        <w:t> </w:t>
      </w:r>
      <w:r>
        <w:rPr>
          <w:spacing w:val="-1"/>
        </w:rPr>
        <w:t>的应纳税所得额用以抵扣递延所得税资产的利益，减记递延所得税资产的账面价值。在很可能获得足够的</w:t>
      </w:r>
      <w:r>
        <w:rPr>
          <w:spacing w:val="-81"/>
        </w:rPr>
        <w:t> </w:t>
      </w:r>
      <w:r>
        <w:rPr>
          <w:spacing w:val="-81"/>
        </w:rPr>
      </w:r>
      <w:r>
        <w:rPr/>
        <w:t>应纳税所得额时，减记的金额予以转回。</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540" w:lineRule="atLeast" w:before="72"/>
        <w:ind w:left="574" w:right="0" w:hanging="420"/>
        <w:jc w:val="left"/>
      </w:pPr>
      <w:r>
        <w:rPr/>
        <w:t>（</w:t>
      </w:r>
      <w:r>
        <w:rPr>
          <w:rFonts w:ascii="Times New Roman" w:hAnsi="Times New Roman" w:cs="Times New Roman" w:eastAsia="Times New Roman" w:hint="default"/>
        </w:rPr>
        <w:t>1</w:t>
      </w:r>
      <w:r>
        <w:rPr/>
        <w:t>）本集团作为出租人 </w:t>
      </w:r>
      <w:r>
        <w:rPr>
          <w:spacing w:val="-1"/>
        </w:rPr>
        <w:t>经营租赁中的租金，本集团</w:t>
      </w:r>
      <w:bookmarkStart w:name="31、租赁" w:id="169"/>
      <w:bookmarkEnd w:id="169"/>
      <w:r>
        <w:rPr>
          <w:spacing w:val="-1"/>
        </w:rPr>
      </w:r>
      <w:bookmarkStart w:name="（1）经营租赁的会计处理方法" w:id="170"/>
      <w:bookmarkEnd w:id="170"/>
      <w:r>
        <w:rPr>
          <w:spacing w:val="-1"/>
        </w:rPr>
        <w:t>在租赁期内各个期间按照直线法确认当期损益</w:t>
      </w:r>
      <w:r>
        <w:rPr>
          <w:spacing w:val="-1"/>
        </w:rPr>
        <w:t>。发生的初始直接费用，计</w:t>
      </w:r>
    </w:p>
    <w:p>
      <w:pPr>
        <w:pStyle w:val="BodyText"/>
        <w:spacing w:line="240" w:lineRule="auto" w:before="99"/>
        <w:ind w:right="0"/>
        <w:jc w:val="left"/>
      </w:pPr>
      <w:r>
        <w:rPr/>
        <w:t>入当期损益。</w:t>
      </w:r>
    </w:p>
    <w:p>
      <w:pPr>
        <w:spacing w:line="240" w:lineRule="auto" w:before="5"/>
        <w:rPr>
          <w:rFonts w:ascii="宋体" w:hAnsi="宋体" w:cs="宋体" w:eastAsia="宋体" w:hint="default"/>
          <w:sz w:val="14"/>
          <w:szCs w:val="14"/>
        </w:rPr>
      </w:pPr>
    </w:p>
    <w:p>
      <w:pPr>
        <w:pStyle w:val="BodyText"/>
        <w:spacing w:line="240" w:lineRule="auto"/>
        <w:ind w:right="0"/>
        <w:jc w:val="left"/>
      </w:pPr>
      <w:r>
        <w:rPr/>
        <w:t>（</w:t>
      </w:r>
      <w:r>
        <w:rPr>
          <w:rFonts w:ascii="Times New Roman" w:hAnsi="Times New Roman" w:cs="Times New Roman" w:eastAsia="Times New Roman" w:hint="default"/>
        </w:rPr>
        <w:t>2</w:t>
      </w:r>
      <w:r>
        <w:rPr/>
        <w:t>）本集团作为承租人</w:t>
      </w:r>
    </w:p>
    <w:p>
      <w:pPr>
        <w:spacing w:line="240" w:lineRule="auto" w:before="7"/>
        <w:rPr>
          <w:rFonts w:ascii="宋体" w:hAnsi="宋体" w:cs="宋体" w:eastAsia="宋体" w:hint="default"/>
          <w:sz w:val="20"/>
          <w:szCs w:val="20"/>
        </w:rPr>
      </w:pPr>
    </w:p>
    <w:p>
      <w:pPr>
        <w:pStyle w:val="BodyText"/>
        <w:spacing w:line="326" w:lineRule="auto"/>
        <w:ind w:right="151" w:firstLine="420"/>
        <w:jc w:val="both"/>
      </w:pPr>
      <w:r>
        <w:rPr>
          <w:spacing w:val="-1"/>
        </w:rPr>
        <w:t>经营租赁中的租金，本集团在租赁期内各个期间按照直线法计入相关资产成本或当期损益；发生的初</w:t>
      </w:r>
      <w:r>
        <w:rPr/>
        <w:t> 始直接费用，计入当期损益。</w:t>
      </w:r>
    </w:p>
    <w:p>
      <w:pPr>
        <w:spacing w:line="240" w:lineRule="auto" w:before="6"/>
        <w:rPr>
          <w:rFonts w:ascii="宋体" w:hAnsi="宋体" w:cs="宋体" w:eastAsia="宋体" w:hint="default"/>
          <w:sz w:val="22"/>
          <w:szCs w:val="22"/>
        </w:rPr>
      </w:pPr>
    </w:p>
    <w:p>
      <w:pPr>
        <w:pStyle w:val="Heading4"/>
        <w:spacing w:line="530" w:lineRule="auto"/>
        <w:ind w:left="574" w:right="6926"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）融资租赁的会计处理方法</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pStyle w:val="BodyText"/>
        <w:spacing w:line="490" w:lineRule="atLeast" w:before="137"/>
        <w:ind w:left="573" w:right="0" w:firstLine="4"/>
        <w:jc w:val="left"/>
      </w:pPr>
      <w:r>
        <w:rPr/>
        <w:t>回购股份： </w:t>
      </w:r>
      <w:r>
        <w:rPr>
          <w:spacing w:val="-1"/>
        </w:rPr>
        <w:t>本集团回购的股份在注销或者转让之前，作为库存股管理，</w:t>
      </w:r>
      <w:bookmarkStart w:name="（2）融资租赁的会计处理方法" w:id="171"/>
      <w:bookmarkEnd w:id="171"/>
      <w:r>
        <w:rPr>
          <w:spacing w:val="-1"/>
        </w:rPr>
        <w:t>回购股份的全部支出转作库存股成本</w:t>
      </w:r>
      <w:r>
        <w:rPr>
          <w:spacing w:val="-1"/>
        </w:rPr>
        <w:t>。股</w:t>
      </w:r>
    </w:p>
    <w:p>
      <w:pPr>
        <w:pStyle w:val="BodyText"/>
        <w:spacing w:line="240" w:lineRule="auto" w:before="99"/>
        <w:ind w:left="573" w:right="0" w:hanging="420"/>
        <w:jc w:val="left"/>
      </w:pPr>
      <w:r>
        <w:rPr/>
        <w:t>份回购中支付的对价和交易费用减少所有者权益，回购、转上或注销本集团股份时，不确认利得或损失。</w:t>
      </w:r>
    </w:p>
    <w:p>
      <w:pPr>
        <w:spacing w:line="240" w:lineRule="auto" w:before="10"/>
        <w:rPr>
          <w:rFonts w:ascii="宋体" w:hAnsi="宋体" w:cs="宋体" w:eastAsia="宋体" w:hint="default"/>
          <w:sz w:val="16"/>
          <w:szCs w:val="16"/>
        </w:rPr>
      </w:pPr>
    </w:p>
    <w:p>
      <w:pPr>
        <w:pStyle w:val="BodyText"/>
        <w:spacing w:line="326" w:lineRule="auto"/>
        <w:ind w:left="153" w:right="151" w:firstLine="420"/>
        <w:jc w:val="both"/>
      </w:pPr>
      <w:r>
        <w:rPr>
          <w:spacing w:val="-1"/>
        </w:rPr>
        <w:t>转让库存股，按实际收到的金额与库存股账面金额的差额，计入资本公积，资本公积不足冲减的，冲</w:t>
      </w:r>
      <w:r>
        <w:rPr/>
        <w:t> </w:t>
      </w:r>
      <w:r>
        <w:rPr>
          <w:spacing w:val="-1"/>
        </w:rPr>
        <w:t>减盈余公积和未分配利润。注销库存股，按股票面值和注销股数减少股本，按注销库存股的账面余额与面</w:t>
      </w:r>
      <w:r>
        <w:rPr>
          <w:spacing w:val="-83"/>
        </w:rPr>
        <w:t> </w:t>
      </w:r>
      <w:r>
        <w:rPr>
          <w:spacing w:val="-83"/>
        </w:rPr>
      </w:r>
      <w:r>
        <w:rPr>
          <w:spacing w:val="-1"/>
        </w:rPr>
        <w:t>值的差额，冲减资本公积，资本公积不足冲减的，冲减盈余公积和未分配利润。本集团根据历史经验和其</w:t>
      </w:r>
      <w:r>
        <w:rPr>
          <w:spacing w:val="-85"/>
        </w:rPr>
        <w:t> </w:t>
      </w:r>
      <w:r>
        <w:rPr>
          <w:spacing w:val="-85"/>
        </w:rPr>
      </w:r>
      <w:r>
        <w:rPr/>
        <w:t>它因素，包括对未来事项的合理预期，对所采用的重要会计估计和关键假设进行持续的评价。</w:t>
      </w:r>
    </w:p>
    <w:p>
      <w:pPr>
        <w:spacing w:after="0" w:line="326" w:lineRule="auto"/>
        <w:jc w:val="both"/>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326" w:lineRule="auto" w:before="35"/>
        <w:ind w:right="0" w:firstLine="420"/>
        <w:jc w:val="left"/>
      </w:pPr>
      <w:r>
        <w:rPr>
          <w:spacing w:val="3"/>
        </w:rPr>
        <w:t>很可能导致下一会计年度资产和负债的账面价值出现重大调整风险的重要会计估计和关键假设列示</w:t>
      </w:r>
      <w:r>
        <w:rPr/>
        <w:t> 如下：</w:t>
      </w:r>
    </w:p>
    <w:p>
      <w:pPr>
        <w:pStyle w:val="BodyText"/>
        <w:spacing w:line="240" w:lineRule="auto" w:before="144"/>
        <w:ind w:left="574" w:right="0"/>
        <w:jc w:val="left"/>
      </w:pPr>
      <w:r>
        <w:rPr/>
        <w:t>商誉减值：</w:t>
      </w:r>
    </w:p>
    <w:p>
      <w:pPr>
        <w:spacing w:line="240" w:lineRule="auto" w:before="10"/>
        <w:rPr>
          <w:rFonts w:ascii="宋体" w:hAnsi="宋体" w:cs="宋体" w:eastAsia="宋体" w:hint="default"/>
          <w:sz w:val="16"/>
          <w:szCs w:val="16"/>
        </w:rPr>
      </w:pPr>
    </w:p>
    <w:p>
      <w:pPr>
        <w:pStyle w:val="BodyText"/>
        <w:spacing w:line="326" w:lineRule="auto"/>
        <w:ind w:right="103" w:firstLine="420"/>
        <w:jc w:val="left"/>
      </w:pPr>
      <w:r>
        <w:rPr/>
        <w:t>本集团至少每年评估商誉是否发生减值。这要求对分配了商誉的资产组的使用价值进行估计。估计使 </w:t>
      </w:r>
      <w:r>
        <w:rPr>
          <w:spacing w:val="-3"/>
        </w:rPr>
        <w:t>用价值时，本集团需要估计未来来自资产组的现金流量，同时选择恰当的折现率计算未来现金流量的现值。</w:t>
      </w:r>
    </w:p>
    <w:p>
      <w:pPr>
        <w:pStyle w:val="BodyText"/>
        <w:spacing w:line="240" w:lineRule="auto" w:before="144"/>
        <w:ind w:left="574" w:right="0"/>
        <w:jc w:val="left"/>
      </w:pPr>
      <w:r>
        <w:rPr/>
        <w:t>开发支出：</w:t>
      </w:r>
    </w:p>
    <w:p>
      <w:pPr>
        <w:spacing w:line="240" w:lineRule="auto" w:before="10"/>
        <w:rPr>
          <w:rFonts w:ascii="宋体" w:hAnsi="宋体" w:cs="宋体" w:eastAsia="宋体" w:hint="default"/>
          <w:sz w:val="16"/>
          <w:szCs w:val="16"/>
        </w:rPr>
      </w:pPr>
    </w:p>
    <w:p>
      <w:pPr>
        <w:pStyle w:val="BodyText"/>
        <w:spacing w:line="326" w:lineRule="auto"/>
        <w:ind w:right="0" w:firstLine="420"/>
        <w:jc w:val="left"/>
      </w:pPr>
      <w:r>
        <w:rPr>
          <w:spacing w:val="-1"/>
        </w:rPr>
        <w:t>确定资本化的金额时，管理层必须做出有关资产的预期未来现金的产生、应采用的折现率以及预计受</w:t>
      </w:r>
      <w:r>
        <w:rPr/>
        <w:t> 益期间的假设。</w:t>
      </w:r>
    </w:p>
    <w:p>
      <w:pPr>
        <w:pStyle w:val="BodyText"/>
        <w:spacing w:line="240" w:lineRule="auto" w:before="144"/>
        <w:ind w:left="574" w:right="0"/>
        <w:jc w:val="left"/>
      </w:pPr>
      <w:r>
        <w:rPr/>
        <w:t>递延所得税资产：</w:t>
      </w:r>
    </w:p>
    <w:p>
      <w:pPr>
        <w:spacing w:line="240" w:lineRule="auto" w:before="10"/>
        <w:rPr>
          <w:rFonts w:ascii="宋体" w:hAnsi="宋体" w:cs="宋体" w:eastAsia="宋体" w:hint="default"/>
          <w:sz w:val="16"/>
          <w:szCs w:val="16"/>
        </w:rPr>
      </w:pPr>
    </w:p>
    <w:p>
      <w:pPr>
        <w:pStyle w:val="BodyText"/>
        <w:spacing w:line="326" w:lineRule="auto"/>
        <w:ind w:right="211" w:firstLine="420"/>
        <w:jc w:val="both"/>
      </w:pPr>
      <w:r>
        <w:rPr>
          <w:spacing w:val="-1"/>
        </w:rPr>
        <w:t>在很有可能有足够的应纳税利润来抵扣亏损的限度内，应就所有未利用的税务亏损确认递延所得税资</w:t>
      </w:r>
      <w:r>
        <w:rPr/>
        <w:t> </w:t>
      </w:r>
      <w:r>
        <w:rPr>
          <w:spacing w:val="-1"/>
        </w:rPr>
        <w:t>产。这需要管理层运用大量的判断来估计未来应纳税利润发生的时间和金额，结合纳税筹划策略，以决定</w:t>
      </w:r>
      <w:r>
        <w:rPr>
          <w:spacing w:val="-83"/>
        </w:rPr>
        <w:t> </w:t>
      </w:r>
      <w:r>
        <w:rPr>
          <w:spacing w:val="-83"/>
        </w:rPr>
      </w:r>
      <w:r>
        <w:rPr/>
        <w:t>应确认的递延所得税资产的金额。</w:t>
      </w:r>
    </w:p>
    <w:p>
      <w:pPr>
        <w:pStyle w:val="BodyText"/>
        <w:spacing w:line="240" w:lineRule="auto" w:before="144"/>
        <w:ind w:left="574" w:right="0"/>
        <w:jc w:val="left"/>
      </w:pPr>
      <w:r>
        <w:rPr/>
        <w:t>股份支付：</w:t>
      </w:r>
    </w:p>
    <w:p>
      <w:pPr>
        <w:spacing w:line="240" w:lineRule="auto" w:before="10"/>
        <w:rPr>
          <w:rFonts w:ascii="宋体" w:hAnsi="宋体" w:cs="宋体" w:eastAsia="宋体" w:hint="default"/>
          <w:sz w:val="16"/>
          <w:szCs w:val="16"/>
        </w:rPr>
      </w:pPr>
    </w:p>
    <w:p>
      <w:pPr>
        <w:pStyle w:val="BodyText"/>
        <w:spacing w:line="326" w:lineRule="auto"/>
        <w:ind w:right="211" w:firstLine="420"/>
        <w:jc w:val="both"/>
      </w:pPr>
      <w:r>
        <w:rPr>
          <w:spacing w:val="-1"/>
        </w:rPr>
        <w:t>达到规定业绩条件才可行权的换取职工服务的以权益结算的股份支付，在等待期内的每个资产负债表</w:t>
      </w:r>
      <w:r>
        <w:rPr/>
        <w:t> </w:t>
      </w:r>
      <w:r>
        <w:rPr>
          <w:spacing w:val="-1"/>
        </w:rPr>
        <w:t>日，需要管理层对可行权权益工具数量作出最佳估计，以按照权益工具授予日的公允价值，将当期取得的</w:t>
      </w:r>
      <w:r>
        <w:rPr>
          <w:spacing w:val="-83"/>
        </w:rPr>
        <w:t> </w:t>
      </w:r>
      <w:r>
        <w:rPr>
          <w:spacing w:val="-83"/>
        </w:rPr>
      </w:r>
      <w:r>
        <w:rPr/>
        <w:t>服务计入相关成本或费用和资本公积。</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pict>
          <v:group style="position:absolute;margin-left:368.820007pt;margin-top:51.923676pt;width:105.85pt;height:56.65pt;mso-position-horizontal-relative:page;mso-position-vertical-relative:paragraph;z-index:-944968" coordorigin="7376,1038" coordsize="2117,1133">
            <v:group style="position:absolute;left:7376;top:1038;width:2117;height:468" coordorigin="7376,1038" coordsize="2117,468">
              <v:shape style="position:absolute;left:7376;top:1038;width:2117;height:468" coordorigin="7376,1038" coordsize="2117,468" path="m7376,1506l9493,1506,9493,1038,7376,1038,7376,1506xe" filled="true" fillcolor="#ffffff" stroked="false">
                <v:path arrowok="t"/>
                <v:fill type="solid"/>
              </v:shape>
            </v:group>
            <v:group style="position:absolute;left:7399;top:1506;width:2072;height:353" coordorigin="7399,1506" coordsize="2072,353">
              <v:shape style="position:absolute;left:7399;top:1506;width:2072;height:353" coordorigin="7399,1506" coordsize="2072,353" path="m7399,1859l9470,1859,9470,1506,7399,1506,7399,1859xe" filled="true" fillcolor="#ffffff" stroked="false">
                <v:path arrowok="t"/>
                <v:fill type="solid"/>
              </v:shape>
            </v:group>
            <v:group style="position:absolute;left:7399;top:1859;width:2072;height:312" coordorigin="7399,1859" coordsize="2072,312">
              <v:shape style="position:absolute;left:7399;top:1859;width:2072;height:312" coordorigin="7399,1859" coordsize="2072,312" path="m7399,2171l9470,2171,9470,1859,7399,1859,7399,2171xe" filled="true" fillcolor="#ffffff" stroked="false">
                <v:path arrowok="t"/>
                <v:fill type="solid"/>
              </v:shape>
            </v:group>
            <w10:wrap type="none"/>
          </v:group>
        </w:pict>
      </w: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63"/>
        <w:gridCol w:w="1274"/>
        <w:gridCol w:w="1700"/>
        <w:gridCol w:w="1272"/>
        <w:gridCol w:w="854"/>
        <w:gridCol w:w="708"/>
      </w:tblGrid>
      <w:tr>
        <w:trPr>
          <w:trHeight w:val="402" w:hRule="exact"/>
        </w:trPr>
        <w:tc>
          <w:tcPr>
            <w:tcW w:w="623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3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98" w:right="0"/>
              <w:jc w:val="left"/>
              <w:rPr>
                <w:rFonts w:ascii="宋体" w:hAnsi="宋体" w:cs="宋体" w:eastAsia="宋体" w:hint="default"/>
                <w:sz w:val="18"/>
                <w:szCs w:val="18"/>
              </w:rPr>
            </w:pPr>
            <w:bookmarkStart w:name="33、重要会计政策和会计估计变更" w:id="172"/>
            <w:bookmarkEnd w:id="172"/>
            <w:r>
              <w:rPr/>
            </w:r>
            <w:r>
              <w:rPr>
                <w:rFonts w:ascii="宋体" w:hAnsi="宋体" w:cs="宋体" w:eastAsia="宋体" w:hint="default"/>
                <w:sz w:val="18"/>
                <w:szCs w:val="18"/>
              </w:rPr>
              <w:t>审批程序</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7" w:right="0"/>
              <w:jc w:val="left"/>
              <w:rPr>
                <w:rFonts w:ascii="宋体" w:hAnsi="宋体" w:cs="宋体" w:eastAsia="宋体" w:hint="default"/>
                <w:sz w:val="18"/>
                <w:szCs w:val="18"/>
              </w:rPr>
            </w:pPr>
            <w:bookmarkStart w:name="（1）重要会计政策变更" w:id="173"/>
            <w:bookmarkEnd w:id="173"/>
            <w:r>
              <w:rPr/>
            </w:r>
            <w:r>
              <w:rPr>
                <w:rFonts w:ascii="宋体" w:hAnsi="宋体" w:cs="宋体" w:eastAsia="宋体" w:hint="default"/>
                <w:sz w:val="18"/>
                <w:szCs w:val="18"/>
              </w:rPr>
              <w:t>备注</w:t>
            </w:r>
          </w:p>
        </w:tc>
      </w:tr>
      <w:tr>
        <w:trPr>
          <w:trHeight w:val="3210" w:hRule="exact"/>
        </w:trPr>
        <w:tc>
          <w:tcPr>
            <w:tcW w:w="6238" w:type="dxa"/>
            <w:gridSpan w:val="3"/>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月，财政部发布了《企业会计准则第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p>
          <w:p>
            <w:pPr>
              <w:pStyle w:val="TableParagraph"/>
              <w:spacing w:line="300" w:lineRule="auto" w:before="63"/>
              <w:ind w:left="22" w:right="10"/>
              <w:jc w:val="left"/>
              <w:rPr>
                <w:rFonts w:ascii="宋体" w:hAnsi="宋体" w:cs="宋体" w:eastAsia="宋体" w:hint="default"/>
                <w:sz w:val="18"/>
                <w:szCs w:val="18"/>
              </w:rPr>
            </w:pPr>
            <w:r>
              <w:rPr>
                <w:rFonts w:ascii="宋体" w:hAnsi="宋体" w:cs="宋体" w:eastAsia="宋体" w:hint="default"/>
                <w:sz w:val="18"/>
                <w:szCs w:val="18"/>
              </w:rPr>
              <w:t>（简称</w:t>
            </w:r>
            <w:r>
              <w:rPr>
                <w:rFonts w:ascii="宋体" w:hAnsi="宋体" w:cs="宋体" w:eastAsia="宋体" w:hint="default"/>
                <w:spacing w:val="3"/>
                <w:sz w:val="18"/>
                <w:szCs w:val="18"/>
              </w:rPr>
              <w:t> </w:t>
            </w:r>
            <w:r>
              <w:rPr>
                <w:rFonts w:ascii="宋体" w:hAnsi="宋体" w:cs="宋体" w:eastAsia="宋体" w:hint="default"/>
                <w:sz w:val="18"/>
                <w:szCs w:val="18"/>
              </w:rPr>
              <w:t>企业会计准则第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7"/>
                <w:sz w:val="18"/>
                <w:szCs w:val="18"/>
              </w:rPr>
              <w:t> </w:t>
            </w:r>
            <w:r>
              <w:rPr>
                <w:rFonts w:ascii="宋体" w:hAnsi="宋体" w:cs="宋体" w:eastAsia="宋体" w:hint="default"/>
                <w:spacing w:val="-25"/>
                <w:sz w:val="18"/>
                <w:szCs w:val="18"/>
              </w:rPr>
              <w:t>号）、《企业会计准则第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7"/>
                <w:sz w:val="18"/>
                <w:szCs w:val="18"/>
              </w:rPr>
              <w:t> </w:t>
            </w:r>
            <w:r>
              <w:rPr>
                <w:rFonts w:ascii="宋体" w:hAnsi="宋体" w:cs="宋体" w:eastAsia="宋体" w:hint="default"/>
                <w:spacing w:val="-17"/>
                <w:sz w:val="18"/>
                <w:szCs w:val="18"/>
              </w:rPr>
              <w:t>号</w:t>
            </w:r>
            <w:r>
              <w:rPr>
                <w:rFonts w:ascii="Times New Roman" w:hAnsi="Times New Roman" w:cs="Times New Roman" w:eastAsia="Times New Roman" w:hint="default"/>
                <w:spacing w:val="-17"/>
                <w:sz w:val="18"/>
                <w:szCs w:val="18"/>
              </w:rPr>
              <w:t>——</w:t>
            </w:r>
            <w:r>
              <w:rPr>
                <w:rFonts w:ascii="宋体" w:hAnsi="宋体" w:cs="宋体" w:eastAsia="宋体" w:hint="default"/>
                <w:spacing w:val="-17"/>
                <w:sz w:val="18"/>
                <w:szCs w:val="18"/>
              </w:rPr>
              <w:t>合营安排》（简称</w:t>
            </w:r>
            <w:r>
              <w:rPr>
                <w:rFonts w:ascii="宋体" w:hAnsi="宋体" w:cs="宋体" w:eastAsia="宋体" w:hint="default"/>
                <w:spacing w:val="3"/>
                <w:sz w:val="18"/>
                <w:szCs w:val="18"/>
              </w:rPr>
              <w:t> </w:t>
            </w:r>
            <w:r>
              <w:rPr>
                <w:rFonts w:ascii="宋体" w:hAnsi="宋体" w:cs="宋体" w:eastAsia="宋体" w:hint="default"/>
                <w:sz w:val="18"/>
                <w:szCs w:val="18"/>
              </w:rPr>
              <w:t>企</w:t>
            </w:r>
            <w:r>
              <w:rPr>
                <w:rFonts w:ascii="宋体" w:hAnsi="宋体" w:cs="宋体" w:eastAsia="宋体" w:hint="default"/>
                <w:sz w:val="18"/>
                <w:szCs w:val="18"/>
              </w:rPr>
              <w:t> 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号）和《企业会计准则第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在其他主体中权益的披露</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（简称 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修订</w:t>
            </w:r>
            <w:r>
              <w:rPr>
                <w:rFonts w:ascii="宋体" w:hAnsi="宋体" w:cs="宋体" w:eastAsia="宋体" w:hint="default"/>
                <w:spacing w:val="-15"/>
                <w:sz w:val="18"/>
                <w:szCs w:val="18"/>
              </w:rPr>
              <w:t>了</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100"/>
                <w:sz w:val="18"/>
                <w:szCs w:val="18"/>
              </w:rPr>
              <w:t>》</w:t>
            </w:r>
            <w:r>
              <w:rPr>
                <w:rFonts w:ascii="宋体" w:hAnsi="宋体" w:cs="宋体" w:eastAsia="宋体" w:hint="default"/>
                <w:sz w:val="18"/>
                <w:szCs w:val="18"/>
              </w:rPr>
              <w:t>（简称 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职工薪酬</w:t>
            </w:r>
            <w:r>
              <w:rPr>
                <w:rFonts w:ascii="宋体" w:hAnsi="宋体" w:cs="宋体" w:eastAsia="宋体" w:hint="default"/>
                <w:spacing w:val="-100"/>
                <w:sz w:val="18"/>
                <w:szCs w:val="18"/>
              </w:rPr>
              <w:t>》</w:t>
            </w:r>
            <w:r>
              <w:rPr>
                <w:rFonts w:ascii="宋体" w:hAnsi="宋体" w:cs="宋体" w:eastAsia="宋体" w:hint="default"/>
                <w:sz w:val="18"/>
                <w:szCs w:val="18"/>
              </w:rPr>
              <w:t>（简称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企</w:t>
            </w: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105"/>
                <w:sz w:val="18"/>
                <w:szCs w:val="18"/>
              </w:rPr>
              <w:t>》</w:t>
            </w:r>
            <w:r>
              <w:rPr>
                <w:rFonts w:ascii="宋体" w:hAnsi="宋体" w:cs="宋体" w:eastAsia="宋体" w:hint="default"/>
                <w:sz w:val="18"/>
                <w:szCs w:val="18"/>
              </w:rPr>
              <w:t>（简称 企业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90"/>
                <w:sz w:val="18"/>
                <w:szCs w:val="18"/>
              </w:rPr>
              <w:t>》</w:t>
            </w:r>
            <w:r>
              <w:rPr>
                <w:rFonts w:ascii="宋体" w:hAnsi="宋体" w:cs="宋体" w:eastAsia="宋体" w:hint="default"/>
                <w:sz w:val="18"/>
                <w:szCs w:val="18"/>
              </w:rPr>
              <w:t>（简称 企业会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宋体" w:hAnsi="宋体" w:cs="宋体" w:eastAsia="宋体" w:hint="default"/>
                <w:sz w:val="18"/>
                <w:szCs w:val="18"/>
              </w:rPr>
              <w:t>）和《企业会计准则第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90"/>
                <w:sz w:val="18"/>
                <w:szCs w:val="18"/>
              </w:rPr>
              <w:t>》</w:t>
            </w:r>
            <w:r>
              <w:rPr>
                <w:rFonts w:ascii="宋体" w:hAnsi="宋体" w:cs="宋体" w:eastAsia="宋体" w:hint="default"/>
                <w:sz w:val="18"/>
                <w:szCs w:val="18"/>
              </w:rPr>
              <w:t>（简称 企业会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，除企业会计准则第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年年度及以后期间的财务报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告中使用外，上述其他准则于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w:t>
            </w:r>
          </w:p>
        </w:tc>
        <w:tc>
          <w:tcPr>
            <w:tcW w:w="2126"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03" w:lineRule="exact"/>
              <w:ind w:left="11" w:right="-1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149"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16"/>
              <w:jc w:val="left"/>
              <w:rPr>
                <w:rFonts w:ascii="宋体" w:hAnsi="宋体" w:cs="宋体" w:eastAsia="宋体" w:hint="default"/>
                <w:sz w:val="18"/>
                <w:szCs w:val="18"/>
              </w:rPr>
            </w:pPr>
            <w:r>
              <w:rPr>
                <w:rFonts w:ascii="宋体" w:hAnsi="宋体" w:cs="宋体" w:eastAsia="宋体" w:hint="default"/>
                <w:sz w:val="18"/>
                <w:szCs w:val="18"/>
              </w:rPr>
              <w:t>第二届董事会第</w:t>
            </w:r>
          </w:p>
          <w:p>
            <w:pPr>
              <w:pStyle w:val="TableParagraph"/>
              <w:spacing w:line="314" w:lineRule="auto" w:before="76"/>
              <w:ind w:left="11" w:right="-106"/>
              <w:jc w:val="left"/>
              <w:rPr>
                <w:rFonts w:ascii="宋体" w:hAnsi="宋体" w:cs="宋体" w:eastAsia="宋体" w:hint="default"/>
                <w:sz w:val="18"/>
                <w:szCs w:val="18"/>
              </w:rPr>
            </w:pPr>
            <w:r>
              <w:rPr>
                <w:rFonts w:ascii="宋体" w:hAnsi="宋体" w:cs="宋体" w:eastAsia="宋体" w:hint="default"/>
                <w:spacing w:val="-13"/>
                <w:sz w:val="18"/>
                <w:szCs w:val="18"/>
              </w:rPr>
              <w:t>议、第二届监事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会议决议，审议</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于执行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年新</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订的相关企业会 议案》</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1182" w:right="20" w:firstLine="133"/>
              <w:jc w:val="right"/>
              <w:rPr>
                <w:rFonts w:ascii="宋体" w:hAnsi="宋体" w:cs="宋体" w:eastAsia="宋体" w:hint="default"/>
                <w:sz w:val="18"/>
                <w:szCs w:val="18"/>
              </w:rPr>
            </w:pPr>
            <w:r>
              <w:rPr>
                <w:rFonts w:ascii="宋体" w:hAnsi="宋体" w:cs="宋体" w:eastAsia="宋体" w:hint="default"/>
                <w:sz w:val="18"/>
                <w:szCs w:val="18"/>
              </w:rPr>
              <w:t>日召开了 十八次会 会第十七次 </w:t>
            </w:r>
            <w:r>
              <w:rPr>
                <w:rFonts w:ascii="宋体" w:hAnsi="宋体" w:cs="宋体" w:eastAsia="宋体" w:hint="default"/>
                <w:spacing w:val="-9"/>
                <w:sz w:val="18"/>
                <w:szCs w:val="18"/>
              </w:rPr>
              <w:t>通过了《关</w:t>
            </w:r>
            <w:r>
              <w:rPr>
                <w:rFonts w:ascii="宋体" w:hAnsi="宋体" w:cs="宋体" w:eastAsia="宋体" w:hint="default"/>
                <w:sz w:val="18"/>
                <w:szCs w:val="18"/>
              </w:rPr>
              <w:t> 颁布或修</w:t>
            </w:r>
          </w:p>
          <w:p>
            <w:pPr>
              <w:pStyle w:val="TableParagraph"/>
              <w:spacing w:line="240" w:lineRule="auto" w:before="19"/>
              <w:ind w:right="113"/>
              <w:jc w:val="right"/>
              <w:rPr>
                <w:rFonts w:ascii="宋体" w:hAnsi="宋体" w:cs="宋体" w:eastAsia="宋体" w:hint="default"/>
                <w:sz w:val="18"/>
                <w:szCs w:val="18"/>
              </w:rPr>
            </w:pPr>
            <w:r>
              <w:rPr>
                <w:rFonts w:ascii="宋体" w:hAnsi="宋体" w:cs="宋体" w:eastAsia="宋体" w:hint="default"/>
                <w:sz w:val="18"/>
                <w:szCs w:val="18"/>
              </w:rPr>
              <w:t>计准则的</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0" w:right="0"/>
              <w:jc w:val="left"/>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1"/>
              <w:jc w:val="right"/>
              <w:rPr>
                <w:rFonts w:ascii="宋体" w:hAnsi="宋体" w:cs="宋体" w:eastAsia="宋体" w:hint="default"/>
                <w:sz w:val="18"/>
                <w:szCs w:val="18"/>
              </w:rPr>
            </w:pPr>
            <w:r>
              <w:rPr>
                <w:rFonts w:ascii="宋体" w:hAnsi="宋体" w:cs="宋体" w:eastAsia="宋体" w:hint="default"/>
                <w:b/>
                <w:bCs/>
                <w:w w:val="95"/>
                <w:sz w:val="18"/>
                <w:szCs w:val="18"/>
              </w:rPr>
              <w:t>受影响的报表项目</w:t>
            </w:r>
            <w:r>
              <w:rPr>
                <w:rFonts w:ascii="宋体" w:hAnsi="宋体" w:cs="宋体" w:eastAsia="宋体" w:hint="default"/>
                <w:sz w:val="18"/>
                <w:szCs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8" w:right="0"/>
              <w:jc w:val="left"/>
              <w:rPr>
                <w:rFonts w:ascii="宋体" w:hAnsi="宋体" w:cs="宋体" w:eastAsia="宋体" w:hint="default"/>
                <w:sz w:val="18"/>
                <w:szCs w:val="18"/>
              </w:rPr>
            </w:pPr>
            <w:r>
              <w:rPr>
                <w:rFonts w:ascii="宋体" w:hAnsi="宋体" w:cs="宋体" w:eastAsia="宋体" w:hint="default"/>
                <w:b/>
                <w:bCs/>
                <w:sz w:val="18"/>
                <w:szCs w:val="18"/>
              </w:rPr>
              <w:t>对</w:t>
            </w: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宋体" w:hAnsi="宋体" w:cs="宋体" w:eastAsia="宋体" w:hint="default"/>
                <w:sz w:val="18"/>
                <w:szCs w:val="18"/>
              </w:rPr>
            </w:r>
          </w:p>
          <w:p>
            <w:pPr>
              <w:pStyle w:val="TableParagraph"/>
              <w:spacing w:line="240" w:lineRule="auto" w:before="63"/>
              <w:ind w:left="8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日影响金额</w:t>
            </w:r>
            <w:r>
              <w:rPr>
                <w:rFonts w:ascii="宋体" w:hAnsi="宋体" w:cs="宋体" w:eastAsia="宋体" w:hint="default"/>
                <w:sz w:val="18"/>
                <w:szCs w:val="18"/>
              </w:rPr>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505" w:right="51" w:hanging="452"/>
              <w:jc w:val="left"/>
              <w:rPr>
                <w:rFonts w:ascii="宋体" w:hAnsi="宋体" w:cs="宋体" w:eastAsia="宋体" w:hint="default"/>
                <w:sz w:val="18"/>
                <w:szCs w:val="18"/>
              </w:rPr>
            </w:pPr>
            <w:r>
              <w:rPr>
                <w:rFonts w:ascii="宋体" w:hAnsi="宋体" w:cs="宋体" w:eastAsia="宋体" w:hint="default"/>
                <w:b/>
                <w:bCs/>
                <w:sz w:val="18"/>
                <w:szCs w:val="18"/>
              </w:rPr>
              <w:t>对</w:t>
            </w: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日影</w:t>
            </w:r>
            <w:r>
              <w:rPr>
                <w:rFonts w:ascii="宋体" w:hAnsi="宋体" w:cs="宋体" w:eastAsia="宋体" w:hint="default"/>
                <w:b/>
                <w:bCs/>
                <w:spacing w:val="1"/>
                <w:w w:val="99"/>
                <w:sz w:val="18"/>
                <w:szCs w:val="18"/>
              </w:rPr>
              <w:t> </w:t>
            </w:r>
            <w:r>
              <w:rPr>
                <w:rFonts w:ascii="宋体" w:hAnsi="宋体" w:cs="宋体" w:eastAsia="宋体" w:hint="default"/>
                <w:b/>
                <w:bCs/>
                <w:sz w:val="18"/>
                <w:szCs w:val="18"/>
              </w:rPr>
              <w:t>响金额</w:t>
            </w:r>
            <w:r>
              <w:rPr>
                <w:rFonts w:ascii="宋体" w:hAnsi="宋体" w:cs="宋体" w:eastAsia="宋体" w:hint="default"/>
                <w:sz w:val="18"/>
                <w:szCs w:val="18"/>
              </w:rPr>
            </w:r>
          </w:p>
        </w:tc>
      </w:tr>
      <w:tr>
        <w:trPr>
          <w:trHeight w:val="966"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4" w:right="6"/>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号的要求： 对被投资单位不具有控制、共同控制或重 大影响，并且在活跃市场中没有报价、公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p>
          <w:p>
            <w:pPr>
              <w:pStyle w:val="TableParagraph"/>
              <w:spacing w:line="316" w:lineRule="auto" w:before="62"/>
              <w:ind w:left="4" w:right="177"/>
              <w:jc w:val="left"/>
              <w:rPr>
                <w:rFonts w:ascii="宋体" w:hAnsi="宋体" w:cs="宋体" w:eastAsia="宋体" w:hint="default"/>
                <w:sz w:val="18"/>
                <w:szCs w:val="18"/>
              </w:rPr>
            </w:pPr>
            <w:r>
              <w:rPr>
                <w:rFonts w:ascii="宋体" w:hAnsi="宋体" w:cs="宋体" w:eastAsia="宋体" w:hint="default"/>
                <w:sz w:val="18"/>
                <w:szCs w:val="18"/>
              </w:rPr>
              <w:t>日召开了第二 届董事会第十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3"/>
              <w:jc w:val="right"/>
              <w:rPr>
                <w:rFonts w:ascii="宋体" w:hAnsi="宋体" w:cs="宋体" w:eastAsia="宋体" w:hint="default"/>
                <w:sz w:val="18"/>
                <w:szCs w:val="18"/>
              </w:rPr>
            </w:pPr>
            <w:r>
              <w:rPr>
                <w:rFonts w:ascii="宋体" w:hAnsi="宋体" w:cs="宋体" w:eastAsia="宋体" w:hint="default"/>
                <w:sz w:val="18"/>
                <w:szCs w:val="18"/>
              </w:rPr>
              <w:t>①可供出售金融资产</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312" w:right="0"/>
              <w:jc w:val="left"/>
              <w:rPr>
                <w:rFonts w:ascii="Times New Roman" w:hAnsi="Times New Roman" w:cs="Times New Roman" w:eastAsia="Times New Roman" w:hint="default"/>
                <w:sz w:val="18"/>
                <w:szCs w:val="18"/>
              </w:rPr>
            </w:pPr>
            <w:r>
              <w:rPr>
                <w:rFonts w:ascii="Times New Roman"/>
                <w:sz w:val="18"/>
              </w:rPr>
              <w:t>7,880,000.00</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603" w:right="0"/>
              <w:jc w:val="left"/>
              <w:rPr>
                <w:rFonts w:ascii="Times New Roman" w:hAnsi="Times New Roman" w:cs="Times New Roman" w:eastAsia="Times New Roman" w:hint="default"/>
                <w:sz w:val="18"/>
                <w:szCs w:val="18"/>
              </w:rPr>
            </w:pPr>
            <w:r>
              <w:rPr>
                <w:rFonts w:ascii="Times New Roman"/>
                <w:sz w:val="18"/>
              </w:rPr>
              <w:t>1,000,000.00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263"/>
        <w:gridCol w:w="1274"/>
        <w:gridCol w:w="1700"/>
        <w:gridCol w:w="1272"/>
        <w:gridCol w:w="1562"/>
      </w:tblGrid>
      <w:tr>
        <w:trPr>
          <w:trHeight w:val="966" w:hRule="exact"/>
        </w:trPr>
        <w:tc>
          <w:tcPr>
            <w:tcW w:w="3263" w:type="dxa"/>
            <w:vMerge w:val="restart"/>
            <w:tcBorders>
              <w:top w:val="single" w:sz="4" w:space="0" w:color="000000"/>
              <w:left w:val="single" w:sz="4" w:space="0" w:color="000000"/>
              <w:right w:val="single" w:sz="4" w:space="0" w:color="000000"/>
            </w:tcBorders>
          </w:tcPr>
          <w:p>
            <w:pPr>
              <w:pStyle w:val="TableParagraph"/>
              <w:spacing w:line="314" w:lineRule="auto" w:before="21"/>
              <w:ind w:left="4" w:right="3"/>
              <w:jc w:val="left"/>
              <w:rPr>
                <w:rFonts w:ascii="宋体" w:hAnsi="宋体" w:cs="宋体" w:eastAsia="宋体" w:hint="default"/>
                <w:sz w:val="18"/>
                <w:szCs w:val="18"/>
              </w:rPr>
            </w:pPr>
            <w:r>
              <w:rPr>
                <w:rFonts w:ascii="宋体" w:hAnsi="宋体" w:cs="宋体" w:eastAsia="宋体" w:hint="default"/>
                <w:spacing w:val="-10"/>
                <w:sz w:val="18"/>
                <w:szCs w:val="18"/>
              </w:rPr>
              <w:t>允价值不能可靠计量的权益性投资，按《企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业会计准则第</w:t>
            </w:r>
            <w:r>
              <w:rPr>
                <w:rFonts w:ascii="Times New Roman" w:hAnsi="Times New Roman" w:cs="Times New Roman" w:eastAsia="Times New Roman" w:hint="default"/>
                <w:sz w:val="18"/>
                <w:szCs w:val="18"/>
              </w:rPr>
              <w:t>22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 量》进行处理。 本集团对上述会计政策变更采用追溯调整 法处理。</w:t>
            </w:r>
          </w:p>
        </w:tc>
        <w:tc>
          <w:tcPr>
            <w:tcW w:w="1274" w:type="dxa"/>
            <w:vMerge w:val="restart"/>
            <w:tcBorders>
              <w:top w:val="single" w:sz="4" w:space="0" w:color="000000"/>
              <w:left w:val="single" w:sz="4" w:space="0" w:color="000000"/>
              <w:right w:val="single" w:sz="4" w:space="0" w:color="000000"/>
            </w:tcBorders>
          </w:tcPr>
          <w:p>
            <w:pPr>
              <w:pStyle w:val="TableParagraph"/>
              <w:spacing w:line="314" w:lineRule="auto" w:before="21"/>
              <w:ind w:left="4" w:right="3"/>
              <w:jc w:val="left"/>
              <w:rPr>
                <w:rFonts w:ascii="宋体" w:hAnsi="宋体" w:cs="宋体" w:eastAsia="宋体" w:hint="default"/>
                <w:sz w:val="18"/>
                <w:szCs w:val="18"/>
              </w:rPr>
            </w:pPr>
            <w:r>
              <w:rPr>
                <w:rFonts w:ascii="宋体" w:hAnsi="宋体" w:cs="宋体" w:eastAsia="宋体" w:hint="default"/>
                <w:sz w:val="18"/>
                <w:szCs w:val="18"/>
              </w:rPr>
              <w:t>八次会议，审议 通过了《关于执 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年新颁 布或修订的相 关企业会计准 则的议案》</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3263"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②长期股权投资</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-7,880,000.00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43" w:right="0"/>
              <w:jc w:val="left"/>
              <w:rPr>
                <w:rFonts w:ascii="Times New Roman" w:hAnsi="Times New Roman" w:cs="Times New Roman" w:eastAsia="Times New Roman" w:hint="default"/>
                <w:sz w:val="18"/>
                <w:szCs w:val="18"/>
              </w:rPr>
            </w:pPr>
            <w:r>
              <w:rPr>
                <w:rFonts w:ascii="Times New Roman"/>
                <w:sz w:val="18"/>
              </w:rPr>
              <w:t>-1,000,000.00</w:t>
            </w:r>
          </w:p>
        </w:tc>
      </w:tr>
      <w:tr>
        <w:trPr>
          <w:trHeight w:val="654" w:hRule="exact"/>
        </w:trPr>
        <w:tc>
          <w:tcPr>
            <w:tcW w:w="3263" w:type="dxa"/>
            <w:vMerge w:val="restart"/>
            <w:tcBorders>
              <w:top w:val="single" w:sz="4" w:space="0" w:color="000000"/>
              <w:left w:val="single" w:sz="4" w:space="0" w:color="000000"/>
              <w:right w:val="single" w:sz="4" w:space="0" w:color="000000"/>
            </w:tcBorders>
          </w:tcPr>
          <w:p>
            <w:pPr>
              <w:pStyle w:val="TableParagraph"/>
              <w:spacing w:line="314" w:lineRule="auto" w:before="21"/>
              <w:ind w:left="4" w:right="6"/>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号的要求： 将递延收益单独在报表中列示，从其他非 流动负债重分类至递延收益； 本集团对比较财务报表的列报进行了相应 调整。</w:t>
            </w:r>
          </w:p>
        </w:tc>
        <w:tc>
          <w:tcPr>
            <w:tcW w:w="1274" w:type="dxa"/>
            <w:vMerge/>
            <w:tcBorders>
              <w:left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①递延收益</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16,542,594.91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9" w:right="0"/>
              <w:jc w:val="left"/>
              <w:rPr>
                <w:rFonts w:ascii="Times New Roman" w:hAnsi="Times New Roman" w:cs="Times New Roman" w:eastAsia="Times New Roman" w:hint="default"/>
                <w:sz w:val="18"/>
                <w:szCs w:val="18"/>
              </w:rPr>
            </w:pPr>
            <w:r>
              <w:rPr>
                <w:rFonts w:ascii="Times New Roman"/>
                <w:sz w:val="18"/>
              </w:rPr>
              <w:t>18,268,980.83</w:t>
            </w:r>
          </w:p>
        </w:tc>
      </w:tr>
      <w:tr>
        <w:trPr>
          <w:trHeight w:val="936" w:hRule="exact"/>
        </w:trPr>
        <w:tc>
          <w:tcPr>
            <w:tcW w:w="3263"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②其他非流动负债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-16,542,594.91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9" w:right="0"/>
              <w:jc w:val="left"/>
              <w:rPr>
                <w:rFonts w:ascii="Times New Roman" w:hAnsi="Times New Roman" w:cs="Times New Roman" w:eastAsia="Times New Roman" w:hint="default"/>
                <w:sz w:val="18"/>
                <w:szCs w:val="18"/>
              </w:rPr>
            </w:pPr>
            <w:r>
              <w:rPr>
                <w:rFonts w:ascii="Times New Roman"/>
                <w:sz w:val="18"/>
              </w:rPr>
              <w:t>-18,268,980.83</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pict>
          <v:group style="position:absolute;margin-left:276.720001pt;margin-top:53.733658pt;width:119.95pt;height:41pt;mso-position-horizontal-relative:page;mso-position-vertical-relative:paragraph;z-index:-944944" coordorigin="5534,1075" coordsize="2399,820">
            <v:group style="position:absolute;left:5534;top:1075;width:2399;height:468" coordorigin="5534,1075" coordsize="2399,468">
              <v:shape style="position:absolute;left:5534;top:1075;width:2399;height:468" coordorigin="5534,1075" coordsize="2399,468" path="m5534,1543l7933,1543,7933,1075,5534,1075,5534,1543xe" filled="true" fillcolor="#ffffff" stroked="false">
                <v:path arrowok="t"/>
                <v:fill type="solid"/>
              </v:shape>
            </v:group>
            <v:group style="position:absolute;left:5557;top:1543;width:2354;height:352" coordorigin="5557,1543" coordsize="2354,352">
              <v:shape style="position:absolute;left:5557;top:1543;width:2354;height:352" coordorigin="5557,1543" coordsize="2354,352" path="m5557,1894l7910,1894,7910,1543,5557,1543,5557,1894xe" filled="true" fillcolor="#ffffff" stroked="false">
                <v:path arrowok="t"/>
                <v:fill type="solid"/>
              </v:shape>
            </v:group>
            <w10:wrap type="none"/>
          </v:group>
        </w:pict>
      </w:r>
      <w:r>
        <w:rPr/>
        <w:t>（</w:t>
      </w:r>
      <w:r>
        <w:rPr>
          <w:rFonts w:ascii="Times New Roman" w:hAnsi="Times New Roman" w:cs="Times New Roman" w:eastAsia="Times New Roman" w:hint="default"/>
        </w:rPr>
        <w:t>2</w:t>
      </w:r>
      <w:r>
        <w:rPr/>
        <w:t>）重要会计估计变更</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396"/>
        <w:gridCol w:w="2408"/>
        <w:gridCol w:w="1702"/>
        <w:gridCol w:w="1062"/>
      </w:tblGrid>
      <w:tr>
        <w:trPr>
          <w:trHeight w:val="401" w:hRule="exact"/>
        </w:trPr>
        <w:tc>
          <w:tcPr>
            <w:tcW w:w="4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4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bookmarkStart w:name="（2）重要会计估计变更" w:id="174"/>
            <w:bookmarkEnd w:id="174"/>
            <w:r>
              <w:rPr/>
            </w:r>
            <w:r>
              <w:rPr>
                <w:rFonts w:ascii="宋体" w:hAnsi="宋体" w:cs="宋体" w:eastAsia="宋体" w:hint="default"/>
                <w:sz w:val="18"/>
                <w:szCs w:val="18"/>
              </w:rPr>
              <w:t>审批程序</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215"/>
              <w:jc w:val="right"/>
              <w:rPr>
                <w:rFonts w:ascii="宋体" w:hAnsi="宋体" w:cs="宋体" w:eastAsia="宋体" w:hint="default"/>
                <w:sz w:val="18"/>
                <w:szCs w:val="18"/>
              </w:rPr>
            </w:pPr>
            <w:r>
              <w:rPr>
                <w:rFonts w:ascii="宋体" w:hAnsi="宋体" w:cs="宋体" w:eastAsia="宋体" w:hint="default"/>
                <w:sz w:val="18"/>
                <w:szCs w:val="18"/>
              </w:rPr>
              <w:t>开始适用的时点</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963" w:hRule="exact"/>
        </w:trPr>
        <w:tc>
          <w:tcPr>
            <w:tcW w:w="439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29" w:firstLine="360"/>
              <w:jc w:val="left"/>
              <w:rPr>
                <w:rFonts w:ascii="宋体" w:hAnsi="宋体" w:cs="宋体" w:eastAsia="宋体" w:hint="default"/>
                <w:sz w:val="18"/>
                <w:szCs w:val="18"/>
              </w:rPr>
            </w:pPr>
            <w:r>
              <w:rPr>
                <w:rFonts w:ascii="宋体" w:hAnsi="宋体" w:cs="宋体" w:eastAsia="宋体" w:hint="default"/>
                <w:sz w:val="18"/>
                <w:szCs w:val="18"/>
              </w:rPr>
              <w:t>本集团主要客户为全国各级司法机关、行政执法部 </w:t>
            </w:r>
            <w:r>
              <w:rPr>
                <w:rFonts w:ascii="宋体" w:hAnsi="宋体" w:cs="宋体" w:eastAsia="宋体" w:hint="default"/>
                <w:spacing w:val="-3"/>
                <w:sz w:val="18"/>
                <w:szCs w:val="18"/>
              </w:rPr>
              <w:t>门等，由于政府部门付款审批周期以及合同质保期较长</w:t>
            </w:r>
            <w:r>
              <w:rPr>
                <w:rFonts w:ascii="宋体" w:hAnsi="宋体" w:cs="宋体" w:eastAsia="宋体" w:hint="default"/>
                <w:sz w:val="18"/>
                <w:szCs w:val="18"/>
              </w:rPr>
              <w:t> 导致本集团应收账款回收周期较长的特点，本集团根据 历史坏账经验数据，结合客户构成性质、资信状况、回 款安全性等，变更了应收款项中账龄组合坏账准备计提 比例。</w:t>
            </w:r>
          </w:p>
        </w:tc>
        <w:tc>
          <w:tcPr>
            <w:tcW w:w="240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日召开第二届</w:t>
            </w:r>
          </w:p>
          <w:p>
            <w:pPr>
              <w:pStyle w:val="TableParagraph"/>
              <w:spacing w:line="319" w:lineRule="auto" w:before="61"/>
              <w:ind w:left="11" w:right="35"/>
              <w:jc w:val="left"/>
              <w:rPr>
                <w:rFonts w:ascii="宋体" w:hAnsi="宋体" w:cs="宋体" w:eastAsia="宋体" w:hint="default"/>
                <w:sz w:val="18"/>
                <w:szCs w:val="18"/>
              </w:rPr>
            </w:pPr>
            <w:r>
              <w:rPr>
                <w:rFonts w:ascii="宋体" w:hAnsi="宋体" w:cs="宋体" w:eastAsia="宋体" w:hint="default"/>
                <w:sz w:val="18"/>
                <w:szCs w:val="18"/>
              </w:rPr>
              <w:t>董事会第十五次会议、第二届 监事会第十四次会议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5"/>
          <w:szCs w:val="5"/>
        </w:rPr>
      </w:pPr>
    </w:p>
    <w:p>
      <w:pPr>
        <w:pStyle w:val="Heading4"/>
        <w:spacing w:line="240" w:lineRule="auto" w:before="35"/>
        <w:ind w:right="0"/>
        <w:jc w:val="left"/>
        <w:rPr>
          <w:b w:val="0"/>
          <w:bCs w:val="0"/>
        </w:rPr>
      </w:pPr>
      <w:r>
        <w:rPr/>
        <w:t>变更前应收款项按账龄组合计提坏账准备计提比例如下：</w:t>
      </w:r>
      <w:r>
        <w:rPr>
          <w:b w:val="0"/>
          <w:bCs w:val="0"/>
        </w:rPr>
      </w:r>
    </w:p>
    <w:p>
      <w:pPr>
        <w:spacing w:line="240" w:lineRule="auto" w:before="2"/>
        <w:rPr>
          <w:rFonts w:ascii="宋体" w:hAnsi="宋体" w:cs="宋体" w:eastAsia="宋体" w:hint="default"/>
          <w:b/>
          <w:bCs/>
          <w:sz w:val="13"/>
          <w:szCs w:val="13"/>
        </w:rPr>
      </w:pPr>
    </w:p>
    <w:tbl>
      <w:tblPr>
        <w:tblW w:w="0" w:type="auto"/>
        <w:jc w:val="left"/>
        <w:tblInd w:w="144" w:type="dxa"/>
        <w:tblLayout w:type="fixed"/>
        <w:tblCellMar>
          <w:top w:w="0" w:type="dxa"/>
          <w:left w:w="0" w:type="dxa"/>
          <w:bottom w:w="0" w:type="dxa"/>
          <w:right w:w="0" w:type="dxa"/>
        </w:tblCellMar>
        <w:tblLook w:val="01E0"/>
      </w:tblPr>
      <w:tblGrid>
        <w:gridCol w:w="3772"/>
        <w:gridCol w:w="2754"/>
        <w:gridCol w:w="2755"/>
      </w:tblGrid>
      <w:tr>
        <w:trPr>
          <w:trHeight w:val="352"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5"/>
                <w:sz w:val="18"/>
                <w:szCs w:val="18"/>
              </w:rPr>
              <w:t> </w:t>
            </w:r>
            <w:r>
              <w:rPr>
                <w:rFonts w:ascii="宋体" w:hAnsi="宋体" w:cs="宋体" w:eastAsia="宋体" w:hint="default"/>
                <w:sz w:val="18"/>
                <w:szCs w:val="18"/>
              </w:rPr>
              <w:t>龄</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5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52"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w:t>
            </w:r>
          </w:p>
        </w:tc>
      </w:tr>
      <w:tr>
        <w:trPr>
          <w:trHeight w:val="353"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w:t>
            </w:r>
          </w:p>
        </w:tc>
      </w:tr>
      <w:tr>
        <w:trPr>
          <w:trHeight w:val="352"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w:t>
            </w:r>
          </w:p>
        </w:tc>
      </w:tr>
      <w:tr>
        <w:trPr>
          <w:trHeight w:val="353"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5"/>
        <w:rPr>
          <w:rFonts w:ascii="宋体" w:hAnsi="宋体" w:cs="宋体" w:eastAsia="宋体" w:hint="default"/>
          <w:b/>
          <w:bCs/>
          <w:sz w:val="5"/>
          <w:szCs w:val="5"/>
        </w:rPr>
      </w:pPr>
    </w:p>
    <w:p>
      <w:pPr>
        <w:pStyle w:val="Heading4"/>
        <w:spacing w:line="240" w:lineRule="auto" w:before="35"/>
        <w:ind w:right="0"/>
        <w:jc w:val="left"/>
        <w:rPr>
          <w:b w:val="0"/>
          <w:bCs w:val="0"/>
        </w:rPr>
      </w:pPr>
      <w:r>
        <w:rPr/>
        <w:t>变更后应收款项按账龄组合计提坏账准备计提比例如下：</w:t>
      </w:r>
      <w:r>
        <w:rPr>
          <w:b w:val="0"/>
          <w:bCs w:val="0"/>
        </w:rPr>
      </w:r>
    </w:p>
    <w:p>
      <w:pPr>
        <w:spacing w:line="240" w:lineRule="auto" w:before="2"/>
        <w:rPr>
          <w:rFonts w:ascii="宋体" w:hAnsi="宋体" w:cs="宋体" w:eastAsia="宋体" w:hint="default"/>
          <w:b/>
          <w:bCs/>
          <w:sz w:val="13"/>
          <w:szCs w:val="13"/>
        </w:rPr>
      </w:pPr>
    </w:p>
    <w:tbl>
      <w:tblPr>
        <w:tblW w:w="0" w:type="auto"/>
        <w:jc w:val="left"/>
        <w:tblInd w:w="144" w:type="dxa"/>
        <w:tblLayout w:type="fixed"/>
        <w:tblCellMar>
          <w:top w:w="0" w:type="dxa"/>
          <w:left w:w="0" w:type="dxa"/>
          <w:bottom w:w="0" w:type="dxa"/>
          <w:right w:w="0" w:type="dxa"/>
        </w:tblCellMar>
        <w:tblLook w:val="01E0"/>
      </w:tblPr>
      <w:tblGrid>
        <w:gridCol w:w="3772"/>
        <w:gridCol w:w="2754"/>
        <w:gridCol w:w="2755"/>
      </w:tblGrid>
      <w:tr>
        <w:trPr>
          <w:trHeight w:val="352"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5"/>
                <w:sz w:val="18"/>
                <w:szCs w:val="18"/>
              </w:rPr>
              <w:t> </w:t>
            </w:r>
            <w:r>
              <w:rPr>
                <w:rFonts w:ascii="宋体" w:hAnsi="宋体" w:cs="宋体" w:eastAsia="宋体" w:hint="default"/>
                <w:sz w:val="18"/>
                <w:szCs w:val="18"/>
              </w:rPr>
              <w:t>龄</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5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53"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w:t>
            </w:r>
          </w:p>
        </w:tc>
      </w:tr>
      <w:tr>
        <w:trPr>
          <w:trHeight w:val="352"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w:t>
            </w:r>
          </w:p>
        </w:tc>
      </w:tr>
      <w:tr>
        <w:trPr>
          <w:trHeight w:val="352"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w:t>
            </w:r>
          </w:p>
        </w:tc>
      </w:tr>
      <w:tr>
        <w:trPr>
          <w:trHeight w:val="353"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w:t>
            </w:r>
          </w:p>
        </w:tc>
      </w:tr>
      <w:tr>
        <w:trPr>
          <w:trHeight w:val="352"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w:t>
            </w:r>
          </w:p>
        </w:tc>
      </w:tr>
      <w:tr>
        <w:trPr>
          <w:trHeight w:val="353" w:hRule="exact"/>
        </w:trPr>
        <w:tc>
          <w:tcPr>
            <w:tcW w:w="3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7"/>
        <w:rPr>
          <w:rFonts w:ascii="宋体" w:hAnsi="宋体" w:cs="宋体" w:eastAsia="宋体" w:hint="default"/>
          <w:b/>
          <w:bCs/>
          <w:sz w:val="14"/>
          <w:szCs w:val="14"/>
        </w:rPr>
      </w:pPr>
    </w:p>
    <w:p>
      <w:pPr>
        <w:pStyle w:val="Heading4"/>
        <w:spacing w:line="240" w:lineRule="auto" w:before="35"/>
        <w:ind w:right="0"/>
        <w:jc w:val="left"/>
        <w:rPr>
          <w:b w:val="0"/>
          <w:bCs w:val="0"/>
        </w:rPr>
      </w:pPr>
      <w:r>
        <w:rPr/>
        <w:t>本次会计估计变更受影响的报表项目及影响金额如下：</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35"/>
        <w:ind w:left="0" w:right="152"/>
        <w:jc w:val="right"/>
      </w:pPr>
      <w:r>
        <w:rPr/>
        <w:t>单位：元</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111"/>
        <w:gridCol w:w="5170"/>
      </w:tblGrid>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27" w:right="0"/>
              <w:jc w:val="left"/>
              <w:rPr>
                <w:rFonts w:ascii="宋体" w:hAnsi="宋体" w:cs="宋体" w:eastAsia="宋体" w:hint="default"/>
                <w:sz w:val="18"/>
                <w:szCs w:val="18"/>
              </w:rPr>
            </w:pPr>
            <w:r>
              <w:rPr>
                <w:rFonts w:ascii="宋体" w:hAnsi="宋体" w:cs="宋体" w:eastAsia="宋体" w:hint="default"/>
                <w:b/>
                <w:bCs/>
                <w:sz w:val="18"/>
                <w:szCs w:val="18"/>
              </w:rPr>
              <w:t>受影响的报表项目</w:t>
            </w:r>
            <w:r>
              <w:rPr>
                <w:rFonts w:ascii="宋体" w:hAnsi="宋体" w:cs="宋体" w:eastAsia="宋体" w:hint="default"/>
                <w:sz w:val="18"/>
                <w:szCs w:val="18"/>
              </w:rPr>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8" w:right="0"/>
              <w:jc w:val="left"/>
              <w:rPr>
                <w:rFonts w:ascii="宋体" w:hAnsi="宋体" w:cs="宋体" w:eastAsia="宋体" w:hint="default"/>
                <w:sz w:val="18"/>
                <w:szCs w:val="18"/>
              </w:rPr>
            </w:pPr>
            <w:r>
              <w:rPr>
                <w:rFonts w:ascii="宋体" w:hAnsi="宋体" w:cs="宋体" w:eastAsia="宋体" w:hint="default"/>
                <w:b/>
                <w:bCs/>
                <w:sz w:val="18"/>
                <w:szCs w:val="18"/>
              </w:rPr>
              <w:t>对</w:t>
            </w: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年度相关财务报表项目的影响金额</w:t>
            </w:r>
            <w:r>
              <w:rPr>
                <w:rFonts w:ascii="宋体" w:hAnsi="宋体" w:cs="宋体" w:eastAsia="宋体" w:hint="default"/>
                <w:sz w:val="18"/>
                <w:szCs w:val="18"/>
              </w:rPr>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①应收账款</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11,293,068.04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11"/>
        <w:gridCol w:w="5170"/>
      </w:tblGrid>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②其他应收款</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2,393,275.97</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③递延所得税资产</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-1,401,738.45</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④盈余公积</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1,149,452.26</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⑤未分配利润</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10,966,651.63</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⑥少数股东权益</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168,501.67</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⑦资产减值损失</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-13,686,344.01</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⑧所得税费用</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1,401,738.45</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⑨归属于母公司股东的净利润</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12,116,103.89</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⑩少数股东损益</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168,501.67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175"/>
      <w:bookmarkEnd w:id="175"/>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4"/>
          <w:szCs w:val="24"/>
        </w:rPr>
      </w:pPr>
    </w:p>
    <w:p>
      <w:pPr>
        <w:spacing w:line="499" w:lineRule="auto" w:before="0"/>
        <w:ind w:left="154" w:right="7988" w:firstLine="420"/>
        <w:jc w:val="left"/>
        <w:rPr>
          <w:rFonts w:ascii="宋体" w:hAnsi="宋体" w:cs="宋体" w:eastAsia="宋体" w:hint="default"/>
          <w:sz w:val="21"/>
          <w:szCs w:val="21"/>
        </w:rPr>
      </w:pPr>
      <w:r>
        <w:rPr>
          <w:rFonts w:ascii="宋体" w:hAnsi="宋体" w:cs="宋体" w:eastAsia="宋体" w:hint="default"/>
          <w:sz w:val="21"/>
          <w:szCs w:val="21"/>
        </w:rPr>
        <w:t>无。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bookmarkStart w:name="34、其他" w:id="176"/>
            <w:bookmarkEnd w:id="176"/>
            <w:r>
              <w:rPr/>
            </w:r>
            <w:bookmarkStart w:name="六、税项" w:id="177"/>
            <w:bookmarkEnd w:id="177"/>
            <w:r>
              <w:rPr/>
            </w: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bookmarkStart w:name="1、主要税种及税率" w:id="178"/>
            <w:bookmarkEnd w:id="178"/>
            <w:r>
              <w:rPr/>
            </w:r>
            <w:r>
              <w:rPr>
                <w:rFonts w:ascii="宋体" w:hAnsi="宋体" w:cs="宋体" w:eastAsia="宋体" w:hint="default"/>
                <w:sz w:val="18"/>
                <w:szCs w:val="18"/>
              </w:rPr>
              <w:t>税率</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tcBorders>
              <w:top w:val="single" w:sz="4" w:space="0" w:color="000000"/>
              <w:left w:val="single" w:sz="13"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厦门市美亚柏科信息股份有限公司北京分公司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5" w:right="0"/>
        <w:jc w:val="left"/>
      </w:pPr>
      <w:r>
        <w:rPr/>
        <w:t>（</w:t>
      </w:r>
      <w:r>
        <w:rPr>
          <w:rFonts w:ascii="Times New Roman" w:hAnsi="Times New Roman" w:cs="Times New Roman" w:eastAsia="Times New Roman" w:hint="default"/>
        </w:rPr>
        <w:t>1</w:t>
      </w:r>
      <w:r>
        <w:rPr/>
        <w:t>）增值税</w:t>
      </w:r>
    </w:p>
    <w:p>
      <w:pPr>
        <w:pStyle w:val="BodyText"/>
        <w:spacing w:line="309" w:lineRule="auto" w:before="172"/>
        <w:ind w:left="153" w:right="151" w:firstLine="420"/>
        <w:jc w:val="left"/>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日，本公司通过厦门市科学技术委员会软件企业认证，取得“厦</w:t>
      </w:r>
      <w:r>
        <w:rPr>
          <w:rFonts w:ascii="Times New Roman" w:hAnsi="Times New Roman" w:cs="Times New Roman" w:eastAsia="Times New Roman" w:hint="default"/>
          <w:spacing w:val="-2"/>
        </w:rPr>
        <w:t>R-2001-0044</w:t>
      </w:r>
      <w:r>
        <w:rPr>
          <w:spacing w:val="-2"/>
        </w:rPr>
        <w:t>号”《软件</w:t>
      </w:r>
      <w:r>
        <w:rPr/>
        <w:t> </w:t>
      </w:r>
      <w:r>
        <w:rPr>
          <w:spacing w:val="-1"/>
        </w:rPr>
        <w:t>企业认定证书》。</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日，本公司股份制改制变更后被厦门市软件行业协会重新授予《软件企业</w:t>
      </w:r>
    </w:p>
    <w:p>
      <w:pPr>
        <w:spacing w:after="0" w:line="309" w:lineRule="auto"/>
        <w:jc w:val="left"/>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240" w:lineRule="auto" w:before="35"/>
        <w:ind w:right="0"/>
        <w:jc w:val="left"/>
      </w:pPr>
      <w:r>
        <w:rPr/>
        <w:t>认定证书》。</w:t>
      </w:r>
    </w:p>
    <w:p>
      <w:pPr>
        <w:spacing w:line="240" w:lineRule="auto" w:before="10"/>
        <w:rPr>
          <w:rFonts w:ascii="宋体" w:hAnsi="宋体" w:cs="宋体" w:eastAsia="宋体" w:hint="default"/>
          <w:sz w:val="16"/>
          <w:szCs w:val="16"/>
        </w:rPr>
      </w:pPr>
    </w:p>
    <w:p>
      <w:pPr>
        <w:pStyle w:val="BodyText"/>
        <w:spacing w:line="309" w:lineRule="auto"/>
        <w:ind w:left="153" w:right="213"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日，子公司珠海市新德汇信息技术有限公司通过广东省经济和信息化委员会软件企业认 证，取得“粤</w:t>
      </w:r>
      <w:r>
        <w:rPr>
          <w:rFonts w:ascii="Times New Roman" w:hAnsi="Times New Roman" w:cs="Times New Roman" w:eastAsia="Times New Roman" w:hint="default"/>
        </w:rPr>
        <w:t>R-2011-0100</w:t>
      </w:r>
      <w:r>
        <w:rPr/>
        <w:t>号“的《软件企业认定证书》。</w:t>
      </w:r>
    </w:p>
    <w:p>
      <w:pPr>
        <w:pStyle w:val="BodyText"/>
        <w:spacing w:line="309" w:lineRule="auto" w:before="136"/>
        <w:ind w:left="153" w:right="210" w:firstLine="420"/>
        <w:jc w:val="both"/>
      </w:pPr>
      <w:r>
        <w:rPr/>
        <w:t>根据《国务院关于印发进一步鼓励软件产业和集成电路产业发展若干政策的通知》（国发〔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 </w:t>
      </w:r>
      <w:r>
        <w:rPr>
          <w:spacing w:val="-2"/>
        </w:rPr>
        <w:t>号）、《关于软件产品增值税政策的通知》（财税</w:t>
      </w:r>
      <w:r>
        <w:rPr>
          <w:rFonts w:ascii="Times New Roman" w:hAnsi="Times New Roman" w:cs="Times New Roman" w:eastAsia="Times New Roman" w:hint="default"/>
          <w:spacing w:val="-2"/>
        </w:rPr>
        <w:t>[2011]100</w:t>
      </w:r>
      <w:r>
        <w:rPr>
          <w:spacing w:val="-2"/>
        </w:rPr>
        <w:t>号）规定，对增值税一般纳税人销售其自行开</w:t>
      </w:r>
      <w:r>
        <w:rPr>
          <w:spacing w:val="-67"/>
        </w:rPr>
        <w:t> </w:t>
      </w:r>
      <w:r>
        <w:rPr>
          <w:spacing w:val="-67"/>
        </w:rPr>
      </w:r>
      <w:r>
        <w:rPr/>
        <w:t>发生产的软件产品，按</w:t>
      </w:r>
      <w:r>
        <w:rPr>
          <w:rFonts w:ascii="Times New Roman" w:hAnsi="Times New Roman" w:cs="Times New Roman" w:eastAsia="Times New Roman" w:hint="default"/>
        </w:rPr>
        <w:t>17</w:t>
      </w:r>
      <w:r>
        <w:rPr/>
        <w:t>％的法定税率征收增值税后，对其增值税实际税负超过</w:t>
      </w:r>
      <w:r>
        <w:rPr>
          <w:rFonts w:ascii="Times New Roman" w:hAnsi="Times New Roman" w:cs="Times New Roman" w:eastAsia="Times New Roman" w:hint="default"/>
        </w:rPr>
        <w:t>3</w:t>
      </w:r>
      <w:r>
        <w:rPr/>
        <w:t>％的部分实行即征即退</w:t>
      </w:r>
      <w:r>
        <w:rPr>
          <w:spacing w:val="-36"/>
        </w:rPr>
        <w:t> </w:t>
      </w:r>
      <w:r>
        <w:rPr>
          <w:spacing w:val="-36"/>
        </w:rPr>
      </w:r>
      <w:r>
        <w:rPr/>
        <w:t>政策。</w:t>
      </w:r>
    </w:p>
    <w:p>
      <w:pPr>
        <w:pStyle w:val="BodyText"/>
        <w:spacing w:line="309" w:lineRule="auto" w:before="158"/>
        <w:ind w:left="153" w:right="107" w:firstLine="420"/>
        <w:jc w:val="left"/>
      </w:pPr>
      <w:r>
        <w:rPr>
          <w:spacing w:val="-3"/>
        </w:rPr>
        <w:t>根据《关于鼓励软件产业和集成电路产业发展有关税收政策问题的通知》（财税【</w:t>
      </w:r>
      <w:r>
        <w:rPr>
          <w:rFonts w:ascii="Times New Roman" w:hAnsi="Times New Roman" w:cs="Times New Roman" w:eastAsia="Times New Roman" w:hint="default"/>
          <w:spacing w:val="-3"/>
        </w:rPr>
        <w:t>2000</w:t>
      </w:r>
      <w:r>
        <w:rPr>
          <w:spacing w:val="-3"/>
        </w:rPr>
        <w:t>】</w:t>
      </w:r>
      <w:r>
        <w:rPr>
          <w:rFonts w:ascii="Times New Roman" w:hAnsi="Times New Roman" w:cs="Times New Roman" w:eastAsia="Times New Roman" w:hint="default"/>
          <w:spacing w:val="-3"/>
        </w:rPr>
        <w:t>25</w:t>
      </w:r>
      <w:r>
        <w:rPr>
          <w:spacing w:val="-3"/>
        </w:rPr>
        <w:t>号）规定，</w:t>
      </w:r>
      <w:r>
        <w:rPr/>
        <w:t> 销售自行开发生产的软件产品，其增值税实际税负超过</w:t>
      </w:r>
      <w:r>
        <w:rPr>
          <w:rFonts w:ascii="Times New Roman" w:hAnsi="Times New Roman" w:cs="Times New Roman" w:eastAsia="Times New Roman" w:hint="default"/>
        </w:rPr>
        <w:t>3</w:t>
      </w:r>
      <w:r>
        <w:rPr/>
        <w:t>％享受即征即退政策部分的所退税款，用于企业</w:t>
      </w:r>
      <w:r>
        <w:rPr>
          <w:spacing w:val="-35"/>
        </w:rPr>
        <w:t> </w:t>
      </w:r>
      <w:r>
        <w:rPr>
          <w:spacing w:val="-35"/>
        </w:rPr>
      </w:r>
      <w:r>
        <w:rPr/>
        <w:t>研究开发软件产品和扩大再生产，不作为企业所得税应税收入，不征收企业所得税。</w:t>
      </w:r>
    </w:p>
    <w:p>
      <w:pPr>
        <w:pStyle w:val="BodyText"/>
        <w:spacing w:line="240" w:lineRule="auto" w:before="127"/>
        <w:ind w:right="0"/>
        <w:jc w:val="left"/>
      </w:pPr>
      <w:r>
        <w:rPr/>
        <w:t>（</w:t>
      </w:r>
      <w:r>
        <w:rPr>
          <w:rFonts w:ascii="Times New Roman" w:hAnsi="Times New Roman" w:cs="Times New Roman" w:eastAsia="Times New Roman" w:hint="default"/>
        </w:rPr>
        <w:t>2</w:t>
      </w:r>
      <w:r>
        <w:rPr/>
        <w:t>）企业所得税</w:t>
      </w:r>
    </w:p>
    <w:p>
      <w:pPr>
        <w:pStyle w:val="BodyText"/>
        <w:spacing w:line="240" w:lineRule="auto" w:before="172"/>
        <w:ind w:left="573" w:right="0"/>
        <w:jc w:val="left"/>
      </w:pPr>
      <w:r>
        <w:rPr>
          <w:rFonts w:ascii="Times New Roman" w:hAnsi="Times New Roman" w:cs="Times New Roman" w:eastAsia="Times New Roman" w:hint="default"/>
        </w:rPr>
        <w:t>2008 </w:t>
      </w:r>
      <w:r>
        <w:rPr>
          <w:rFonts w:ascii="Times New Roman" w:hAnsi="Times New Roman" w:cs="Times New Roman" w:eastAsia="Times New Roman" w:hint="default"/>
          <w:spacing w:val="35"/>
        </w:rPr>
        <w:t> </w:t>
      </w:r>
      <w:r>
        <w:rPr>
          <w:spacing w:val="3"/>
        </w:rPr>
        <w:t>年</w:t>
      </w:r>
      <w:r>
        <w:rPr>
          <w:rFonts w:ascii="Times New Roman" w:hAnsi="Times New Roman" w:cs="Times New Roman" w:eastAsia="Times New Roman" w:hint="default"/>
          <w:spacing w:val="3"/>
        </w:rPr>
        <w:t>9</w:t>
      </w:r>
      <w:r>
        <w:rPr>
          <w:spacing w:val="3"/>
        </w:rPr>
        <w:t>月，本公司经厦门市科学技术局、厦门市财政局、厦门市国税局、厦门市地税局以厦科联</w:t>
      </w:r>
      <w:r>
        <w:rPr/>
      </w:r>
    </w:p>
    <w:p>
      <w:pPr>
        <w:pStyle w:val="BodyText"/>
        <w:spacing w:line="309" w:lineRule="auto" w:before="83"/>
        <w:ind w:left="153" w:right="0"/>
        <w:jc w:val="left"/>
      </w:pPr>
      <w:r>
        <w:rPr/>
        <w:t>【</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65</w:t>
      </w:r>
      <w:r>
        <w:rPr>
          <w:rFonts w:ascii="Times New Roman" w:hAnsi="Times New Roman" w:cs="Times New Roman" w:eastAsia="Times New Roman" w:hint="default"/>
          <w:spacing w:val="37"/>
        </w:rPr>
        <w:t> </w:t>
      </w:r>
      <w:r>
        <w:rPr/>
        <w:t>号文获得高新技术企业认定，高新技术企业证书认定有效期三年；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月，本公司再次获 </w:t>
      </w:r>
      <w:r>
        <w:rPr>
          <w:spacing w:val="-1"/>
        </w:rPr>
        <w:t>得高新技术企业认定，于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26</w:t>
      </w:r>
      <w:r>
        <w:rPr>
          <w:spacing w:val="-1"/>
        </w:rPr>
        <w:t>日取得高新技术企业证书，认定有效期三年。根据国科火字【</w:t>
      </w:r>
      <w:r>
        <w:rPr>
          <w:rFonts w:ascii="Times New Roman" w:hAnsi="Times New Roman" w:cs="Times New Roman" w:eastAsia="Times New Roman" w:hint="default"/>
          <w:spacing w:val="-1"/>
        </w:rPr>
        <w:t>2015</w:t>
      </w:r>
      <w:r>
        <w:rPr>
          <w:spacing w:val="-1"/>
        </w:rPr>
        <w:t>】</w:t>
      </w:r>
      <w:r>
        <w:rPr>
          <w:spacing w:val="-87"/>
        </w:rPr>
        <w:t> </w:t>
      </w:r>
      <w:r>
        <w:rPr>
          <w:rFonts w:ascii="Times New Roman" w:hAnsi="Times New Roman" w:cs="Times New Roman" w:eastAsia="Times New Roman" w:hint="default"/>
        </w:rPr>
        <w:t>28</w:t>
      </w:r>
      <w:r>
        <w:rPr/>
        <w:t>号文，本公司再次获得高新技术企业认定，发证日期为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日，证书编号</w:t>
      </w:r>
      <w:r>
        <w:rPr>
          <w:rFonts w:ascii="Times New Roman" w:hAnsi="Times New Roman" w:cs="Times New Roman" w:eastAsia="Times New Roman" w:hint="default"/>
        </w:rPr>
        <w:t>GR201435100149</w:t>
      </w:r>
      <w:r>
        <w:rPr/>
        <w:t>，根 据有关规定，本公司</w:t>
      </w:r>
      <w:r>
        <w:rPr>
          <w:rFonts w:ascii="Times New Roman" w:hAnsi="Times New Roman" w:cs="Times New Roman" w:eastAsia="Times New Roman" w:hint="default"/>
        </w:rPr>
        <w:t>2014</w:t>
      </w:r>
      <w:r>
        <w:rPr/>
        <w:t>年度享受减按</w:t>
      </w:r>
      <w:r>
        <w:rPr>
          <w:rFonts w:ascii="Times New Roman" w:hAnsi="Times New Roman" w:cs="Times New Roman" w:eastAsia="Times New Roman" w:hint="default"/>
        </w:rPr>
        <w:t>15%</w:t>
      </w:r>
      <w:r>
        <w:rPr/>
        <w:t>的税率征收企业所得税。</w:t>
      </w:r>
    </w:p>
    <w:p>
      <w:pPr>
        <w:pStyle w:val="BodyText"/>
        <w:spacing w:line="240" w:lineRule="auto" w:before="136"/>
        <w:ind w:left="573"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月，国家发展和改革委员会、工业和信息化部、财政部、商务部、国家税务总局联合下发的</w:t>
      </w:r>
    </w:p>
    <w:p>
      <w:pPr>
        <w:pStyle w:val="BodyText"/>
        <w:spacing w:line="309" w:lineRule="auto" w:before="83"/>
        <w:ind w:left="153" w:right="212"/>
        <w:jc w:val="both"/>
      </w:pPr>
      <w:r>
        <w:rPr>
          <w:spacing w:val="6"/>
        </w:rPr>
        <w:t>《关于印发</w:t>
      </w:r>
      <w:r>
        <w:rPr>
          <w:rFonts w:ascii="Times New Roman" w:hAnsi="Times New Roman" w:cs="Times New Roman" w:eastAsia="Times New Roman" w:hint="default"/>
          <w:spacing w:val="6"/>
        </w:rPr>
        <w:t>2013-2014</w:t>
      </w:r>
      <w:r>
        <w:rPr>
          <w:spacing w:val="6"/>
        </w:rPr>
        <w:t>年度国家规划布局内重点软件企业和集成电路设计企业名单的通知》（发改高技</w:t>
      </w:r>
      <w:r>
        <w:rPr>
          <w:spacing w:val="-91"/>
        </w:rPr>
        <w:t> </w:t>
      </w:r>
      <w:r>
        <w:rPr>
          <w:spacing w:val="-91"/>
        </w:rPr>
      </w:r>
      <w:r>
        <w:rPr>
          <w:rFonts w:ascii="Times New Roman" w:hAnsi="Times New Roman" w:cs="Times New Roman" w:eastAsia="Times New Roman" w:hint="default"/>
          <w:spacing w:val="-1"/>
        </w:rPr>
        <w:t>[2013]2458</w:t>
      </w:r>
      <w:r>
        <w:rPr>
          <w:spacing w:val="-1"/>
        </w:rPr>
        <w:t>号），本公司被认定为“</w:t>
      </w:r>
      <w:r>
        <w:rPr>
          <w:rFonts w:ascii="Times New Roman" w:hAnsi="Times New Roman" w:cs="Times New Roman" w:eastAsia="Times New Roman" w:hint="default"/>
          <w:spacing w:val="-1"/>
        </w:rPr>
        <w:t>2013-2014</w:t>
      </w:r>
      <w:r>
        <w:rPr>
          <w:spacing w:val="-1"/>
        </w:rPr>
        <w:t>年度国家规划布局内重点软件企业”，享受企业所得税减按</w:t>
      </w:r>
      <w:r>
        <w:rPr>
          <w:spacing w:val="-85"/>
        </w:rPr>
        <w:t> </w:t>
      </w:r>
      <w:r>
        <w:rPr>
          <w:spacing w:val="-85"/>
        </w:rPr>
      </w:r>
      <w:r>
        <w:rPr>
          <w:rFonts w:ascii="Times New Roman" w:hAnsi="Times New Roman" w:cs="Times New Roman" w:eastAsia="Times New Roman" w:hint="default"/>
        </w:rPr>
        <w:t>10%</w:t>
      </w:r>
      <w:r>
        <w:rPr/>
        <w:t>的税率征收，政策优惠年度为</w:t>
      </w:r>
      <w:r>
        <w:rPr>
          <w:rFonts w:ascii="Times New Roman" w:hAnsi="Times New Roman" w:cs="Times New Roman" w:eastAsia="Times New Roman" w:hint="default"/>
        </w:rPr>
        <w:t>2013</w:t>
      </w:r>
      <w:r>
        <w:rPr/>
        <w:t>年和</w:t>
      </w:r>
      <w:r>
        <w:rPr>
          <w:rFonts w:ascii="Times New Roman" w:hAnsi="Times New Roman" w:cs="Times New Roman" w:eastAsia="Times New Roman" w:hint="default"/>
        </w:rPr>
        <w:t>2014</w:t>
      </w:r>
      <w:r>
        <w:rPr/>
        <w:t>年。本公司</w:t>
      </w:r>
      <w:r>
        <w:rPr>
          <w:rFonts w:ascii="Times New Roman" w:hAnsi="Times New Roman" w:cs="Times New Roman" w:eastAsia="Times New Roman" w:hint="default"/>
        </w:rPr>
        <w:t>2014</w:t>
      </w:r>
      <w:r>
        <w:rPr/>
        <w:t>年度减按</w:t>
      </w:r>
      <w:r>
        <w:rPr>
          <w:rFonts w:ascii="Times New Roman" w:hAnsi="Times New Roman" w:cs="Times New Roman" w:eastAsia="Times New Roman" w:hint="default"/>
        </w:rPr>
        <w:t>10%</w:t>
      </w:r>
      <w:r>
        <w:rPr/>
        <w:t>的税率征收企业所得税。</w:t>
      </w:r>
    </w:p>
    <w:p>
      <w:pPr>
        <w:pStyle w:val="BodyText"/>
        <w:spacing w:line="309" w:lineRule="auto" w:before="136"/>
        <w:ind w:left="153" w:right="213" w:firstLine="420"/>
        <w:jc w:val="both"/>
      </w:pPr>
      <w:r>
        <w:rPr>
          <w:rFonts w:ascii="Times New Roman" w:hAnsi="Times New Roman" w:cs="Times New Roman" w:eastAsia="Times New Roman" w:hint="default"/>
          <w:spacing w:val="8"/>
        </w:rPr>
        <w:t>2011</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26</w:t>
      </w:r>
      <w:r>
        <w:rPr>
          <w:spacing w:val="8"/>
        </w:rPr>
        <w:t>日，子公司厦门市美亚柏科信息安全研究所有限公司取得厦门市软件行业协会“厦</w:t>
      </w:r>
      <w:r>
        <w:rPr/>
        <w:t> </w:t>
      </w:r>
      <w:r>
        <w:rPr>
          <w:rFonts w:ascii="Times New Roman" w:hAnsi="Times New Roman" w:cs="Times New Roman" w:eastAsia="Times New Roman" w:hint="default"/>
          <w:spacing w:val="-2"/>
        </w:rPr>
        <w:t>R-2011-0065</w:t>
      </w:r>
      <w:r>
        <w:rPr>
          <w:spacing w:val="-2"/>
        </w:rPr>
        <w:t>号”《软件企业认定证书》，被认定为软件企业。根据《关于鼓励软件产业和集成电路产业发</w:t>
      </w:r>
      <w:r>
        <w:rPr/>
        <w:t> </w:t>
      </w:r>
      <w:r>
        <w:rPr>
          <w:spacing w:val="-1"/>
        </w:rPr>
        <w:t>展有关税收政策问题的通知》（财税【</w:t>
      </w:r>
      <w:r>
        <w:rPr>
          <w:rFonts w:ascii="Times New Roman" w:hAnsi="Times New Roman" w:cs="Times New Roman" w:eastAsia="Times New Roman" w:hint="default"/>
          <w:spacing w:val="-1"/>
        </w:rPr>
        <w:t>2000</w:t>
      </w:r>
      <w:r>
        <w:rPr>
          <w:spacing w:val="-1"/>
        </w:rPr>
        <w:t>】</w:t>
      </w:r>
      <w:r>
        <w:rPr>
          <w:rFonts w:ascii="Times New Roman" w:hAnsi="Times New Roman" w:cs="Times New Roman" w:eastAsia="Times New Roman" w:hint="default"/>
          <w:spacing w:val="-1"/>
        </w:rPr>
        <w:t>25</w:t>
      </w:r>
      <w:r>
        <w:rPr>
          <w:spacing w:val="-1"/>
        </w:rPr>
        <w:t>号）规定，对新办集成电路设计企业和符合条件的软件企</w:t>
      </w:r>
      <w:r>
        <w:rPr>
          <w:spacing w:val="-85"/>
        </w:rPr>
        <w:t> </w:t>
      </w:r>
      <w:r>
        <w:rPr>
          <w:spacing w:val="-85"/>
        </w:rPr>
      </w:r>
      <w:r>
        <w:rPr>
          <w:spacing w:val="-1"/>
        </w:rPr>
        <w:t>业，经认定后，自获利年度起，享受企业所得税“两免三减半”优惠政策。美亚研究所</w:t>
      </w:r>
      <w:r>
        <w:rPr>
          <w:rFonts w:ascii="Times New Roman" w:hAnsi="Times New Roman" w:cs="Times New Roman" w:eastAsia="Times New Roman" w:hint="default"/>
          <w:spacing w:val="-1"/>
        </w:rPr>
        <w:t>2011</w:t>
      </w:r>
      <w:r>
        <w:rPr>
          <w:spacing w:val="-1"/>
        </w:rPr>
        <w:t>年为首个获利</w:t>
      </w:r>
      <w:r>
        <w:rPr>
          <w:spacing w:val="-86"/>
        </w:rPr>
        <w:t> </w:t>
      </w:r>
      <w:r>
        <w:rPr>
          <w:spacing w:val="-86"/>
        </w:rPr>
      </w:r>
      <w:r>
        <w:rPr/>
        <w:t>年度，</w:t>
      </w:r>
      <w:r>
        <w:rPr>
          <w:rFonts w:ascii="Times New Roman" w:hAnsi="Times New Roman" w:cs="Times New Roman" w:eastAsia="Times New Roman" w:hint="default"/>
        </w:rPr>
        <w:t>2014</w:t>
      </w:r>
      <w:r>
        <w:rPr/>
        <w:t>年度享受减按</w:t>
      </w:r>
      <w:r>
        <w:rPr>
          <w:rFonts w:ascii="Times New Roman" w:hAnsi="Times New Roman" w:cs="Times New Roman" w:eastAsia="Times New Roman" w:hint="default"/>
        </w:rPr>
        <w:t>12.5%</w:t>
      </w:r>
      <w:r>
        <w:rPr/>
        <w:t>的税率征收企业所得税。</w:t>
      </w:r>
    </w:p>
    <w:p>
      <w:pPr>
        <w:pStyle w:val="BodyText"/>
        <w:spacing w:line="309" w:lineRule="auto" w:before="136"/>
        <w:ind w:left="153" w:right="213" w:firstLine="420"/>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17</w:t>
      </w:r>
      <w:r>
        <w:rPr>
          <w:spacing w:val="-1"/>
        </w:rPr>
        <w:t>日，子公司珠海市新德汇信息技术有限公司经广东省科学技术厅、广东省财政厅、广东</w:t>
      </w:r>
      <w:r>
        <w:rPr/>
        <w:t> </w:t>
      </w:r>
      <w:r>
        <w:rPr>
          <w:spacing w:val="-1"/>
        </w:rPr>
        <w:t>省国家税务局、广东省地方税务局认定为高新技术企业，根据粤科公示【</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14</w:t>
      </w:r>
      <w:r>
        <w:rPr>
          <w:spacing w:val="-1"/>
        </w:rPr>
        <w:t>号文，珠海市新德汇信</w:t>
      </w:r>
      <w:r>
        <w:rPr>
          <w:spacing w:val="-83"/>
        </w:rPr>
        <w:t> </w:t>
      </w:r>
      <w:r>
        <w:rPr>
          <w:spacing w:val="-83"/>
        </w:rPr>
      </w:r>
      <w:r>
        <w:rPr/>
        <w:t>息技术有限公司已通过高新技术企业复审并进入公示程序，</w:t>
      </w:r>
      <w:r>
        <w:rPr>
          <w:rFonts w:ascii="Times New Roman" w:hAnsi="Times New Roman" w:cs="Times New Roman" w:eastAsia="Times New Roman" w:hint="default"/>
        </w:rPr>
        <w:t>2014</w:t>
      </w:r>
      <w:r>
        <w:rPr/>
        <w:t>年度暂按</w:t>
      </w:r>
      <w:r>
        <w:rPr>
          <w:rFonts w:ascii="Times New Roman" w:hAnsi="Times New Roman" w:cs="Times New Roman" w:eastAsia="Times New Roman" w:hint="default"/>
        </w:rPr>
        <w:t>15%</w:t>
      </w:r>
      <w:r>
        <w:rPr/>
        <w:t>的税率计缴企业所得税。</w:t>
      </w:r>
    </w:p>
    <w:p>
      <w:pPr>
        <w:pStyle w:val="BodyText"/>
        <w:spacing w:line="309" w:lineRule="auto" w:before="136"/>
        <w:ind w:left="153" w:right="212" w:firstLine="42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29</w:t>
      </w:r>
      <w:r>
        <w:rPr>
          <w:spacing w:val="-1"/>
        </w:rPr>
        <w:t>日，子公司厦门美亚中敏电子科技有限公司经厦门市科学技术局、厦门市财政局、福建</w:t>
      </w:r>
      <w:r>
        <w:rPr/>
        <w:t> </w:t>
      </w:r>
      <w:r>
        <w:rPr>
          <w:spacing w:val="-1"/>
        </w:rPr>
        <w:t>省厦门市国家税务局、福建省厦门市地方税务局认定为高新技术企业，根据有关规定，</w:t>
      </w:r>
      <w:r>
        <w:rPr>
          <w:rFonts w:ascii="Times New Roman" w:hAnsi="Times New Roman" w:cs="Times New Roman" w:eastAsia="Times New Roman" w:hint="default"/>
          <w:spacing w:val="-1"/>
        </w:rPr>
        <w:t>2014</w:t>
      </w:r>
      <w:r>
        <w:rPr>
          <w:spacing w:val="-1"/>
        </w:rPr>
        <w:t>年度享受减按</w:t>
      </w:r>
      <w:r>
        <w:rPr>
          <w:spacing w:val="-83"/>
        </w:rPr>
        <w:t> </w:t>
      </w:r>
      <w:r>
        <w:rPr>
          <w:rFonts w:ascii="Times New Roman" w:hAnsi="Times New Roman" w:cs="Times New Roman" w:eastAsia="Times New Roman" w:hint="default"/>
        </w:rPr>
        <w:t>15%</w:t>
      </w:r>
      <w:r>
        <w:rPr/>
        <w:t>的税率征收企业所得税。</w:t>
      </w:r>
    </w:p>
    <w:p>
      <w:pPr>
        <w:spacing w:after="0" w:line="309" w:lineRule="auto"/>
        <w:jc w:val="both"/>
        <w:sectPr>
          <w:pgSz w:w="11910" w:h="16840"/>
          <w:pgMar w:header="747" w:footer="980" w:top="1060" w:bottom="1180" w:left="980" w:right="92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1）应收票据分类列示" w:id="179"/>
      <w:bookmarkEnd w:id="179"/>
      <w:r>
        <w:rPr>
          <w:b w:val="0"/>
          <w:bCs w:val="0"/>
        </w:rPr>
      </w:r>
      <w:bookmarkStart w:name="（2）期末公司已质押的应收票据" w:id="180"/>
      <w:bookmarkEnd w:id="180"/>
      <w:r>
        <w:rPr>
          <w:b w:val="0"/>
          <w:bCs w:val="0"/>
        </w:rPr>
      </w:r>
      <w:bookmarkStart w:name="七、合并财务报表项目注释" w:id="181"/>
      <w:bookmarkEnd w:id="181"/>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bookmarkStart w:name="1、货币资金" w:id="182"/>
      <w:bookmarkEnd w:id="182"/>
      <w:r>
        <w:rPr>
          <w:rFonts w:ascii="Times New Roman" w:hAnsi="Times New Roman" w:cs="Times New Roman" w:eastAsia="Times New Roman" w:hint="default"/>
        </w:rPr>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19,254.28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3,729.26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513,389,174.19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387,178,256.15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8,266,683.00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3,362,850.00</w:t>
            </w:r>
            <w:r>
              <w:rPr>
                <w:rFonts w:ascii="Times New Roman"/>
                <w:sz w:val="18"/>
              </w:rPr>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521,675,111.47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390,544,835.41</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0"/>
        <w:jc w:val="left"/>
      </w:pPr>
      <w:r>
        <w:rPr/>
        <w:t>其他说明：</w:t>
      </w:r>
    </w:p>
    <w:p>
      <w:pPr>
        <w:spacing w:line="240" w:lineRule="auto" w:before="4"/>
        <w:rPr>
          <w:rFonts w:ascii="宋体" w:hAnsi="宋体" w:cs="宋体" w:eastAsia="宋体" w:hint="default"/>
          <w:sz w:val="14"/>
          <w:szCs w:val="14"/>
        </w:rPr>
      </w:pPr>
    </w:p>
    <w:p>
      <w:pPr>
        <w:pStyle w:val="BodyText"/>
        <w:spacing w:line="309" w:lineRule="auto"/>
        <w:ind w:left="153" w:right="143" w:firstLine="420"/>
        <w:jc w:val="left"/>
      </w:pPr>
      <w:r>
        <w:rPr/>
        <w:t>①银行存款年末余额</w:t>
      </w:r>
      <w:r>
        <w:rPr>
          <w:rFonts w:ascii="Times New Roman" w:hAnsi="Times New Roman" w:cs="Times New Roman" w:eastAsia="Times New Roman" w:hint="default"/>
        </w:rPr>
        <w:t>513,389,174.19</w:t>
      </w:r>
      <w:r>
        <w:rPr/>
        <w:t>元，其中用于定期存款</w:t>
      </w:r>
      <w:r>
        <w:rPr>
          <w:rFonts w:ascii="Times New Roman" w:hAnsi="Times New Roman" w:cs="Times New Roman" w:eastAsia="Times New Roman" w:hint="default"/>
        </w:rPr>
        <w:t>266,708,637.24</w:t>
      </w:r>
      <w:r>
        <w:rPr>
          <w:rFonts w:ascii="Times New Roman" w:hAnsi="Times New Roman" w:cs="Times New Roman" w:eastAsia="Times New Roman" w:hint="default"/>
          <w:spacing w:val="22"/>
        </w:rPr>
        <w:t> </w:t>
      </w:r>
      <w:r>
        <w:rPr/>
        <w:t>元，在编制现金流量表时不 作为现金及现金等价物。</w:t>
      </w:r>
    </w:p>
    <w:p>
      <w:pPr>
        <w:pStyle w:val="BodyText"/>
        <w:spacing w:line="309" w:lineRule="auto" w:before="158"/>
        <w:ind w:left="153" w:right="0" w:firstLine="420"/>
        <w:jc w:val="left"/>
      </w:pPr>
      <w:r>
        <w:rPr>
          <w:spacing w:val="2"/>
        </w:rPr>
        <w:t>②其他货币资金年末余额</w:t>
      </w:r>
      <w:r>
        <w:rPr>
          <w:rFonts w:ascii="Times New Roman" w:hAnsi="Times New Roman" w:cs="Times New Roman" w:eastAsia="Times New Roman" w:hint="default"/>
          <w:spacing w:val="2"/>
        </w:rPr>
        <w:t>8,266,683.00</w:t>
      </w:r>
      <w:r>
        <w:rPr>
          <w:spacing w:val="2"/>
        </w:rPr>
        <w:t>元系保函保证金，在编制现金流量表时不作为现金及现金等价</w:t>
      </w:r>
      <w:r>
        <w:rPr>
          <w:spacing w:val="3"/>
        </w:rPr>
        <w:t> </w:t>
      </w:r>
      <w:r>
        <w:rPr/>
        <w:t>物。除此以外，截至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日止，本集团不存在其他抵押、冻结，或有潜在收回风险的款项。</w:t>
      </w:r>
    </w:p>
    <w:p>
      <w:pPr>
        <w:spacing w:line="240" w:lineRule="auto" w:before="11"/>
        <w:rPr>
          <w:rFonts w:ascii="宋体" w:hAnsi="宋体" w:cs="宋体" w:eastAsia="宋体" w:hint="default"/>
          <w:sz w:val="21"/>
          <w:szCs w:val="21"/>
        </w:rPr>
      </w:pPr>
    </w:p>
    <w:p>
      <w:pPr>
        <w:pStyle w:val="Heading4"/>
        <w:spacing w:line="530" w:lineRule="auto"/>
        <w:ind w:left="574" w:right="4818" w:hanging="420"/>
        <w:jc w:val="left"/>
        <w:rPr>
          <w:rFonts w:ascii="宋体" w:hAnsi="宋体" w:cs="宋体" w:eastAsia="宋体" w:hint="default"/>
          <w:b w:val="0"/>
          <w:bCs w:val="0"/>
        </w:rPr>
      </w:pPr>
      <w:r>
        <w:rPr>
          <w:rFonts w:ascii="Times New Roman" w:hAnsi="Times New Roman" w:cs="Times New Roman" w:eastAsia="Times New Roman" w:hint="default"/>
        </w:rPr>
        <w:t>2</w:t>
      </w:r>
      <w:r>
        <w:rPr/>
        <w:t>、以公允价值计量且其变动计入当期损益的金融资产</w:t>
      </w:r>
      <w:r>
        <w:rPr>
          <w:spacing w:val="1"/>
          <w:w w:val="99"/>
        </w:rPr>
        <w:t> </w:t>
      </w:r>
      <w:r>
        <w:rPr>
          <w:rFonts w:ascii="宋体" w:hAnsi="宋体" w:cs="宋体" w:eastAsia="宋体" w:hint="default"/>
          <w:b w:val="0"/>
          <w:bCs w:val="0"/>
        </w:rPr>
        <w:t>无。</w:t>
      </w:r>
    </w:p>
    <w:p>
      <w:pPr>
        <w:pStyle w:val="Heading4"/>
        <w:spacing w:line="530" w:lineRule="auto" w:before="115"/>
        <w:ind w:left="574" w:right="8191" w:hanging="420"/>
        <w:jc w:val="left"/>
        <w:rPr>
          <w:rFonts w:ascii="宋体" w:hAnsi="宋体" w:cs="宋体" w:eastAsia="宋体" w:hint="default"/>
          <w:b w:val="0"/>
          <w:bCs w:val="0"/>
        </w:rPr>
      </w:pPr>
      <w:r>
        <w:rPr>
          <w:rFonts w:ascii="Times New Roman" w:hAnsi="Times New Roman" w:cs="Times New Roman" w:eastAsia="Times New Roman" w:hint="default"/>
        </w:rPr>
        <w:t>3</w:t>
      </w:r>
      <w:r>
        <w:rPr/>
        <w:t>、衍生金融资产</w:t>
      </w:r>
      <w:r>
        <w:rPr>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2、以公允价值计量且其变动计入当期损益的金融资产" w:id="183"/>
      <w:bookmarkEnd w:id="183"/>
      <w:r>
        <w:rPr/>
      </w:r>
      <w:bookmarkStart w:name="3、衍生金融资产" w:id="184"/>
      <w:bookmarkEnd w:id="184"/>
      <w:r>
        <w:rPr/>
      </w:r>
      <w:bookmarkStart w:name="4、应收票据" w:id="185"/>
      <w:bookmarkEnd w:id="185"/>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r>
    </w:tbl>
    <w:p>
      <w:pPr>
        <w:spacing w:line="240" w:lineRule="auto" w:before="2"/>
        <w:rPr>
          <w:rFonts w:ascii="宋体" w:hAnsi="宋体" w:cs="宋体" w:eastAsia="宋体" w:hint="default"/>
          <w:sz w:val="19"/>
          <w:szCs w:val="19"/>
        </w:rPr>
      </w:pPr>
    </w:p>
    <w:p>
      <w:pPr>
        <w:pStyle w:val="Heading4"/>
        <w:spacing w:line="530" w:lineRule="auto" w:before="35"/>
        <w:ind w:left="574" w:right="6715"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）期末公司已质押的应收票据</w:t>
      </w:r>
      <w:r>
        <w:rPr>
          <w:spacing w:val="1"/>
          <w:w w:val="99"/>
        </w:rPr>
        <w:t> </w:t>
      </w:r>
      <w:r>
        <w:rPr>
          <w:rFonts w:ascii="宋体" w:hAnsi="宋体" w:cs="宋体" w:eastAsia="宋体" w:hint="default"/>
          <w:b w:val="0"/>
          <w:bCs w:val="0"/>
        </w:rPr>
        <w:t>无。</w:t>
      </w:r>
    </w:p>
    <w:p>
      <w:pPr>
        <w:spacing w:after="0" w:line="530" w:lineRule="auto"/>
        <w:jc w:val="left"/>
        <w:rPr>
          <w:rFonts w:ascii="宋体" w:hAnsi="宋体" w:cs="宋体" w:eastAsia="宋体" w:hint="default"/>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4"/>
        <w:spacing w:line="530" w:lineRule="auto" w:before="35"/>
        <w:ind w:left="574" w:right="3553"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bookmarkStart w:name="（3）期末公司已背书或贴现且在资产负债表日尚未到期的应收票据" w:id="186"/>
      <w:bookmarkEnd w:id="186"/>
      <w:r>
        <w:rPr>
          <w:rFonts w:ascii="Times New Roman" w:hAnsi="Times New Roman" w:cs="Times New Roman" w:eastAsia="Times New Roman" w:hint="default"/>
        </w:rPr>
      </w:r>
      <w:r>
        <w:rPr/>
        <w:t>）期末公司已背书或贴现且在资产负债表日尚未到期的应收票据</w:t>
      </w:r>
      <w:r>
        <w:rPr>
          <w:spacing w:val="1"/>
          <w:w w:val="99"/>
        </w:rPr>
        <w:t> </w:t>
      </w:r>
      <w:r>
        <w:rPr>
          <w:rFonts w:ascii="宋体" w:hAnsi="宋体" w:cs="宋体" w:eastAsia="宋体" w:hint="default"/>
          <w:b w:val="0"/>
          <w:bCs w:val="0"/>
        </w:rPr>
        <w:t>无。</w:t>
      </w:r>
    </w:p>
    <w:p>
      <w:pPr>
        <w:spacing w:line="530" w:lineRule="auto" w:before="115"/>
        <w:ind w:left="574" w:right="431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w:t>
      </w:r>
      <w:bookmarkStart w:name="（4）期末公司因出票人未履约而将其转应收账款的票据" w:id="187"/>
      <w:bookmarkEnd w:id="187"/>
      <w:r>
        <w:rPr>
          <w:rFonts w:ascii="宋体" w:hAnsi="宋体" w:cs="宋体" w:eastAsia="宋体" w:hint="default"/>
          <w:b/>
          <w:bCs/>
          <w:sz w:val="21"/>
          <w:szCs w:val="21"/>
        </w:rPr>
        <w:t>因出票人</w:t>
      </w:r>
      <w:r>
        <w:rPr>
          <w:rFonts w:ascii="宋体" w:hAnsi="宋体" w:cs="宋体" w:eastAsia="宋体" w:hint="default"/>
          <w:b/>
          <w:bCs/>
          <w:sz w:val="21"/>
          <w:szCs w:val="21"/>
        </w:rPr>
        <w:t>未履约而将其转应收账款的票据</w:t>
      </w:r>
      <w:r>
        <w:rPr>
          <w:rFonts w:ascii="宋体" w:hAnsi="宋体" w:cs="宋体" w:eastAsia="宋体" w:hint="default"/>
          <w:b/>
          <w:bCs/>
          <w:spacing w:val="1"/>
          <w:w w:val="99"/>
          <w:sz w:val="21"/>
          <w:szCs w:val="21"/>
        </w:rPr>
        <w:t> </w:t>
      </w:r>
      <w:r>
        <w:rPr>
          <w:rFonts w:ascii="宋体" w:hAnsi="宋体" w:cs="宋体" w:eastAsia="宋体" w:hint="default"/>
          <w:sz w:val="21"/>
          <w:szCs w:val="21"/>
        </w:rPr>
        <w:t>年末，本集团无已背书或贴现但尚未到期的应收票据。</w:t>
      </w:r>
    </w:p>
    <w:p>
      <w:pPr>
        <w:pStyle w:val="Heading4"/>
        <w:spacing w:line="240" w:lineRule="auto" w:before="115"/>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5、应收账款" w:id="188"/>
      <w:bookmarkEnd w:id="188"/>
      <w:r>
        <w:rPr/>
      </w:r>
      <w:bookmarkStart w:name="（1）应收账款分类披露" w:id="189"/>
      <w:bookmarkEnd w:id="189"/>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908"/>
        <w:gridCol w:w="836"/>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4D4D4"/>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4D4D4"/>
          </w:tcPr>
          <w:p>
            <w:pPr/>
          </w:p>
        </w:tc>
        <w:tc>
          <w:tcPr>
            <w:tcW w:w="153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4D4D4"/>
          </w:tcPr>
          <w:p>
            <w:pP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5" w:type="dxa"/>
            <w:gridSpan w:val="2"/>
            <w:vMerge/>
            <w:tcBorders>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4D4D4"/>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4D4D4"/>
          </w:tcPr>
          <w:p>
            <w:pPr/>
          </w:p>
        </w:tc>
        <w:tc>
          <w:tcPr>
            <w:tcW w:w="762" w:type="dxa"/>
            <w:tcBorders>
              <w:top w:val="single" w:sz="4" w:space="0" w:color="000000"/>
              <w:left w:val="single" w:sz="4" w:space="0" w:color="000000"/>
              <w:bottom w:val="nil" w:sz="6" w:space="0" w:color="auto"/>
              <w:right w:val="single" w:sz="4" w:space="0" w:color="000000"/>
            </w:tcBorders>
            <w:shd w:val="clear" w:color="auto" w:fill="D4D4D4"/>
          </w:tcPr>
          <w:p>
            <w:pPr/>
          </w:p>
        </w:tc>
        <w:tc>
          <w:tcPr>
            <w:tcW w:w="908" w:type="dxa"/>
            <w:tcBorders>
              <w:top w:val="single" w:sz="4" w:space="0" w:color="000000"/>
              <w:left w:val="single" w:sz="4" w:space="0" w:color="000000"/>
              <w:bottom w:val="nil" w:sz="6" w:space="0" w:color="auto"/>
              <w:right w:val="single" w:sz="4" w:space="0" w:color="000000"/>
            </w:tcBorders>
            <w:shd w:val="clear" w:color="auto" w:fill="D4D4D4"/>
          </w:tcPr>
          <w:p>
            <w:pPr/>
          </w:p>
        </w:tc>
        <w:tc>
          <w:tcPr>
            <w:tcW w:w="836" w:type="dxa"/>
            <w:tcBorders>
              <w:top w:val="single" w:sz="4" w:space="0" w:color="000000"/>
              <w:left w:val="single" w:sz="4" w:space="0" w:color="000000"/>
              <w:bottom w:val="nil" w:sz="6" w:space="0" w:color="auto"/>
              <w:right w:val="single" w:sz="4" w:space="0" w:color="000000"/>
            </w:tcBorders>
            <w:shd w:val="clear" w:color="auto" w:fill="D4D4D4"/>
          </w:tcPr>
          <w:p>
            <w:pPr/>
          </w:p>
        </w:tc>
        <w:tc>
          <w:tcPr>
            <w:tcW w:w="93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4D4D4"/>
          </w:tcPr>
          <w:p>
            <w:pPr/>
          </w:p>
        </w:tc>
        <w:tc>
          <w:tcPr>
            <w:tcW w:w="775"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65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1" w:type="dxa"/>
            <w:vMerge/>
            <w:tcBorders>
              <w:left w:val="single" w:sz="4" w:space="0" w:color="000000"/>
              <w:right w:val="single" w:sz="4" w:space="0" w:color="000000"/>
            </w:tcBorders>
            <w:shd w:val="clear" w:color="auto" w:fill="D4D4D4"/>
          </w:tcPr>
          <w:p>
            <w:pPr/>
          </w:p>
        </w:tc>
        <w:tc>
          <w:tcPr>
            <w:tcW w:w="775"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right w:val="single" w:sz="4" w:space="0" w:color="000000"/>
            </w:tcBorders>
            <w:shd w:val="clear" w:color="auto" w:fill="D4D4D4"/>
          </w:tcPr>
          <w:p>
            <w:pPr/>
          </w:p>
        </w:tc>
        <w:tc>
          <w:tcPr>
            <w:tcW w:w="790" w:type="dxa"/>
            <w:vMerge w:val="restart"/>
            <w:tcBorders>
              <w:top w:val="nil" w:sz="6" w:space="0" w:color="auto"/>
              <w:left w:val="single" w:sz="4" w:space="0" w:color="000000"/>
              <w:right w:val="single" w:sz="4" w:space="0" w:color="000000"/>
            </w:tcBorders>
            <w:shd w:val="clear" w:color="auto" w:fill="D4D4D4"/>
          </w:tcPr>
          <w:p>
            <w:pPr/>
          </w:p>
        </w:tc>
        <w:tc>
          <w:tcPr>
            <w:tcW w:w="654"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908" w:type="dxa"/>
            <w:vMerge/>
            <w:tcBorders>
              <w:left w:val="single" w:sz="4" w:space="0" w:color="000000"/>
              <w:bottom w:val="nil" w:sz="6" w:space="0" w:color="auto"/>
              <w:right w:val="single" w:sz="4" w:space="0" w:color="000000"/>
            </w:tcBorders>
            <w:shd w:val="clear" w:color="auto" w:fill="D4D4D4"/>
          </w:tcPr>
          <w:p>
            <w:pPr/>
          </w:p>
        </w:tc>
        <w:tc>
          <w:tcPr>
            <w:tcW w:w="836" w:type="dxa"/>
            <w:vMerge/>
            <w:tcBorders>
              <w:left w:val="single" w:sz="4" w:space="0" w:color="000000"/>
              <w:bottom w:val="nil" w:sz="6" w:space="0" w:color="auto"/>
              <w:right w:val="single" w:sz="4" w:space="0" w:color="000000"/>
            </w:tcBorders>
            <w:shd w:val="clear" w:color="auto" w:fill="D4D4D4"/>
          </w:tcPr>
          <w:p>
            <w:pPr/>
          </w:p>
        </w:tc>
        <w:tc>
          <w:tcPr>
            <w:tcW w:w="932"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4D4D4"/>
          </w:tcPr>
          <w:p>
            <w:pPr/>
          </w:p>
        </w:tc>
        <w:tc>
          <w:tcPr>
            <w:tcW w:w="77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single" w:sz="4" w:space="0" w:color="000000"/>
              <w:right w:val="single" w:sz="4" w:space="0" w:color="000000"/>
            </w:tcBorders>
            <w:shd w:val="clear" w:color="auto" w:fill="D4D4D4"/>
          </w:tcPr>
          <w:p>
            <w:pPr/>
          </w:p>
        </w:tc>
        <w:tc>
          <w:tcPr>
            <w:tcW w:w="65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908" w:type="dxa"/>
            <w:tcBorders>
              <w:top w:val="nil" w:sz="6" w:space="0" w:color="auto"/>
              <w:left w:val="single" w:sz="4" w:space="0" w:color="000000"/>
              <w:bottom w:val="single" w:sz="4" w:space="0" w:color="000000"/>
              <w:right w:val="single" w:sz="4" w:space="0" w:color="000000"/>
            </w:tcBorders>
            <w:shd w:val="clear" w:color="auto" w:fill="D4D4D4"/>
          </w:tcPr>
          <w:p>
            <w:pPr/>
          </w:p>
        </w:tc>
        <w:tc>
          <w:tcPr>
            <w:tcW w:w="836" w:type="dxa"/>
            <w:tcBorders>
              <w:top w:val="nil" w:sz="6" w:space="0" w:color="auto"/>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single" w:sz="4" w:space="0" w:color="000000"/>
              <w:right w:val="single" w:sz="4" w:space="0" w:color="000000"/>
            </w:tcBorders>
            <w:shd w:val="clear" w:color="auto" w:fill="D4D4D4"/>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4D4D4"/>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197,306,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708.79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24,838,2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98.01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172,468,4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10.78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144,061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,407.24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18,918,282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13.13%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125,143,12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4.91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4D4D4"/>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4D4D4"/>
          </w:tcPr>
          <w:p>
            <w:pPr/>
          </w:p>
        </w:tc>
        <w:tc>
          <w:tcPr>
            <w:tcW w:w="775" w:type="dxa"/>
            <w:vMerge w:val="restart"/>
            <w:tcBorders>
              <w:top w:val="single" w:sz="4" w:space="0" w:color="000000"/>
              <w:left w:val="single" w:sz="9" w:space="0" w:color="D4D4D4"/>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197,306,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708.79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24,838,2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98.01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12.59%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172,468,4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10.78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144,061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,407.24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18,918,282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8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13.13%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125,143,12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4.91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4D4D4"/>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5" w:type="dxa"/>
            <w:vMerge/>
            <w:tcBorders>
              <w:left w:val="single" w:sz="9" w:space="0" w:color="D4D4D4"/>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pStyle w:val="BodyText"/>
        <w:spacing w:line="240" w:lineRule="auto" w:before="26"/>
        <w:ind w:right="-20"/>
        <w:jc w:val="left"/>
      </w:pPr>
      <w:r>
        <w:rPr/>
        <w:t>期末单项金额重大并单项计提坏账准备的应收账款：</w:t>
      </w:r>
    </w:p>
    <w:p>
      <w:pPr>
        <w:pStyle w:val="BodyText"/>
        <w:spacing w:line="290" w:lineRule="auto" w:before="78"/>
        <w:ind w:right="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组合中，按账龄分析法计提坏账准备的应收账款：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985" w:space="384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6"/>
        <w:gridCol w:w="2399"/>
        <w:gridCol w:w="2392"/>
        <w:gridCol w:w="2392"/>
      </w:tblGrid>
      <w:tr>
        <w:trPr>
          <w:trHeight w:val="402" w:hRule="exact"/>
        </w:trPr>
        <w:tc>
          <w:tcPr>
            <w:tcW w:w="238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6" w:type="dxa"/>
            <w:vMerge/>
            <w:tcBorders>
              <w:left w:val="single" w:sz="4" w:space="0" w:color="000000"/>
              <w:bottom w:val="single" w:sz="4" w:space="0" w:color="000000"/>
              <w:right w:val="single" w:sz="4" w:space="0" w:color="000000"/>
            </w:tcBorders>
            <w:shd w:val="clear" w:color="auto" w:fill="D4D4D4"/>
          </w:tcPr>
          <w:p>
            <w:pPr/>
          </w:p>
        </w:tc>
        <w:tc>
          <w:tcPr>
            <w:tcW w:w="23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133,907,568.62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6,695,378.44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133,907,568.62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6,695,378.44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24,371,705.17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2,437,170.51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24,057,235.82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7,217,170.75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380"/>
        <w:gridCol w:w="2404"/>
        <w:gridCol w:w="2392"/>
        <w:gridCol w:w="2392"/>
      </w:tblGrid>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12,361,610.12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6,180,805.06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1,504,079.06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1,203,263.25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1,104,510.00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1,104,510.00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197,306,708.79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24,838,298.01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w:t>
            </w:r>
          </w:p>
        </w:tc>
      </w:tr>
    </w:tbl>
    <w:p>
      <w:pPr>
        <w:pStyle w:val="BodyText"/>
        <w:spacing w:line="240" w:lineRule="auto" w:before="26"/>
        <w:ind w:left="214" w:right="252"/>
        <w:jc w:val="left"/>
      </w:pPr>
      <w:bookmarkStart w:name="（5）因金融资产转移而终止确认的应收账款" w:id="190"/>
      <w:bookmarkEnd w:id="190"/>
      <w:r>
        <w:rPr/>
      </w:r>
      <w:bookmarkStart w:name="（6）转移应收账款且继续涉入形成的资产、负债金额" w:id="191"/>
      <w:bookmarkEnd w:id="191"/>
      <w:r>
        <w:rPr/>
      </w:r>
      <w:r>
        <w:rPr/>
        <w:t>组合中，采用余额百分比法计提坏账准备的应收账款：</w:t>
      </w:r>
    </w:p>
    <w:p>
      <w:pPr>
        <w:pStyle w:val="BodyText"/>
        <w:spacing w:line="290" w:lineRule="auto" w:before="78"/>
        <w:ind w:left="214" w:right="52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组合中，采用其他方法计提坏账准备的应收账款：</w:t>
      </w:r>
    </w:p>
    <w:p>
      <w:pPr>
        <w:pStyle w:val="BodyText"/>
        <w:spacing w:line="240" w:lineRule="auto" w:before="34"/>
        <w:ind w:left="214" w:right="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40" w:lineRule="auto"/>
        <w:ind w:left="214" w:right="252"/>
        <w:jc w:val="left"/>
        <w:rPr>
          <w:b w:val="0"/>
          <w:bCs w:val="0"/>
        </w:rPr>
      </w:pPr>
      <w:r>
        <w:rPr/>
        <w:t>（</w:t>
      </w:r>
      <w:r>
        <w:rPr>
          <w:rFonts w:ascii="Times New Roman" w:hAnsi="Times New Roman" w:cs="Times New Roman" w:eastAsia="Times New Roman" w:hint="default"/>
        </w:rPr>
        <w:t>2</w:t>
      </w:r>
      <w:r>
        <w:rPr/>
        <w:t>）本期计提、收回或转</w:t>
      </w:r>
      <w:bookmarkStart w:name="（2）本期计提、收回或转回的坏账准备情况" w:id="192"/>
      <w:bookmarkEnd w:id="192"/>
      <w:r>
        <w:rPr/>
        <w:t>回的坏账</w:t>
      </w:r>
      <w:r>
        <w:rPr/>
        <w:t>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214" w:right="252"/>
        <w:jc w:val="left"/>
      </w:pPr>
      <w:r>
        <w:rPr/>
        <w:t>本期计提坏账准备金额</w:t>
      </w:r>
      <w:r>
        <w:rPr>
          <w:spacing w:val="-56"/>
        </w:rPr>
        <w:t> </w:t>
      </w:r>
      <w:r>
        <w:rPr>
          <w:rFonts w:ascii="Times New Roman" w:hAnsi="Times New Roman" w:cs="Times New Roman" w:eastAsia="Times New Roman" w:hint="default"/>
        </w:rPr>
        <w:t>5,978,301.68</w:t>
      </w:r>
      <w:r>
        <w:rPr>
          <w:rFonts w:ascii="Times New Roman" w:hAnsi="Times New Roman" w:cs="Times New Roman" w:eastAsia="Times New Roman" w:hint="default"/>
          <w:spacing w:val="-4"/>
        </w:rPr>
        <w:t> </w:t>
      </w:r>
      <w:r>
        <w:rPr/>
        <w:t>元。本期无收回或转回的坏账准备。</w:t>
      </w:r>
    </w:p>
    <w:p>
      <w:pPr>
        <w:spacing w:line="240" w:lineRule="auto" w:before="6"/>
        <w:rPr>
          <w:rFonts w:ascii="宋体" w:hAnsi="宋体" w:cs="宋体" w:eastAsia="宋体" w:hint="default"/>
          <w:sz w:val="24"/>
          <w:szCs w:val="24"/>
        </w:rPr>
      </w:pPr>
    </w:p>
    <w:p>
      <w:pPr>
        <w:pStyle w:val="Heading4"/>
        <w:spacing w:line="240" w:lineRule="auto"/>
        <w:ind w:left="214" w:right="252"/>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232" w:firstLine="0"/>
        <w:jc w:val="right"/>
        <w:rPr>
          <w:rFonts w:ascii="宋体" w:hAnsi="宋体" w:cs="宋体" w:eastAsia="宋体" w:hint="default"/>
          <w:sz w:val="18"/>
          <w:szCs w:val="18"/>
        </w:rPr>
      </w:pPr>
      <w:bookmarkStart w:name="（3）本期实际核销的应收账款情况" w:id="193"/>
      <w:bookmarkEnd w:id="193"/>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5920"/>
        <w:gridCol w:w="3935"/>
      </w:tblGrid>
      <w:tr>
        <w:trPr>
          <w:trHeight w:val="397"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7"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3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58,286.00</w:t>
            </w:r>
          </w:p>
        </w:tc>
      </w:tr>
    </w:tbl>
    <w:p>
      <w:pPr>
        <w:spacing w:line="240" w:lineRule="auto" w:before="2"/>
        <w:rPr>
          <w:rFonts w:ascii="宋体" w:hAnsi="宋体" w:cs="宋体" w:eastAsia="宋体" w:hint="default"/>
          <w:sz w:val="19"/>
          <w:szCs w:val="19"/>
        </w:rPr>
      </w:pPr>
    </w:p>
    <w:p>
      <w:pPr>
        <w:pStyle w:val="Heading4"/>
        <w:spacing w:line="240" w:lineRule="auto" w:before="35"/>
        <w:ind w:left="214" w:right="252"/>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232" w:firstLine="0"/>
        <w:jc w:val="right"/>
        <w:rPr>
          <w:rFonts w:ascii="宋体" w:hAnsi="宋体" w:cs="宋体" w:eastAsia="宋体" w:hint="default"/>
          <w:sz w:val="18"/>
          <w:szCs w:val="18"/>
        </w:rPr>
      </w:pPr>
      <w:bookmarkStart w:name="（4）按欠款方归集的期末余额前五名的应收账款情况" w:id="194"/>
      <w:bookmarkEnd w:id="194"/>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806"/>
        <w:gridCol w:w="1838"/>
        <w:gridCol w:w="3154"/>
        <w:gridCol w:w="1483"/>
      </w:tblGrid>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41"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9"/>
              <w:jc w:val="right"/>
              <w:rPr>
                <w:rFonts w:ascii="宋体" w:hAnsi="宋体" w:cs="宋体" w:eastAsia="宋体" w:hint="default"/>
                <w:sz w:val="18"/>
                <w:szCs w:val="18"/>
              </w:rPr>
            </w:pPr>
            <w:r>
              <w:rPr>
                <w:rFonts w:ascii="宋体" w:hAnsi="宋体" w:cs="宋体" w:eastAsia="宋体" w:hint="default"/>
                <w:b/>
                <w:bCs/>
                <w:w w:val="95"/>
                <w:sz w:val="18"/>
                <w:szCs w:val="18"/>
              </w:rPr>
              <w:t>应收账款年末余额</w:t>
            </w:r>
            <w:r>
              <w:rPr>
                <w:rFonts w:ascii="宋体" w:hAnsi="宋体" w:cs="宋体" w:eastAsia="宋体" w:hint="default"/>
                <w:sz w:val="18"/>
                <w:szCs w:val="18"/>
              </w:rPr>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占应收账款年末余额合计数的比例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宋体" w:hAnsi="宋体" w:cs="宋体" w:eastAsia="宋体" w:hint="default"/>
                <w:sz w:val="18"/>
                <w:szCs w:val="18"/>
              </w:rPr>
            </w:pPr>
            <w:r>
              <w:rPr>
                <w:rFonts w:ascii="宋体" w:hAnsi="宋体" w:cs="宋体" w:eastAsia="宋体" w:hint="default"/>
                <w:b/>
                <w:bCs/>
                <w:w w:val="95"/>
                <w:sz w:val="18"/>
                <w:szCs w:val="18"/>
              </w:rPr>
              <w:t>坏账准备年末余额</w:t>
            </w:r>
            <w:r>
              <w:rPr>
                <w:rFonts w:ascii="宋体" w:hAnsi="宋体" w:cs="宋体" w:eastAsia="宋体" w:hint="default"/>
                <w:sz w:val="18"/>
                <w:szCs w:val="18"/>
              </w:rPr>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38"/>
              <w:jc w:val="right"/>
              <w:rPr>
                <w:rFonts w:ascii="Times New Roman" w:hAnsi="Times New Roman" w:cs="Times New Roman" w:eastAsia="Times New Roman" w:hint="default"/>
                <w:sz w:val="18"/>
                <w:szCs w:val="18"/>
              </w:rPr>
            </w:pPr>
            <w:r>
              <w:rPr>
                <w:rFonts w:ascii="Times New Roman"/>
                <w:spacing w:val="-1"/>
                <w:sz w:val="18"/>
              </w:rPr>
              <w:t>26,417,216.24</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13.39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1,366,770.68</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38"/>
              <w:jc w:val="right"/>
              <w:rPr>
                <w:rFonts w:ascii="Times New Roman" w:hAnsi="Times New Roman" w:cs="Times New Roman" w:eastAsia="Times New Roman" w:hint="default"/>
                <w:sz w:val="18"/>
                <w:szCs w:val="18"/>
              </w:rPr>
            </w:pPr>
            <w:r>
              <w:rPr>
                <w:rFonts w:ascii="Times New Roman"/>
                <w:spacing w:val="-1"/>
                <w:sz w:val="18"/>
              </w:rPr>
              <w:t>8,942,664.25</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4.53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2,047,187.39</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39"/>
              <w:jc w:val="right"/>
              <w:rPr>
                <w:rFonts w:ascii="Times New Roman" w:hAnsi="Times New Roman" w:cs="Times New Roman" w:eastAsia="Times New Roman" w:hint="default"/>
                <w:sz w:val="18"/>
                <w:szCs w:val="18"/>
              </w:rPr>
            </w:pPr>
            <w:r>
              <w:rPr>
                <w:rFonts w:ascii="Times New Roman"/>
                <w:spacing w:val="-1"/>
                <w:sz w:val="18"/>
              </w:rPr>
              <w:t>8,623,475.04</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4.37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659,151.01</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38"/>
              <w:jc w:val="right"/>
              <w:rPr>
                <w:rFonts w:ascii="Times New Roman" w:hAnsi="Times New Roman" w:cs="Times New Roman" w:eastAsia="Times New Roman" w:hint="default"/>
                <w:sz w:val="18"/>
                <w:szCs w:val="18"/>
              </w:rPr>
            </w:pPr>
            <w:r>
              <w:rPr>
                <w:rFonts w:ascii="Times New Roman"/>
                <w:spacing w:val="-1"/>
                <w:sz w:val="18"/>
              </w:rPr>
              <w:t>6,137,455.56</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3.11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327,872.78</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38"/>
              <w:jc w:val="right"/>
              <w:rPr>
                <w:rFonts w:ascii="Times New Roman" w:hAnsi="Times New Roman" w:cs="Times New Roman" w:eastAsia="Times New Roman" w:hint="default"/>
                <w:sz w:val="18"/>
                <w:szCs w:val="18"/>
              </w:rPr>
            </w:pPr>
            <w:r>
              <w:rPr>
                <w:rFonts w:ascii="Times New Roman"/>
                <w:spacing w:val="-1"/>
                <w:sz w:val="18"/>
              </w:rPr>
              <w:t>4,383,000.00</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2.22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1,165,550.00</w:t>
            </w:r>
          </w:p>
        </w:tc>
      </w:tr>
      <w:tr>
        <w:trPr>
          <w:trHeight w:val="34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38"/>
              <w:jc w:val="right"/>
              <w:rPr>
                <w:rFonts w:ascii="Times New Roman" w:hAnsi="Times New Roman" w:cs="Times New Roman" w:eastAsia="Times New Roman" w:hint="default"/>
                <w:sz w:val="18"/>
                <w:szCs w:val="18"/>
              </w:rPr>
            </w:pPr>
            <w:r>
              <w:rPr>
                <w:rFonts w:ascii="Times New Roman"/>
                <w:b/>
                <w:spacing w:val="-1"/>
                <w:sz w:val="18"/>
              </w:rPr>
              <w:t>54,503,811.09</w:t>
            </w:r>
            <w:r>
              <w:rPr>
                <w:rFonts w:ascii="Times New Roman"/>
                <w:spacing w:val="-1"/>
                <w:sz w:val="18"/>
              </w:rPr>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z w:val="18"/>
              </w:rPr>
              <w:t>27.62</w:t>
            </w:r>
            <w:r>
              <w:rPr>
                <w:rFonts w:ascii="Times New Roman"/>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pacing w:val="-1"/>
                <w:sz w:val="18"/>
              </w:rPr>
              <w:t>5,566,531.86</w:t>
            </w:r>
            <w:r>
              <w:rPr>
                <w:rFonts w:ascii="Times New Roman"/>
                <w:spacing w:val="-1"/>
                <w:sz w:val="18"/>
              </w:rPr>
            </w:r>
          </w:p>
        </w:tc>
      </w:tr>
    </w:tbl>
    <w:p>
      <w:pPr>
        <w:spacing w:line="240" w:lineRule="auto" w:before="2"/>
        <w:rPr>
          <w:rFonts w:ascii="宋体" w:hAnsi="宋体" w:cs="宋体" w:eastAsia="宋体" w:hint="default"/>
          <w:sz w:val="19"/>
          <w:szCs w:val="19"/>
        </w:rPr>
      </w:pPr>
    </w:p>
    <w:p>
      <w:pPr>
        <w:spacing w:line="530" w:lineRule="auto" w:before="35"/>
        <w:ind w:left="634" w:right="439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spacing w:val="1"/>
          <w:w w:val="99"/>
          <w:sz w:val="21"/>
          <w:szCs w:val="21"/>
        </w:rPr>
        <w:t> </w:t>
      </w:r>
      <w:r>
        <w:rPr>
          <w:rFonts w:ascii="宋体" w:hAnsi="宋体" w:cs="宋体" w:eastAsia="宋体" w:hint="default"/>
          <w:sz w:val="21"/>
          <w:szCs w:val="21"/>
        </w:rPr>
        <w:t>年末，无因金融资产转移而终止确认的应收账款情况。</w:t>
      </w:r>
    </w:p>
    <w:p>
      <w:pPr>
        <w:spacing w:line="530" w:lineRule="auto" w:before="115"/>
        <w:ind w:left="634" w:right="376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spacing w:val="1"/>
          <w:w w:val="99"/>
          <w:sz w:val="21"/>
          <w:szCs w:val="21"/>
        </w:rPr>
        <w:t> </w:t>
      </w:r>
      <w:r>
        <w:rPr>
          <w:rFonts w:ascii="宋体" w:hAnsi="宋体" w:cs="宋体" w:eastAsia="宋体" w:hint="default"/>
          <w:sz w:val="21"/>
          <w:szCs w:val="21"/>
        </w:rPr>
        <w:t>年末，无转移应收账款且继续涉入形成的资产、负债的金额。</w:t>
      </w:r>
    </w:p>
    <w:p>
      <w:pPr>
        <w:spacing w:after="0" w:line="530" w:lineRule="auto"/>
        <w:jc w:val="left"/>
        <w:rPr>
          <w:rFonts w:ascii="宋体" w:hAnsi="宋体" w:cs="宋体" w:eastAsia="宋体" w:hint="default"/>
          <w:sz w:val="21"/>
          <w:szCs w:val="21"/>
        </w:rPr>
        <w:sectPr>
          <w:pgSz w:w="11910" w:h="16840"/>
          <w:pgMar w:header="747" w:footer="980" w:top="1060" w:bottom="1180" w:left="920" w:right="90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应收利息" w:id="195"/>
      <w:bookmarkEnd w:id="195"/>
      <w:r>
        <w:rPr>
          <w:b w:val="0"/>
          <w:bCs w:val="0"/>
        </w:rPr>
      </w:r>
      <w:bookmarkStart w:name="（1）应收利息分类" w:id="196"/>
      <w:bookmarkEnd w:id="196"/>
      <w:r>
        <w:rPr>
          <w:b w:val="0"/>
          <w:bCs w:val="0"/>
        </w:rPr>
      </w:r>
      <w:bookmarkStart w:name="（2）重要逾期利息" w:id="197"/>
      <w:bookmarkEnd w:id="197"/>
      <w:r>
        <w:rPr>
          <w:b w:val="0"/>
          <w:bCs w:val="0"/>
        </w:rPr>
      </w:r>
      <w:r>
        <w:rPr>
          <w:rFonts w:ascii="Times New Roman" w:hAnsi="Times New Roman" w:cs="Times New Roman" w:eastAsia="Times New Roman" w:hint="default"/>
        </w:rPr>
        <w:t>6</w:t>
      </w:r>
      <w:bookmarkStart w:name="6、预付款项" w:id="198"/>
      <w:bookmarkEnd w:id="198"/>
      <w:r>
        <w:rPr>
          <w:rFonts w:ascii="Times New Roman" w:hAnsi="Times New Roman" w:cs="Times New Roman" w:eastAsia="Times New Roman" w:hint="default"/>
        </w:rPr>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bookmarkStart w:name="（1）预付款项按账龄列示" w:id="199"/>
      <w:bookmarkEnd w:id="199"/>
      <w:r>
        <w:rPr>
          <w:rFonts w:ascii="Times New Roman" w:hAnsi="Times New Roman" w:cs="Times New Roman" w:eastAsia="Times New Roman" w:hint="default"/>
        </w:rPr>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4D4D4"/>
          </w:tcPr>
          <w:p>
            <w:pPr/>
          </w:p>
        </w:tc>
        <w:tc>
          <w:tcPr>
            <w:tcW w:w="3829"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6,266,623.81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9,656,557.07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788,451.25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1,109,669.98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627,796.94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4D4D4"/>
              <w:bottom w:val="single" w:sz="4" w:space="0" w:color="000000"/>
              <w:right w:val="single" w:sz="9" w:space="0" w:color="D4D4D4"/>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7,682,872.00</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10,766,227.05</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7"/>
          <w:szCs w:val="7"/>
        </w:rPr>
      </w:pPr>
    </w:p>
    <w:p>
      <w:pPr>
        <w:pStyle w:val="BodyText"/>
        <w:spacing w:line="309" w:lineRule="auto" w:before="35"/>
        <w:ind w:right="0" w:firstLine="420"/>
        <w:jc w:val="left"/>
      </w:pPr>
      <w:r>
        <w:rPr>
          <w:spacing w:val="3"/>
        </w:rPr>
        <w:t>账龄超过</w:t>
      </w:r>
      <w:r>
        <w:rPr>
          <w:rFonts w:ascii="Times New Roman" w:hAnsi="Times New Roman" w:cs="Times New Roman" w:eastAsia="Times New Roman" w:hint="default"/>
          <w:spacing w:val="3"/>
        </w:rPr>
        <w:t>1</w:t>
      </w:r>
      <w:r>
        <w:rPr>
          <w:spacing w:val="3"/>
        </w:rPr>
        <w:t>年且金额重要的预付款项未及时结算原因的说明：年末无账龄超过</w:t>
      </w:r>
      <w:r>
        <w:rPr>
          <w:rFonts w:ascii="Times New Roman" w:hAnsi="Times New Roman" w:cs="Times New Roman" w:eastAsia="Times New Roman" w:hint="default"/>
          <w:spacing w:val="3"/>
        </w:rPr>
        <w:t>1</w:t>
      </w:r>
      <w:r>
        <w:rPr>
          <w:spacing w:val="3"/>
        </w:rPr>
        <w:t>年的金额重要预付账</w:t>
      </w:r>
      <w:r>
        <w:rPr/>
        <w:t> 款。</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2）按预付对象归集的期末余额前五名的预付款情况" w:id="200"/>
      <w:bookmarkEnd w:id="200"/>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1"/>
        <w:gridCol w:w="2078"/>
        <w:gridCol w:w="3091"/>
      </w:tblGrid>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1"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0" w:right="0"/>
              <w:jc w:val="left"/>
              <w:rPr>
                <w:rFonts w:ascii="宋体" w:hAnsi="宋体" w:cs="宋体" w:eastAsia="宋体" w:hint="default"/>
                <w:sz w:val="18"/>
                <w:szCs w:val="18"/>
              </w:rPr>
            </w:pPr>
            <w:r>
              <w:rPr>
                <w:rFonts w:ascii="宋体" w:hAnsi="宋体" w:cs="宋体" w:eastAsia="宋体" w:hint="default"/>
                <w:b/>
                <w:bCs/>
                <w:sz w:val="18"/>
                <w:szCs w:val="18"/>
              </w:rPr>
              <w:t>预付款项年末余额</w:t>
            </w:r>
            <w:r>
              <w:rPr>
                <w:rFonts w:ascii="宋体" w:hAnsi="宋体" w:cs="宋体" w:eastAsia="宋体" w:hint="default"/>
                <w:sz w:val="18"/>
                <w:szCs w:val="18"/>
              </w:rPr>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占预付款项年末余额合计数的比例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z w:val="18"/>
              </w:rPr>
              <w:t>700,854.72</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9.12</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z w:val="18"/>
              </w:rPr>
              <w:t>690,266.66</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8.98</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z w:val="18"/>
              </w:rPr>
              <w:t>647,329.01</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8.43</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z w:val="18"/>
              </w:rPr>
              <w:t>419,768.25</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5.46</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z w:val="18"/>
              </w:rPr>
              <w:t>343,416.14</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4.47</w:t>
            </w:r>
          </w:p>
        </w:tc>
      </w:tr>
      <w:tr>
        <w:trPr>
          <w:trHeight w:val="34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8"/>
              <w:jc w:val="right"/>
              <w:rPr>
                <w:rFonts w:ascii="Times New Roman" w:hAnsi="Times New Roman" w:cs="Times New Roman" w:eastAsia="Times New Roman" w:hint="default"/>
                <w:sz w:val="18"/>
                <w:szCs w:val="18"/>
              </w:rPr>
            </w:pPr>
            <w:r>
              <w:rPr>
                <w:rFonts w:ascii="Times New Roman"/>
                <w:b/>
                <w:spacing w:val="-1"/>
                <w:sz w:val="18"/>
              </w:rPr>
              <w:t>2,801,634.78</w:t>
            </w:r>
            <w:r>
              <w:rPr>
                <w:rFonts w:ascii="Times New Roman"/>
                <w:spacing w:val="-1"/>
                <w:sz w:val="18"/>
              </w:rPr>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36.46</w:t>
            </w:r>
            <w:r>
              <w:rPr>
                <w:rFonts w:ascii="Times New Roman"/>
                <w:sz w:val="18"/>
              </w:rPr>
            </w:r>
          </w:p>
        </w:tc>
      </w:tr>
    </w:tbl>
    <w:p>
      <w:pPr>
        <w:spacing w:line="240" w:lineRule="auto" w:before="10"/>
        <w:rPr>
          <w:rFonts w:ascii="宋体" w:hAnsi="宋体" w:cs="宋体" w:eastAsia="宋体" w:hint="default"/>
          <w:sz w:val="7"/>
          <w:szCs w:val="7"/>
        </w:rPr>
      </w:pPr>
    </w:p>
    <w:p>
      <w:pPr>
        <w:pStyle w:val="BodyText"/>
        <w:spacing w:line="240" w:lineRule="auto" w:before="35"/>
        <w:ind w:left="574" w:right="0"/>
        <w:jc w:val="left"/>
      </w:pPr>
      <w:r>
        <w:rPr/>
        <w:t>年末，预付款项中不存在预付持本公司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）以上表决权股份股东或其他关联方款项。</w:t>
      </w:r>
    </w:p>
    <w:p>
      <w:pPr>
        <w:spacing w:line="240" w:lineRule="auto" w:before="0"/>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88"/>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2,134,534.58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1,292,517.61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2,134,534.58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1,292,517.61</w:t>
            </w:r>
          </w:p>
        </w:tc>
      </w:tr>
    </w:tbl>
    <w:p>
      <w:pPr>
        <w:spacing w:line="240" w:lineRule="auto" w:before="2"/>
        <w:rPr>
          <w:rFonts w:ascii="宋体" w:hAnsi="宋体" w:cs="宋体" w:eastAsia="宋体" w:hint="default"/>
          <w:sz w:val="19"/>
          <w:szCs w:val="19"/>
        </w:rPr>
      </w:pPr>
    </w:p>
    <w:p>
      <w:pPr>
        <w:pStyle w:val="Heading4"/>
        <w:spacing w:line="506" w:lineRule="auto" w:before="35"/>
        <w:ind w:left="574" w:right="7980"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）重要逾期利息</w:t>
      </w:r>
      <w:r>
        <w:rPr>
          <w:spacing w:val="1"/>
          <w:w w:val="99"/>
        </w:rPr>
        <w:t> </w:t>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747" w:footer="980" w:top="1060" w:bottom="1180" w:left="980" w:right="980"/>
        </w:sectPr>
      </w:pPr>
    </w:p>
    <w:p>
      <w:pPr>
        <w:spacing w:line="240" w:lineRule="auto" w:before="9"/>
        <w:rPr>
          <w:rFonts w:ascii="宋体" w:hAnsi="宋体" w:cs="宋体" w:eastAsia="宋体" w:hint="default"/>
          <w:sz w:val="24"/>
          <w:szCs w:val="24"/>
        </w:rPr>
      </w:pPr>
    </w:p>
    <w:p>
      <w:pPr>
        <w:spacing w:line="506" w:lineRule="auto" w:before="35"/>
        <w:ind w:left="574" w:right="861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bookmarkStart w:name="8、应收股利" w:id="201"/>
      <w:bookmarkEnd w:id="201"/>
      <w:r>
        <w:rPr>
          <w:rFonts w:ascii="Times New Roman" w:hAnsi="Times New Roman" w:cs="Times New Roman" w:eastAsia="Times New Roman" w:hint="default"/>
          <w:b/>
          <w:bCs/>
          <w:sz w:val="21"/>
          <w:szCs w:val="21"/>
        </w:rPr>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sz w:val="21"/>
          <w:szCs w:val="21"/>
        </w:rPr>
        <w:t>无。</w:t>
      </w:r>
    </w:p>
    <w:p>
      <w:pPr>
        <w:pStyle w:val="Heading4"/>
        <w:spacing w:line="240" w:lineRule="auto" w:before="103"/>
        <w:ind w:right="0"/>
        <w:jc w:val="left"/>
        <w:rPr>
          <w:b w:val="0"/>
          <w:bCs w:val="0"/>
        </w:rPr>
      </w:pPr>
      <w:r>
        <w:rPr>
          <w:rFonts w:ascii="Times New Roman" w:hAnsi="Times New Roman" w:cs="Times New Roman" w:eastAsia="Times New Roman" w:hint="default"/>
        </w:rPr>
        <w:t>9</w:t>
      </w:r>
      <w:r>
        <w:rPr/>
        <w:t>、其他应</w:t>
      </w:r>
      <w:bookmarkStart w:name="9、其他应收款" w:id="202"/>
      <w:bookmarkEnd w:id="202"/>
      <w:r>
        <w:rPr/>
        <w:t>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w:t>
      </w:r>
      <w:bookmarkStart w:name="（1）其他应收款分类披露" w:id="203"/>
      <w:bookmarkEnd w:id="203"/>
      <w:r>
        <w:rPr/>
        <w:t>款分类披露</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908"/>
        <w:gridCol w:w="836"/>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4D4D4"/>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4D4D4"/>
          </w:tcPr>
          <w:p>
            <w:pPr/>
          </w:p>
        </w:tc>
        <w:tc>
          <w:tcPr>
            <w:tcW w:w="153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4D4D4"/>
          </w:tcPr>
          <w:p>
            <w:pP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5" w:type="dxa"/>
            <w:gridSpan w:val="2"/>
            <w:vMerge/>
            <w:tcBorders>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4D4D4"/>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4D4D4"/>
          </w:tcPr>
          <w:p>
            <w:pPr/>
          </w:p>
        </w:tc>
        <w:tc>
          <w:tcPr>
            <w:tcW w:w="762" w:type="dxa"/>
            <w:tcBorders>
              <w:top w:val="single" w:sz="4" w:space="0" w:color="000000"/>
              <w:left w:val="single" w:sz="4" w:space="0" w:color="000000"/>
              <w:bottom w:val="nil" w:sz="6" w:space="0" w:color="auto"/>
              <w:right w:val="single" w:sz="4" w:space="0" w:color="000000"/>
            </w:tcBorders>
            <w:shd w:val="clear" w:color="auto" w:fill="D4D4D4"/>
          </w:tcPr>
          <w:p>
            <w:pPr/>
          </w:p>
        </w:tc>
        <w:tc>
          <w:tcPr>
            <w:tcW w:w="908" w:type="dxa"/>
            <w:tcBorders>
              <w:top w:val="single" w:sz="4" w:space="0" w:color="000000"/>
              <w:left w:val="single" w:sz="4" w:space="0" w:color="000000"/>
              <w:bottom w:val="nil" w:sz="6" w:space="0" w:color="auto"/>
              <w:right w:val="single" w:sz="4" w:space="0" w:color="000000"/>
            </w:tcBorders>
            <w:shd w:val="clear" w:color="auto" w:fill="D4D4D4"/>
          </w:tcPr>
          <w:p>
            <w:pPr/>
          </w:p>
        </w:tc>
        <w:tc>
          <w:tcPr>
            <w:tcW w:w="836" w:type="dxa"/>
            <w:tcBorders>
              <w:top w:val="single" w:sz="4" w:space="0" w:color="000000"/>
              <w:left w:val="single" w:sz="4" w:space="0" w:color="000000"/>
              <w:bottom w:val="nil" w:sz="6" w:space="0" w:color="auto"/>
              <w:right w:val="single" w:sz="4" w:space="0" w:color="000000"/>
            </w:tcBorders>
            <w:shd w:val="clear" w:color="auto" w:fill="D4D4D4"/>
          </w:tcPr>
          <w:p>
            <w:pPr/>
          </w:p>
        </w:tc>
        <w:tc>
          <w:tcPr>
            <w:tcW w:w="93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4D4D4"/>
          </w:tcPr>
          <w:p>
            <w:pPr/>
          </w:p>
        </w:tc>
        <w:tc>
          <w:tcPr>
            <w:tcW w:w="775"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65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1" w:type="dxa"/>
            <w:vMerge/>
            <w:tcBorders>
              <w:left w:val="single" w:sz="4" w:space="0" w:color="000000"/>
              <w:right w:val="single" w:sz="4" w:space="0" w:color="000000"/>
            </w:tcBorders>
            <w:shd w:val="clear" w:color="auto" w:fill="D4D4D4"/>
          </w:tcPr>
          <w:p>
            <w:pPr/>
          </w:p>
        </w:tc>
        <w:tc>
          <w:tcPr>
            <w:tcW w:w="775"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right w:val="single" w:sz="4" w:space="0" w:color="000000"/>
            </w:tcBorders>
            <w:shd w:val="clear" w:color="auto" w:fill="D4D4D4"/>
          </w:tcPr>
          <w:p>
            <w:pPr/>
          </w:p>
        </w:tc>
        <w:tc>
          <w:tcPr>
            <w:tcW w:w="790" w:type="dxa"/>
            <w:vMerge w:val="restart"/>
            <w:tcBorders>
              <w:top w:val="nil" w:sz="6" w:space="0" w:color="auto"/>
              <w:left w:val="single" w:sz="4" w:space="0" w:color="000000"/>
              <w:right w:val="single" w:sz="4" w:space="0" w:color="000000"/>
            </w:tcBorders>
            <w:shd w:val="clear" w:color="auto" w:fill="D4D4D4"/>
          </w:tcPr>
          <w:p>
            <w:pPr/>
          </w:p>
        </w:tc>
        <w:tc>
          <w:tcPr>
            <w:tcW w:w="654"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908" w:type="dxa"/>
            <w:vMerge/>
            <w:tcBorders>
              <w:left w:val="single" w:sz="4" w:space="0" w:color="000000"/>
              <w:bottom w:val="nil" w:sz="6" w:space="0" w:color="auto"/>
              <w:right w:val="single" w:sz="4" w:space="0" w:color="000000"/>
            </w:tcBorders>
            <w:shd w:val="clear" w:color="auto" w:fill="D4D4D4"/>
          </w:tcPr>
          <w:p>
            <w:pPr/>
          </w:p>
        </w:tc>
        <w:tc>
          <w:tcPr>
            <w:tcW w:w="836" w:type="dxa"/>
            <w:vMerge/>
            <w:tcBorders>
              <w:left w:val="single" w:sz="4" w:space="0" w:color="000000"/>
              <w:bottom w:val="nil" w:sz="6" w:space="0" w:color="auto"/>
              <w:right w:val="single" w:sz="4" w:space="0" w:color="000000"/>
            </w:tcBorders>
            <w:shd w:val="clear" w:color="auto" w:fill="D4D4D4"/>
          </w:tcPr>
          <w:p>
            <w:pPr/>
          </w:p>
        </w:tc>
        <w:tc>
          <w:tcPr>
            <w:tcW w:w="932"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4D4D4"/>
          </w:tcPr>
          <w:p>
            <w:pPr/>
          </w:p>
        </w:tc>
        <w:tc>
          <w:tcPr>
            <w:tcW w:w="77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single" w:sz="4" w:space="0" w:color="000000"/>
              <w:right w:val="single" w:sz="4" w:space="0" w:color="000000"/>
            </w:tcBorders>
            <w:shd w:val="clear" w:color="auto" w:fill="D4D4D4"/>
          </w:tcPr>
          <w:p>
            <w:pPr/>
          </w:p>
        </w:tc>
        <w:tc>
          <w:tcPr>
            <w:tcW w:w="65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908" w:type="dxa"/>
            <w:tcBorders>
              <w:top w:val="nil" w:sz="6" w:space="0" w:color="auto"/>
              <w:left w:val="single" w:sz="4" w:space="0" w:color="000000"/>
              <w:bottom w:val="single" w:sz="4" w:space="0" w:color="000000"/>
              <w:right w:val="single" w:sz="4" w:space="0" w:color="000000"/>
            </w:tcBorders>
            <w:shd w:val="clear" w:color="auto" w:fill="D4D4D4"/>
          </w:tcPr>
          <w:p>
            <w:pPr/>
          </w:p>
        </w:tc>
        <w:tc>
          <w:tcPr>
            <w:tcW w:w="836" w:type="dxa"/>
            <w:tcBorders>
              <w:top w:val="nil" w:sz="6" w:space="0" w:color="auto"/>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single" w:sz="4" w:space="0" w:color="000000"/>
              <w:right w:val="single" w:sz="4" w:space="0" w:color="000000"/>
            </w:tcBorders>
            <w:shd w:val="clear" w:color="auto" w:fill="D4D4D4"/>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4D4D4"/>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44,564,3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79.84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5,707,40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38,856,97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32,905,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550.23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4,423,297.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13.44%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28,482,252.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4D4D4"/>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4D4D4"/>
          </w:tcPr>
          <w:p>
            <w:pPr/>
          </w:p>
        </w:tc>
        <w:tc>
          <w:tcPr>
            <w:tcW w:w="775"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44,564,3</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79.84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5,707,40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12.81%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38,856,97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32,905,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550.23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4,423,297.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8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13.44%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28,482,252.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4D4D4"/>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5" w:type="dxa"/>
            <w:vMerge/>
            <w:tcBorders>
              <w:left w:val="single" w:sz="9" w:space="0" w:color="D4D4D4"/>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pStyle w:val="BodyText"/>
        <w:spacing w:line="240" w:lineRule="auto" w:before="26"/>
        <w:ind w:right="-20"/>
        <w:jc w:val="left"/>
      </w:pPr>
      <w:r>
        <w:rPr/>
        <w:t>期末单项金额重大并单项计提坏账准备的其他应收款：</w:t>
      </w:r>
    </w:p>
    <w:p>
      <w:pPr>
        <w:pStyle w:val="BodyText"/>
        <w:spacing w:line="290" w:lineRule="auto" w:before="78"/>
        <w:ind w:right="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组合中，按账龄分析法计提坏账准备的其他应收款：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5195" w:space="36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20,178,589.79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1,008,929.49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20,178,589.79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1,008,929.49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10,595,163.81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1,059,516.38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4,308,523.58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1,292,557.07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2,882,227.10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1,441,113.55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452,288.50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361,830.80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543,453.00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543,453.00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6" w:right="0"/>
              <w:jc w:val="left"/>
              <w:rPr>
                <w:rFonts w:ascii="Times New Roman" w:hAnsi="Times New Roman" w:cs="Times New Roman" w:eastAsia="Times New Roman" w:hint="default"/>
                <w:sz w:val="18"/>
                <w:szCs w:val="18"/>
              </w:rPr>
            </w:pPr>
            <w:r>
              <w:rPr>
                <w:rFonts w:ascii="Times New Roman"/>
                <w:sz w:val="18"/>
              </w:rPr>
              <w:t>38,960,245.78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5,707,400.29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pStyle w:val="BodyText"/>
        <w:spacing w:line="240" w:lineRule="auto" w:before="26"/>
        <w:ind w:right="-20"/>
        <w:jc w:val="left"/>
      </w:pPr>
      <w:bookmarkStart w:name="（5）按欠款方归集的期末余额前五名的其他应收款情况" w:id="204"/>
      <w:bookmarkEnd w:id="204"/>
      <w:r>
        <w:rPr/>
      </w:r>
      <w:r>
        <w:rPr/>
        <w:t>组合中，采用余额百分比法计提坏账准备的其他应收款：</w:t>
      </w:r>
    </w:p>
    <w:p>
      <w:pPr>
        <w:pStyle w:val="BodyText"/>
        <w:spacing w:line="290" w:lineRule="auto" w:before="78"/>
        <w:ind w:right="4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组合中，采用其他方法计提坏账准备的其他应收款：</w:t>
      </w:r>
    </w:p>
    <w:p>
      <w:pPr>
        <w:pStyle w:val="BodyText"/>
        <w:spacing w:line="240" w:lineRule="auto" w:before="3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spacing w:val="-2"/>
        </w:rPr>
        <w:t>不适用</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5405" w:space="3394"/>
            <w:col w:w="1151"/>
          </w:cols>
        </w:sectPr>
      </w:pP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员工暂借款及其他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3,253,379.07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应收软件增值税退税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2,350,754.99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5,604,134.06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4"/>
        <w:spacing w:line="506" w:lineRule="auto" w:before="35"/>
        <w:ind w:left="574" w:right="5661"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）本期计提、收回或转回的坏账准备情况</w:t>
      </w:r>
      <w:r>
        <w:rPr>
          <w:spacing w:val="1"/>
          <w:w w:val="99"/>
        </w:rPr>
        <w:t> </w:t>
      </w:r>
      <w:r>
        <w:rPr>
          <w:rFonts w:ascii="宋体" w:hAnsi="宋体" w:cs="宋体" w:eastAsia="宋体" w:hint="default"/>
          <w:b w:val="0"/>
          <w:bCs w:val="0"/>
        </w:rPr>
        <w:t>无。</w:t>
      </w:r>
    </w:p>
    <w:p>
      <w:pPr>
        <w:pStyle w:val="Heading4"/>
        <w:spacing w:line="240" w:lineRule="auto" w:before="103"/>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6"/>
        </w:rPr>
        <w:t> </w:t>
      </w:r>
      <w:r>
        <w:rPr>
          <w:rFonts w:ascii="Times New Roman" w:hAnsi="Times New Roman" w:cs="Times New Roman" w:eastAsia="Times New Roman" w:hint="default"/>
        </w:rPr>
        <w:t>1,284,102.77</w:t>
      </w:r>
      <w:r>
        <w:rPr>
          <w:rFonts w:ascii="Times New Roman" w:hAnsi="Times New Roman" w:cs="Times New Roman" w:eastAsia="Times New Roman" w:hint="default"/>
          <w:spacing w:val="-4"/>
        </w:rPr>
        <w:t> </w:t>
      </w:r>
      <w:bookmarkStart w:name="（2）本期计提、收回或转回的坏账准备情况" w:id="205"/>
      <w:bookmarkEnd w:id="205"/>
      <w:r>
        <w:rPr>
          <w:rFonts w:ascii="Times New Roman" w:hAnsi="Times New Roman" w:cs="Times New Roman" w:eastAsia="Times New Roman" w:hint="default"/>
          <w:spacing w:val="-4"/>
        </w:rPr>
      </w:r>
      <w:bookmarkStart w:name="（3）本期实际核销的其他应收款情况" w:id="206"/>
      <w:bookmarkEnd w:id="206"/>
      <w:r>
        <w:rPr>
          <w:rFonts w:ascii="Times New Roman" w:hAnsi="Times New Roman" w:cs="Times New Roman" w:eastAsia="Times New Roman" w:hint="default"/>
          <w:spacing w:val="-4"/>
        </w:rPr>
      </w:r>
      <w:r>
        <w:rPr/>
        <w:t>元。本期无收回或转回的坏账准备。</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4）其他应收款按款项性质分类情况" w:id="207"/>
      <w:bookmarkEnd w:id="207"/>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2,130,539.52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2,840,248.12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30,514,175.15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19,873,913.02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单位与个人往来款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8,254,006.63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2,036,931.01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1,122,839.55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1,009,533.45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应收软件增值税退税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2,350,754.99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6,647,533.62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192,064.00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497,391.01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44,564,379.84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32,905,550.23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1276"/>
        <w:gridCol w:w="1238"/>
        <w:gridCol w:w="1594"/>
        <w:gridCol w:w="1596"/>
        <w:gridCol w:w="1595"/>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3,650,000.00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r>
        <w:rPr/>
        <w:pict>
          <v:shape style="position:absolute;margin-left:369.600006pt;margin-top:72.47998pt;width:85.4pt;height:15.6pt;mso-position-horizontal-relative:page;mso-position-vertical-relative:page;z-index:-94489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268"/>
        <w:gridCol w:w="1276"/>
        <w:gridCol w:w="1238"/>
        <w:gridCol w:w="1594"/>
        <w:gridCol w:w="1596"/>
        <w:gridCol w:w="1595"/>
      </w:tblGrid>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2,150,000.00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190000</w:t>
            </w:r>
            <w:r>
              <w:rPr>
                <w:rFonts w:ascii="宋体" w:hAnsi="宋体" w:cs="宋体" w:eastAsia="宋体" w:hint="default"/>
                <w:sz w:val="18"/>
                <w:szCs w:val="18"/>
              </w:rPr>
              <w:t>；</w:t>
            </w:r>
            <w:r>
              <w:rPr>
                <w:rFonts w:ascii="Times New Roman" w:hAnsi="Times New Roman" w:cs="Times New Roman" w:eastAsia="Times New Roman" w:hint="default"/>
                <w:sz w:val="18"/>
                <w:szCs w:val="18"/>
              </w:rPr>
              <w:t>3-4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 w:right="-49"/>
              <w:jc w:val="left"/>
              <w:rPr>
                <w:rFonts w:ascii="宋体" w:hAnsi="宋体" w:cs="宋体" w:eastAsia="宋体" w:hint="default"/>
                <w:sz w:val="20"/>
                <w:szCs w:val="20"/>
              </w:rPr>
            </w:pPr>
            <w:r>
              <w:rPr>
                <w:rFonts w:ascii="宋体" w:hAnsi="宋体" w:cs="宋体" w:eastAsia="宋体" w:hint="default"/>
                <w:position w:val="-5"/>
                <w:sz w:val="20"/>
                <w:szCs w:val="20"/>
              </w:rPr>
              <w:pict>
                <v:group style="width:79.2pt;height:15.6pt;mso-position-horizontal-relative:char;mso-position-vertical-relative:line" coordorigin="0,0" coordsize="1584,312">
                  <v:group style="position:absolute;left:0;top:0;width:1584;height:312" coordorigin="0,0" coordsize="1584,312">
                    <v:shape style="position:absolute;left:0;top:0;width:1584;height:312" coordorigin="0,0" coordsize="1584,312" path="m0,312l1584,312,1584,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772,000.00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2,640,140.00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132,007.00</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投标保证金及 履约保证金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2,457,250.00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7"/>
                <w:sz w:val="18"/>
                <w:szCs w:val="18"/>
              </w:rPr>
              <w:t>2,160,000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w:t>
            </w:r>
            <w:r>
              <w:rPr>
                <w:rFonts w:ascii="宋体" w:hAnsi="宋体" w:cs="宋体" w:eastAsia="宋体" w:hint="default"/>
                <w:sz w:val="18"/>
                <w:szCs w:val="18"/>
              </w:rPr>
              <w:t>；</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197,250.00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344,625.00</w:t>
            </w:r>
          </w:p>
        </w:tc>
      </w:tr>
      <w:tr>
        <w:trPr>
          <w:trHeight w:val="133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投标保证金及 质保金</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2,368,500.00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1,899,850.00; 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248,000.00; 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220,650.00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Arial"/>
                <w:w w:val="85"/>
                <w:sz w:val="18"/>
              </w:rPr>
              <w:t>5.31</w:t>
            </w:r>
            <w:r>
              <w:rPr>
                <w:rFonts w:ascii="Times New Roman"/>
                <w:w w:val="85"/>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185,987.50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14,455,890.00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1,617,119.50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0、存货" w:id="208"/>
      <w:bookmarkEnd w:id="208"/>
      <w:r>
        <w:rPr>
          <w:b w:val="0"/>
          <w:bCs w:val="0"/>
        </w:rPr>
      </w:r>
      <w:bookmarkStart w:name="（1）存货分类" w:id="209"/>
      <w:bookmarkEnd w:id="20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涉及政府补助的应收款项" w:id="210"/>
      <w:bookmarkEnd w:id="210"/>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1843"/>
        <w:gridCol w:w="1134"/>
        <w:gridCol w:w="1134"/>
        <w:gridCol w:w="4040"/>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4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厦门国家税务局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8"/>
              <w:jc w:val="right"/>
              <w:rPr>
                <w:rFonts w:ascii="宋体" w:hAnsi="宋体" w:cs="宋体" w:eastAsia="宋体" w:hint="default"/>
                <w:sz w:val="18"/>
                <w:szCs w:val="18"/>
              </w:rPr>
            </w:pPr>
            <w:r>
              <w:rPr>
                <w:rFonts w:ascii="宋体" w:hAnsi="宋体" w:cs="宋体" w:eastAsia="宋体" w:hint="default"/>
                <w:sz w:val="18"/>
                <w:szCs w:val="18"/>
              </w:rPr>
              <w:t>应收软件增值税退税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2,350,754.99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《国务院关于印发进一步鼓励软件产业和集成电路 </w:t>
            </w:r>
            <w:r>
              <w:rPr>
                <w:rFonts w:ascii="宋体" w:hAnsi="宋体" w:cs="宋体" w:eastAsia="宋体" w:hint="default"/>
                <w:spacing w:val="-5"/>
                <w:sz w:val="18"/>
                <w:szCs w:val="18"/>
              </w:rPr>
              <w:t>产业发展若干政策的通知》（国发〔</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号）已</w:t>
            </w:r>
            <w:r>
              <w:rPr>
                <w:rFonts w:ascii="宋体" w:hAnsi="宋体" w:cs="宋体" w:eastAsia="宋体" w:hint="default"/>
                <w:sz w:val="18"/>
                <w:szCs w:val="18"/>
              </w:rPr>
              <w:t>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月全额收到。</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2,350,754.99</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506" w:lineRule="auto" w:before="35"/>
        <w:ind w:left="574" w:right="5451" w:hanging="420"/>
        <w:jc w:val="left"/>
        <w:rPr>
          <w:rFonts w:ascii="宋体" w:hAnsi="宋体" w:cs="宋体" w:eastAsia="宋体" w:hint="default"/>
          <w:b w:val="0"/>
          <w:bCs w:val="0"/>
        </w:rPr>
      </w:pPr>
      <w:r>
        <w:rPr/>
        <w:t>（</w:t>
      </w:r>
      <w:r>
        <w:rPr>
          <w:rFonts w:ascii="Times New Roman" w:hAnsi="Times New Roman" w:cs="Times New Roman" w:eastAsia="Times New Roman" w:hint="default"/>
        </w:rPr>
        <w:t>7</w:t>
      </w:r>
      <w:r>
        <w:rPr/>
        <w:t>）因金融资产转移而终止确认的其他应收款</w:t>
      </w:r>
      <w:r>
        <w:rPr>
          <w:spacing w:val="1"/>
          <w:w w:val="99"/>
        </w:rPr>
        <w:t> </w:t>
      </w:r>
      <w:r>
        <w:rPr>
          <w:rFonts w:ascii="宋体" w:hAnsi="宋体" w:cs="宋体" w:eastAsia="宋体" w:hint="default"/>
          <w:b w:val="0"/>
          <w:bCs w:val="0"/>
        </w:rPr>
        <w:t>无。</w:t>
      </w:r>
    </w:p>
    <w:p>
      <w:pPr>
        <w:pStyle w:val="Heading4"/>
        <w:spacing w:line="506" w:lineRule="auto" w:before="103"/>
        <w:ind w:left="574" w:right="4607" w:hanging="420"/>
        <w:jc w:val="left"/>
        <w:rPr>
          <w:rFonts w:ascii="宋体" w:hAnsi="宋体" w:cs="宋体" w:eastAsia="宋体" w:hint="default"/>
          <w:b w:val="0"/>
          <w:bCs w:val="0"/>
        </w:rPr>
      </w:pPr>
      <w:r>
        <w:rPr/>
        <w:t>（</w:t>
      </w:r>
      <w:r>
        <w:rPr>
          <w:rFonts w:ascii="Times New Roman" w:hAnsi="Times New Roman" w:cs="Times New Roman" w:eastAsia="Times New Roman" w:hint="default"/>
        </w:rPr>
        <w:t>8</w:t>
      </w:r>
      <w:r>
        <w:rPr/>
        <w:t>）转移其他应收款且继续涉入形成的资产、负债金额</w:t>
      </w:r>
      <w:r>
        <w:rPr>
          <w:spacing w:val="1"/>
          <w:w w:val="99"/>
        </w:rPr>
        <w:t> </w:t>
      </w:r>
      <w:r>
        <w:rPr>
          <w:rFonts w:ascii="宋体" w:hAnsi="宋体" w:cs="宋体" w:eastAsia="宋体" w:hint="default"/>
          <w:b w:val="0"/>
          <w:bCs w:val="0"/>
        </w:rPr>
        <w:t>无。</w:t>
      </w:r>
    </w:p>
    <w:p>
      <w:pPr>
        <w:pStyle w:val="Heading4"/>
        <w:spacing w:line="240" w:lineRule="auto" w:before="104"/>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7）因金融资产转移而终止确认的其他应收款" w:id="211"/>
      <w:bookmarkEnd w:id="211"/>
      <w:r>
        <w:rPr/>
      </w:r>
      <w:bookmarkStart w:name="（8）转移其他应收款且继续涉入形成的资产、负债金额" w:id="212"/>
      <w:bookmarkEnd w:id="212"/>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3"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31,871,066.24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140,519.10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31,730,547.14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29,270,828.01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72,523.50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29,198,304.51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5,189,381.38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5,189,381.38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7,313,527.98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7,313,527.98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32,715,380.63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680,270.73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32,035,109.90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31,838,909.37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201,269.37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31,637,640.00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663,789.01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663,789.01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113,234,909.84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113,234,909.84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49,756,998.56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49,756,998.56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2,825,436.62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2,825,436.62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185,836,174.71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820,789.83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185,015,384.88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118,844,052.93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273,792.87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118,570,260.06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4、可供出售金融资产" w:id="213"/>
      <w:bookmarkEnd w:id="213"/>
      <w:r>
        <w:rPr>
          <w:b w:val="0"/>
          <w:bCs w:val="0"/>
        </w:rPr>
      </w:r>
      <w:bookmarkStart w:name="（1）可供出售金融资产情况" w:id="214"/>
      <w:bookmarkEnd w:id="21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存货跌价准备" w:id="215"/>
      <w:bookmarkEnd w:id="215"/>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1134"/>
        <w:gridCol w:w="1277"/>
        <w:gridCol w:w="709"/>
        <w:gridCol w:w="1134"/>
        <w:gridCol w:w="708"/>
        <w:gridCol w:w="1066"/>
      </w:tblGrid>
      <w:tr>
        <w:trPr>
          <w:trHeight w:val="206" w:hRule="exact"/>
        </w:trPr>
        <w:tc>
          <w:tcPr>
            <w:tcW w:w="3544" w:type="dxa"/>
            <w:tcBorders>
              <w:top w:val="single" w:sz="4" w:space="0" w:color="000000"/>
              <w:left w:val="single" w:sz="4" w:space="0" w:color="000000"/>
              <w:bottom w:val="nil" w:sz="6" w:space="0" w:color="auto"/>
              <w:right w:val="single" w:sz="4" w:space="0" w:color="000000"/>
            </w:tcBorders>
            <w:shd w:val="clear" w:color="auto" w:fill="D4D4D4"/>
          </w:tcPr>
          <w:p>
            <w:pPr/>
          </w:p>
        </w:tc>
        <w:tc>
          <w:tcPr>
            <w:tcW w:w="1134" w:type="dxa"/>
            <w:tcBorders>
              <w:top w:val="single" w:sz="4" w:space="0" w:color="000000"/>
              <w:left w:val="single" w:sz="4" w:space="0" w:color="000000"/>
              <w:bottom w:val="nil" w:sz="6" w:space="0" w:color="auto"/>
              <w:right w:val="single" w:sz="4" w:space="0" w:color="000000"/>
            </w:tcBorders>
            <w:shd w:val="clear" w:color="auto" w:fill="D4D4D4"/>
          </w:tcPr>
          <w:p>
            <w:pPr/>
          </w:p>
        </w:tc>
        <w:tc>
          <w:tcPr>
            <w:tcW w:w="198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84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6" w:hRule="exact"/>
        </w:trPr>
        <w:tc>
          <w:tcPr>
            <w:tcW w:w="35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6" w:type="dxa"/>
            <w:gridSpan w:val="2"/>
            <w:vMerge/>
            <w:tcBorders>
              <w:left w:val="single" w:sz="4" w:space="0" w:color="000000"/>
              <w:bottom w:val="single" w:sz="4" w:space="0" w:color="000000"/>
              <w:right w:val="single" w:sz="4" w:space="0" w:color="000000"/>
            </w:tcBorders>
            <w:shd w:val="clear" w:color="auto" w:fill="D4D4D4"/>
          </w:tcPr>
          <w:p>
            <w:pPr/>
          </w:p>
        </w:tc>
        <w:tc>
          <w:tcPr>
            <w:tcW w:w="1842" w:type="dxa"/>
            <w:gridSpan w:val="2"/>
            <w:vMerge/>
            <w:tcBorders>
              <w:left w:val="single" w:sz="4" w:space="0" w:color="000000"/>
              <w:bottom w:val="single" w:sz="4" w:space="0" w:color="000000"/>
              <w:right w:val="single" w:sz="4" w:space="0" w:color="000000"/>
            </w:tcBorders>
            <w:shd w:val="clear" w:color="auto" w:fill="D4D4D4"/>
          </w:tcPr>
          <w:p>
            <w:pPr/>
          </w:p>
        </w:tc>
        <w:tc>
          <w:tcPr>
            <w:tcW w:w="10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3544" w:type="dxa"/>
            <w:vMerge/>
            <w:tcBorders>
              <w:left w:val="single" w:sz="4" w:space="0" w:color="000000"/>
              <w:bottom w:val="nil" w:sz="6" w:space="0" w:color="auto"/>
              <w:right w:val="single" w:sz="4" w:space="0" w:color="000000"/>
            </w:tcBorders>
            <w:shd w:val="clear" w:color="auto" w:fill="D4D4D4"/>
          </w:tcPr>
          <w:p>
            <w:pPr/>
          </w:p>
        </w:tc>
        <w:tc>
          <w:tcPr>
            <w:tcW w:w="1134" w:type="dxa"/>
            <w:vMerge/>
            <w:tcBorders>
              <w:left w:val="single" w:sz="4" w:space="0" w:color="000000"/>
              <w:bottom w:val="nil" w:sz="6" w:space="0" w:color="auto"/>
              <w:right w:val="single" w:sz="4" w:space="0" w:color="000000"/>
            </w:tcBorders>
            <w:shd w:val="clear" w:color="auto" w:fill="D4D4D4"/>
          </w:tcPr>
          <w:p>
            <w:pPr/>
          </w:p>
        </w:tc>
        <w:tc>
          <w:tcPr>
            <w:tcW w:w="12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70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70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3544"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77" w:type="dxa"/>
            <w:vMerge/>
            <w:tcBorders>
              <w:left w:val="single" w:sz="4" w:space="0" w:color="000000"/>
              <w:bottom w:val="single" w:sz="4" w:space="0" w:color="000000"/>
              <w:right w:val="single" w:sz="4" w:space="0" w:color="000000"/>
            </w:tcBorders>
            <w:shd w:val="clear" w:color="auto" w:fill="D4D4D4"/>
          </w:tcPr>
          <w:p>
            <w:pPr/>
          </w:p>
        </w:tc>
        <w:tc>
          <w:tcPr>
            <w:tcW w:w="709" w:type="dxa"/>
            <w:vMerge/>
            <w:tcBorders>
              <w:left w:val="single" w:sz="4" w:space="0" w:color="000000"/>
              <w:bottom w:val="single" w:sz="4" w:space="0" w:color="000000"/>
              <w:right w:val="single" w:sz="4" w:space="0" w:color="000000"/>
            </w:tcBorders>
            <w:shd w:val="clear" w:color="auto" w:fill="D4D4D4"/>
          </w:tcPr>
          <w:p>
            <w:pPr/>
          </w:p>
        </w:tc>
        <w:tc>
          <w:tcPr>
            <w:tcW w:w="1134" w:type="dxa"/>
            <w:vMerge/>
            <w:tcBorders>
              <w:left w:val="single" w:sz="4" w:space="0" w:color="000000"/>
              <w:bottom w:val="single" w:sz="4" w:space="0" w:color="000000"/>
              <w:right w:val="single" w:sz="4" w:space="0" w:color="000000"/>
            </w:tcBorders>
            <w:shd w:val="clear" w:color="auto" w:fill="D4D4D4"/>
          </w:tcPr>
          <w:p>
            <w:pPr/>
          </w:p>
        </w:tc>
        <w:tc>
          <w:tcPr>
            <w:tcW w:w="708"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1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72,523.50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67,995.60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140,519.10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1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201,269.37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479,001.36</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680,270.73</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273,792.87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546,996.96</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820,789.83</w:t>
            </w:r>
          </w:p>
        </w:tc>
      </w:tr>
    </w:tbl>
    <w:p>
      <w:pPr>
        <w:spacing w:line="240" w:lineRule="auto" w:before="2"/>
        <w:rPr>
          <w:rFonts w:ascii="宋体" w:hAnsi="宋体" w:cs="宋体" w:eastAsia="宋体" w:hint="default"/>
          <w:sz w:val="19"/>
          <w:szCs w:val="19"/>
        </w:rPr>
      </w:pPr>
    </w:p>
    <w:p>
      <w:pPr>
        <w:pStyle w:val="Heading4"/>
        <w:spacing w:line="506" w:lineRule="auto" w:before="35"/>
        <w:ind w:left="574" w:right="5240"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）期末建造合同形成的已完工未结算资产情况</w:t>
      </w:r>
      <w:r>
        <w:rPr>
          <w:spacing w:val="1"/>
          <w:w w:val="99"/>
        </w:rPr>
        <w:t> </w:t>
      </w:r>
      <w:r>
        <w:rPr>
          <w:rFonts w:ascii="宋体" w:hAnsi="宋体" w:cs="宋体" w:eastAsia="宋体" w:hint="default"/>
          <w:b w:val="0"/>
          <w:bCs w:val="0"/>
        </w:rPr>
        <w:t>无。</w:t>
      </w:r>
    </w:p>
    <w:p>
      <w:pPr>
        <w:pStyle w:val="Heading4"/>
        <w:spacing w:line="506" w:lineRule="auto" w:before="103"/>
        <w:ind w:left="574" w:right="7243" w:hanging="420"/>
        <w:jc w:val="left"/>
        <w:rPr>
          <w:rFonts w:ascii="宋体" w:hAnsi="宋体" w:cs="宋体" w:eastAsia="宋体" w:hint="default"/>
          <w:b w:val="0"/>
          <w:bCs w:val="0"/>
        </w:rPr>
      </w:pPr>
      <w:r>
        <w:rPr>
          <w:rFonts w:ascii="Times New Roman" w:hAnsi="Times New Roman" w:cs="Times New Roman" w:eastAsia="Times New Roman" w:hint="default"/>
        </w:rPr>
        <w:t>11</w:t>
      </w:r>
      <w:r>
        <w:rPr/>
        <w:t>、划分为持有待售的资产</w:t>
      </w:r>
      <w:r>
        <w:rPr>
          <w:w w:val="99"/>
        </w:rPr>
        <w:t> </w:t>
      </w:r>
      <w:r>
        <w:rPr>
          <w:rFonts w:ascii="宋体" w:hAnsi="宋体" w:cs="宋体" w:eastAsia="宋体" w:hint="default"/>
          <w:b w:val="0"/>
          <w:bCs w:val="0"/>
        </w:rPr>
        <w:t>无。</w:t>
      </w:r>
    </w:p>
    <w:p>
      <w:pPr>
        <w:pStyle w:val="Heading4"/>
        <w:spacing w:line="506" w:lineRule="auto" w:before="104"/>
        <w:ind w:left="574" w:right="7032" w:hanging="420"/>
        <w:jc w:val="left"/>
        <w:rPr>
          <w:rFonts w:ascii="宋体" w:hAnsi="宋体" w:cs="宋体" w:eastAsia="宋体" w:hint="default"/>
          <w:b w:val="0"/>
          <w:bCs w:val="0"/>
        </w:rPr>
      </w:pPr>
      <w:r>
        <w:rPr>
          <w:rFonts w:ascii="Times New Roman" w:hAnsi="Times New Roman" w:cs="Times New Roman" w:eastAsia="Times New Roman" w:hint="default"/>
        </w:rPr>
        <w:t>12</w:t>
      </w:r>
      <w:r>
        <w:rPr/>
        <w:t>、一年内到期的非流动资产</w:t>
      </w:r>
      <w:r>
        <w:rPr>
          <w:spacing w:val="1"/>
          <w:w w:val="99"/>
        </w:rPr>
        <w:t> </w:t>
      </w:r>
      <w:r>
        <w:rPr>
          <w:rFonts w:ascii="宋体" w:hAnsi="宋体" w:cs="宋体" w:eastAsia="宋体" w:hint="default"/>
          <w:b w:val="0"/>
          <w:bCs w:val="0"/>
        </w:rPr>
        <w:t>无。</w:t>
      </w:r>
    </w:p>
    <w:p>
      <w:pPr>
        <w:pStyle w:val="Heading4"/>
        <w:spacing w:line="240" w:lineRule="auto" w:before="104"/>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4）期末建造合同形成的已完工未结算资产情况" w:id="216"/>
      <w:bookmarkEnd w:id="216"/>
      <w:r>
        <w:rPr/>
      </w:r>
      <w:bookmarkStart w:name="11、划分为持有待售的资产" w:id="217"/>
      <w:bookmarkEnd w:id="217"/>
      <w:r>
        <w:rPr/>
      </w:r>
      <w:bookmarkStart w:name="12、一年内到期的非流动资产" w:id="218"/>
      <w:bookmarkEnd w:id="218"/>
      <w:r>
        <w:rPr/>
      </w:r>
      <w:bookmarkStart w:name="13、其他流动资产" w:id="219"/>
      <w:bookmarkEnd w:id="219"/>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389,745.23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753,399.38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753,399.38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389,745.23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3587"/>
        <w:gridCol w:w="3982"/>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5"/>
        <w:gridCol w:w="1196"/>
        <w:gridCol w:w="1248"/>
        <w:gridCol w:w="1367"/>
        <w:gridCol w:w="1367"/>
      </w:tblGrid>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7,880,000.00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7,880,000.00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left"/>
              <w:rPr>
                <w:rFonts w:ascii="Times New Roman" w:hAnsi="Times New Roman" w:cs="Times New Roman" w:eastAsia="Times New Roman" w:hint="default"/>
                <w:sz w:val="18"/>
                <w:szCs w:val="18"/>
              </w:rPr>
            </w:pPr>
            <w:r>
              <w:rPr>
                <w:rFonts w:ascii="Times New Roman"/>
                <w:sz w:val="18"/>
              </w:rPr>
              <w:t>7,880,000.00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7,880,000.00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7,880,000.00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left"/>
              <w:rPr>
                <w:rFonts w:ascii="Times New Roman" w:hAnsi="Times New Roman" w:cs="Times New Roman" w:eastAsia="Times New Roman" w:hint="default"/>
                <w:sz w:val="18"/>
                <w:szCs w:val="18"/>
              </w:rPr>
            </w:pPr>
            <w:r>
              <w:rPr>
                <w:rFonts w:ascii="Times New Roman"/>
                <w:sz w:val="18"/>
              </w:rPr>
              <w:t>7,880,000.00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7,880,000.00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7,880,000.00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left"/>
              <w:rPr>
                <w:rFonts w:ascii="Times New Roman" w:hAnsi="Times New Roman" w:cs="Times New Roman" w:eastAsia="Times New Roman" w:hint="default"/>
                <w:sz w:val="18"/>
                <w:szCs w:val="18"/>
              </w:rPr>
            </w:pPr>
            <w:r>
              <w:rPr>
                <w:rFonts w:ascii="Times New Roman"/>
                <w:sz w:val="18"/>
              </w:rPr>
              <w:t>7,880,000.00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7,880,000.00</w:t>
            </w:r>
          </w:p>
        </w:tc>
      </w:tr>
    </w:tbl>
    <w:p>
      <w:pPr>
        <w:spacing w:line="240" w:lineRule="auto" w:before="2"/>
        <w:rPr>
          <w:rFonts w:ascii="宋体" w:hAnsi="宋体" w:cs="宋体" w:eastAsia="宋体" w:hint="default"/>
          <w:sz w:val="19"/>
          <w:szCs w:val="19"/>
        </w:rPr>
      </w:pPr>
    </w:p>
    <w:p>
      <w:pPr>
        <w:pStyle w:val="Heading4"/>
        <w:spacing w:line="506" w:lineRule="auto" w:before="35"/>
        <w:ind w:left="574" w:right="5451" w:hanging="420"/>
        <w:jc w:val="left"/>
        <w:rPr>
          <w:rFonts w:ascii="宋体" w:hAnsi="宋体" w:cs="宋体" w:eastAsia="宋体" w:hint="default"/>
          <w:b w:val="0"/>
          <w:bCs w:val="0"/>
        </w:rPr>
      </w:pPr>
      <w:bookmarkStart w:name="（5）可供出售权益工具期末公允价值严重下跌或非暂时性下跌但未计提减值准备的相关说" w:id="220"/>
      <w:bookmarkEnd w:id="220"/>
      <w:r>
        <w:rPr>
          <w:b w:val="0"/>
          <w:bCs w:val="0"/>
        </w:rPr>
      </w:r>
      <w:bookmarkStart w:name="15、持有至到期投资" w:id="221"/>
      <w:bookmarkEnd w:id="221"/>
      <w:r>
        <w:rPr>
          <w:b w:val="0"/>
          <w:bCs w:val="0"/>
        </w:rPr>
      </w:r>
      <w:bookmarkStart w:name="16、长期应收款" w:id="222"/>
      <w:bookmarkEnd w:id="222"/>
      <w:r>
        <w:rPr>
          <w:b w:val="0"/>
          <w:bCs w:val="0"/>
        </w:rPr>
      </w:r>
      <w:bookmarkStart w:name="（1）长期应收款情况" w:id="223"/>
      <w:bookmarkEnd w:id="223"/>
      <w:r>
        <w:rPr>
          <w:b w:val="0"/>
          <w:bCs w:val="0"/>
        </w:rPr>
      </w:r>
      <w:r>
        <w:rPr/>
        <w:t>（</w:t>
      </w:r>
      <w:r>
        <w:rPr>
          <w:rFonts w:ascii="Times New Roman" w:hAnsi="Times New Roman" w:cs="Times New Roman" w:eastAsia="Times New Roman" w:hint="default"/>
        </w:rPr>
        <w:t>2</w:t>
      </w:r>
      <w:r>
        <w:rPr/>
        <w:t>）期末按公允价值计量</w:t>
      </w:r>
      <w:bookmarkStart w:name="（2）期末按公允价值计量的可供出售金融资产" w:id="224"/>
      <w:bookmarkEnd w:id="224"/>
      <w:r>
        <w:rPr/>
        <w:t>的可供出</w:t>
      </w:r>
      <w:r>
        <w:rPr/>
        <w:t>售金融资产</w:t>
      </w:r>
      <w:r>
        <w:rPr>
          <w:spacing w:val="1"/>
          <w:w w:val="99"/>
        </w:rPr>
        <w:t> </w:t>
      </w:r>
      <w:r>
        <w:rPr>
          <w:rFonts w:ascii="宋体" w:hAnsi="宋体" w:cs="宋体" w:eastAsia="宋体" w:hint="default"/>
          <w:b w:val="0"/>
          <w:bCs w:val="0"/>
        </w:rPr>
        <w:t>无。</w:t>
      </w:r>
    </w:p>
    <w:p>
      <w:pPr>
        <w:pStyle w:val="Heading4"/>
        <w:spacing w:line="240" w:lineRule="auto" w:before="104"/>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期末按成本计量的可供出售金融资产" w:id="225"/>
      <w:bookmarkEnd w:id="225"/>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134"/>
        <w:gridCol w:w="568"/>
        <w:gridCol w:w="566"/>
        <w:gridCol w:w="1134"/>
        <w:gridCol w:w="568"/>
        <w:gridCol w:w="566"/>
        <w:gridCol w:w="568"/>
        <w:gridCol w:w="566"/>
        <w:gridCol w:w="994"/>
        <w:gridCol w:w="631"/>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40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6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4" w:hRule="exact"/>
        </w:trPr>
        <w:tc>
          <w:tcPr>
            <w:tcW w:w="2268" w:type="dxa"/>
            <w:vMerge/>
            <w:tcBorders>
              <w:left w:val="single" w:sz="4" w:space="0" w:color="000000"/>
              <w:bottom w:val="single" w:sz="4" w:space="0" w:color="000000"/>
              <w:right w:val="single" w:sz="4" w:space="0" w:color="000000"/>
            </w:tcBorders>
            <w:shd w:val="clear" w:color="auto" w:fill="D4D4D4"/>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994" w:type="dxa"/>
            <w:vMerge/>
            <w:tcBorders>
              <w:left w:val="single" w:sz="4" w:space="0" w:color="000000"/>
              <w:bottom w:val="single" w:sz="4" w:space="0" w:color="000000"/>
              <w:right w:val="single" w:sz="4" w:space="0" w:color="000000"/>
            </w:tcBorders>
            <w:shd w:val="clear" w:color="auto" w:fill="D4D4D4"/>
          </w:tcPr>
          <w:p>
            <w:pPr/>
          </w:p>
        </w:tc>
        <w:tc>
          <w:tcPr>
            <w:tcW w:w="631"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杭州攀克网路技术有限公司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1,000,000.00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10.71%</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厦门市巨龙信息科技有限公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4,880,000.00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7,880,000.00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9" w:space="0" w:color="D4D4D4"/>
            </w:tcBorders>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506" w:lineRule="auto" w:before="35"/>
        <w:ind w:left="574" w:right="5240"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）报告期内可供出售金融资产减值的变动情况</w:t>
      </w:r>
      <w:r>
        <w:rPr>
          <w:spacing w:val="1"/>
          <w:w w:val="99"/>
        </w:rPr>
        <w:t> </w:t>
      </w:r>
      <w:r>
        <w:rPr>
          <w:rFonts w:ascii="宋体" w:hAnsi="宋体" w:cs="宋体" w:eastAsia="宋体" w:hint="default"/>
          <w:b w:val="0"/>
          <w:bCs w:val="0"/>
        </w:rPr>
        <w:t>无。</w:t>
      </w:r>
    </w:p>
    <w:p>
      <w:pPr>
        <w:pStyle w:val="Heading4"/>
        <w:spacing w:line="506" w:lineRule="auto" w:before="104"/>
        <w:ind w:left="574" w:right="1583"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5</w:t>
      </w:r>
      <w:r>
        <w:rPr>
          <w:w w:val="95"/>
        </w:rPr>
        <w:t>）可供出售权益工具期末公允价值严重下跌或非暂时性下跌但未计提减值准备的</w:t>
      </w:r>
      <w:bookmarkStart w:name="（4）报告期内可供出售金融资产减值的变动情况" w:id="226"/>
      <w:bookmarkEnd w:id="226"/>
      <w:r>
        <w:rPr>
          <w:w w:val="95"/>
        </w:rPr>
        <w:t>相关说明</w:t>
      </w:r>
      <w:r>
        <w:rPr>
          <w:w w:val="95"/>
        </w:rPr>
        <w:t>   </w:t>
      </w:r>
      <w:r>
        <w:rPr>
          <w:spacing w:val="11"/>
          <w:w w:val="95"/>
        </w:rPr>
        <w:t> </w:t>
      </w:r>
      <w:r>
        <w:rPr>
          <w:spacing w:val="11"/>
          <w:w w:val="95"/>
        </w:rPr>
      </w:r>
      <w:r>
        <w:rPr>
          <w:rFonts w:ascii="宋体" w:hAnsi="宋体" w:cs="宋体" w:eastAsia="宋体" w:hint="default"/>
          <w:b w:val="0"/>
          <w:bCs w:val="0"/>
        </w:rPr>
        <w:t>无。</w:t>
      </w:r>
    </w:p>
    <w:p>
      <w:pPr>
        <w:pStyle w:val="Heading4"/>
        <w:spacing w:line="506" w:lineRule="auto" w:before="104"/>
        <w:ind w:left="574" w:right="7875" w:hanging="420"/>
        <w:jc w:val="left"/>
        <w:rPr>
          <w:rFonts w:ascii="宋体" w:hAnsi="宋体" w:cs="宋体" w:eastAsia="宋体" w:hint="default"/>
          <w:b w:val="0"/>
          <w:bCs w:val="0"/>
        </w:rPr>
      </w:pPr>
      <w:r>
        <w:rPr>
          <w:rFonts w:ascii="Times New Roman" w:hAnsi="Times New Roman" w:cs="Times New Roman" w:eastAsia="Times New Roman" w:hint="default"/>
        </w:rPr>
        <w:t>15</w:t>
      </w:r>
      <w:r>
        <w:rPr/>
        <w:t>、持有至到期投资</w:t>
      </w:r>
      <w:r>
        <w:rPr>
          <w:spacing w:val="1"/>
          <w:w w:val="99"/>
        </w:rPr>
        <w:t> </w:t>
      </w:r>
      <w:r>
        <w:rPr>
          <w:rFonts w:ascii="宋体" w:hAnsi="宋体" w:cs="宋体" w:eastAsia="宋体" w:hint="default"/>
          <w:b w:val="0"/>
          <w:bCs w:val="0"/>
        </w:rPr>
        <w:t>无。</w:t>
      </w:r>
    </w:p>
    <w:p>
      <w:pPr>
        <w:pStyle w:val="Heading4"/>
        <w:spacing w:line="240" w:lineRule="auto" w:before="104"/>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506" w:lineRule="auto"/>
        <w:ind w:left="574" w:right="7770" w:hanging="420"/>
        <w:jc w:val="left"/>
        <w:rPr>
          <w:rFonts w:ascii="宋体" w:hAnsi="宋体" w:cs="宋体" w:eastAsia="宋体" w:hint="default"/>
          <w:b w:val="0"/>
          <w:bCs w:val="0"/>
        </w:rPr>
      </w:pPr>
      <w:r>
        <w:rPr/>
        <w:t>（</w:t>
      </w:r>
      <w:r>
        <w:rPr>
          <w:rFonts w:ascii="Times New Roman" w:hAnsi="Times New Roman" w:cs="Times New Roman" w:eastAsia="Times New Roman" w:hint="default"/>
        </w:rPr>
        <w:t>1</w:t>
      </w:r>
      <w:r>
        <w:rPr/>
        <w:t>）长期应收款情况</w:t>
      </w:r>
      <w:r>
        <w:rPr>
          <w:spacing w:val="1"/>
          <w:w w:val="99"/>
        </w:rPr>
        <w:t> </w:t>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747" w:footer="980" w:top="1060" w:bottom="1180" w:left="980" w:right="980"/>
        </w:sectPr>
      </w:pPr>
    </w:p>
    <w:p>
      <w:pPr>
        <w:spacing w:line="240" w:lineRule="auto" w:before="9"/>
        <w:rPr>
          <w:rFonts w:ascii="宋体" w:hAnsi="宋体" w:cs="宋体" w:eastAsia="宋体" w:hint="default"/>
          <w:sz w:val="24"/>
          <w:szCs w:val="24"/>
        </w:rPr>
      </w:pPr>
    </w:p>
    <w:p>
      <w:pPr>
        <w:pStyle w:val="Heading4"/>
        <w:spacing w:line="506" w:lineRule="auto" w:before="35"/>
        <w:ind w:left="574" w:right="5511"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bookmarkStart w:name="（2）因金融资产转移而终止确认的长期应收款" w:id="227"/>
      <w:bookmarkEnd w:id="227"/>
      <w:r>
        <w:rPr>
          <w:rFonts w:ascii="Times New Roman" w:hAnsi="Times New Roman" w:cs="Times New Roman" w:eastAsia="Times New Roman" w:hint="default"/>
        </w:rPr>
      </w:r>
      <w:r>
        <w:rPr/>
        <w:t>）因金融资产转移而终止确认的长期应收款</w:t>
      </w:r>
      <w:r>
        <w:rPr>
          <w:spacing w:val="1"/>
          <w:w w:val="99"/>
        </w:rPr>
        <w:t> </w:t>
      </w:r>
      <w:r>
        <w:rPr>
          <w:rFonts w:ascii="宋体" w:hAnsi="宋体" w:cs="宋体" w:eastAsia="宋体" w:hint="default"/>
          <w:b w:val="0"/>
          <w:bCs w:val="0"/>
        </w:rPr>
        <w:t>无。</w:t>
      </w:r>
    </w:p>
    <w:p>
      <w:pPr>
        <w:pStyle w:val="Heading4"/>
        <w:spacing w:line="506" w:lineRule="auto" w:before="103"/>
        <w:ind w:left="574" w:right="4667"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）转移</w:t>
      </w:r>
      <w:bookmarkStart w:name="（3）转移长期应收款且继续涉入形成的资产、负债金额" w:id="228"/>
      <w:bookmarkEnd w:id="228"/>
      <w:r>
        <w:rPr/>
        <w:t>长</w:t>
      </w:r>
      <w:r>
        <w:rPr/>
        <w:t>期应收款且继续涉入形成的资产、负债金额</w:t>
      </w:r>
      <w:r>
        <w:rPr>
          <w:spacing w:val="1"/>
          <w:w w:val="99"/>
        </w:rPr>
        <w:t> </w:t>
      </w:r>
      <w:r>
        <w:rPr>
          <w:rFonts w:ascii="宋体" w:hAnsi="宋体" w:cs="宋体" w:eastAsia="宋体" w:hint="default"/>
          <w:b w:val="0"/>
          <w:bCs w:val="0"/>
        </w:rPr>
        <w:t>无。</w:t>
      </w:r>
    </w:p>
    <w:p>
      <w:pPr>
        <w:pStyle w:val="Heading4"/>
        <w:spacing w:line="240" w:lineRule="auto" w:before="103"/>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bookmarkStart w:name="17、长期股权投资" w:id="229"/>
      <w:bookmarkEnd w:id="229"/>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1100"/>
        <w:gridCol w:w="494"/>
        <w:gridCol w:w="1064"/>
        <w:gridCol w:w="532"/>
        <w:gridCol w:w="1170"/>
        <w:gridCol w:w="850"/>
        <w:gridCol w:w="709"/>
        <w:gridCol w:w="463"/>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c>
          <w:tcPr>
            <w:tcW w:w="1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1"/>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80" w:right="79"/>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11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其他权益变动</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13" w:space="0" w:color="D4D4D4"/>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厦门服云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4,624,940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110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-3,232,564.55</w:t>
            </w:r>
          </w:p>
        </w:tc>
        <w:tc>
          <w:tcPr>
            <w:tcW w:w="532"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1,392,376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北京万诚 信用评价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5,000,000.00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-1,065,006.80</w:t>
            </w:r>
          </w:p>
        </w:tc>
        <w:tc>
          <w:tcPr>
            <w:tcW w:w="532"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-1,476,838.64</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2,458,154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4,624,940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5,000,000.00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-4,297,571.35</w:t>
            </w:r>
          </w:p>
        </w:tc>
        <w:tc>
          <w:tcPr>
            <w:tcW w:w="532"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-1,476,838.64</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3,850,530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4,624,940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5,000,000.00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-4,297,571.35</w:t>
            </w:r>
          </w:p>
        </w:tc>
        <w:tc>
          <w:tcPr>
            <w:tcW w:w="532"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-1,476,838.64</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3,850,530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0"/>
        <w:jc w:val="left"/>
      </w:pPr>
      <w:r>
        <w:rPr/>
        <w:t>其他说明：</w:t>
      </w:r>
    </w:p>
    <w:p>
      <w:pPr>
        <w:spacing w:line="240" w:lineRule="auto" w:before="5"/>
        <w:rPr>
          <w:rFonts w:ascii="宋体" w:hAnsi="宋体" w:cs="宋体" w:eastAsia="宋体" w:hint="default"/>
          <w:sz w:val="14"/>
          <w:szCs w:val="14"/>
        </w:rPr>
      </w:pPr>
    </w:p>
    <w:p>
      <w:pPr>
        <w:pStyle w:val="BodyText"/>
        <w:spacing w:line="314" w:lineRule="auto"/>
        <w:ind w:left="153" w:right="95" w:firstLine="420"/>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月，本公司与北京陆桥质检科技有限公司</w:t>
      </w:r>
      <w:r>
        <w:rPr>
          <w:spacing w:val="9"/>
        </w:rPr>
        <w:t> </w:t>
      </w:r>
      <w:r>
        <w:rPr>
          <w:spacing w:val="-3"/>
        </w:rPr>
        <w:t>、涂阳纯共同出资成立北京万诚信用评价有限公司，</w:t>
      </w:r>
      <w:r>
        <w:rPr/>
        <w:t> 初始注册资本</w:t>
      </w:r>
      <w:r>
        <w:rPr>
          <w:rFonts w:ascii="Times New Roman" w:hAnsi="Times New Roman" w:cs="Times New Roman" w:eastAsia="Times New Roman" w:hint="default"/>
        </w:rPr>
        <w:t>500</w:t>
      </w:r>
      <w:r>
        <w:rPr/>
        <w:t>万元，本公司出资人民币 </w:t>
      </w:r>
      <w:r>
        <w:rPr>
          <w:rFonts w:ascii="Times New Roman" w:hAnsi="Times New Roman" w:cs="Times New Roman" w:eastAsia="Times New Roman" w:hint="default"/>
        </w:rPr>
        <w:t>500 </w:t>
      </w:r>
      <w:r>
        <w:rPr>
          <w:spacing w:val="-3"/>
        </w:rPr>
        <w:t>万元，占合资公司</w:t>
      </w:r>
      <w:r>
        <w:rPr>
          <w:spacing w:val="-12"/>
        </w:rPr>
        <w:t> </w:t>
      </w:r>
      <w:r>
        <w:rPr>
          <w:rFonts w:ascii="Times New Roman" w:hAnsi="Times New Roman" w:cs="Times New Roman" w:eastAsia="Times New Roman" w:hint="default"/>
          <w:spacing w:val="-3"/>
        </w:rPr>
        <w:t>35%</w:t>
      </w:r>
      <w:r>
        <w:rPr>
          <w:spacing w:val="-3"/>
        </w:rPr>
        <w:t>股权。</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月，北京中合农投</w:t>
      </w:r>
      <w:r>
        <w:rPr/>
        <w:t> 投资基金管理有限公司对北京万诚信用评价有限公司进行单方增资，增资完成后北京万诚信用评价有限公 司注册资本由</w:t>
      </w:r>
      <w:r>
        <w:rPr>
          <w:rFonts w:ascii="Times New Roman" w:hAnsi="Times New Roman" w:cs="Times New Roman" w:eastAsia="Times New Roman" w:hint="default"/>
        </w:rPr>
        <w:t>500</w:t>
      </w:r>
      <w:r>
        <w:rPr/>
        <w:t>万元变更为</w:t>
      </w:r>
      <w:r>
        <w:rPr>
          <w:rFonts w:ascii="Times New Roman" w:hAnsi="Times New Roman" w:cs="Times New Roman" w:eastAsia="Times New Roman" w:hint="default"/>
        </w:rPr>
        <w:t>625</w:t>
      </w:r>
      <w:r>
        <w:rPr/>
        <w:t>万元，本公司持股比例由</w:t>
      </w:r>
      <w:r>
        <w:rPr>
          <w:rFonts w:ascii="Times New Roman" w:hAnsi="Times New Roman" w:cs="Times New Roman" w:eastAsia="Times New Roman" w:hint="default"/>
        </w:rPr>
        <w:t>35%</w:t>
      </w:r>
      <w:r>
        <w:rPr/>
        <w:t>变更为</w:t>
      </w:r>
      <w:r>
        <w:rPr>
          <w:rFonts w:ascii="Times New Roman" w:hAnsi="Times New Roman" w:cs="Times New Roman" w:eastAsia="Times New Roman" w:hint="default"/>
        </w:rPr>
        <w:t>28%</w:t>
      </w:r>
      <w:r>
        <w:rPr/>
        <w:t>，本公司按所持股权比例计算应</w:t>
      </w:r>
      <w:r>
        <w:rPr>
          <w:spacing w:val="-72"/>
        </w:rPr>
        <w:t> </w:t>
      </w:r>
      <w:r>
        <w:rPr>
          <w:spacing w:val="-72"/>
        </w:rPr>
      </w:r>
      <w:r>
        <w:rPr/>
        <w:t>享有的份额，调整减少长期股权投资的账面价值</w:t>
      </w:r>
      <w:r>
        <w:rPr>
          <w:rFonts w:ascii="Times New Roman" w:hAnsi="Times New Roman" w:cs="Times New Roman" w:eastAsia="Times New Roman" w:hint="default"/>
        </w:rPr>
        <w:t>1,476,838.64</w:t>
      </w:r>
      <w:r>
        <w:rPr/>
        <w:t>元，同时计入资本公积（其他资本公积）</w:t>
      </w:r>
    </w:p>
    <w:p>
      <w:pPr>
        <w:spacing w:after="0" w:line="314" w:lineRule="auto"/>
        <w:jc w:val="left"/>
        <w:sectPr>
          <w:pgSz w:w="11910" w:h="16840"/>
          <w:pgMar w:header="747" w:footer="980" w:top="1060" w:bottom="1180" w:left="980" w:right="92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18</w:t>
      </w:r>
      <w:bookmarkStart w:name="18、投资性房地产" w:id="230"/>
      <w:bookmarkEnd w:id="230"/>
      <w:r>
        <w:rPr>
          <w:rFonts w:ascii="Times New Roman" w:hAnsi="Times New Roman" w:cs="Times New Roman" w:eastAsia="Times New Roman" w:hint="default"/>
        </w:rPr>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bookmarkStart w:name="（1）采用成本计量模式的投资性房地产" w:id="231"/>
      <w:bookmarkEnd w:id="231"/>
      <w:r>
        <w:rPr>
          <w:rFonts w:ascii="Times New Roman" w:hAnsi="Times New Roman" w:cs="Times New Roman" w:eastAsia="Times New Roman" w:hint="default"/>
        </w:rPr>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26,156,774.46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26,156,774.46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9,600,114.74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9,600,114.74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）存货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9,600,114.74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9,600,114.74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25,313,597.03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25,313,597.03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25,313,597.03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25,313,597.03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10,443,292.17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10,443,292.17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78,410.85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78,410.85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1,512,654.28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1,512,654.28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1,512,654.28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1,512,654.28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896,877.31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896,877.31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896,877.31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896,877.31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694,187.82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694,187.82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9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9,749,104.35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9,749,104.35</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9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26,078,363.61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26,078,363.61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）采用</w:t>
      </w:r>
      <w:bookmarkStart w:name="（2）采用公允价值计量模式的投资性房地产" w:id="232"/>
      <w:bookmarkEnd w:id="232"/>
      <w:r>
        <w:rPr/>
        <w:t>公</w:t>
      </w:r>
      <w:r>
        <w:rPr/>
        <w:t>允价值计量模式的投资性房地产</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）未办妥产</w:t>
      </w:r>
      <w:bookmarkStart w:name="（3）未办妥产权证书的投资性房地产情况" w:id="233"/>
      <w:bookmarkEnd w:id="233"/>
      <w:r>
        <w:rPr/>
        <w:t>权证书的</w:t>
      </w:r>
      <w:r>
        <w:rPr/>
        <w:t>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东海火炬科技园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8,877,725.9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相关部门手续问题</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19、固定资产" w:id="234"/>
      <w:bookmarkEnd w:id="234"/>
      <w:r>
        <w:rPr/>
      </w:r>
      <w:bookmarkStart w:name="（1）固定资产情况" w:id="235"/>
      <w:bookmarkEnd w:id="235"/>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2"/>
        <w:gridCol w:w="1195"/>
        <w:gridCol w:w="1196"/>
        <w:gridCol w:w="1196"/>
        <w:gridCol w:w="1195"/>
        <w:gridCol w:w="1285"/>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3" w:space="0" w:color="D4D4D4"/>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210,707,676.59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2,000,825.44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41,521,008.56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13,110,131.32</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267,339,641.91</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36,409,725.54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873,047.95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5,564,042.55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1,184,457.51</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44,031,273.55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802,938.49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873,047.95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5,564,042.55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1,184,457.51</w:t>
            </w:r>
            <w:r>
              <w:rPr>
                <w:rFonts w:ascii="Times New Roman"/>
                <w:sz w:val="18"/>
              </w:rPr>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8,424,486.50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10,293,190.02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10,293,190.02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3" w:space="0" w:color="D4D4D4"/>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25,313,597.03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25,313,597.03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9,600,114.74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98,669.91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2,277,022.28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11,975,806.93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98,669.91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2,277,022.28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2,375,692.19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9,600,114.74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9,600,114.74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237,517,287.39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2,775,203.48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44,808,028.83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14,294,588.83</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299,395,108.53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13,927,416.47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211,235.88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15,390,608.96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6,181,476.95</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35,710,738.26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11,129,826.99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449,367.54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7,853,104.23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2,245,218.46</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21,677,517.22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9,412,157.86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449,367.54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7,853,104.23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2,245,218.46</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19,959,848.09</w:t>
            </w:r>
            <w:r>
              <w:rPr>
                <w:rFonts w:ascii="Arial"/>
                <w:spacing w:val="-1"/>
                <w:sz w:val="18"/>
              </w:rPr>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1,717,669.13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1,717,669.13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1,001,307.29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11,040.36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1,132,051.34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2,144,398.99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11,040.36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1,132,051.34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1,143,091.70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2"/>
        <w:gridCol w:w="1195"/>
        <w:gridCol w:w="1196"/>
        <w:gridCol w:w="1196"/>
        <w:gridCol w:w="1195"/>
        <w:gridCol w:w="1285"/>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1,001,307.29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1,001,307.29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24,055,936.17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649,563.06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22,111,661.85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8,426,695.41</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55,243,856.49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213,461,351.22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2,125,640.42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22,696,366.98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5,867,893.42</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244,151,252.04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196,780,260.12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1,789,589.56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26,130,399.60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6,928,654.37</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231,628,903.65</w:t>
            </w:r>
          </w:p>
        </w:tc>
      </w:tr>
    </w:tbl>
    <w:p>
      <w:pPr>
        <w:spacing w:line="240" w:lineRule="auto" w:before="2"/>
        <w:rPr>
          <w:rFonts w:ascii="宋体" w:hAnsi="宋体" w:cs="宋体" w:eastAsia="宋体" w:hint="default"/>
          <w:sz w:val="19"/>
          <w:szCs w:val="19"/>
        </w:rPr>
      </w:pPr>
    </w:p>
    <w:p>
      <w:pPr>
        <w:pStyle w:val="Heading4"/>
        <w:spacing w:line="506" w:lineRule="auto" w:before="35"/>
        <w:ind w:left="574" w:right="6926" w:hanging="420"/>
        <w:jc w:val="left"/>
        <w:rPr>
          <w:rFonts w:ascii="宋体" w:hAnsi="宋体" w:cs="宋体" w:eastAsia="宋体" w:hint="default"/>
          <w:b w:val="0"/>
          <w:bCs w:val="0"/>
        </w:rPr>
      </w:pPr>
      <w:bookmarkStart w:name="20、在建工程" w:id="236"/>
      <w:bookmarkEnd w:id="236"/>
      <w:r>
        <w:rPr>
          <w:b w:val="0"/>
          <w:bCs w:val="0"/>
        </w:rPr>
      </w:r>
      <w:bookmarkStart w:name="（1）在建工程情况" w:id="237"/>
      <w:bookmarkEnd w:id="237"/>
      <w:r>
        <w:rPr>
          <w:b w:val="0"/>
          <w:bCs w:val="0"/>
        </w:rPr>
      </w:r>
      <w:r>
        <w:rPr/>
        <w:t>（</w:t>
      </w:r>
      <w:r>
        <w:rPr>
          <w:rFonts w:ascii="Times New Roman" w:hAnsi="Times New Roman" w:cs="Times New Roman" w:eastAsia="Times New Roman" w:hint="default"/>
        </w:rPr>
        <w:t>2</w:t>
      </w:r>
      <w:r>
        <w:rPr/>
        <w:t>）暂时闲置的固定资产情况</w:t>
      </w:r>
      <w:r>
        <w:rPr>
          <w:spacing w:val="1"/>
          <w:w w:val="99"/>
        </w:rPr>
        <w:t> </w:t>
      </w:r>
      <w:r>
        <w:rPr>
          <w:rFonts w:ascii="宋体" w:hAnsi="宋体" w:cs="宋体" w:eastAsia="宋体" w:hint="default"/>
          <w:b w:val="0"/>
          <w:bCs w:val="0"/>
        </w:rPr>
        <w:t>无。</w:t>
      </w:r>
    </w:p>
    <w:p>
      <w:pPr>
        <w:pStyle w:val="Heading4"/>
        <w:spacing w:line="506" w:lineRule="auto" w:before="104"/>
        <w:ind w:left="574" w:right="6083"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）通过融资租赁租入的固定资产情况</w:t>
      </w:r>
      <w:r>
        <w:rPr>
          <w:w w:val="99"/>
        </w:rPr>
        <w:t> </w:t>
      </w:r>
      <w:r>
        <w:rPr>
          <w:rFonts w:ascii="宋体" w:hAnsi="宋体" w:cs="宋体" w:eastAsia="宋体" w:hint="default"/>
          <w:b w:val="0"/>
          <w:bCs w:val="0"/>
        </w:rPr>
        <w:t>无。</w:t>
      </w:r>
    </w:p>
    <w:p>
      <w:pPr>
        <w:pStyle w:val="Heading4"/>
        <w:spacing w:line="506" w:lineRule="auto" w:before="104"/>
        <w:ind w:left="574" w:right="6505"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）通过经营租赁租出的固定资产</w:t>
      </w:r>
      <w:r>
        <w:rPr>
          <w:spacing w:val="1"/>
          <w:w w:val="99"/>
        </w:rPr>
        <w:t> </w:t>
      </w:r>
      <w:r>
        <w:rPr>
          <w:rFonts w:ascii="宋体" w:hAnsi="宋体" w:cs="宋体" w:eastAsia="宋体" w:hint="default"/>
          <w:b w:val="0"/>
          <w:bCs w:val="0"/>
        </w:rPr>
        <w:t>无。</w:t>
      </w:r>
    </w:p>
    <w:p>
      <w:pPr>
        <w:pStyle w:val="Heading4"/>
        <w:spacing w:line="240" w:lineRule="auto" w:before="103"/>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暂时闲置的固定资产情况" w:id="238"/>
      <w:bookmarkEnd w:id="238"/>
      <w:r>
        <w:rPr/>
      </w:r>
      <w:bookmarkStart w:name="（3）通过融资租赁租入的固定资产情况" w:id="239"/>
      <w:bookmarkEnd w:id="239"/>
      <w:r>
        <w:rPr/>
      </w:r>
      <w:bookmarkStart w:name="（4）通过经营租赁租出的固定资产" w:id="240"/>
      <w:bookmarkEnd w:id="240"/>
      <w:r>
        <w:rPr/>
      </w:r>
      <w:bookmarkStart w:name="（5）未办妥产权证书的固定资产情况" w:id="241"/>
      <w:bookmarkEnd w:id="241"/>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东海火炬科技园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135,771,508.00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相关部门手续问题</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559"/>
        <w:gridCol w:w="991"/>
        <w:gridCol w:w="1277"/>
        <w:gridCol w:w="1134"/>
        <w:gridCol w:w="1276"/>
        <w:gridCol w:w="1207"/>
      </w:tblGrid>
      <w:tr>
        <w:trPr>
          <w:trHeight w:val="402" w:hRule="exact"/>
        </w:trPr>
        <w:tc>
          <w:tcPr>
            <w:tcW w:w="21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28" w:type="dxa"/>
            <w:vMerge/>
            <w:tcBorders>
              <w:left w:val="single" w:sz="4" w:space="0" w:color="000000"/>
              <w:bottom w:val="single" w:sz="4" w:space="0" w:color="000000"/>
              <w:right w:val="single" w:sz="4" w:space="0" w:color="000000"/>
            </w:tcBorders>
            <w:shd w:val="clear" w:color="auto" w:fill="D4D4D4"/>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东海火炬科技园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322,487.67</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322,487.67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29"/>
        <w:gridCol w:w="1559"/>
        <w:gridCol w:w="991"/>
        <w:gridCol w:w="1277"/>
        <w:gridCol w:w="1134"/>
        <w:gridCol w:w="1276"/>
        <w:gridCol w:w="1207"/>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322,487.67</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322,487.67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4、油气资产" w:id="242"/>
      <w:bookmarkEnd w:id="242"/>
      <w:r>
        <w:rPr>
          <w:b w:val="0"/>
          <w:bCs w:val="0"/>
        </w:rPr>
      </w:r>
      <w:bookmarkStart w:name="25、无形资产" w:id="243"/>
      <w:bookmarkEnd w:id="243"/>
      <w:r>
        <w:rPr>
          <w:b w:val="0"/>
          <w:bCs w:val="0"/>
        </w:rPr>
      </w:r>
      <w:bookmarkStart w:name="（1）无形资产情况" w:id="244"/>
      <w:bookmarkEnd w:id="244"/>
      <w:r>
        <w:rPr>
          <w:b w:val="0"/>
          <w:bCs w:val="0"/>
        </w:rPr>
      </w:r>
      <w:r>
        <w:rPr/>
        <w:t>（</w:t>
      </w:r>
      <w:r>
        <w:rPr>
          <w:rFonts w:ascii="Times New Roman" w:hAnsi="Times New Roman" w:cs="Times New Roman" w:eastAsia="Times New Roman" w:hint="default"/>
        </w:rPr>
        <w:t>2</w:t>
      </w:r>
      <w:bookmarkStart w:name="（2）重要在建工程项目本期变动情况" w:id="245"/>
      <w:bookmarkEnd w:id="245"/>
      <w:r>
        <w:rPr>
          <w:rFonts w:ascii="Times New Roman" w:hAnsi="Times New Roman" w:cs="Times New Roman" w:eastAsia="Times New Roman" w:hint="default"/>
        </w:rPr>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708"/>
        <w:gridCol w:w="503"/>
        <w:gridCol w:w="736"/>
        <w:gridCol w:w="736"/>
        <w:gridCol w:w="737"/>
        <w:gridCol w:w="736"/>
        <w:gridCol w:w="806"/>
        <w:gridCol w:w="666"/>
        <w:gridCol w:w="736"/>
        <w:gridCol w:w="736"/>
        <w:gridCol w:w="737"/>
        <w:gridCol w:w="736"/>
      </w:tblGrid>
      <w:tr>
        <w:trPr>
          <w:trHeight w:val="1338"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5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6" w:right="65"/>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8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 w:right="37"/>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6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7" w:right="56"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东海火炬科 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200,786,</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920.00</w:t>
            </w:r>
          </w:p>
        </w:tc>
        <w:tc>
          <w:tcPr>
            <w:tcW w:w="503"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10,645,8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32.69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10,293,1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90.02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87.50%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3"/>
              <w:jc w:val="center"/>
              <w:rPr>
                <w:rFonts w:ascii="Times New Roman" w:hAnsi="Times New Roman" w:cs="Times New Roman" w:eastAsia="Times New Roman" w:hint="default"/>
                <w:sz w:val="18"/>
                <w:szCs w:val="18"/>
              </w:rPr>
            </w:pPr>
            <w:r>
              <w:rPr>
                <w:rFonts w:ascii="Times New Roman"/>
                <w:sz w:val="18"/>
              </w:rPr>
              <w:t>87.50%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200,786,</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920.00</w:t>
            </w:r>
          </w:p>
        </w:tc>
        <w:tc>
          <w:tcPr>
            <w:tcW w:w="503"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10,645,8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32.69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10,293,1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90.02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8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506" w:lineRule="auto" w:before="35"/>
        <w:ind w:left="574" w:right="6294"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）本期计提在建工程减值准备情况</w:t>
      </w:r>
      <w:r>
        <w:rPr>
          <w:spacing w:val="1"/>
          <w:w w:val="99"/>
        </w:rPr>
        <w:t> </w:t>
      </w:r>
      <w:r>
        <w:rPr>
          <w:rFonts w:ascii="宋体" w:hAnsi="宋体" w:cs="宋体" w:eastAsia="宋体" w:hint="default"/>
          <w:b w:val="0"/>
          <w:bCs w:val="0"/>
        </w:rPr>
        <w:t>无。</w:t>
      </w:r>
    </w:p>
    <w:p>
      <w:pPr>
        <w:pStyle w:val="Heading4"/>
        <w:spacing w:line="532" w:lineRule="auto" w:before="103"/>
        <w:ind w:left="574" w:right="8508" w:hanging="420"/>
        <w:jc w:val="left"/>
        <w:rPr>
          <w:rFonts w:ascii="宋体" w:hAnsi="宋体" w:cs="宋体" w:eastAsia="宋体" w:hint="default"/>
          <w:b w:val="0"/>
          <w:bCs w:val="0"/>
        </w:rPr>
      </w:pPr>
      <w:r>
        <w:rPr>
          <w:rFonts w:ascii="Times New Roman" w:hAnsi="Times New Roman" w:cs="Times New Roman" w:eastAsia="Times New Roman" w:hint="default"/>
        </w:rPr>
        <w:t>21</w:t>
      </w:r>
      <w:r>
        <w:rPr/>
        <w:t>、工程物资</w:t>
      </w:r>
      <w:r>
        <w:rPr>
          <w:w w:val="99"/>
        </w:rPr>
        <w:t> </w:t>
      </w:r>
      <w:r>
        <w:rPr>
          <w:rFonts w:ascii="宋体" w:hAnsi="宋体" w:cs="宋体" w:eastAsia="宋体" w:hint="default"/>
          <w:b w:val="0"/>
          <w:bCs w:val="0"/>
        </w:rPr>
        <w:t>无。</w:t>
      </w:r>
    </w:p>
    <w:p>
      <w:pPr>
        <w:pStyle w:val="Heading4"/>
        <w:spacing w:line="530" w:lineRule="auto" w:before="113"/>
        <w:ind w:left="574" w:right="8086" w:hanging="420"/>
        <w:jc w:val="left"/>
        <w:rPr>
          <w:rFonts w:ascii="宋体" w:hAnsi="宋体" w:cs="宋体" w:eastAsia="宋体" w:hint="default"/>
          <w:b w:val="0"/>
          <w:bCs w:val="0"/>
        </w:rPr>
      </w:pPr>
      <w:r>
        <w:rPr>
          <w:rFonts w:ascii="Times New Roman" w:hAnsi="Times New Roman" w:cs="Times New Roman" w:eastAsia="Times New Roman" w:hint="default"/>
        </w:rPr>
        <w:t>22</w:t>
      </w:r>
      <w:r>
        <w:rPr/>
        <w:t>、固定资产清理</w:t>
      </w:r>
      <w:r>
        <w:rPr>
          <w:spacing w:val="1"/>
          <w:w w:val="99"/>
        </w:rPr>
        <w:t> </w:t>
      </w:r>
      <w:r>
        <w:rPr>
          <w:rFonts w:ascii="宋体" w:hAnsi="宋体" w:cs="宋体" w:eastAsia="宋体" w:hint="default"/>
          <w:b w:val="0"/>
          <w:bCs w:val="0"/>
        </w:rPr>
        <w:t>无。</w:t>
      </w:r>
    </w:p>
    <w:p>
      <w:pPr>
        <w:pStyle w:val="Heading4"/>
        <w:spacing w:line="530" w:lineRule="auto" w:before="115"/>
        <w:ind w:left="574" w:right="7875" w:hanging="420"/>
        <w:jc w:val="left"/>
        <w:rPr>
          <w:rFonts w:ascii="宋体" w:hAnsi="宋体" w:cs="宋体" w:eastAsia="宋体" w:hint="default"/>
          <w:b w:val="0"/>
          <w:bCs w:val="0"/>
        </w:rPr>
      </w:pPr>
      <w:r>
        <w:rPr>
          <w:rFonts w:ascii="Times New Roman" w:hAnsi="Times New Roman" w:cs="Times New Roman" w:eastAsia="Times New Roman" w:hint="default"/>
        </w:rPr>
        <w:t>23</w:t>
      </w:r>
      <w:r>
        <w:rPr/>
        <w:t>、生产性生物资产</w:t>
      </w:r>
      <w:r>
        <w:rPr>
          <w:spacing w:val="1"/>
          <w:w w:val="99"/>
        </w:rPr>
        <w:t> </w:t>
      </w:r>
      <w:r>
        <w:rPr>
          <w:rFonts w:ascii="宋体" w:hAnsi="宋体" w:cs="宋体" w:eastAsia="宋体" w:hint="default"/>
          <w:b w:val="0"/>
          <w:bCs w:val="0"/>
        </w:rPr>
        <w:t>无。</w:t>
      </w:r>
    </w:p>
    <w:p>
      <w:pPr>
        <w:pStyle w:val="Heading4"/>
        <w:spacing w:line="547" w:lineRule="auto" w:before="115"/>
        <w:ind w:left="135" w:right="8507"/>
        <w:jc w:val="center"/>
        <w:rPr>
          <w:b w:val="0"/>
          <w:bCs w:val="0"/>
        </w:rPr>
      </w:pPr>
      <w:r>
        <w:rPr>
          <w:rFonts w:ascii="Times New Roman" w:hAnsi="Times New Roman" w:cs="Times New Roman" w:eastAsia="Times New Roman" w:hint="default"/>
        </w:rPr>
        <w:t>24</w:t>
      </w:r>
      <w:r>
        <w:rPr/>
        <w:t>、油气资产</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25</w:t>
      </w:r>
      <w:r>
        <w:rPr/>
        <w:t>、无形资产</w:t>
      </w:r>
      <w:r>
        <w:rPr>
          <w:b w:val="0"/>
          <w:bCs w:val="0"/>
        </w:rPr>
      </w:r>
    </w:p>
    <w:p>
      <w:pPr>
        <w:pStyle w:val="Heading4"/>
        <w:spacing w:line="240" w:lineRule="auto" w:before="26"/>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本期计提在建工程减值准备情况" w:id="246"/>
      <w:bookmarkEnd w:id="246"/>
      <w:r>
        <w:rPr/>
      </w:r>
      <w:bookmarkStart w:name="21、工程物资" w:id="247"/>
      <w:bookmarkEnd w:id="247"/>
      <w:r>
        <w:rPr/>
      </w:r>
      <w:bookmarkStart w:name="22、固定资产清理" w:id="248"/>
      <w:bookmarkEnd w:id="248"/>
      <w:r>
        <w:rPr/>
      </w:r>
      <w:bookmarkStart w:name="23、生产性生物资产" w:id="249"/>
      <w:bookmarkEnd w:id="249"/>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40"/>
        <w:gridCol w:w="1408"/>
        <w:gridCol w:w="1368"/>
        <w:gridCol w:w="1382"/>
        <w:gridCol w:w="1380"/>
        <w:gridCol w:w="1579"/>
      </w:tblGrid>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3" w:right="0"/>
              <w:jc w:val="left"/>
              <w:rPr>
                <w:rFonts w:ascii="Times New Roman" w:hAnsi="Times New Roman" w:cs="Times New Roman" w:eastAsia="Times New Roman" w:hint="default"/>
                <w:sz w:val="18"/>
                <w:szCs w:val="18"/>
              </w:rPr>
            </w:pPr>
            <w:r>
              <w:rPr>
                <w:rFonts w:ascii="Times New Roman"/>
                <w:sz w:val="18"/>
              </w:rPr>
              <w:t>37,203,380.80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37,203,380.80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3"/>
        <w:gridCol w:w="1396"/>
        <w:gridCol w:w="1368"/>
        <w:gridCol w:w="1382"/>
        <w:gridCol w:w="1380"/>
        <w:gridCol w:w="1579"/>
      </w:tblGrid>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37,784,768.96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37,784,768.96</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643,590.75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643,590.75</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37,141,178.21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37,141,178.21</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21,224.86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21,224.86</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21,224.86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21,224.86</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74,966,924.90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74,966,924.90</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7,414,692.37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7,414,692.37</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7,414,692.37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7,414,692.37</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12,520,985.55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12,520,985.55</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12,520,985.55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12,520,985.55</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6,367.50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6,367.50</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6,367.50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6,367.50</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19,929,310.42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19,929,310.42</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55,037,614.48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55,037,614.48</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29,788,688.43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29,788,688.43</w:t>
            </w:r>
          </w:p>
        </w:tc>
      </w:tr>
    </w:tbl>
    <w:p>
      <w:pPr>
        <w:spacing w:line="240" w:lineRule="auto" w:before="10"/>
        <w:rPr>
          <w:rFonts w:ascii="宋体" w:hAnsi="宋体" w:cs="宋体" w:eastAsia="宋体" w:hint="default"/>
          <w:sz w:val="7"/>
          <w:szCs w:val="7"/>
        </w:rPr>
      </w:pPr>
    </w:p>
    <w:p>
      <w:pPr>
        <w:pStyle w:val="BodyText"/>
        <w:spacing w:line="240" w:lineRule="auto" w:before="35"/>
        <w:ind w:left="574" w:right="0"/>
        <w:jc w:val="left"/>
      </w:pPr>
      <w:bookmarkStart w:name="（2）未办妥产权证书的土地使用权情况" w:id="250"/>
      <w:bookmarkEnd w:id="250"/>
      <w:r>
        <w:rPr/>
      </w:r>
      <w:bookmarkStart w:name="26、开发支出" w:id="251"/>
      <w:bookmarkEnd w:id="251"/>
      <w:r>
        <w:rPr/>
      </w:r>
      <w:r>
        <w:rPr/>
        <w:t>本期末通过公司内部研发形成的无形资产占无形资产余额的比例</w:t>
      </w:r>
      <w:r>
        <w:rPr>
          <w:rFonts w:ascii="Times New Roman" w:hAnsi="Times New Roman" w:cs="Times New Roman" w:eastAsia="Times New Roman" w:hint="default"/>
        </w:rPr>
        <w:t>92.94%</w:t>
      </w:r>
      <w:r>
        <w:rPr/>
        <w:t>。</w:t>
      </w:r>
    </w:p>
    <w:p>
      <w:pPr>
        <w:spacing w:line="240" w:lineRule="auto" w:before="0"/>
        <w:rPr>
          <w:rFonts w:ascii="宋体" w:hAnsi="宋体" w:cs="宋体" w:eastAsia="宋体" w:hint="default"/>
          <w:sz w:val="27"/>
          <w:szCs w:val="27"/>
        </w:rPr>
      </w:pPr>
    </w:p>
    <w:p>
      <w:pPr>
        <w:pStyle w:val="Heading4"/>
        <w:spacing w:line="506" w:lineRule="auto"/>
        <w:ind w:left="574" w:right="6083"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）未办妥产权证书的土地使用权情况</w:t>
      </w:r>
      <w:r>
        <w:rPr>
          <w:w w:val="99"/>
        </w:rPr>
        <w:t> </w:t>
      </w:r>
      <w:r>
        <w:rPr>
          <w:rFonts w:ascii="宋体" w:hAnsi="宋体" w:cs="宋体" w:eastAsia="宋体" w:hint="default"/>
          <w:b w:val="0"/>
          <w:bCs w:val="0"/>
        </w:rPr>
        <w:t>无。</w:t>
      </w:r>
    </w:p>
    <w:p>
      <w:pPr>
        <w:pStyle w:val="Heading4"/>
        <w:spacing w:line="240" w:lineRule="auto" w:before="104"/>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3"/>
        <w:gridCol w:w="1134"/>
        <w:gridCol w:w="1276"/>
        <w:gridCol w:w="851"/>
        <w:gridCol w:w="1276"/>
        <w:gridCol w:w="1418"/>
        <w:gridCol w:w="708"/>
        <w:gridCol w:w="1062"/>
      </w:tblGrid>
      <w:tr>
        <w:trPr>
          <w:trHeight w:val="406" w:hRule="exact"/>
        </w:trPr>
        <w:tc>
          <w:tcPr>
            <w:tcW w:w="184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1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4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0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43" w:type="dxa"/>
            <w:vMerge/>
            <w:tcBorders>
              <w:left w:val="single" w:sz="4" w:space="0" w:color="000000"/>
              <w:bottom w:val="single" w:sz="4" w:space="0" w:color="000000"/>
              <w:right w:val="single" w:sz="4" w:space="0" w:color="000000"/>
            </w:tcBorders>
            <w:shd w:val="clear" w:color="auto" w:fill="D4D4D4"/>
          </w:tcPr>
          <w:p>
            <w:pPr/>
          </w:p>
        </w:tc>
        <w:tc>
          <w:tcPr>
            <w:tcW w:w="1134" w:type="dxa"/>
            <w:vMerge/>
            <w:tcBorders>
              <w:left w:val="single" w:sz="4" w:space="0" w:color="000000"/>
              <w:bottom w:val="single" w:sz="4" w:space="0" w:color="000000"/>
              <w:right w:val="single" w:sz="4" w:space="0" w:color="000000"/>
            </w:tcBorders>
            <w:shd w:val="clear" w:color="auto" w:fill="D4D4D4"/>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2"/>
              <w:ind w:left="542" w:right="91"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3"/>
        <w:gridCol w:w="1134"/>
        <w:gridCol w:w="1276"/>
        <w:gridCol w:w="851"/>
        <w:gridCol w:w="1276"/>
        <w:gridCol w:w="1418"/>
        <w:gridCol w:w="708"/>
        <w:gridCol w:w="1062"/>
      </w:tblGrid>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pacing w:val="18"/>
                <w:sz w:val="18"/>
                <w:szCs w:val="18"/>
              </w:rPr>
              <w:t>手机数据移动采集终</w:t>
            </w:r>
            <w:r>
              <w:rPr>
                <w:rFonts w:ascii="宋体" w:hAnsi="宋体" w:cs="宋体" w:eastAsia="宋体" w:hint="default"/>
                <w:spacing w:val="-70"/>
                <w:sz w:val="18"/>
                <w:szCs w:val="18"/>
              </w:rPr>
              <w:t> </w:t>
            </w:r>
            <w:r>
              <w:rPr>
                <w:rFonts w:ascii="宋体" w:hAnsi="宋体" w:cs="宋体" w:eastAsia="宋体" w:hint="default"/>
                <w:sz w:val="18"/>
                <w:szCs w:val="18"/>
              </w:rPr>
              <w:t>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6,535,531.57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1,402,967.93</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7,914,531.13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23,968.37</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pacing w:val="18"/>
                <w:sz w:val="18"/>
                <w:szCs w:val="18"/>
              </w:rPr>
              <w:t>可视化数据智能分析</w:t>
            </w:r>
            <w:r>
              <w:rPr>
                <w:rFonts w:ascii="宋体" w:hAnsi="宋体" w:cs="宋体" w:eastAsia="宋体" w:hint="default"/>
                <w:spacing w:val="-70"/>
                <w:sz w:val="18"/>
                <w:szCs w:val="18"/>
              </w:rPr>
              <w:t> </w:t>
            </w:r>
            <w:r>
              <w:rPr>
                <w:rFonts w:ascii="宋体" w:hAnsi="宋体" w:cs="宋体" w:eastAsia="宋体" w:hint="default"/>
                <w:sz w:val="18"/>
                <w:szCs w:val="18"/>
              </w:rPr>
              <w:t>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847,321.78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803,526.97</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1,552,051.72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98,797.03</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视频取证系统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2,357,064.83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738,406.70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2,726,234.33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369,237.20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综合应用平台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7,013,820.85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2,312,631.48</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9,326,452.33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网络审计箱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1,031,872.33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1,083,165.94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1,994,705.48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120,332.79</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数据拓展系统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256,694.01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412,354.48</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630,219.91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38,828.58</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移动式信息采集系统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620,999.24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620,999.24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关联分析平台（二期）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728,766.05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114,910.98</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840,388.53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3,288.50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网络沙盘系统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415,468.97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948,770.80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1,117,187.24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247,052.53</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综合分析平台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395,815.72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564,736.56</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793,542.18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167,010.10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等级保护检查工具箱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296,834.26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814,668.40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1,007,279.30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104,223.36</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蛛网系统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288,073.46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3,231,704.58</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3,292,346.47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227,431.57</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极光超算分析系统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1,944,460.07</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190,086.60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1,754,373.47</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pacing w:val="18"/>
                <w:sz w:val="18"/>
                <w:szCs w:val="18"/>
              </w:rPr>
              <w:t>电子物证现场重现系</w:t>
            </w:r>
            <w:r>
              <w:rPr>
                <w:rFonts w:ascii="宋体" w:hAnsi="宋体" w:cs="宋体" w:eastAsia="宋体" w:hint="default"/>
                <w:spacing w:val="-70"/>
                <w:sz w:val="18"/>
                <w:szCs w:val="18"/>
              </w:rPr>
              <w:t> </w:t>
            </w:r>
            <w:r>
              <w:rPr>
                <w:rFonts w:ascii="宋体" w:hAnsi="宋体" w:cs="宋体" w:eastAsia="宋体" w:hint="default"/>
                <w:sz w:val="18"/>
                <w:szCs w:val="18"/>
              </w:rPr>
              <w:t>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504,621.85</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341,039.94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163,581.91</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电子数据公证云系统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2,686,509.64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2,456,879.70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229,629.94</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手机数据采集系统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1,245,720.06</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1,184,342.98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61,377.08</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手机数据采集装备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826,960.15</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429,049.00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397,911.15</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pacing w:val="18"/>
                <w:sz w:val="18"/>
                <w:szCs w:val="18"/>
              </w:rPr>
              <w:t>电子数据移动采集系</w:t>
            </w:r>
            <w:r>
              <w:rPr>
                <w:rFonts w:ascii="宋体" w:hAnsi="宋体" w:cs="宋体" w:eastAsia="宋体" w:hint="default"/>
                <w:spacing w:val="-70"/>
                <w:sz w:val="18"/>
                <w:szCs w:val="18"/>
              </w:rPr>
              <w:t> </w:t>
            </w:r>
            <w:r>
              <w:rPr>
                <w:rFonts w:ascii="宋体" w:hAnsi="宋体" w:cs="宋体" w:eastAsia="宋体" w:hint="default"/>
                <w:sz w:val="18"/>
                <w:szCs w:val="18"/>
              </w:rPr>
              <w:t>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1,044,909.89</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1,044,909.89</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pacing w:val="18"/>
                <w:sz w:val="18"/>
                <w:szCs w:val="18"/>
              </w:rPr>
              <w:t>互联网信息巡查平台</w:t>
            </w:r>
            <w:r>
              <w:rPr>
                <w:rFonts w:ascii="宋体" w:hAnsi="宋体" w:cs="宋体" w:eastAsia="宋体" w:hint="default"/>
                <w:spacing w:val="-70"/>
                <w:sz w:val="18"/>
                <w:szCs w:val="18"/>
              </w:rPr>
              <w:t> </w:t>
            </w:r>
            <w:r>
              <w:rPr>
                <w:rFonts w:ascii="宋体" w:hAnsi="宋体" w:cs="宋体" w:eastAsia="宋体" w:hint="default"/>
                <w:sz w:val="18"/>
                <w:szCs w:val="18"/>
              </w:rPr>
              <w:t>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154,179.52</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140,742.52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13,437.00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固定翼无人机</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234,678.93</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234,678.93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3"/>
        <w:gridCol w:w="1134"/>
        <w:gridCol w:w="1276"/>
        <w:gridCol w:w="851"/>
        <w:gridCol w:w="1276"/>
        <w:gridCol w:w="1418"/>
        <w:gridCol w:w="708"/>
        <w:gridCol w:w="1062"/>
      </w:tblGrid>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手机数据采集仪</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401,969.56</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323,627.22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78,342.34</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电子取证百宝箱系统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406,464.60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214,880.07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191,584.53</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7" w:hRule="exact"/>
        </w:trPr>
        <w:tc>
          <w:tcPr>
            <w:tcW w:w="184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65,337,724.22</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65,337,724.22</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5" w:right="0"/>
              <w:jc w:val="left"/>
              <w:rPr>
                <w:rFonts w:ascii="Times New Roman" w:hAnsi="Times New Roman" w:cs="Times New Roman" w:eastAsia="Times New Roman" w:hint="default"/>
                <w:sz w:val="18"/>
                <w:szCs w:val="18"/>
              </w:rPr>
            </w:pPr>
            <w:r>
              <w:rPr>
                <w:rFonts w:ascii="Times New Roman"/>
                <w:sz w:val="18"/>
              </w:rPr>
              <w:t>20,167,263.83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87,837,042.55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2" w:right="0"/>
              <w:jc w:val="lef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37,141,178.22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68,063,844.80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60" w:right="0"/>
              <w:jc w:val="lef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2,799,283.36</w:t>
            </w:r>
          </w:p>
        </w:tc>
      </w:tr>
    </w:tbl>
    <w:p>
      <w:pPr>
        <w:spacing w:line="240" w:lineRule="auto" w:before="1"/>
        <w:rPr>
          <w:rFonts w:ascii="Times New Roman" w:hAnsi="Times New Roman" w:cs="Times New Roman" w:eastAsia="Times New Roman" w:hint="default"/>
          <w:sz w:val="6"/>
          <w:szCs w:val="6"/>
        </w:rPr>
      </w:pPr>
    </w:p>
    <w:p>
      <w:pPr>
        <w:pStyle w:val="BodyText"/>
        <w:spacing w:line="240" w:lineRule="auto" w:before="35"/>
        <w:ind w:right="0"/>
        <w:jc w:val="left"/>
      </w:pPr>
      <w:r>
        <w:rPr/>
        <w:t>公司研发项目说明</w:t>
      </w:r>
    </w:p>
    <w:p>
      <w:pPr>
        <w:spacing w:line="240" w:lineRule="auto" w:before="2"/>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573"/>
        <w:gridCol w:w="2300"/>
        <w:gridCol w:w="2412"/>
        <w:gridCol w:w="2408"/>
      </w:tblGrid>
      <w:tr>
        <w:trPr>
          <w:trHeight w:val="394" w:hRule="exact"/>
        </w:trPr>
        <w:tc>
          <w:tcPr>
            <w:tcW w:w="2573" w:type="dxa"/>
            <w:tcBorders>
              <w:top w:val="single" w:sz="8" w:space="0" w:color="000000"/>
              <w:left w:val="single" w:sz="8"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00"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1"/>
              <w:ind w:left="512" w:right="0"/>
              <w:jc w:val="left"/>
              <w:rPr>
                <w:rFonts w:ascii="宋体" w:hAnsi="宋体" w:cs="宋体" w:eastAsia="宋体" w:hint="default"/>
                <w:sz w:val="18"/>
                <w:szCs w:val="18"/>
              </w:rPr>
            </w:pPr>
            <w:r>
              <w:rPr>
                <w:rFonts w:ascii="宋体" w:hAnsi="宋体" w:cs="宋体" w:eastAsia="宋体" w:hint="default"/>
                <w:sz w:val="18"/>
                <w:szCs w:val="18"/>
              </w:rPr>
              <w:t>资本化开始时点</w:t>
            </w:r>
          </w:p>
        </w:tc>
        <w:tc>
          <w:tcPr>
            <w:tcW w:w="2412"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资本化的具体依据</w:t>
            </w:r>
          </w:p>
        </w:tc>
        <w:tc>
          <w:tcPr>
            <w:tcW w:w="2408" w:type="dxa"/>
            <w:tcBorders>
              <w:top w:val="single" w:sz="8" w:space="0" w:color="000000"/>
              <w:left w:val="single" w:sz="6" w:space="0" w:color="000000"/>
              <w:bottom w:val="single" w:sz="6" w:space="0" w:color="000000"/>
              <w:right w:val="single" w:sz="8" w:space="0" w:color="000000"/>
            </w:tcBorders>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截至年末的研发进度</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手机数据移动采集终端</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316" w:lineRule="auto"/>
              <w:ind w:left="21" w:right="1"/>
              <w:jc w:val="both"/>
              <w:rPr>
                <w:rFonts w:ascii="宋体" w:hAnsi="宋体" w:cs="宋体" w:eastAsia="宋体" w:hint="default"/>
                <w:sz w:val="18"/>
                <w:szCs w:val="18"/>
              </w:rPr>
            </w:pPr>
            <w:r>
              <w:rPr>
                <w:rFonts w:ascii="宋体" w:hAnsi="宋体" w:cs="宋体" w:eastAsia="宋体" w:hint="default"/>
                <w:sz w:val="18"/>
                <w:szCs w:val="18"/>
              </w:rPr>
              <w:t>完成研发项目在技术上具有可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行性，项目实施完成后具有较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好的市场容量和市场占有率，</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6"/>
                <w:sz w:val="18"/>
                <w:szCs w:val="18"/>
              </w:rPr>
              <w:t>可以为项目收益提供有力保</w:t>
            </w:r>
            <w:r>
              <w:rPr>
                <w:rFonts w:ascii="宋体" w:hAnsi="宋体" w:cs="宋体" w:eastAsia="宋体" w:hint="default"/>
                <w:spacing w:val="-87"/>
                <w:sz w:val="18"/>
                <w:szCs w:val="18"/>
              </w:rPr>
              <w:t> </w:t>
            </w:r>
            <w:r>
              <w:rPr>
                <w:rFonts w:ascii="宋体" w:hAnsi="宋体" w:cs="宋体" w:eastAsia="宋体" w:hint="default"/>
                <w:sz w:val="18"/>
                <w:szCs w:val="18"/>
              </w:rPr>
              <w:t>证，同时公司有足够的技术、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财务等资源的支持，并单独核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算，支出能够可靠的计量</w:t>
            </w: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可视化数据智能分析系统</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视频取证系统</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综合应用平台</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网络审计箱</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数据拓展系统</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6"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移动式信息采集系统</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关联分析平台（二期）</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网络沙盘系统</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综合分析平台</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等级保护检查工具箱</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蛛网系统</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761"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极光超算分析系统</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集成测试</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电子物证现场重现系统</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6"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电子数据公证云系统</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635"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手机数据采集系统</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701"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手机数据采集装备</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电子数据移动采集系统</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样机初步开发阶段</w:t>
            </w:r>
          </w:p>
        </w:tc>
      </w:tr>
      <w:tr>
        <w:trPr>
          <w:trHeight w:val="791"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互联网信息巡查平台系统</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7"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固定翼无人机</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第四期处于试制与测试阶段</w:t>
            </w:r>
          </w:p>
        </w:tc>
      </w:tr>
      <w:tr>
        <w:trPr>
          <w:trHeight w:val="683" w:hRule="exact"/>
        </w:trPr>
        <w:tc>
          <w:tcPr>
            <w:tcW w:w="257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手机数据采集仪</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8" w:hRule="exact"/>
        </w:trPr>
        <w:tc>
          <w:tcPr>
            <w:tcW w:w="2573" w:type="dxa"/>
            <w:tcBorders>
              <w:top w:val="single" w:sz="6" w:space="0" w:color="000000"/>
              <w:left w:val="single" w:sz="8" w:space="0" w:color="000000"/>
              <w:bottom w:val="single" w:sz="8"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电子取证百宝箱系统</w:t>
            </w:r>
          </w:p>
        </w:tc>
        <w:tc>
          <w:tcPr>
            <w:tcW w:w="230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412" w:type="dxa"/>
            <w:vMerge/>
            <w:tcBorders>
              <w:left w:val="single" w:sz="6" w:space="0" w:color="000000"/>
              <w:bottom w:val="single" w:sz="8" w:space="0" w:color="000000"/>
              <w:right w:val="single" w:sz="6" w:space="0" w:color="000000"/>
            </w:tcBorders>
          </w:tcPr>
          <w:p>
            <w:pPr/>
          </w:p>
        </w:tc>
        <w:tc>
          <w:tcPr>
            <w:tcW w:w="2408"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314" w:lineRule="auto" w:before="35"/>
        <w:ind w:right="103" w:firstLine="419"/>
        <w:jc w:val="left"/>
      </w:pPr>
      <w:bookmarkStart w:name="28、长期待摊费用" w:id="252"/>
      <w:bookmarkEnd w:id="252"/>
      <w:r>
        <w:rPr/>
      </w:r>
      <w:bookmarkStart w:name="29、递延所得税资产/递延所得税负债" w:id="253"/>
      <w:bookmarkEnd w:id="253"/>
      <w:r>
        <w:rPr/>
      </w:r>
      <w:bookmarkStart w:name="（1）未经抵销的递延所得税资产" w:id="254"/>
      <w:bookmarkEnd w:id="254"/>
      <w:r>
        <w:rPr/>
      </w:r>
      <w:r>
        <w:rPr/>
        <w:t>说明：固定翼无人机项目自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月已完成项目的技术预研、需求分析进入开发阶段，完成上述研 </w:t>
      </w:r>
      <w:r>
        <w:rPr>
          <w:spacing w:val="-3"/>
        </w:rPr>
        <w:t>发项目在技术上具有可行性，项目实施完成后能提供现场勘查、抢险救灾、道路巡视等领域进行实时拍摄、</w:t>
      </w:r>
      <w:r>
        <w:rPr>
          <w:spacing w:val="-90"/>
        </w:rPr>
        <w:t> </w:t>
      </w:r>
      <w:r>
        <w:rPr>
          <w:spacing w:val="-90"/>
        </w:rPr>
      </w:r>
      <w:r>
        <w:rPr/>
        <w:t>图像传输的小型无人飞行器，具有较好的市场容量，可以为项目收益提供有力保证，同时公司有足够的技</w:t>
      </w:r>
      <w:r>
        <w:rPr/>
        <w:t> 术、财务等资源的支持，并单独核算，支出能够可靠的计量。故公司从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月对该项目研发费用予以</w:t>
      </w:r>
      <w:r>
        <w:rPr>
          <w:spacing w:val="-34"/>
        </w:rPr>
        <w:t> </w:t>
      </w:r>
      <w:r>
        <w:rPr>
          <w:spacing w:val="-34"/>
        </w:rPr>
      </w:r>
      <w:r>
        <w:rPr/>
        <w:t>资本化。该项目已于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月完成一期研发，于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月结转无形资产，并按</w:t>
      </w:r>
      <w:r>
        <w:rPr>
          <w:rFonts w:ascii="Times New Roman" w:hAnsi="Times New Roman" w:cs="Times New Roman" w:eastAsia="Times New Roman" w:hint="default"/>
        </w:rPr>
        <w:t>4</w:t>
      </w:r>
      <w:r>
        <w:rPr>
          <w:rFonts w:ascii="Times New Roman" w:hAnsi="Times New Roman" w:cs="Times New Roman" w:eastAsia="Times New Roman" w:hint="default"/>
          <w:spacing w:val="37"/>
        </w:rPr>
        <w:t> </w:t>
      </w:r>
      <w:r>
        <w:rPr/>
        <w:t>年摊销。该项目二期 研发于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月启动，故公司从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月对该项目二期研发费用予以资本化。该项目二期已于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 </w:t>
      </w:r>
      <w:r>
        <w:rPr/>
        <w:t>月完成，于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月结转无形资产，按</w:t>
      </w:r>
      <w:r>
        <w:rPr>
          <w:rFonts w:ascii="Times New Roman" w:hAnsi="Times New Roman" w:cs="Times New Roman" w:eastAsia="Times New Roman" w:hint="default"/>
        </w:rPr>
        <w:t>38</w:t>
      </w:r>
      <w:r>
        <w:rPr/>
        <w:t>个月摊销。该项目三期研发于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月启动，故公司从</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1"/>
        </w:rPr>
        <w:t>年</w:t>
      </w:r>
      <w:r>
        <w:rPr>
          <w:rFonts w:ascii="Times New Roman" w:hAnsi="Times New Roman" w:cs="Times New Roman" w:eastAsia="Times New Roman" w:hint="default"/>
          <w:spacing w:val="-1"/>
        </w:rPr>
        <w:t>7</w:t>
      </w:r>
      <w:r>
        <w:rPr>
          <w:spacing w:val="-1"/>
        </w:rPr>
        <w:t>月对该项目三期研发费用予以资本化。该项目三期已于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月完成，于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月结转无形资产，</w:t>
      </w:r>
      <w:r>
        <w:rPr>
          <w:spacing w:val="-84"/>
        </w:rPr>
        <w:t> </w:t>
      </w:r>
      <w:r>
        <w:rPr>
          <w:spacing w:val="-84"/>
        </w:rPr>
      </w:r>
      <w:r>
        <w:rPr/>
        <w:t>按</w:t>
      </w:r>
      <w:r>
        <w:rPr>
          <w:rFonts w:ascii="Times New Roman" w:hAnsi="Times New Roman" w:cs="Times New Roman" w:eastAsia="Times New Roman" w:hint="default"/>
        </w:rPr>
        <w:t>24</w:t>
      </w:r>
      <w:r>
        <w:rPr/>
        <w:t>个月摊销。</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bookmarkStart w:name="27、商誉" w:id="255"/>
      <w:bookmarkEnd w:id="255"/>
      <w:r>
        <w:rPr/>
      </w:r>
      <w:bookmarkStart w:name="（1）商誉账面原值" w:id="256"/>
      <w:bookmarkEnd w:id="256"/>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1134"/>
        <w:gridCol w:w="1417"/>
        <w:gridCol w:w="851"/>
        <w:gridCol w:w="851"/>
        <w:gridCol w:w="833"/>
        <w:gridCol w:w="1367"/>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8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119" w:type="dxa"/>
            <w:vMerge/>
            <w:tcBorders>
              <w:left w:val="single" w:sz="4" w:space="0" w:color="000000"/>
              <w:bottom w:val="single" w:sz="4" w:space="0" w:color="000000"/>
              <w:right w:val="single" w:sz="4" w:space="0" w:color="000000"/>
            </w:tcBorders>
            <w:shd w:val="clear" w:color="auto" w:fill="D4D4D4"/>
          </w:tcPr>
          <w:p>
            <w:pPr/>
          </w:p>
        </w:tc>
        <w:tc>
          <w:tcPr>
            <w:tcW w:w="1134" w:type="dxa"/>
            <w:vMerge/>
            <w:tcBorders>
              <w:left w:val="single" w:sz="4" w:space="0" w:color="000000"/>
              <w:bottom w:val="single" w:sz="4" w:space="0" w:color="000000"/>
              <w:right w:val="single" w:sz="4" w:space="0" w:color="000000"/>
            </w:tcBorders>
            <w:shd w:val="clear" w:color="auto" w:fill="D4D4D4"/>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43,856,030.99</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43,856,030.99</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43,856,030.99</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43,856,030.99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6"/>
          <w:szCs w:val="26"/>
        </w:rPr>
      </w:pPr>
    </w:p>
    <w:p>
      <w:pPr>
        <w:pStyle w:val="BodyText"/>
        <w:spacing w:line="314" w:lineRule="auto"/>
        <w:ind w:left="153" w:right="95" w:firstLine="420"/>
        <w:jc w:val="left"/>
      </w:pPr>
      <w:r>
        <w:rPr/>
        <w:t>本集团采用预计未来现金流现值计算资产组的可收回金额。本集团</w:t>
      </w:r>
      <w:bookmarkStart w:name="（2）商誉减值准备" w:id="257"/>
      <w:bookmarkEnd w:id="257"/>
      <w:r>
        <w:rPr/>
        <w:t>根据管理层批准的财务预算预计珠</w:t>
      </w:r>
      <w:r>
        <w:rPr/>
        <w:t> 海市新德汇信息技术有限公司未来</w:t>
      </w:r>
      <w:r>
        <w:rPr>
          <w:rFonts w:ascii="Times New Roman" w:hAnsi="Times New Roman" w:cs="Times New Roman" w:eastAsia="Times New Roman" w:hint="default"/>
        </w:rPr>
        <w:t>5</w:t>
      </w:r>
      <w:r>
        <w:rPr/>
        <w:t>年内净现金流量，其后年度采用稳定的净现金流量。管理层根据过往</w:t>
      </w:r>
      <w:r>
        <w:rPr>
          <w:spacing w:val="-35"/>
        </w:rPr>
        <w:t> </w:t>
      </w:r>
      <w:r>
        <w:rPr>
          <w:spacing w:val="-35"/>
        </w:rPr>
      </w:r>
      <w:r>
        <w:rPr>
          <w:spacing w:val="-3"/>
        </w:rPr>
        <w:t>表现及其对市场发展的预期编制上述财务预算。计算未来现金流现值所采用的税前折现率为</w:t>
      </w:r>
      <w:r>
        <w:rPr>
          <w:rFonts w:ascii="Times New Roman" w:hAnsi="Times New Roman" w:cs="Times New Roman" w:eastAsia="Times New Roman" w:hint="default"/>
          <w:spacing w:val="-3"/>
        </w:rPr>
        <w:t>12.21%</w:t>
      </w:r>
      <w:r>
        <w:rPr>
          <w:spacing w:val="-3"/>
        </w:rPr>
        <w:t>（上年：</w:t>
      </w:r>
      <w:r>
        <w:rPr>
          <w:spacing w:val="-102"/>
        </w:rPr>
        <w:t> </w:t>
      </w:r>
      <w:r>
        <w:rPr>
          <w:rFonts w:ascii="Times New Roman" w:hAnsi="Times New Roman" w:cs="Times New Roman" w:eastAsia="Times New Roman" w:hint="default"/>
        </w:rPr>
        <w:t>16.7%</w:t>
      </w:r>
      <w:r>
        <w:rPr/>
        <w:t>），已反映了相对于有关分部的风险。根据减值测试的结果，年末商誉未发生减值。</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2"/>
        <w:gridCol w:w="1274"/>
        <w:gridCol w:w="1276"/>
        <w:gridCol w:w="1418"/>
        <w:gridCol w:w="1276"/>
        <w:gridCol w:w="1061"/>
      </w:tblGrid>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91"/>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7" w:right="0"/>
              <w:jc w:val="left"/>
              <w:rPr>
                <w:rFonts w:ascii="Times New Roman" w:hAnsi="Times New Roman" w:cs="Times New Roman" w:eastAsia="Times New Roman" w:hint="default"/>
                <w:sz w:val="18"/>
                <w:szCs w:val="18"/>
              </w:rPr>
            </w:pPr>
            <w:r>
              <w:rPr>
                <w:rFonts w:ascii="Times New Roman"/>
                <w:sz w:val="18"/>
              </w:rPr>
              <w:t>1,545,504.31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280,560.47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924,898.67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5" w:right="0"/>
              <w:jc w:val="left"/>
              <w:rPr>
                <w:rFonts w:ascii="Times New Roman" w:hAnsi="Times New Roman" w:cs="Times New Roman" w:eastAsia="Times New Roman" w:hint="default"/>
                <w:sz w:val="18"/>
                <w:szCs w:val="18"/>
              </w:rPr>
            </w:pPr>
            <w:r>
              <w:rPr>
                <w:rFonts w:ascii="Times New Roman"/>
                <w:sz w:val="18"/>
              </w:rPr>
              <w:t>901,166.11</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85" w:right="0"/>
              <w:jc w:val="left"/>
              <w:rPr>
                <w:rFonts w:ascii="Times New Roman" w:hAnsi="Times New Roman" w:cs="Times New Roman" w:eastAsia="Times New Roman" w:hint="default"/>
                <w:sz w:val="18"/>
                <w:szCs w:val="18"/>
              </w:rPr>
            </w:pPr>
            <w:r>
              <w:rPr>
                <w:rFonts w:ascii="Times New Roman"/>
                <w:sz w:val="18"/>
              </w:rPr>
              <w:t>1,545,504.31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280,560.47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924,898.67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5" w:right="0"/>
              <w:jc w:val="left"/>
              <w:rPr>
                <w:rFonts w:ascii="Times New Roman" w:hAnsi="Times New Roman" w:cs="Times New Roman" w:eastAsia="Times New Roman" w:hint="default"/>
                <w:sz w:val="18"/>
                <w:szCs w:val="18"/>
              </w:rPr>
            </w:pPr>
            <w:r>
              <w:rPr>
                <w:rFonts w:ascii="Times New Roman"/>
                <w:sz w:val="18"/>
              </w:rPr>
              <w:t>901,166.11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0"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4D4D4"/>
          </w:tcPr>
          <w:p>
            <w:pPr/>
          </w:p>
        </w:tc>
        <w:tc>
          <w:tcPr>
            <w:tcW w:w="191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6"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31,333,637.53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3,262,876.66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23,615,372.72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2,446,920.60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10,543,887.81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1,318,930.88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884,173.06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110,521.63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10,910,337.93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1,091,033.79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3,875,511.45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387,551.15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22,302,918.52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2,247,291.85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16,792,594.91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1,679,259.49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83,927,883.34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8,392,788.33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159,018,665.13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16,312,921.51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45,167,652.14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4,624,252.87</w:t>
            </w:r>
          </w:p>
        </w:tc>
      </w:tr>
    </w:tbl>
    <w:p>
      <w:pPr>
        <w:spacing w:line="240" w:lineRule="auto" w:before="2"/>
        <w:rPr>
          <w:rFonts w:ascii="宋体" w:hAnsi="宋体" w:cs="宋体" w:eastAsia="宋体" w:hint="default"/>
          <w:sz w:val="19"/>
          <w:szCs w:val="19"/>
        </w:rPr>
      </w:pPr>
    </w:p>
    <w:p>
      <w:pPr>
        <w:pStyle w:val="Heading4"/>
        <w:spacing w:line="530" w:lineRule="auto" w:before="35"/>
        <w:ind w:left="574" w:right="6715" w:hanging="420"/>
        <w:jc w:val="left"/>
        <w:rPr>
          <w:rFonts w:ascii="宋体" w:hAnsi="宋体" w:cs="宋体" w:eastAsia="宋体" w:hint="default"/>
          <w:b w:val="0"/>
          <w:bCs w:val="0"/>
        </w:rPr>
      </w:pPr>
      <w:bookmarkStart w:name="（4）未确认递延所得税资产明细" w:id="258"/>
      <w:bookmarkEnd w:id="258"/>
      <w:r>
        <w:rPr>
          <w:b w:val="0"/>
          <w:bCs w:val="0"/>
        </w:rPr>
      </w:r>
      <w:bookmarkStart w:name="（5）未确认递延所得税资产的可抵扣亏损将于以下年度到期" w:id="259"/>
      <w:bookmarkEnd w:id="259"/>
      <w:r>
        <w:rPr>
          <w:b w:val="0"/>
          <w:bCs w:val="0"/>
        </w:rPr>
      </w:r>
      <w:bookmarkStart w:name="30、其他非流动资产" w:id="260"/>
      <w:bookmarkEnd w:id="260"/>
      <w:r>
        <w:rPr>
          <w:b w:val="0"/>
          <w:bCs w:val="0"/>
        </w:rPr>
      </w:r>
      <w:bookmarkStart w:name="31、短期借款" w:id="261"/>
      <w:bookmarkEnd w:id="261"/>
      <w:r>
        <w:rPr>
          <w:b w:val="0"/>
          <w:bCs w:val="0"/>
        </w:rPr>
      </w:r>
      <w:r>
        <w:rPr/>
        <w:t>（</w:t>
      </w:r>
      <w:r>
        <w:rPr>
          <w:rFonts w:ascii="Times New Roman" w:hAnsi="Times New Roman" w:cs="Times New Roman" w:eastAsia="Times New Roman" w:hint="default"/>
        </w:rPr>
        <w:t>2</w:t>
      </w:r>
      <w:r>
        <w:rPr/>
        <w:t>）未经抵销的递延所得税负债</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t>（</w:t>
      </w:r>
      <w:r>
        <w:rPr>
          <w:rFonts w:ascii="Times New Roman" w:hAnsi="Times New Roman" w:cs="Times New Roman" w:eastAsia="Times New Roman" w:hint="default"/>
        </w:rPr>
        <w:t>3</w:t>
      </w:r>
      <w:r>
        <w:rPr/>
        <w:t>）以抵销后净额列示的递延所得税</w:t>
      </w:r>
      <w:bookmarkStart w:name="（2）未经抵销的递延所得税负债" w:id="262"/>
      <w:bookmarkEnd w:id="262"/>
      <w:r>
        <w:rPr/>
        <w:t>资产或负债</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以抵销后净额列示的递延所得税资产或负债" w:id="263"/>
      <w:bookmarkEnd w:id="263"/>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161" w:hRule="exact"/>
        </w:trPr>
        <w:tc>
          <w:tcPr>
            <w:tcW w:w="1900" w:type="dxa"/>
            <w:tcBorders>
              <w:top w:val="single" w:sz="4" w:space="0" w:color="000000"/>
              <w:left w:val="single" w:sz="4" w:space="0" w:color="000000"/>
              <w:bottom w:val="nil" w:sz="6" w:space="0" w:color="auto"/>
              <w:right w:val="single" w:sz="4" w:space="0" w:color="000000"/>
            </w:tcBorders>
            <w:shd w:val="clear" w:color="auto" w:fill="D4D4D4"/>
          </w:tcPr>
          <w:p>
            <w:pPr/>
          </w:p>
        </w:tc>
        <w:tc>
          <w:tcPr>
            <w:tcW w:w="192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425"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4D4D4"/>
          </w:tcPr>
          <w:p>
            <w:pPr/>
          </w:p>
        </w:tc>
        <w:tc>
          <w:tcPr>
            <w:tcW w:w="1914" w:type="dxa"/>
            <w:vMerge/>
            <w:tcBorders>
              <w:left w:val="single" w:sz="4" w:space="0" w:color="000000"/>
              <w:right w:val="single" w:sz="4" w:space="0" w:color="000000"/>
            </w:tcBorders>
            <w:shd w:val="clear" w:color="auto" w:fill="D4D4D4"/>
          </w:tcPr>
          <w:p>
            <w:pPr/>
          </w:p>
        </w:tc>
        <w:tc>
          <w:tcPr>
            <w:tcW w:w="1914" w:type="dxa"/>
            <w:vMerge/>
            <w:tcBorders>
              <w:left w:val="single" w:sz="4" w:space="0" w:color="000000"/>
              <w:right w:val="single" w:sz="4" w:space="0" w:color="000000"/>
            </w:tcBorders>
            <w:shd w:val="clear" w:color="auto" w:fill="D4D4D4"/>
          </w:tcPr>
          <w:p>
            <w:pPr/>
          </w:p>
        </w:tc>
        <w:tc>
          <w:tcPr>
            <w:tcW w:w="1914" w:type="dxa"/>
            <w:vMerge/>
            <w:tcBorders>
              <w:left w:val="single" w:sz="4" w:space="0" w:color="000000"/>
              <w:right w:val="single" w:sz="4" w:space="0" w:color="000000"/>
            </w:tcBorders>
            <w:shd w:val="clear" w:color="auto" w:fill="D4D4D4"/>
          </w:tcPr>
          <w:p>
            <w:pPr/>
          </w:p>
        </w:tc>
      </w:tr>
      <w:tr>
        <w:trPr>
          <w:trHeight w:val="161" w:hRule="exact"/>
        </w:trPr>
        <w:tc>
          <w:tcPr>
            <w:tcW w:w="19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8"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16,312,921.51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4,624,252.87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530" w:lineRule="auto" w:before="35"/>
        <w:ind w:left="574" w:right="6715"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）未确认递延所得税资产明细</w:t>
      </w:r>
      <w:r>
        <w:rPr>
          <w:spacing w:val="1"/>
          <w:w w:val="99"/>
        </w:rPr>
        <w:t> </w:t>
      </w:r>
      <w:r>
        <w:rPr>
          <w:rFonts w:ascii="宋体" w:hAnsi="宋体" w:cs="宋体" w:eastAsia="宋体" w:hint="default"/>
          <w:b w:val="0"/>
          <w:bCs w:val="0"/>
        </w:rPr>
        <w:t>无。</w:t>
      </w:r>
    </w:p>
    <w:p>
      <w:pPr>
        <w:pStyle w:val="Heading4"/>
        <w:spacing w:line="530" w:lineRule="auto" w:before="115"/>
        <w:ind w:left="574" w:right="4186"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）未确认递延所得税资产的可抵扣亏损将于以下年度到期</w:t>
      </w:r>
      <w:r>
        <w:rPr>
          <w:spacing w:val="1"/>
          <w:w w:val="99"/>
        </w:rPr>
        <w:t> </w:t>
      </w:r>
      <w:r>
        <w:rPr>
          <w:rFonts w:ascii="宋体" w:hAnsi="宋体" w:cs="宋体" w:eastAsia="宋体" w:hint="default"/>
          <w:b w:val="0"/>
          <w:bCs w:val="0"/>
        </w:rPr>
        <w:t>无。</w:t>
      </w:r>
    </w:p>
    <w:p>
      <w:pPr>
        <w:pStyle w:val="Heading4"/>
        <w:spacing w:line="530" w:lineRule="auto" w:before="115"/>
        <w:ind w:left="574" w:right="7875" w:hanging="420"/>
        <w:jc w:val="left"/>
        <w:rPr>
          <w:rFonts w:ascii="宋体" w:hAnsi="宋体" w:cs="宋体" w:eastAsia="宋体" w:hint="default"/>
          <w:b w:val="0"/>
          <w:bCs w:val="0"/>
        </w:rPr>
      </w:pPr>
      <w:r>
        <w:rPr>
          <w:rFonts w:ascii="Times New Roman" w:hAnsi="Times New Roman" w:cs="Times New Roman" w:eastAsia="Times New Roman" w:hint="default"/>
        </w:rPr>
        <w:t>30</w:t>
      </w:r>
      <w:r>
        <w:rPr/>
        <w:t>、其他非流动资产</w:t>
      </w:r>
      <w:r>
        <w:rPr>
          <w:spacing w:val="1"/>
          <w:w w:val="99"/>
        </w:rPr>
        <w:t> </w:t>
      </w:r>
      <w:r>
        <w:rPr>
          <w:rFonts w:ascii="宋体" w:hAnsi="宋体" w:cs="宋体" w:eastAsia="宋体" w:hint="default"/>
          <w:b w:val="0"/>
          <w:bCs w:val="0"/>
        </w:rPr>
        <w:t>无。</w:t>
      </w:r>
    </w:p>
    <w:p>
      <w:pPr>
        <w:pStyle w:val="Heading4"/>
        <w:spacing w:line="530" w:lineRule="auto" w:before="115"/>
        <w:ind w:left="574" w:right="8508" w:hanging="420"/>
        <w:jc w:val="left"/>
        <w:rPr>
          <w:rFonts w:ascii="宋体" w:hAnsi="宋体" w:cs="宋体" w:eastAsia="宋体" w:hint="default"/>
          <w:b w:val="0"/>
          <w:bCs w:val="0"/>
        </w:rPr>
      </w:pPr>
      <w:r>
        <w:rPr>
          <w:rFonts w:ascii="Times New Roman" w:hAnsi="Times New Roman" w:cs="Times New Roman" w:eastAsia="Times New Roman" w:hint="default"/>
        </w:rPr>
        <w:t>31</w:t>
      </w:r>
      <w:r>
        <w:rPr/>
        <w:t>、短期借款</w:t>
      </w:r>
      <w:r>
        <w:rPr>
          <w:w w:val="99"/>
        </w:rPr>
        <w:t> </w:t>
      </w:r>
      <w:r>
        <w:rPr>
          <w:rFonts w:ascii="宋体" w:hAnsi="宋体" w:cs="宋体" w:eastAsia="宋体" w:hint="default"/>
          <w:b w:val="0"/>
          <w:bCs w:val="0"/>
        </w:rPr>
        <w:t>无。</w:t>
      </w:r>
    </w:p>
    <w:p>
      <w:pPr>
        <w:spacing w:after="0" w:line="530" w:lineRule="auto"/>
        <w:jc w:val="left"/>
        <w:rPr>
          <w:rFonts w:ascii="宋体" w:hAnsi="宋体" w:cs="宋体" w:eastAsia="宋体" w:hint="default"/>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4"/>
        <w:spacing w:line="530" w:lineRule="auto" w:before="35"/>
        <w:ind w:left="574" w:right="4713" w:hanging="420"/>
        <w:jc w:val="left"/>
        <w:rPr>
          <w:rFonts w:ascii="宋体" w:hAnsi="宋体" w:cs="宋体" w:eastAsia="宋体" w:hint="default"/>
          <w:b w:val="0"/>
          <w:bCs w:val="0"/>
        </w:rPr>
      </w:pPr>
      <w:bookmarkStart w:name="（2）账龄超过1年的重要预收款项" w:id="264"/>
      <w:bookmarkEnd w:id="264"/>
      <w:r>
        <w:rPr>
          <w:b w:val="0"/>
          <w:bCs w:val="0"/>
        </w:rPr>
      </w:r>
      <w:r>
        <w:rPr>
          <w:rFonts w:ascii="Times New Roman" w:hAnsi="Times New Roman" w:cs="Times New Roman" w:eastAsia="Times New Roman" w:hint="default"/>
        </w:rPr>
        <w:t>32</w:t>
      </w:r>
      <w:bookmarkStart w:name="32、以公允价值计量且其变动计入当期损益的金融负债" w:id="265"/>
      <w:bookmarkEnd w:id="265"/>
      <w:r>
        <w:rPr>
          <w:rFonts w:ascii="Times New Roman" w:hAnsi="Times New Roman" w:cs="Times New Roman" w:eastAsia="Times New Roman" w:hint="default"/>
        </w:rPr>
      </w:r>
      <w:r>
        <w:rPr/>
        <w:t>、以公允价值计量且其变动计入当期损益的金融负债</w:t>
      </w:r>
      <w:r>
        <w:rPr>
          <w:spacing w:val="1"/>
          <w:w w:val="99"/>
        </w:rPr>
        <w:t> </w:t>
      </w:r>
      <w:r>
        <w:rPr>
          <w:rFonts w:ascii="宋体" w:hAnsi="宋体" w:cs="宋体" w:eastAsia="宋体" w:hint="default"/>
          <w:b w:val="0"/>
          <w:bCs w:val="0"/>
        </w:rPr>
        <w:t>无。</w:t>
      </w:r>
    </w:p>
    <w:p>
      <w:pPr>
        <w:pStyle w:val="Heading4"/>
        <w:spacing w:line="530" w:lineRule="auto" w:before="115"/>
        <w:ind w:left="574" w:right="8086" w:hanging="420"/>
        <w:jc w:val="left"/>
        <w:rPr>
          <w:rFonts w:ascii="宋体" w:hAnsi="宋体" w:cs="宋体" w:eastAsia="宋体" w:hint="default"/>
          <w:b w:val="0"/>
          <w:bCs w:val="0"/>
        </w:rPr>
      </w:pPr>
      <w:r>
        <w:rPr>
          <w:rFonts w:ascii="Times New Roman" w:hAnsi="Times New Roman" w:cs="Times New Roman" w:eastAsia="Times New Roman" w:hint="default"/>
        </w:rPr>
        <w:t>33</w:t>
      </w:r>
      <w:r>
        <w:rPr/>
        <w:t>、衍生金融</w:t>
      </w:r>
      <w:bookmarkStart w:name="33、衍生金融负债" w:id="266"/>
      <w:bookmarkEnd w:id="266"/>
      <w:r>
        <w:rPr/>
        <w:t>负债</w:t>
      </w:r>
      <w:r>
        <w:rPr>
          <w:spacing w:val="1"/>
          <w:w w:val="99"/>
        </w:rPr>
        <w:t> </w:t>
      </w:r>
      <w:r>
        <w:rPr>
          <w:rFonts w:ascii="宋体" w:hAnsi="宋体" w:cs="宋体" w:eastAsia="宋体" w:hint="default"/>
          <w:b w:val="0"/>
          <w:bCs w:val="0"/>
        </w:rPr>
        <w:t>无。</w:t>
      </w:r>
    </w:p>
    <w:p>
      <w:pPr>
        <w:pStyle w:val="Heading4"/>
        <w:spacing w:line="547" w:lineRule="auto" w:before="115"/>
        <w:ind w:left="135" w:right="8507"/>
        <w:jc w:val="center"/>
        <w:rPr>
          <w:b w:val="0"/>
          <w:bCs w:val="0"/>
        </w:rPr>
      </w:pPr>
      <w:r>
        <w:rPr>
          <w:rFonts w:ascii="Times New Roman" w:hAnsi="Times New Roman" w:cs="Times New Roman" w:eastAsia="Times New Roman" w:hint="default"/>
        </w:rPr>
        <w:t>34</w:t>
      </w:r>
      <w:r>
        <w:rPr/>
        <w:t>、应付票据</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35</w:t>
      </w:r>
      <w:r>
        <w:rPr/>
        <w:t>、应付账款</w:t>
      </w:r>
      <w:r>
        <w:rPr>
          <w:b w:val="0"/>
          <w:bCs w:val="0"/>
        </w:rPr>
      </w:r>
    </w:p>
    <w:p>
      <w:pPr>
        <w:pStyle w:val="Heading4"/>
        <w:spacing w:line="240" w:lineRule="auto" w:before="25"/>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4、应付票据" w:id="267"/>
      <w:bookmarkEnd w:id="267"/>
      <w:r>
        <w:rPr/>
      </w:r>
      <w:bookmarkStart w:name="35、应付账款" w:id="268"/>
      <w:bookmarkEnd w:id="268"/>
      <w:r>
        <w:rPr/>
      </w:r>
      <w:bookmarkStart w:name="（1）应付账款列示" w:id="269"/>
      <w:bookmarkEnd w:id="269"/>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63,403,504.76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39,361,222.22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3,838,014.07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67,241,518.83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39,361,222.22</w:t>
            </w:r>
          </w:p>
        </w:tc>
      </w:tr>
    </w:tbl>
    <w:p>
      <w:pPr>
        <w:spacing w:line="240" w:lineRule="auto" w:before="2"/>
        <w:rPr>
          <w:rFonts w:ascii="宋体" w:hAnsi="宋体" w:cs="宋体" w:eastAsia="宋体" w:hint="default"/>
          <w:sz w:val="19"/>
          <w:szCs w:val="19"/>
        </w:rPr>
      </w:pPr>
    </w:p>
    <w:p>
      <w:pPr>
        <w:pStyle w:val="Heading4"/>
        <w:spacing w:line="530" w:lineRule="auto" w:before="35"/>
        <w:ind w:left="574" w:right="6508"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账龄超过1年的重要应付账款" w:id="270"/>
      <w:bookmarkEnd w:id="270"/>
      <w:r>
        <w:rPr/>
      </w:r>
      <w:bookmarkStart w:name="36、预收款项" w:id="271"/>
      <w:bookmarkEnd w:id="271"/>
      <w:r>
        <w:rPr/>
      </w:r>
      <w:r>
        <w:rPr>
          <w:rFonts w:ascii="宋体" w:hAnsi="宋体" w:cs="宋体" w:eastAsia="宋体" w:hint="default"/>
          <w:sz w:val="18"/>
          <w:szCs w:val="18"/>
        </w:rPr>
        <w:t>单位： </w:t>
      </w:r>
      <w:bookmarkStart w:name="（1）预收款项列示" w:id="272"/>
      <w:bookmarkEnd w:id="272"/>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131,387,990.19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67,935,758.25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131,387,990.19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67,935,758.25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2,045,796.31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未验收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1,669,504.27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未验收</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1,537,350.42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未验收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1,265,811.96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未验收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1,204,876.47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未验收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7,723,339.43</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530" w:lineRule="auto" w:before="35"/>
        <w:ind w:left="574" w:right="5240"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）期末建造</w:t>
      </w:r>
      <w:bookmarkStart w:name="（3）期末建造合同形成的已结算未完工项目情况" w:id="273"/>
      <w:bookmarkEnd w:id="273"/>
      <w:r>
        <w:rPr/>
        <w:t>合同形成</w:t>
      </w:r>
      <w:r>
        <w:rPr/>
        <w:t>的已结算未完工项目情况</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7、应付职工薪酬" w:id="274"/>
      <w:bookmarkEnd w:id="274"/>
      <w:r>
        <w:rPr/>
      </w:r>
      <w:bookmarkStart w:name="（1）应付职工薪酬列示" w:id="275"/>
      <w:bookmarkEnd w:id="275"/>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38,985,534.52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156,963,104.34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143,019,115.41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52,929,523.45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105,732.69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10,277,719.84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10,269,942.91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113,509.62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601,781.09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601,781.09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39,091,267.21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167,842,605.27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153,890,839.41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53,043,033.07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短期薪酬列示" w:id="276"/>
      <w:bookmarkEnd w:id="276"/>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2"/>
        <w:gridCol w:w="1854"/>
        <w:gridCol w:w="1702"/>
        <w:gridCol w:w="1700"/>
        <w:gridCol w:w="1490"/>
      </w:tblGrid>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5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38,920,722.90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134,903,120.01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121,160,376.78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52,663,466.13</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54" w:type="dxa"/>
            <w:tcBorders>
              <w:top w:val="single" w:sz="4" w:space="0" w:color="000000"/>
              <w:left w:val="single" w:sz="13" w:space="0" w:color="D4D4D4"/>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3,804,923.32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3,804,923.32</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5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57,027.62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5,748,060.26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5,743,931.08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61,156.80</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5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50,466.90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4,806,770.90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4,803,116.80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54,121.00</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5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2,523.42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373,271.11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373,088.40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2,706.13</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5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4,037.30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568,018.25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567,725.88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4,329.67</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54" w:type="dxa"/>
            <w:tcBorders>
              <w:top w:val="single" w:sz="4" w:space="0" w:color="000000"/>
              <w:left w:val="single" w:sz="13" w:space="0" w:color="D4D4D4"/>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8,384,205.06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8,384,205.06</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5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1,695,600.75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1,498,484.23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204,900.52</w:t>
            </w: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854" w:type="dxa"/>
            <w:tcBorders>
              <w:top w:val="single" w:sz="4" w:space="0" w:color="000000"/>
              <w:left w:val="single" w:sz="13" w:space="0" w:color="D4D4D4"/>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854" w:type="dxa"/>
            <w:tcBorders>
              <w:top w:val="single" w:sz="4" w:space="0" w:color="000000"/>
              <w:left w:val="single" w:sz="13" w:space="0" w:color="D4D4D4"/>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、非货币性福利</w:t>
            </w:r>
          </w:p>
        </w:tc>
        <w:tc>
          <w:tcPr>
            <w:tcW w:w="185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343,024.42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343,024.42</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、股权激励</w:t>
            </w:r>
          </w:p>
        </w:tc>
        <w:tc>
          <w:tcPr>
            <w:tcW w:w="185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2,084,170.52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2,084,170.52</w:t>
            </w:r>
          </w:p>
        </w:tc>
        <w:tc>
          <w:tcPr>
            <w:tcW w:w="14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5"/>
        <w:gridCol w:w="1843"/>
        <w:gridCol w:w="1702"/>
        <w:gridCol w:w="1700"/>
        <w:gridCol w:w="1490"/>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38,985,534.52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156,963,104.34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143,019,115.41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3" w:right="0"/>
              <w:jc w:val="left"/>
              <w:rPr>
                <w:rFonts w:ascii="Times New Roman" w:hAnsi="Times New Roman" w:cs="Times New Roman" w:eastAsia="Times New Roman" w:hint="default"/>
                <w:sz w:val="18"/>
                <w:szCs w:val="18"/>
              </w:rPr>
            </w:pPr>
            <w:r>
              <w:rPr>
                <w:rFonts w:ascii="Times New Roman"/>
                <w:sz w:val="18"/>
              </w:rPr>
              <w:t>52,929,523.45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9、应付利息" w:id="277"/>
      <w:bookmarkEnd w:id="277"/>
      <w:r>
        <w:rPr>
          <w:b w:val="0"/>
          <w:bCs w:val="0"/>
        </w:rPr>
      </w:r>
      <w:bookmarkStart w:name="40、应付股利" w:id="278"/>
      <w:bookmarkEnd w:id="278"/>
      <w:r>
        <w:rPr>
          <w:b w:val="0"/>
          <w:bCs w:val="0"/>
        </w:rPr>
      </w:r>
      <w:r>
        <w:rPr/>
        <w:t>（</w:t>
      </w:r>
      <w:r>
        <w:rPr>
          <w:rFonts w:ascii="Times New Roman" w:hAnsi="Times New Roman" w:cs="Times New Roman" w:eastAsia="Times New Roman" w:hint="default"/>
        </w:rPr>
        <w:t>3</w:t>
      </w:r>
      <w:bookmarkStart w:name="（3）设定提存计划列示" w:id="279"/>
      <w:bookmarkEnd w:id="279"/>
      <w:r>
        <w:rPr>
          <w:rFonts w:ascii="Times New Roman" w:hAnsi="Times New Roman" w:cs="Times New Roman" w:eastAsia="Times New Roman" w:hint="default"/>
        </w:rPr>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100,697.80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8,501,210.16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8,493,803.56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108,104.40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1,084,916.42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1,084,546.09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5,405.22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691,593.26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691,593.26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105,732.69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10,277,719.84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10,269,942.91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113,509.62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8、应交税费" w:id="280"/>
      <w:bookmarkEnd w:id="280"/>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28,105,670.02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11,504,641.36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3" w:type="dxa"/>
            <w:tcBorders>
              <w:top w:val="single" w:sz="4" w:space="0" w:color="000000"/>
              <w:left w:val="single" w:sz="13" w:space="0" w:color="D4D4D4"/>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172,149.86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53,918.99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12,776,551.18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1,058,122.81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412,125.84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129,743.00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1,980,107.38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808,106.88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848,617.46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346,331.52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566,031.06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231,171.20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101,465.76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60,983.73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28,208.64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-133,861.31</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20,267.99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11,010.38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45,011,195.19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14,070,168.56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说明：应交税费年末余额较年初增长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219.91%</w:t>
      </w:r>
      <w:r>
        <w:rPr>
          <w:rFonts w:ascii="宋体" w:hAnsi="宋体" w:cs="宋体" w:eastAsia="宋体" w:hint="default"/>
          <w:sz w:val="18"/>
          <w:szCs w:val="18"/>
        </w:rPr>
        <w:t>主要系本年收入与业绩增长所致。</w:t>
      </w:r>
    </w:p>
    <w:p>
      <w:pPr>
        <w:spacing w:line="240" w:lineRule="auto" w:before="9"/>
        <w:rPr>
          <w:rFonts w:ascii="宋体" w:hAnsi="宋体" w:cs="宋体" w:eastAsia="宋体" w:hint="default"/>
          <w:sz w:val="25"/>
          <w:szCs w:val="25"/>
        </w:rPr>
      </w:pPr>
    </w:p>
    <w:p>
      <w:pPr>
        <w:spacing w:line="542" w:lineRule="auto" w:before="0"/>
        <w:ind w:left="135" w:right="8507"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、应付利息</w:t>
      </w:r>
      <w:r>
        <w:rPr>
          <w:rFonts w:ascii="宋体" w:hAnsi="宋体" w:cs="宋体" w:eastAsia="宋体" w:hint="default"/>
          <w:b/>
          <w:bCs/>
          <w:w w:val="99"/>
          <w:sz w:val="21"/>
          <w:szCs w:val="21"/>
        </w:rPr>
        <w:t> </w:t>
      </w:r>
      <w:r>
        <w:rPr>
          <w:rFonts w:ascii="宋体" w:hAnsi="宋体" w:cs="宋体" w:eastAsia="宋体" w:hint="default"/>
          <w:sz w:val="21"/>
          <w:szCs w:val="21"/>
        </w:rPr>
        <w:t>无。 </w:t>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、应付股利</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after="0" w:line="542" w:lineRule="auto"/>
        <w:jc w:val="center"/>
        <w:rPr>
          <w:rFonts w:ascii="宋体" w:hAnsi="宋体" w:cs="宋体" w:eastAsia="宋体" w:hint="default"/>
          <w:sz w:val="21"/>
          <w:szCs w:val="21"/>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2、划分为持有待售的负债" w:id="281"/>
      <w:bookmarkEnd w:id="281"/>
      <w:r>
        <w:rPr>
          <w:b w:val="0"/>
          <w:bCs w:val="0"/>
        </w:rPr>
      </w:r>
      <w:bookmarkStart w:name="43、一年内到期的非流动负债" w:id="282"/>
      <w:bookmarkEnd w:id="282"/>
      <w:r>
        <w:rPr>
          <w:b w:val="0"/>
          <w:bCs w:val="0"/>
        </w:rPr>
      </w:r>
      <w:bookmarkStart w:name="44、其他流动负债" w:id="283"/>
      <w:bookmarkEnd w:id="283"/>
      <w:r>
        <w:rPr>
          <w:b w:val="0"/>
          <w:bCs w:val="0"/>
        </w:rPr>
      </w:r>
      <w:bookmarkStart w:name="45、长期借款" w:id="284"/>
      <w:bookmarkEnd w:id="284"/>
      <w:r>
        <w:rPr>
          <w:b w:val="0"/>
          <w:bCs w:val="0"/>
        </w:rPr>
      </w:r>
      <w:bookmarkStart w:name="46、应付债券" w:id="285"/>
      <w:bookmarkEnd w:id="285"/>
      <w:r>
        <w:rPr>
          <w:b w:val="0"/>
          <w:bCs w:val="0"/>
        </w:rPr>
      </w:r>
      <w:r>
        <w:rPr>
          <w:rFonts w:ascii="Times New Roman" w:hAnsi="Times New Roman" w:cs="Times New Roman" w:eastAsia="Times New Roman" w:hint="default"/>
        </w:rPr>
        <w:t>41</w:t>
      </w:r>
      <w:bookmarkStart w:name="41、其他应付款" w:id="286"/>
      <w:bookmarkEnd w:id="286"/>
      <w:r>
        <w:rPr>
          <w:rFonts w:ascii="Times New Roman" w:hAnsi="Times New Roman" w:cs="Times New Roman" w:eastAsia="Times New Roman" w:hint="default"/>
        </w:rPr>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bookmarkStart w:name="（1）按款项性质列示其他应付款" w:id="287"/>
      <w:bookmarkEnd w:id="287"/>
      <w:r>
        <w:rPr>
          <w:rFonts w:ascii="Times New Roman" w:hAnsi="Times New Roman" w:cs="Times New Roman" w:eastAsia="Times New Roman" w:hint="default"/>
        </w:rPr>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9,709,600.00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14,564,400.00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单位与个人往来款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4,071,481.82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1,890,408.04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4,437,086.19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662,698.79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531,011.88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149,766.98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18,749,179.89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17,267,273.81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账龄超过1年的重要其他应付款" w:id="288"/>
      <w:bookmarkEnd w:id="288"/>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9,709,600.00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详见本附注十四、</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说明</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9,709,600.00</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530" w:lineRule="auto" w:before="35"/>
        <w:ind w:left="574" w:right="7243" w:hanging="420"/>
        <w:jc w:val="left"/>
        <w:rPr>
          <w:rFonts w:ascii="宋体" w:hAnsi="宋体" w:cs="宋体" w:eastAsia="宋体" w:hint="default"/>
          <w:b w:val="0"/>
          <w:bCs w:val="0"/>
        </w:rPr>
      </w:pPr>
      <w:r>
        <w:rPr>
          <w:rFonts w:ascii="Times New Roman" w:hAnsi="Times New Roman" w:cs="Times New Roman" w:eastAsia="Times New Roman" w:hint="default"/>
        </w:rPr>
        <w:t>42</w:t>
      </w:r>
      <w:r>
        <w:rPr/>
        <w:t>、划分为持有待售的负债</w:t>
      </w:r>
      <w:r>
        <w:rPr>
          <w:w w:val="99"/>
        </w:rPr>
        <w:t> </w:t>
      </w:r>
      <w:r>
        <w:rPr>
          <w:rFonts w:ascii="宋体" w:hAnsi="宋体" w:cs="宋体" w:eastAsia="宋体" w:hint="default"/>
          <w:b w:val="0"/>
          <w:bCs w:val="0"/>
        </w:rPr>
        <w:t>无。</w:t>
      </w:r>
    </w:p>
    <w:p>
      <w:pPr>
        <w:pStyle w:val="Heading4"/>
        <w:spacing w:line="530" w:lineRule="auto" w:before="115"/>
        <w:ind w:left="574" w:right="7032" w:hanging="420"/>
        <w:jc w:val="left"/>
        <w:rPr>
          <w:rFonts w:ascii="宋体" w:hAnsi="宋体" w:cs="宋体" w:eastAsia="宋体" w:hint="default"/>
          <w:b w:val="0"/>
          <w:bCs w:val="0"/>
        </w:rPr>
      </w:pPr>
      <w:r>
        <w:rPr>
          <w:rFonts w:ascii="Times New Roman" w:hAnsi="Times New Roman" w:cs="Times New Roman" w:eastAsia="Times New Roman" w:hint="default"/>
        </w:rPr>
        <w:t>43</w:t>
      </w:r>
      <w:r>
        <w:rPr/>
        <w:t>、一年内到期的非流动负债</w:t>
      </w:r>
      <w:r>
        <w:rPr>
          <w:spacing w:val="1"/>
          <w:w w:val="99"/>
        </w:rPr>
        <w:t> </w:t>
      </w:r>
      <w:r>
        <w:rPr>
          <w:rFonts w:ascii="宋体" w:hAnsi="宋体" w:cs="宋体" w:eastAsia="宋体" w:hint="default"/>
          <w:b w:val="0"/>
          <w:bCs w:val="0"/>
        </w:rPr>
        <w:t>无。</w:t>
      </w:r>
    </w:p>
    <w:p>
      <w:pPr>
        <w:pStyle w:val="Heading4"/>
        <w:spacing w:line="530" w:lineRule="auto" w:before="115"/>
        <w:ind w:left="574" w:right="8086" w:hanging="420"/>
        <w:jc w:val="left"/>
        <w:rPr>
          <w:rFonts w:ascii="宋体" w:hAnsi="宋体" w:cs="宋体" w:eastAsia="宋体" w:hint="default"/>
          <w:b w:val="0"/>
          <w:bCs w:val="0"/>
        </w:rPr>
      </w:pPr>
      <w:r>
        <w:rPr>
          <w:rFonts w:ascii="Times New Roman" w:hAnsi="Times New Roman" w:cs="Times New Roman" w:eastAsia="Times New Roman" w:hint="default"/>
        </w:rPr>
        <w:t>44</w:t>
      </w:r>
      <w:r>
        <w:rPr/>
        <w:t>、其他流动负债</w:t>
      </w:r>
      <w:r>
        <w:rPr>
          <w:spacing w:val="1"/>
          <w:w w:val="99"/>
        </w:rPr>
        <w:t> </w:t>
      </w:r>
      <w:r>
        <w:rPr>
          <w:rFonts w:ascii="宋体" w:hAnsi="宋体" w:cs="宋体" w:eastAsia="宋体" w:hint="default"/>
          <w:b w:val="0"/>
          <w:bCs w:val="0"/>
        </w:rPr>
        <w:t>无。</w:t>
      </w:r>
    </w:p>
    <w:p>
      <w:pPr>
        <w:spacing w:line="542" w:lineRule="auto" w:before="115"/>
        <w:ind w:left="135" w:right="8507"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b/>
          <w:bCs/>
          <w:w w:val="99"/>
          <w:sz w:val="21"/>
          <w:szCs w:val="21"/>
        </w:rPr>
        <w:t> </w:t>
      </w:r>
      <w:r>
        <w:rPr>
          <w:rFonts w:ascii="宋体" w:hAnsi="宋体" w:cs="宋体" w:eastAsia="宋体" w:hint="default"/>
          <w:sz w:val="21"/>
          <w:szCs w:val="21"/>
        </w:rPr>
        <w:t>无。 </w:t>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after="0" w:line="542" w:lineRule="auto"/>
        <w:jc w:val="center"/>
        <w:rPr>
          <w:rFonts w:ascii="宋体" w:hAnsi="宋体" w:cs="宋体" w:eastAsia="宋体" w:hint="default"/>
          <w:sz w:val="21"/>
          <w:szCs w:val="21"/>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4"/>
        <w:spacing w:line="530" w:lineRule="auto" w:before="35"/>
        <w:ind w:left="574" w:right="8297" w:hanging="420"/>
        <w:jc w:val="left"/>
        <w:rPr>
          <w:rFonts w:ascii="宋体" w:hAnsi="宋体" w:cs="宋体" w:eastAsia="宋体" w:hint="default"/>
          <w:b w:val="0"/>
          <w:bCs w:val="0"/>
        </w:rPr>
      </w:pPr>
      <w:r>
        <w:rPr>
          <w:rFonts w:ascii="Times New Roman" w:hAnsi="Times New Roman" w:cs="Times New Roman" w:eastAsia="Times New Roman" w:hint="default"/>
        </w:rPr>
        <w:t>47</w:t>
      </w:r>
      <w:bookmarkStart w:name="47、长期应付款" w:id="289"/>
      <w:bookmarkEnd w:id="289"/>
      <w:r>
        <w:rPr>
          <w:rFonts w:ascii="Times New Roman" w:hAnsi="Times New Roman" w:cs="Times New Roman" w:eastAsia="Times New Roman" w:hint="default"/>
        </w:rPr>
      </w:r>
      <w:r>
        <w:rPr/>
        <w:t>、长期应付款</w:t>
      </w:r>
      <w:r>
        <w:rPr>
          <w:w w:val="99"/>
        </w:rPr>
        <w:t> </w:t>
      </w:r>
      <w:r>
        <w:rPr>
          <w:rFonts w:ascii="宋体" w:hAnsi="宋体" w:cs="宋体" w:eastAsia="宋体" w:hint="default"/>
          <w:b w:val="0"/>
          <w:bCs w:val="0"/>
        </w:rPr>
        <w:t>无。</w:t>
      </w:r>
    </w:p>
    <w:p>
      <w:pPr>
        <w:pStyle w:val="Heading4"/>
        <w:spacing w:line="530" w:lineRule="auto" w:before="115"/>
        <w:ind w:left="574" w:right="7665" w:hanging="420"/>
        <w:jc w:val="left"/>
        <w:rPr>
          <w:rFonts w:ascii="宋体" w:hAnsi="宋体" w:cs="宋体" w:eastAsia="宋体" w:hint="default"/>
          <w:b w:val="0"/>
          <w:bCs w:val="0"/>
        </w:rPr>
      </w:pPr>
      <w:r>
        <w:rPr>
          <w:rFonts w:ascii="Times New Roman" w:hAnsi="Times New Roman" w:cs="Times New Roman" w:eastAsia="Times New Roman" w:hint="default"/>
        </w:rPr>
        <w:t>48</w:t>
      </w:r>
      <w:r>
        <w:rPr/>
        <w:t>、长期应付</w:t>
      </w:r>
      <w:bookmarkStart w:name="48、长期应付职工薪酬" w:id="290"/>
      <w:bookmarkEnd w:id="290"/>
      <w:r>
        <w:rPr/>
        <w:t>职工薪酬</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49、专项应付款" w:id="291"/>
      <w:bookmarkEnd w:id="291"/>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134"/>
        <w:gridCol w:w="850"/>
        <w:gridCol w:w="992"/>
        <w:gridCol w:w="851"/>
        <w:gridCol w:w="3612"/>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多路并行取证系统的研究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250,000.00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厦门市经济发展局、厦门市财政局厦经技</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271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250,000.00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3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56" w:lineRule="auto" w:before="26"/>
        <w:ind w:left="153" w:right="223"/>
        <w:jc w:val="left"/>
      </w:pPr>
      <w:r>
        <w:rPr/>
        <w:t>注：厦门市</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年（第一批）重点技术创新及产学研项目“多路并行取证系统的研究”于本年度</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月份 经厦门市经济发展局的验收，故确认为当期损益。</w:t>
      </w:r>
    </w:p>
    <w:p>
      <w:pPr>
        <w:spacing w:line="240" w:lineRule="auto" w:before="8"/>
        <w:rPr>
          <w:rFonts w:ascii="宋体" w:hAnsi="宋体" w:cs="宋体" w:eastAsia="宋体" w:hint="default"/>
          <w:sz w:val="24"/>
          <w:szCs w:val="24"/>
        </w:rPr>
      </w:pPr>
    </w:p>
    <w:p>
      <w:pPr>
        <w:pStyle w:val="Heading4"/>
        <w:spacing w:line="547" w:lineRule="auto"/>
        <w:ind w:left="135" w:right="8507"/>
        <w:jc w:val="center"/>
        <w:rPr>
          <w:b w:val="0"/>
          <w:bCs w:val="0"/>
        </w:rPr>
      </w:pPr>
      <w:r>
        <w:rPr>
          <w:rFonts w:ascii="Times New Roman" w:hAnsi="Times New Roman" w:cs="Times New Roman" w:eastAsia="Times New Roman" w:hint="default"/>
        </w:rPr>
        <w:t>50</w:t>
      </w:r>
      <w:r>
        <w:rPr/>
        <w:t>、预计负债</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51</w:t>
      </w:r>
      <w:r>
        <w:rPr/>
        <w:t>、递延收益</w:t>
      </w:r>
      <w:r>
        <w:rPr>
          <w:b w:val="0"/>
          <w:bCs w:val="0"/>
        </w:rPr>
      </w:r>
    </w:p>
    <w:p>
      <w:pPr>
        <w:spacing w:before="50"/>
        <w:ind w:left="0" w:right="152" w:firstLine="0"/>
        <w:jc w:val="right"/>
        <w:rPr>
          <w:rFonts w:ascii="宋体" w:hAnsi="宋体" w:cs="宋体" w:eastAsia="宋体" w:hint="default"/>
          <w:sz w:val="18"/>
          <w:szCs w:val="18"/>
        </w:rPr>
      </w:pPr>
      <w:bookmarkStart w:name="50、预计负债" w:id="292"/>
      <w:bookmarkEnd w:id="292"/>
      <w:r>
        <w:rPr/>
      </w:r>
      <w:bookmarkStart w:name="51、递延收益" w:id="293"/>
      <w:bookmarkEnd w:id="293"/>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594"/>
        <w:gridCol w:w="1595"/>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16,542,594.91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9,935,300.00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4,174,976.39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22,302,918.52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16,542,594.91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9,935,300.00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4,174,976.39</w:t>
            </w:r>
          </w:p>
        </w:tc>
        <w:tc>
          <w:tcPr>
            <w:tcW w:w="159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22,302,918.52</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7"/>
          <w:szCs w:val="7"/>
        </w:rPr>
      </w:pPr>
    </w:p>
    <w:p>
      <w:pPr>
        <w:pStyle w:val="BodyText"/>
        <w:spacing w:line="240" w:lineRule="auto" w:before="35"/>
        <w:ind w:left="574" w:right="0"/>
        <w:jc w:val="left"/>
      </w:pPr>
      <w:r>
        <w:rPr/>
        <w:t>涉及政府补助的项目：</w:t>
      </w:r>
    </w:p>
    <w:p>
      <w:pPr>
        <w:spacing w:line="240" w:lineRule="auto" w:before="0"/>
        <w:rPr>
          <w:rFonts w:ascii="宋体" w:hAnsi="宋体" w:cs="宋体" w:eastAsia="宋体" w:hint="default"/>
          <w:sz w:val="13"/>
          <w:szCs w:val="1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1134"/>
        <w:gridCol w:w="1134"/>
        <w:gridCol w:w="1134"/>
        <w:gridCol w:w="425"/>
        <w:gridCol w:w="1277"/>
        <w:gridCol w:w="1349"/>
      </w:tblGrid>
      <w:tr>
        <w:trPr>
          <w:trHeight w:val="1025" w:hRule="exact"/>
        </w:trPr>
        <w:tc>
          <w:tcPr>
            <w:tcW w:w="31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1" w:right="110"/>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308" w:right="103"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电子数据取证综合平台产业化项目（注</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661,992.87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475,476.59</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186,516.28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center"/>
              <w:rPr>
                <w:rFonts w:ascii="宋体" w:hAnsi="宋体" w:cs="宋体" w:eastAsia="宋体" w:hint="default"/>
                <w:sz w:val="18"/>
                <w:szCs w:val="18"/>
              </w:rPr>
            </w:pPr>
            <w:r>
              <w:rPr>
                <w:rFonts w:ascii="宋体" w:hAnsi="宋体" w:cs="宋体" w:eastAsia="宋体" w:hint="default"/>
                <w:sz w:val="18"/>
                <w:szCs w:val="18"/>
              </w:rPr>
              <w:t>厦门超级计算（云计算）中心（注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11,819,696.95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8,539,696.95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年继续对重点制造业企 业技术改造实施财政扶持（注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556,205.09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356,205.09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面向新型信息技术和应用环境的网络技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1,054,700.00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265,300.00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部分与资产相关</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19"/>
        <w:gridCol w:w="1134"/>
        <w:gridCol w:w="1134"/>
        <w:gridCol w:w="1134"/>
        <w:gridCol w:w="425"/>
        <w:gridCol w:w="1277"/>
        <w:gridCol w:w="1349"/>
      </w:tblGrid>
      <w:tr>
        <w:trPr>
          <w:trHeight w:val="36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术研究（注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电子取证关键技术研究（注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部分与资产相关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面向互联网的海量信息分析挖掘关键技 术及系统研究（注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部分与资产相关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企业技术改造项目补助资金（注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科技政策定额扶持资金（注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219,499.80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280,500.20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国家服务业发展引导资金“电子数据存 </w:t>
            </w:r>
            <w:r>
              <w:rPr>
                <w:rFonts w:ascii="宋体" w:hAnsi="宋体" w:cs="宋体" w:eastAsia="宋体" w:hint="default"/>
                <w:spacing w:val="-18"/>
                <w:sz w:val="18"/>
                <w:szCs w:val="18"/>
              </w:rPr>
              <w:t>证云”（注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物联网实时图像识别（注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优秀骨干人才软件产业化项目“基于手 机云的手机综合取证系统” （注</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省级企业技术中心“电子数据分析系统 平台建设”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博士后工作站科技政策定额扶持资金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基于内容感知的智能视频浓缩设备产学 研资金（注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安全服务器项目创新资金（注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16,542,594.91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9,935,300.00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4,174,976.39</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22,302,918.52</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6"/>
        <w:ind w:right="0"/>
        <w:jc w:val="left"/>
      </w:pPr>
      <w:r>
        <w:rPr/>
        <w:t>其他说明：</w:t>
      </w:r>
    </w:p>
    <w:p>
      <w:pPr>
        <w:spacing w:line="240" w:lineRule="auto" w:before="5"/>
        <w:rPr>
          <w:rFonts w:ascii="宋体" w:hAnsi="宋体" w:cs="宋体" w:eastAsia="宋体" w:hint="default"/>
          <w:sz w:val="14"/>
          <w:szCs w:val="14"/>
        </w:rPr>
      </w:pPr>
    </w:p>
    <w:p>
      <w:pPr>
        <w:pStyle w:val="BodyText"/>
        <w:spacing w:line="312" w:lineRule="auto"/>
        <w:ind w:left="993" w:right="108" w:hanging="420"/>
        <w:jc w:val="both"/>
      </w:pPr>
      <w:r>
        <w:rPr/>
        <w:t>① </w:t>
      </w:r>
      <w:r>
        <w:rPr>
          <w:spacing w:val="3"/>
        </w:rPr>
        <w:t>电子数据取证综合平台产业化项目系：本公司申请厦门市制造业企业技术改造项目财政扶持资</w:t>
      </w:r>
      <w:r>
        <w:rPr>
          <w:spacing w:val="-71"/>
        </w:rPr>
        <w:t> </w:t>
      </w:r>
      <w:r>
        <w:rPr>
          <w:spacing w:val="-71"/>
        </w:rPr>
      </w:r>
      <w:r>
        <w:rPr/>
        <w:t>金，于</w:t>
      </w:r>
      <w:r>
        <w:rPr>
          <w:rFonts w:ascii="Times New Roman" w:hAnsi="Times New Roman" w:cs="Times New Roman" w:eastAsia="Times New Roman" w:hint="default"/>
        </w:rPr>
        <w:t>2010</w:t>
      </w:r>
      <w:r>
        <w:rPr/>
        <w:t>年技改投入</w:t>
      </w:r>
      <w:r>
        <w:rPr>
          <w:rFonts w:ascii="Times New Roman" w:hAnsi="Times New Roman" w:cs="Times New Roman" w:eastAsia="Times New Roman" w:hint="default"/>
        </w:rPr>
        <w:t>401.14</w:t>
      </w:r>
      <w:r>
        <w:rPr/>
        <w:t>万元用于购置设备，根据厦财预（</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54</w:t>
      </w:r>
      <w:r>
        <w:rPr/>
        <w:t>号文件，按当年设备投</w:t>
      </w:r>
      <w:r>
        <w:rPr>
          <w:spacing w:val="1"/>
        </w:rPr>
        <w:t> </w:t>
      </w:r>
      <w:r>
        <w:rPr/>
        <w:t>资额</w:t>
      </w:r>
      <w:r>
        <w:rPr>
          <w:rFonts w:ascii="Times New Roman" w:hAnsi="Times New Roman" w:cs="Times New Roman" w:eastAsia="Times New Roman" w:hint="default"/>
        </w:rPr>
        <w:t>20%</w:t>
      </w:r>
      <w:r>
        <w:rPr/>
        <w:t>予以补助故予以补助</w:t>
      </w:r>
      <w:r>
        <w:rPr>
          <w:rFonts w:ascii="Times New Roman" w:hAnsi="Times New Roman" w:cs="Times New Roman" w:eastAsia="Times New Roman" w:hint="default"/>
        </w:rPr>
        <w:t>80.23</w:t>
      </w:r>
      <w:r>
        <w:rPr/>
        <w:t>万元，截止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日已收到该补助款；因该补助款系与 资产相关，故按照资产使用年限摊销并确认收益，本年共计确认收益</w:t>
      </w:r>
      <w:r>
        <w:rPr>
          <w:rFonts w:ascii="Times New Roman" w:hAnsi="Times New Roman" w:cs="Times New Roman" w:eastAsia="Times New Roman" w:hint="default"/>
        </w:rPr>
        <w:t>135,964.71</w:t>
      </w:r>
      <w:r>
        <w:rPr/>
        <w:t>元；厦门市发改</w:t>
      </w:r>
      <w:r>
        <w:rPr>
          <w:spacing w:val="2"/>
        </w:rPr>
        <w:t> </w:t>
      </w:r>
      <w:r>
        <w:rPr/>
        <w:t>委对本公司关于电子数据取证综合平台产业化项目的补助金</w:t>
      </w:r>
      <w:r>
        <w:rPr>
          <w:rFonts w:ascii="Times New Roman" w:hAnsi="Times New Roman" w:cs="Times New Roman" w:eastAsia="Times New Roman" w:hint="default"/>
        </w:rPr>
        <w:t>450</w:t>
      </w:r>
      <w:r>
        <w:rPr/>
        <w:t>万元，截止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日已收 到该补助款。根据文件相关规定该项补助款必须专款专用：其中</w:t>
      </w:r>
      <w:r>
        <w:rPr>
          <w:rFonts w:ascii="Times New Roman" w:hAnsi="Times New Roman" w:cs="Times New Roman" w:eastAsia="Times New Roman" w:hint="default"/>
        </w:rPr>
        <w:t>252.61</w:t>
      </w:r>
      <w:r>
        <w:rPr/>
        <w:t>万元用于购置仪器设备， </w:t>
      </w:r>
      <w:r>
        <w:rPr>
          <w:spacing w:val="-1"/>
        </w:rPr>
        <w:t>因该补助款系与资产相关故按照资产使用年限摊销并确认收益，本年共计确认收益</w:t>
      </w:r>
      <w:r>
        <w:rPr>
          <w:rFonts w:ascii="Times New Roman" w:hAnsi="Times New Roman" w:cs="Times New Roman" w:eastAsia="Times New Roman" w:hint="default"/>
          <w:spacing w:val="-1"/>
        </w:rPr>
        <w:t>339,511.88</w:t>
      </w:r>
      <w:r>
        <w:rPr>
          <w:spacing w:val="-1"/>
        </w:rPr>
        <w:t>元。</w:t>
      </w:r>
    </w:p>
    <w:p>
      <w:pPr>
        <w:pStyle w:val="BodyText"/>
        <w:tabs>
          <w:tab w:pos="993" w:val="left" w:leader="none"/>
        </w:tabs>
        <w:spacing w:line="240" w:lineRule="auto" w:before="134"/>
        <w:ind w:left="573" w:right="0"/>
        <w:jc w:val="left"/>
      </w:pPr>
      <w:r>
        <w:rPr/>
        <w:t>②</w:t>
        <w:tab/>
        <w:t>根据厦门市财政局厦科联【</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69</w:t>
      </w:r>
      <w:r>
        <w:rPr/>
        <w:t>号文，厦门市科技局及财政局对本公司“厦门超级计算中心</w:t>
      </w:r>
    </w:p>
    <w:p>
      <w:pPr>
        <w:pStyle w:val="BodyText"/>
        <w:spacing w:line="314" w:lineRule="auto" w:before="83"/>
        <w:ind w:left="993" w:right="209"/>
        <w:jc w:val="both"/>
      </w:pPr>
      <w:r>
        <w:rPr>
          <w:spacing w:val="-1"/>
        </w:rPr>
        <w:t>（厦门云计算中心）“项目补助金</w:t>
      </w:r>
      <w:r>
        <w:rPr>
          <w:rFonts w:ascii="Times New Roman" w:hAnsi="Times New Roman" w:cs="Times New Roman" w:eastAsia="Times New Roman" w:hint="default"/>
          <w:spacing w:val="-1"/>
        </w:rPr>
        <w:t>1300</w:t>
      </w:r>
      <w:r>
        <w:rPr>
          <w:spacing w:val="-1"/>
        </w:rPr>
        <w:t>万元，截止</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日已收到全部补助款；该文件规</w:t>
      </w:r>
      <w:r>
        <w:rPr>
          <w:spacing w:val="-91"/>
        </w:rPr>
        <w:t> </w:t>
      </w:r>
      <w:r>
        <w:rPr>
          <w:spacing w:val="-91"/>
        </w:rPr>
      </w:r>
      <w:r>
        <w:rPr>
          <w:spacing w:val="-1"/>
        </w:rPr>
        <w:t>定补助款用于购置设备，因该补助款属与资产相关，故按照资产使用年限摊销并确认收益，本年</w:t>
      </w:r>
      <w:r>
        <w:rPr>
          <w:spacing w:val="-87"/>
        </w:rPr>
        <w:t> </w:t>
      </w:r>
      <w:r>
        <w:rPr>
          <w:spacing w:val="-87"/>
        </w:rPr>
      </w:r>
      <w:r>
        <w:rPr>
          <w:spacing w:val="-2"/>
        </w:rPr>
        <w:t>共计确认收益</w:t>
      </w:r>
      <w:r>
        <w:rPr>
          <w:rFonts w:ascii="Times New Roman" w:hAnsi="Times New Roman" w:cs="Times New Roman" w:eastAsia="Times New Roman" w:hint="default"/>
          <w:spacing w:val="-2"/>
        </w:rPr>
        <w:t>2,600,000.00</w:t>
      </w:r>
      <w:r>
        <w:rPr>
          <w:spacing w:val="-2"/>
        </w:rPr>
        <w:t>元。厦门市发展改革委、厦门市经济发展局下达电子信息产业振兴和技</w:t>
      </w:r>
      <w:r>
        <w:rPr>
          <w:spacing w:val="-90"/>
        </w:rPr>
        <w:t> </w:t>
      </w:r>
      <w:r>
        <w:rPr>
          <w:spacing w:val="-90"/>
        </w:rPr>
      </w:r>
      <w:r>
        <w:rPr/>
        <w:t>术改造项目投资（厦门云计算中心）补助金额</w:t>
      </w:r>
      <w:r>
        <w:rPr>
          <w:rFonts w:ascii="Times New Roman" w:hAnsi="Times New Roman" w:cs="Times New Roman" w:eastAsia="Times New Roman" w:hint="default"/>
        </w:rPr>
        <w:t>340</w:t>
      </w:r>
      <w:r>
        <w:rPr/>
        <w:t>万元，截止到</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日，已收到全部投</w:t>
      </w:r>
      <w:r>
        <w:rPr>
          <w:spacing w:val="-37"/>
        </w:rPr>
        <w:t> </w:t>
      </w:r>
      <w:r>
        <w:rPr>
          <w:spacing w:val="-37"/>
        </w:rPr>
      </w:r>
      <w:r>
        <w:rPr>
          <w:spacing w:val="-3"/>
        </w:rPr>
        <w:t>资款，根据文件中资金使用相关规定该项投资款必须专款专用，项目执行周期为</w:t>
      </w:r>
      <w:r>
        <w:rPr>
          <w:rFonts w:ascii="Times New Roman" w:hAnsi="Times New Roman" w:cs="Times New Roman" w:eastAsia="Times New Roman" w:hint="default"/>
          <w:spacing w:val="-3"/>
        </w:rPr>
        <w:t>2011-2012</w:t>
      </w:r>
      <w:r>
        <w:rPr>
          <w:spacing w:val="-3"/>
        </w:rPr>
        <w:t>年，资</w:t>
      </w:r>
      <w:r>
        <w:rPr>
          <w:spacing w:val="-64"/>
        </w:rPr>
        <w:t> </w:t>
      </w:r>
      <w:r>
        <w:rPr>
          <w:spacing w:val="-64"/>
        </w:rPr>
      </w:r>
      <w:r>
        <w:rPr>
          <w:spacing w:val="-1"/>
        </w:rPr>
        <w:t>金全部用于土建安装和设备材料购置，因该补助款属与资产相关，故按照资产使用年限摊销并确</w:t>
      </w:r>
      <w:r>
        <w:rPr>
          <w:spacing w:val="-85"/>
        </w:rPr>
        <w:t> </w:t>
      </w:r>
      <w:r>
        <w:rPr>
          <w:spacing w:val="-85"/>
        </w:rPr>
      </w:r>
      <w:r>
        <w:rPr/>
        <w:t>认收益，本年共计确认收益</w:t>
      </w:r>
      <w:r>
        <w:rPr>
          <w:rFonts w:ascii="Times New Roman" w:hAnsi="Times New Roman" w:cs="Times New Roman" w:eastAsia="Times New Roman" w:hint="default"/>
        </w:rPr>
        <w:t>680,000.00</w:t>
      </w:r>
      <w:r>
        <w:rPr/>
        <w:t>元。</w:t>
      </w:r>
    </w:p>
    <w:p>
      <w:pPr>
        <w:pStyle w:val="BodyText"/>
        <w:tabs>
          <w:tab w:pos="993" w:val="left" w:leader="none"/>
        </w:tabs>
        <w:spacing w:line="240" w:lineRule="auto" w:before="131"/>
        <w:ind w:left="573" w:right="0"/>
        <w:jc w:val="left"/>
      </w:pPr>
      <w:r>
        <w:rPr/>
        <w:t>③</w:t>
        <w:tab/>
        <w:t>根据《厦门市财政局</w:t>
      </w:r>
      <w:r>
        <w:rPr>
          <w:spacing w:val="4"/>
        </w:rPr>
        <w:t> </w:t>
      </w:r>
      <w:r>
        <w:rPr/>
        <w:t>厦门市经济发展局关于</w:t>
      </w:r>
      <w:r>
        <w:rPr>
          <w:rFonts w:ascii="Times New Roman" w:hAnsi="Times New Roman" w:cs="Times New Roman" w:eastAsia="Times New Roman" w:hint="default"/>
        </w:rPr>
        <w:t>2011-2013</w:t>
      </w:r>
      <w:r>
        <w:rPr/>
        <w:t>年继续对重点制造业企业技术改造实施财</w:t>
      </w:r>
    </w:p>
    <w:p>
      <w:pPr>
        <w:spacing w:after="0" w:line="240" w:lineRule="auto"/>
        <w:jc w:val="left"/>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309" w:lineRule="auto" w:before="35"/>
        <w:ind w:left="993" w:right="191"/>
        <w:jc w:val="both"/>
      </w:pPr>
      <w:r>
        <w:rPr/>
        <w:t>政扶持的通知》（厦财预〔</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89</w:t>
      </w:r>
      <w:r>
        <w:rPr/>
        <w:t>号），对本公司承担的项目“电子数据公证云”予以补助， </w:t>
      </w:r>
      <w:r>
        <w:rPr>
          <w:spacing w:val="-3"/>
        </w:rPr>
        <w:t>按当年设备投资额</w:t>
      </w:r>
      <w:r>
        <w:rPr>
          <w:rFonts w:ascii="Times New Roman" w:hAnsi="Times New Roman" w:cs="Times New Roman" w:eastAsia="Times New Roman" w:hint="default"/>
          <w:spacing w:val="-3"/>
        </w:rPr>
        <w:t>20%</w:t>
      </w:r>
      <w:r>
        <w:rPr>
          <w:spacing w:val="-3"/>
        </w:rPr>
        <w:t>予以补助，合计补助</w:t>
      </w:r>
      <w:r>
        <w:rPr>
          <w:rFonts w:ascii="Times New Roman" w:hAnsi="Times New Roman" w:cs="Times New Roman" w:eastAsia="Times New Roman" w:hint="default"/>
          <w:spacing w:val="-3"/>
        </w:rPr>
        <w:t>100</w:t>
      </w:r>
      <w:r>
        <w:rPr>
          <w:spacing w:val="-3"/>
        </w:rPr>
        <w:t>万元；因该补助款属与资产相关，故按照资产使用</w:t>
      </w:r>
      <w:r>
        <w:rPr>
          <w:spacing w:val="-70"/>
        </w:rPr>
        <w:t> </w:t>
      </w:r>
      <w:r>
        <w:rPr>
          <w:spacing w:val="-70"/>
        </w:rPr>
      </w:r>
      <w:r>
        <w:rPr/>
        <w:t>年限摊销并确认收益，本年共计确认收益</w:t>
      </w:r>
      <w:r>
        <w:rPr>
          <w:rFonts w:ascii="Times New Roman" w:hAnsi="Times New Roman" w:cs="Times New Roman" w:eastAsia="Times New Roman" w:hint="default"/>
        </w:rPr>
        <w:t>200,000.00</w:t>
      </w:r>
      <w:r>
        <w:rPr/>
        <w:t>元。</w:t>
      </w:r>
    </w:p>
    <w:p>
      <w:pPr>
        <w:pStyle w:val="BodyText"/>
        <w:spacing w:line="309" w:lineRule="auto" w:before="136"/>
        <w:ind w:left="993" w:right="212" w:hanging="420"/>
        <w:jc w:val="both"/>
      </w:pPr>
      <w:r>
        <w:rPr/>
        <w:t>④</w:t>
      </w:r>
      <w:r>
        <w:rPr>
          <w:spacing w:val="80"/>
        </w:rPr>
        <w:t> </w:t>
      </w:r>
      <w:r>
        <w:rPr/>
        <w:t>系本公司承担国家科技支撑计划合同约定项目经费</w:t>
      </w:r>
      <w:r>
        <w:rPr>
          <w:rFonts w:ascii="Times New Roman" w:hAnsi="Times New Roman" w:cs="Times New Roman" w:eastAsia="Times New Roman" w:hint="default"/>
        </w:rPr>
        <w:t>282</w:t>
      </w:r>
      <w:r>
        <w:rPr/>
        <w:t>万元：其中，第三研究所支付国拨经费</w:t>
      </w:r>
      <w:r>
        <w:rPr>
          <w:rFonts w:ascii="Times New Roman" w:hAnsi="Times New Roman" w:cs="Times New Roman" w:eastAsia="Times New Roman" w:hint="default"/>
        </w:rPr>
        <w:t>132 </w:t>
      </w:r>
      <w:r>
        <w:rPr/>
        <w:t>万元。截止本年度年末，共计已收到</w:t>
      </w:r>
      <w:r>
        <w:rPr>
          <w:rFonts w:ascii="Times New Roman" w:hAnsi="Times New Roman" w:cs="Times New Roman" w:eastAsia="Times New Roman" w:hint="default"/>
        </w:rPr>
        <w:t>132</w:t>
      </w:r>
      <w:r>
        <w:rPr/>
        <w:t>万元，该项目尚未验收。</w:t>
      </w:r>
    </w:p>
    <w:p>
      <w:pPr>
        <w:pStyle w:val="BodyText"/>
        <w:tabs>
          <w:tab w:pos="993" w:val="left" w:leader="none"/>
        </w:tabs>
        <w:spacing w:line="309" w:lineRule="auto" w:before="136"/>
        <w:ind w:left="993" w:right="107" w:hanging="420"/>
        <w:jc w:val="left"/>
      </w:pPr>
      <w:r>
        <w:rPr/>
        <w:t>⑤</w:t>
        <w:tab/>
      </w:r>
      <w:r>
        <w:rPr>
          <w:spacing w:val="-1"/>
        </w:rPr>
        <w:t>系本公司承担国家科技支撑计划“电子取证关键技术研究”，合同约定项目经费</w:t>
      </w:r>
      <w:r>
        <w:rPr>
          <w:rFonts w:ascii="Times New Roman" w:hAnsi="Times New Roman" w:cs="Times New Roman" w:eastAsia="Times New Roman" w:hint="default"/>
          <w:spacing w:val="-1"/>
        </w:rPr>
        <w:t>296</w:t>
      </w:r>
      <w:r>
        <w:rPr>
          <w:spacing w:val="-1"/>
        </w:rPr>
        <w:t>万元：其中，</w:t>
      </w:r>
      <w:r>
        <w:rPr>
          <w:spacing w:val="-86"/>
        </w:rPr>
        <w:t> </w:t>
      </w:r>
      <w:r>
        <w:rPr>
          <w:spacing w:val="-86"/>
        </w:rPr>
      </w:r>
      <w:r>
        <w:rPr/>
        <w:t>本公司自筹</w:t>
      </w:r>
      <w:r>
        <w:rPr>
          <w:rFonts w:ascii="Times New Roman" w:hAnsi="Times New Roman" w:cs="Times New Roman" w:eastAsia="Times New Roman" w:hint="default"/>
        </w:rPr>
        <w:t>200</w:t>
      </w:r>
      <w:r>
        <w:rPr/>
        <w:t>万元。截止本年度年末，共计收到</w:t>
      </w:r>
      <w:r>
        <w:rPr>
          <w:rFonts w:ascii="Times New Roman" w:hAnsi="Times New Roman" w:cs="Times New Roman" w:eastAsia="Times New Roman" w:hint="default"/>
        </w:rPr>
        <w:t>96</w:t>
      </w:r>
      <w:r>
        <w:rPr/>
        <w:t>万元，该项目尚未验收。</w:t>
      </w:r>
    </w:p>
    <w:p>
      <w:pPr>
        <w:pStyle w:val="BodyText"/>
        <w:spacing w:line="319" w:lineRule="auto" w:before="136"/>
        <w:ind w:left="993" w:right="209" w:hanging="420"/>
        <w:jc w:val="both"/>
      </w:pPr>
      <w:r>
        <w:rPr/>
        <w:t>⑥</w:t>
      </w:r>
      <w:r>
        <w:rPr>
          <w:spacing w:val="84"/>
        </w:rPr>
        <w:t> </w:t>
      </w:r>
      <w:r>
        <w:rPr/>
        <w:t>系本公司承担国家科技支撑计划“面向互联网的海量信息分析挖掘关键技术及系统”，合同约定</w:t>
      </w:r>
      <w:r>
        <w:rPr/>
        <w:t> 项目经费</w:t>
      </w:r>
      <w:r>
        <w:rPr>
          <w:rFonts w:ascii="Times New Roman" w:hAnsi="Times New Roman" w:cs="Times New Roman" w:eastAsia="Times New Roman" w:hint="default"/>
        </w:rPr>
        <w:t>552</w:t>
      </w:r>
      <w:r>
        <w:rPr/>
        <w:t>万元：其中本公司自筹</w:t>
      </w:r>
      <w:r>
        <w:rPr>
          <w:rFonts w:ascii="Times New Roman" w:hAnsi="Times New Roman" w:cs="Times New Roman" w:eastAsia="Times New Roman" w:hint="default"/>
        </w:rPr>
        <w:t>380</w:t>
      </w:r>
      <w:r>
        <w:rPr/>
        <w:t>万元。截止本年度年末，共计收到</w:t>
      </w:r>
      <w:r>
        <w:rPr>
          <w:rFonts w:ascii="Times New Roman" w:hAnsi="Times New Roman" w:cs="Times New Roman" w:eastAsia="Times New Roman" w:hint="default"/>
        </w:rPr>
        <w:t>172</w:t>
      </w:r>
      <w:r>
        <w:rPr/>
        <w:t>万元，该项目尚未</w:t>
      </w:r>
      <w:r>
        <w:rPr>
          <w:spacing w:val="2"/>
        </w:rPr>
        <w:t> </w:t>
      </w:r>
      <w:r>
        <w:rPr/>
        <w:t>验收。</w:t>
      </w:r>
    </w:p>
    <w:p>
      <w:pPr>
        <w:pStyle w:val="BodyText"/>
        <w:spacing w:line="319" w:lineRule="auto" w:before="150"/>
        <w:ind w:left="993" w:right="212" w:hanging="420"/>
        <w:jc w:val="both"/>
      </w:pPr>
      <w:r>
        <w:rPr/>
        <w:t>⑦</w:t>
      </w:r>
      <w:r>
        <w:rPr>
          <w:spacing w:val="80"/>
        </w:rPr>
        <w:t> </w:t>
      </w:r>
      <w:r>
        <w:rPr/>
        <w:t>根据《厦门市经济发展局、厦门市财政局关于下达厦门市</w:t>
      </w:r>
      <w:r>
        <w:rPr>
          <w:rFonts w:ascii="Times New Roman" w:hAnsi="Times New Roman" w:cs="Times New Roman" w:eastAsia="Times New Roman" w:hint="default"/>
        </w:rPr>
        <w:t>2013</w:t>
      </w:r>
      <w:r>
        <w:rPr/>
        <w:t>年度第一批企业技术改造项目补助 </w:t>
      </w:r>
      <w:r>
        <w:rPr>
          <w:spacing w:val="-1"/>
        </w:rPr>
        <w:t>资金计划的通知》，下拨对本公司“新一代电子数据取证装备专业化技术改造项目“的项目补助</w:t>
      </w:r>
      <w:r>
        <w:rPr/>
        <w:t> 金</w:t>
      </w:r>
      <w:r>
        <w:rPr>
          <w:rFonts w:ascii="Times New Roman" w:hAnsi="Times New Roman" w:cs="Times New Roman" w:eastAsia="Times New Roman" w:hint="default"/>
        </w:rPr>
        <w:t>60</w:t>
      </w:r>
      <w:r>
        <w:rPr/>
        <w:t>万元。本公司已收到全部补助款，由于该项目尚未验收，故本年未确认收益。</w:t>
      </w:r>
    </w:p>
    <w:p>
      <w:pPr>
        <w:pStyle w:val="BodyText"/>
        <w:spacing w:line="309" w:lineRule="auto" w:before="127"/>
        <w:ind w:left="993" w:right="211" w:hanging="420"/>
        <w:jc w:val="both"/>
      </w:pPr>
      <w:r>
        <w:rPr/>
        <w:t>⑧</w:t>
      </w:r>
      <w:r>
        <w:rPr>
          <w:spacing w:val="82"/>
        </w:rPr>
        <w:t> </w:t>
      </w:r>
      <w:r>
        <w:rPr/>
        <w:t>根据厦门市科学技术局和本公司签订的科技计划项目合同书，给予本公司无偿补助金</w:t>
      </w:r>
      <w:r>
        <w:rPr>
          <w:rFonts w:ascii="Times New Roman" w:hAnsi="Times New Roman" w:cs="Times New Roman" w:eastAsia="Times New Roman" w:hint="default"/>
        </w:rPr>
        <w:t>50</w:t>
      </w:r>
      <w:r>
        <w:rPr/>
        <w:t>万元用于 购置设备，本公司已收到该补助款。该项目于本年度</w:t>
      </w:r>
      <w:r>
        <w:rPr>
          <w:rFonts w:ascii="Times New Roman" w:hAnsi="Times New Roman" w:cs="Times New Roman" w:eastAsia="Times New Roman" w:hint="default"/>
        </w:rPr>
        <w:t>8</w:t>
      </w:r>
      <w:r>
        <w:rPr/>
        <w:t>月份验收，因该补助款系与资产相关故按</w:t>
      </w:r>
      <w:r>
        <w:rPr>
          <w:spacing w:val="2"/>
        </w:rPr>
        <w:t> </w:t>
      </w:r>
      <w:r>
        <w:rPr/>
        <w:t>照资产使用年限摊销并确认收益，本年度共计确认收益</w:t>
      </w:r>
      <w:r>
        <w:rPr>
          <w:rFonts w:ascii="Times New Roman" w:hAnsi="Times New Roman" w:cs="Times New Roman" w:eastAsia="Times New Roman" w:hint="default"/>
        </w:rPr>
        <w:t>219,499.80</w:t>
      </w:r>
      <w:r>
        <w:rPr/>
        <w:t>元。</w:t>
      </w:r>
    </w:p>
    <w:p>
      <w:pPr>
        <w:pStyle w:val="BodyText"/>
        <w:spacing w:line="319" w:lineRule="auto" w:before="136"/>
        <w:ind w:left="993" w:right="212" w:hanging="420"/>
        <w:jc w:val="both"/>
      </w:pPr>
      <w:r>
        <w:rPr/>
        <w:t>⑨</w:t>
      </w:r>
      <w:r>
        <w:rPr>
          <w:spacing w:val="58"/>
        </w:rPr>
        <w:t> </w:t>
      </w:r>
      <w:r>
        <w:rPr/>
        <w:t>根据厦财企（</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29</w:t>
      </w:r>
      <w:r>
        <w:rPr/>
        <w:t>号文，厦门市财政局下达</w:t>
      </w:r>
      <w:r>
        <w:rPr>
          <w:rFonts w:ascii="Times New Roman" w:hAnsi="Times New Roman" w:cs="Times New Roman" w:eastAsia="Times New Roman" w:hint="default"/>
        </w:rPr>
        <w:t>2014</w:t>
      </w:r>
      <w:r>
        <w:rPr/>
        <w:t>年国家服务业发展引导资金</w:t>
      </w:r>
      <w:r>
        <w:rPr>
          <w:rFonts w:ascii="Times New Roman" w:hAnsi="Times New Roman" w:cs="Times New Roman" w:eastAsia="Times New Roman" w:hint="default"/>
        </w:rPr>
        <w:t>200</w:t>
      </w:r>
      <w:r>
        <w:rPr/>
        <w:t>万元，补助</w:t>
      </w:r>
      <w:r>
        <w:rPr>
          <w:spacing w:val="-99"/>
        </w:rPr>
        <w:t> </w:t>
      </w:r>
      <w:r>
        <w:rPr>
          <w:spacing w:val="-99"/>
        </w:rPr>
      </w:r>
      <w:r>
        <w:rPr>
          <w:spacing w:val="-1"/>
        </w:rPr>
        <w:t>本公司“电子数据存证云“项目，主要用于购买和部署仪器设备。截止本年度年末，本公司已收</w:t>
      </w:r>
      <w:r>
        <w:rPr/>
        <w:t> 到</w:t>
      </w:r>
      <w:r>
        <w:rPr>
          <w:rFonts w:ascii="Times New Roman" w:hAnsi="Times New Roman" w:cs="Times New Roman" w:eastAsia="Times New Roman" w:hint="default"/>
        </w:rPr>
        <w:t>200</w:t>
      </w:r>
      <w:r>
        <w:rPr/>
        <w:t>万元，项目尚未验收。</w:t>
      </w:r>
    </w:p>
    <w:p>
      <w:pPr>
        <w:pStyle w:val="BodyText"/>
        <w:spacing w:line="309" w:lineRule="auto" w:before="127"/>
        <w:ind w:left="993" w:right="211" w:hanging="420"/>
        <w:jc w:val="both"/>
      </w:pPr>
      <w:r>
        <w:rPr/>
        <w:t>⑩</w:t>
      </w:r>
      <w:r>
        <w:rPr>
          <w:spacing w:val="57"/>
        </w:rPr>
        <w:t> </w:t>
      </w:r>
      <w:r>
        <w:rPr/>
        <w:t>根据工信部科（</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421</w:t>
      </w:r>
      <w:r>
        <w:rPr/>
        <w:t>号文，工业和信息化部下达</w:t>
      </w:r>
      <w:r>
        <w:rPr>
          <w:rFonts w:ascii="Times New Roman" w:hAnsi="Times New Roman" w:cs="Times New Roman" w:eastAsia="Times New Roman" w:hint="default"/>
        </w:rPr>
        <w:t>2013</w:t>
      </w:r>
      <w:r>
        <w:rPr/>
        <w:t>年物联网发展专项资金项目支持资金</w:t>
      </w:r>
      <w:r>
        <w:rPr>
          <w:spacing w:val="-98"/>
        </w:rPr>
        <w:t> </w:t>
      </w:r>
      <w:r>
        <w:rPr>
          <w:spacing w:val="-98"/>
        </w:rPr>
      </w:r>
      <w:r>
        <w:rPr>
          <w:rFonts w:ascii="Times New Roman" w:hAnsi="Times New Roman" w:cs="Times New Roman" w:eastAsia="Times New Roman" w:hint="default"/>
        </w:rPr>
        <w:t>400</w:t>
      </w:r>
      <w:r>
        <w:rPr/>
        <w:t>万元，补助本公司“基于物联网实时图像识别技术的公安综合系统“项目，主要用于部分研 发设备的购置。截止本年度年末，本公司已收到</w:t>
      </w:r>
      <w:r>
        <w:rPr>
          <w:rFonts w:ascii="Times New Roman" w:hAnsi="Times New Roman" w:cs="Times New Roman" w:eastAsia="Times New Roman" w:hint="default"/>
        </w:rPr>
        <w:t>400</w:t>
      </w:r>
      <w:r>
        <w:rPr/>
        <w:t>万元，项目尚未验收。</w:t>
      </w:r>
    </w:p>
    <w:p>
      <w:pPr>
        <w:pStyle w:val="BodyText"/>
        <w:spacing w:line="309" w:lineRule="auto" w:before="136"/>
        <w:ind w:left="993" w:right="212" w:hanging="420"/>
        <w:jc w:val="both"/>
      </w:pPr>
      <w:r>
        <w:rPr>
          <w:rFonts w:ascii="MS PGothic" w:hAnsi="MS PGothic" w:cs="MS PGothic" w:eastAsia="MS PGothic" w:hint="default"/>
        </w:rPr>
        <w:t>⑪</w:t>
      </w:r>
      <w:r>
        <w:rPr>
          <w:rFonts w:ascii="MS PGothic" w:hAnsi="MS PGothic" w:cs="MS PGothic" w:eastAsia="MS PGothic" w:hint="default"/>
          <w:spacing w:val="15"/>
        </w:rPr>
        <w:t> </w:t>
      </w:r>
      <w:r>
        <w:rPr/>
        <w:t>根据闽财（建）指（</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223</w:t>
      </w:r>
      <w:r>
        <w:rPr/>
        <w:t>号文，福建省财政厅、福建省经济和信息化委员会下达</w:t>
      </w:r>
      <w:r>
        <w:rPr>
          <w:rFonts w:ascii="Times New Roman" w:hAnsi="Times New Roman" w:cs="Times New Roman" w:eastAsia="Times New Roman" w:hint="default"/>
        </w:rPr>
        <w:t>2013</w:t>
      </w:r>
      <w:r>
        <w:rPr/>
        <w:t>年第</w:t>
      </w:r>
      <w:r>
        <w:rPr>
          <w:spacing w:val="-99"/>
        </w:rPr>
        <w:t> </w:t>
      </w:r>
      <w:r>
        <w:rPr>
          <w:spacing w:val="-1"/>
        </w:rPr>
        <w:t>三批软件产业发展专项资金</w:t>
      </w:r>
      <w:r>
        <w:rPr>
          <w:rFonts w:ascii="Times New Roman" w:hAnsi="Times New Roman" w:cs="Times New Roman" w:eastAsia="Times New Roman" w:hint="default"/>
          <w:spacing w:val="-1"/>
        </w:rPr>
        <w:t>70</w:t>
      </w:r>
      <w:r>
        <w:rPr>
          <w:spacing w:val="-1"/>
        </w:rPr>
        <w:t>万元，补助本公司“基于手机云的手机综合取证系统“项目，主要</w:t>
      </w:r>
      <w:r>
        <w:rPr/>
        <w:t> 用于部分设备的购置。截止本年度年末，本公司已收到</w:t>
      </w:r>
      <w:r>
        <w:rPr>
          <w:rFonts w:ascii="Times New Roman" w:hAnsi="Times New Roman" w:cs="Times New Roman" w:eastAsia="Times New Roman" w:hint="default"/>
        </w:rPr>
        <w:t>70</w:t>
      </w:r>
      <w:r>
        <w:rPr/>
        <w:t>万元，项目尚未验收。</w:t>
      </w:r>
    </w:p>
    <w:p>
      <w:pPr>
        <w:pStyle w:val="BodyText"/>
        <w:tabs>
          <w:tab w:pos="993" w:val="left" w:leader="none"/>
        </w:tabs>
        <w:spacing w:line="309" w:lineRule="auto" w:before="136"/>
        <w:ind w:left="993" w:right="106" w:hanging="420"/>
        <w:jc w:val="left"/>
      </w:pPr>
      <w:r>
        <w:rPr>
          <w:rFonts w:ascii="MS PGothic" w:hAnsi="MS PGothic" w:cs="MS PGothic" w:eastAsia="MS PGothic" w:hint="default"/>
        </w:rPr>
        <w:t>⑫</w:t>
        <w:tab/>
      </w:r>
      <w:r>
        <w:rPr/>
        <w:t>根据厦经投（</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37</w:t>
      </w:r>
      <w:r>
        <w:rPr/>
        <w:t>号文，厦门市经济发展局、厦门市财政局、厦门市科学技术局拨付第十七 批省认定企业技术中心创新能力建设专项资助款</w:t>
      </w:r>
      <w:r>
        <w:rPr>
          <w:rFonts w:ascii="Times New Roman" w:hAnsi="Times New Roman" w:cs="Times New Roman" w:eastAsia="Times New Roman" w:hint="default"/>
        </w:rPr>
        <w:t>30</w:t>
      </w:r>
      <w:r>
        <w:rPr/>
        <w:t>万元，补助本公司省级企业技术中心“电子数 </w:t>
      </w:r>
      <w:r>
        <w:rPr>
          <w:spacing w:val="-3"/>
        </w:rPr>
        <w:t>据分析系统平台建设”项目，主要用于部分设备的购置。截止本年度年末，本公司已收到</w:t>
      </w:r>
      <w:r>
        <w:rPr>
          <w:rFonts w:ascii="Times New Roman" w:hAnsi="Times New Roman" w:cs="Times New Roman" w:eastAsia="Times New Roman" w:hint="default"/>
          <w:spacing w:val="-3"/>
        </w:rPr>
        <w:t>30</w:t>
      </w:r>
      <w:r>
        <w:rPr>
          <w:spacing w:val="-3"/>
        </w:rPr>
        <w:t>万元，</w:t>
      </w:r>
      <w:r>
        <w:rPr/>
        <w:t> 项目尚未验收。</w:t>
      </w:r>
    </w:p>
    <w:p>
      <w:pPr>
        <w:pStyle w:val="BodyText"/>
        <w:spacing w:line="319" w:lineRule="auto" w:before="158"/>
        <w:ind w:left="993" w:right="190" w:hanging="420"/>
        <w:jc w:val="both"/>
      </w:pPr>
      <w:r>
        <w:rPr>
          <w:rFonts w:ascii="MS PGothic" w:hAnsi="MS PGothic" w:cs="MS PGothic" w:eastAsia="MS PGothic" w:hint="default"/>
        </w:rPr>
        <w:t>⑬</w:t>
      </w:r>
      <w:r>
        <w:rPr>
          <w:rFonts w:ascii="MS PGothic" w:hAnsi="MS PGothic" w:cs="MS PGothic" w:eastAsia="MS PGothic" w:hint="default"/>
          <w:spacing w:val="47"/>
        </w:rPr>
        <w:t> </w:t>
      </w:r>
      <w:r>
        <w:rPr/>
        <w:t>根据厦人</w:t>
      </w:r>
      <w:r>
        <w:rPr>
          <w:rFonts w:ascii="Times New Roman" w:hAnsi="Times New Roman" w:cs="Times New Roman" w:eastAsia="Times New Roman" w:hint="default"/>
        </w:rPr>
        <w:t>[2007]50</w:t>
      </w:r>
      <w:r>
        <w:rPr/>
        <w:t>号文，厦门市财政局下达博士后工作站科技政策定额扶持资金，补助本公司博</w:t>
      </w:r>
      <w:r>
        <w:rPr>
          <w:spacing w:val="-100"/>
        </w:rPr>
        <w:t> </w:t>
      </w:r>
      <w:r>
        <w:rPr>
          <w:spacing w:val="-100"/>
        </w:rPr>
      </w:r>
      <w:r>
        <w:rPr/>
        <w:t>士后工作站建设，主要用于部分设备的购置费、能源材料费、试验外协费等。截止本年度年末， 本公司已收到</w:t>
      </w:r>
      <w:r>
        <w:rPr>
          <w:rFonts w:ascii="Times New Roman" w:hAnsi="Times New Roman" w:cs="Times New Roman" w:eastAsia="Times New Roman" w:hint="default"/>
        </w:rPr>
        <w:t>100</w:t>
      </w:r>
      <w:r>
        <w:rPr/>
        <w:t>万元，项目尚未验收。</w:t>
      </w:r>
    </w:p>
    <w:p>
      <w:pPr>
        <w:pStyle w:val="BodyText"/>
        <w:tabs>
          <w:tab w:pos="993" w:val="left" w:leader="none"/>
        </w:tabs>
        <w:spacing w:line="240" w:lineRule="auto" w:before="127"/>
        <w:ind w:left="573" w:right="0"/>
        <w:jc w:val="left"/>
      </w:pPr>
      <w:r>
        <w:rPr>
          <w:rFonts w:ascii="MS PGothic" w:hAnsi="MS PGothic" w:cs="MS PGothic" w:eastAsia="MS PGothic" w:hint="default"/>
        </w:rPr>
        <w:t>⑭</w:t>
        <w:tab/>
      </w:r>
      <w:r>
        <w:rPr/>
        <w:t>根据厦经投（</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178</w:t>
      </w:r>
      <w:r>
        <w:rPr/>
        <w:t>号文，厦门市经济发展局、厦门市财政局下达厦门市</w:t>
      </w:r>
      <w:r>
        <w:rPr>
          <w:rFonts w:ascii="Times New Roman" w:hAnsi="Times New Roman" w:cs="Times New Roman" w:eastAsia="Times New Roman" w:hint="default"/>
        </w:rPr>
        <w:t>2014</w:t>
      </w:r>
      <w:r>
        <w:rPr/>
        <w:t>年第一批重点</w:t>
      </w:r>
    </w:p>
    <w:p>
      <w:pPr>
        <w:spacing w:after="0" w:line="240" w:lineRule="auto"/>
        <w:jc w:val="left"/>
        <w:sectPr>
          <w:pgSz w:w="11910" w:h="16840"/>
          <w:pgMar w:header="747" w:footer="980" w:top="1060" w:bottom="1180" w:left="980" w:right="920"/>
        </w:sectPr>
      </w:pPr>
    </w:p>
    <w:p>
      <w:pPr>
        <w:spacing w:line="240" w:lineRule="auto" w:before="1"/>
        <w:rPr>
          <w:rFonts w:ascii="宋体" w:hAnsi="宋体" w:cs="宋体" w:eastAsia="宋体" w:hint="default"/>
          <w:sz w:val="27"/>
          <w:szCs w:val="27"/>
        </w:rPr>
      </w:pPr>
    </w:p>
    <w:p>
      <w:pPr>
        <w:pStyle w:val="BodyText"/>
        <w:spacing w:line="319" w:lineRule="auto" w:before="35"/>
        <w:ind w:left="993" w:right="152"/>
        <w:jc w:val="both"/>
      </w:pPr>
      <w:r>
        <w:rPr>
          <w:spacing w:val="-1"/>
        </w:rPr>
        <w:t>技术创新及产学研项目支持资金</w:t>
      </w:r>
      <w:r>
        <w:rPr>
          <w:rFonts w:ascii="Times New Roman" w:hAnsi="Times New Roman" w:cs="Times New Roman" w:eastAsia="Times New Roman" w:hint="default"/>
          <w:spacing w:val="-1"/>
        </w:rPr>
        <w:t>30</w:t>
      </w:r>
      <w:r>
        <w:rPr>
          <w:spacing w:val="-1"/>
        </w:rPr>
        <w:t>万元，补助本公司子公司厦门美亚中敏电子科技有限公司“基</w:t>
      </w:r>
      <w:r>
        <w:rPr>
          <w:spacing w:val="-85"/>
        </w:rPr>
        <w:t> </w:t>
      </w:r>
      <w:r>
        <w:rPr>
          <w:spacing w:val="-85"/>
        </w:rPr>
      </w:r>
      <w:r>
        <w:rPr>
          <w:spacing w:val="-1"/>
        </w:rPr>
        <w:t>于内容感知的智能视频浓缩设备“项目。截止本年度年末，厦门美亚中敏电子科技有限公司已收</w:t>
      </w:r>
      <w:r>
        <w:rPr>
          <w:spacing w:val="-85"/>
        </w:rPr>
        <w:t> </w:t>
      </w:r>
      <w:r>
        <w:rPr>
          <w:spacing w:val="-85"/>
        </w:rPr>
      </w:r>
      <w:r>
        <w:rPr/>
        <w:t>到</w:t>
      </w:r>
      <w:r>
        <w:rPr>
          <w:rFonts w:ascii="Times New Roman" w:hAnsi="Times New Roman" w:cs="Times New Roman" w:eastAsia="Times New Roman" w:hint="default"/>
        </w:rPr>
        <w:t>20</w:t>
      </w:r>
      <w:r>
        <w:rPr/>
        <w:t>万元，项目尚未验收。</w:t>
      </w:r>
    </w:p>
    <w:p>
      <w:pPr>
        <w:pStyle w:val="BodyText"/>
        <w:spacing w:line="319" w:lineRule="auto" w:before="127"/>
        <w:ind w:left="993" w:right="149" w:hanging="420"/>
        <w:jc w:val="both"/>
      </w:pPr>
      <w:r>
        <w:rPr>
          <w:rFonts w:ascii="MS PGothic" w:hAnsi="MS PGothic" w:cs="MS PGothic" w:eastAsia="MS PGothic" w:hint="default"/>
        </w:rPr>
        <w:t>⑮</w:t>
      </w:r>
      <w:r>
        <w:rPr>
          <w:rFonts w:ascii="MS PGothic" w:hAnsi="MS PGothic" w:cs="MS PGothic" w:eastAsia="MS PGothic" w:hint="default"/>
          <w:spacing w:val="16"/>
        </w:rPr>
        <w:t> </w:t>
      </w:r>
      <w:r>
        <w:rPr/>
        <w:t>根据厦高管（</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211</w:t>
      </w:r>
      <w:r>
        <w:rPr/>
        <w:t>号文，厦门火炬高新区管委会下达</w:t>
      </w:r>
      <w:r>
        <w:rPr>
          <w:rFonts w:ascii="Times New Roman" w:hAnsi="Times New Roman" w:cs="Times New Roman" w:eastAsia="Times New Roman" w:hint="default"/>
        </w:rPr>
        <w:t>2014</w:t>
      </w:r>
      <w:r>
        <w:rPr/>
        <w:t>年度技术创新资金</w:t>
      </w:r>
      <w:r>
        <w:rPr>
          <w:rFonts w:ascii="Times New Roman" w:hAnsi="Times New Roman" w:cs="Times New Roman" w:eastAsia="Times New Roman" w:hint="default"/>
        </w:rPr>
        <w:t>20</w:t>
      </w:r>
      <w:r>
        <w:rPr/>
        <w:t>万元，补助</w:t>
      </w:r>
      <w:r>
        <w:rPr>
          <w:spacing w:val="-99"/>
        </w:rPr>
        <w:t> </w:t>
      </w:r>
      <w:r>
        <w:rPr>
          <w:spacing w:val="-1"/>
        </w:rPr>
        <w:t>本公司子公司厦门美亚中敏电子科技有限公司“安全服务器“项目。截止本年度年末，厦门美亚</w:t>
      </w:r>
      <w:r>
        <w:rPr/>
        <w:t> 中敏电子科技有限公司已收到</w:t>
      </w:r>
      <w:r>
        <w:rPr>
          <w:rFonts w:ascii="Times New Roman" w:hAnsi="Times New Roman" w:cs="Times New Roman" w:eastAsia="Times New Roman" w:hint="default"/>
        </w:rPr>
        <w:t>14</w:t>
      </w:r>
      <w:r>
        <w:rPr/>
        <w:t>万元，项目尚未验收。</w:t>
      </w:r>
    </w:p>
    <w:p>
      <w:pPr>
        <w:spacing w:line="240" w:lineRule="auto" w:before="2"/>
        <w:rPr>
          <w:rFonts w:ascii="宋体" w:hAnsi="宋体" w:cs="宋体" w:eastAsia="宋体" w:hint="default"/>
          <w:sz w:val="21"/>
          <w:szCs w:val="21"/>
        </w:rPr>
      </w:pPr>
    </w:p>
    <w:p>
      <w:pPr>
        <w:pStyle w:val="Heading4"/>
        <w:spacing w:line="506" w:lineRule="auto"/>
        <w:ind w:left="574" w:right="7875" w:hanging="420"/>
        <w:jc w:val="left"/>
        <w:rPr>
          <w:rFonts w:ascii="宋体" w:hAnsi="宋体" w:cs="宋体" w:eastAsia="宋体" w:hint="default"/>
          <w:b w:val="0"/>
          <w:bCs w:val="0"/>
        </w:rPr>
      </w:pPr>
      <w:r>
        <w:rPr>
          <w:rFonts w:ascii="Times New Roman" w:hAnsi="Times New Roman" w:cs="Times New Roman" w:eastAsia="Times New Roman" w:hint="default"/>
        </w:rPr>
        <w:t>52</w:t>
      </w:r>
      <w:r>
        <w:rPr/>
        <w:t>、其他非流动负债</w:t>
      </w:r>
      <w:r>
        <w:rPr>
          <w:spacing w:val="1"/>
          <w:w w:val="99"/>
        </w:rPr>
        <w:t> </w:t>
      </w:r>
      <w:r>
        <w:rPr>
          <w:rFonts w:ascii="宋体" w:hAnsi="宋体" w:cs="宋体" w:eastAsia="宋体" w:hint="default"/>
          <w:b w:val="0"/>
          <w:bCs w:val="0"/>
        </w:rPr>
        <w:t>无。</w:t>
      </w:r>
    </w:p>
    <w:p>
      <w:pPr>
        <w:pStyle w:val="Heading4"/>
        <w:spacing w:line="240" w:lineRule="auto" w:before="103"/>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9"/>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52、其他非流动负债" w:id="294"/>
      <w:bookmarkEnd w:id="294"/>
      <w:r>
        <w:rPr/>
      </w:r>
      <w:bookmarkStart w:name="53、股本" w:id="295"/>
      <w:bookmarkEnd w:id="295"/>
      <w:r>
        <w:rPr/>
      </w: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6"/>
        <w:gridCol w:w="1195"/>
        <w:gridCol w:w="1196"/>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4D4D4"/>
          </w:tcPr>
          <w:p>
            <w:pP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c>
          <w:tcPr>
            <w:tcW w:w="5957"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4D4D4"/>
          </w:tcPr>
          <w:p>
            <w:pPr/>
          </w:p>
        </w:tc>
        <w:tc>
          <w:tcPr>
            <w:tcW w:w="120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4D4D4"/>
          </w:tcPr>
          <w:p>
            <w:pPr/>
          </w:p>
        </w:tc>
        <w:tc>
          <w:tcPr>
            <w:tcW w:w="1208" w:type="dxa"/>
            <w:vMerge/>
            <w:tcBorders>
              <w:left w:val="single" w:sz="4" w:space="0" w:color="000000"/>
              <w:bottom w:val="nil" w:sz="6" w:space="0" w:color="auto"/>
              <w:right w:val="single" w:sz="4" w:space="0" w:color="000000"/>
            </w:tcBorders>
            <w:shd w:val="clear" w:color="auto" w:fill="D4D4D4"/>
          </w:tcPr>
          <w:p>
            <w:pP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4D4D4"/>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196"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6"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221,813,200.00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3" w:right="0"/>
              <w:jc w:val="left"/>
              <w:rPr>
                <w:rFonts w:ascii="Times New Roman" w:hAnsi="Times New Roman" w:cs="Times New Roman" w:eastAsia="Times New Roman" w:hint="default"/>
                <w:sz w:val="18"/>
                <w:szCs w:val="18"/>
              </w:rPr>
            </w:pPr>
            <w:r>
              <w:rPr>
                <w:rFonts w:ascii="Times New Roman"/>
                <w:sz w:val="18"/>
              </w:rPr>
              <w:t>-231,600.00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2" w:right="0"/>
              <w:jc w:val="left"/>
              <w:rPr>
                <w:rFonts w:ascii="Times New Roman" w:hAnsi="Times New Roman" w:cs="Times New Roman" w:eastAsia="Times New Roman" w:hint="default"/>
                <w:sz w:val="18"/>
                <w:szCs w:val="18"/>
              </w:rPr>
            </w:pPr>
            <w:r>
              <w:rPr>
                <w:rFonts w:ascii="Times New Roman"/>
                <w:sz w:val="18"/>
              </w:rPr>
              <w:t>-231,600.00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221,581,600.00</w:t>
            </w:r>
          </w:p>
        </w:tc>
      </w:tr>
    </w:tbl>
    <w:p>
      <w:pPr>
        <w:pStyle w:val="BodyText"/>
        <w:spacing w:line="240" w:lineRule="auto" w:before="26"/>
        <w:ind w:right="0"/>
        <w:jc w:val="left"/>
        <w:rPr>
          <w:rFonts w:ascii="Times New Roman" w:hAnsi="Times New Roman" w:cs="Times New Roman" w:eastAsia="Times New Roman" w:hint="default"/>
        </w:rPr>
      </w:pPr>
      <w:r>
        <w:rPr/>
        <w:t>说明：本年度本公司回购注销部分已不符合激励条件的原激励对象已获授但尚未解锁的限制性股票</w:t>
      </w:r>
      <w:r>
        <w:rPr>
          <w:spacing w:val="-56"/>
        </w:rPr>
        <w:t> </w:t>
      </w:r>
      <w:r>
        <w:rPr>
          <w:rFonts w:ascii="Times New Roman" w:hAnsi="Times New Roman" w:cs="Times New Roman" w:eastAsia="Times New Roman" w:hint="default"/>
        </w:rPr>
        <w:t>23.16</w:t>
      </w:r>
    </w:p>
    <w:p>
      <w:pPr>
        <w:pStyle w:val="BodyText"/>
        <w:spacing w:line="240" w:lineRule="auto" w:before="21"/>
        <w:ind w:left="153" w:right="0"/>
        <w:jc w:val="left"/>
      </w:pPr>
      <w:r>
        <w:rPr/>
        <w:t>万股，支付回购款</w:t>
      </w:r>
      <w:r>
        <w:rPr>
          <w:spacing w:val="-57"/>
        </w:rPr>
        <w:t> </w:t>
      </w:r>
      <w:r>
        <w:rPr>
          <w:rFonts w:ascii="Times New Roman" w:hAnsi="Times New Roman" w:cs="Times New Roman" w:eastAsia="Times New Roman" w:hint="default"/>
        </w:rPr>
        <w:t>974,550.00</w:t>
      </w:r>
      <w:r>
        <w:rPr>
          <w:rFonts w:ascii="Times New Roman" w:hAnsi="Times New Roman" w:cs="Times New Roman" w:eastAsia="Times New Roman" w:hint="default"/>
          <w:spacing w:val="-4"/>
        </w:rPr>
        <w:t> </w:t>
      </w:r>
      <w:r>
        <w:rPr/>
        <w:t>元，其中</w:t>
      </w:r>
      <w:r>
        <w:rPr>
          <w:spacing w:val="-57"/>
        </w:rPr>
        <w:t> </w:t>
      </w:r>
      <w:r>
        <w:rPr>
          <w:rFonts w:ascii="Times New Roman" w:hAnsi="Times New Roman" w:cs="Times New Roman" w:eastAsia="Times New Roman" w:hint="default"/>
        </w:rPr>
        <w:t>231,600.00</w:t>
      </w:r>
      <w:r>
        <w:rPr>
          <w:rFonts w:ascii="Times New Roman" w:hAnsi="Times New Roman" w:cs="Times New Roman" w:eastAsia="Times New Roman" w:hint="default"/>
          <w:spacing w:val="-4"/>
        </w:rPr>
        <w:t> </w:t>
      </w:r>
      <w:r>
        <w:rPr/>
        <w:t>元减少股本，</w:t>
      </w:r>
      <w:r>
        <w:rPr>
          <w:rFonts w:ascii="Times New Roman" w:hAnsi="Times New Roman" w:cs="Times New Roman" w:eastAsia="Times New Roman" w:hint="default"/>
        </w:rPr>
        <w:t>742,950.00</w:t>
      </w:r>
      <w:r>
        <w:rPr>
          <w:rFonts w:ascii="Times New Roman" w:hAnsi="Times New Roman" w:cs="Times New Roman" w:eastAsia="Times New Roman" w:hint="default"/>
          <w:spacing w:val="-4"/>
        </w:rPr>
        <w:t> </w:t>
      </w:r>
      <w:r>
        <w:rPr/>
        <w:t>元减少资本公积</w:t>
      </w:r>
      <w:r>
        <w:rPr>
          <w:rFonts w:ascii="Times New Roman" w:hAnsi="Times New Roman" w:cs="Times New Roman" w:eastAsia="Times New Roman" w:hint="default"/>
        </w:rPr>
        <w:t>-</w:t>
      </w:r>
      <w:r>
        <w:rPr/>
        <w:t>股本溢价。</w:t>
      </w:r>
    </w:p>
    <w:p>
      <w:pPr>
        <w:spacing w:line="240" w:lineRule="auto" w:before="6"/>
        <w:rPr>
          <w:rFonts w:ascii="宋体" w:hAnsi="宋体" w:cs="宋体" w:eastAsia="宋体" w:hint="default"/>
          <w:sz w:val="24"/>
          <w:szCs w:val="24"/>
        </w:rPr>
      </w:pPr>
    </w:p>
    <w:p>
      <w:pPr>
        <w:pStyle w:val="Heading4"/>
        <w:spacing w:line="506" w:lineRule="auto"/>
        <w:ind w:left="574" w:right="8086" w:hanging="420"/>
        <w:jc w:val="left"/>
        <w:rPr>
          <w:rFonts w:ascii="宋体" w:hAnsi="宋体" w:cs="宋体" w:eastAsia="宋体" w:hint="default"/>
          <w:b w:val="0"/>
          <w:bCs w:val="0"/>
        </w:rPr>
      </w:pPr>
      <w:r>
        <w:rPr>
          <w:rFonts w:ascii="Times New Roman" w:hAnsi="Times New Roman" w:cs="Times New Roman" w:eastAsia="Times New Roman" w:hint="default"/>
        </w:rPr>
        <w:t>54</w:t>
      </w:r>
      <w:r>
        <w:rPr/>
        <w:t>、其他权益工具</w:t>
      </w:r>
      <w:r>
        <w:rPr>
          <w:spacing w:val="1"/>
          <w:w w:val="99"/>
        </w:rPr>
        <w:t> </w:t>
      </w:r>
      <w:r>
        <w:rPr>
          <w:rFonts w:ascii="宋体" w:hAnsi="宋体" w:cs="宋体" w:eastAsia="宋体" w:hint="default"/>
          <w:b w:val="0"/>
          <w:bCs w:val="0"/>
        </w:rPr>
        <w:t>无。</w:t>
      </w:r>
    </w:p>
    <w:p>
      <w:pPr>
        <w:pStyle w:val="Heading4"/>
        <w:spacing w:line="240" w:lineRule="auto" w:before="104"/>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54、其他权益工具" w:id="296"/>
      <w:bookmarkEnd w:id="296"/>
      <w:r>
        <w:rPr/>
      </w:r>
      <w:bookmarkStart w:name="55、资本公积" w:id="297"/>
      <w:bookmarkEnd w:id="297"/>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368,387,448.13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742,950.00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367,644,498.13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13,279,532.52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10,272,769.63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1,476,838.64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22,075,463.51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381,666,980.65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10,272,769.63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2,219,788.64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389,719,961.64</w:t>
            </w:r>
          </w:p>
        </w:tc>
      </w:tr>
    </w:tbl>
    <w:p>
      <w:pPr>
        <w:spacing w:line="240" w:lineRule="auto" w:before="10"/>
        <w:rPr>
          <w:rFonts w:ascii="宋体" w:hAnsi="宋体" w:cs="宋体" w:eastAsia="宋体" w:hint="default"/>
          <w:sz w:val="7"/>
          <w:szCs w:val="7"/>
        </w:rPr>
      </w:pPr>
    </w:p>
    <w:p>
      <w:pPr>
        <w:pStyle w:val="BodyText"/>
        <w:spacing w:line="240" w:lineRule="auto" w:before="35"/>
        <w:ind w:left="574" w:right="0"/>
        <w:jc w:val="left"/>
      </w:pPr>
      <w:r>
        <w:rPr/>
        <w:t>说明：</w:t>
      </w:r>
    </w:p>
    <w:p>
      <w:pPr>
        <w:spacing w:line="240" w:lineRule="auto" w:before="10"/>
        <w:rPr>
          <w:rFonts w:ascii="宋体" w:hAnsi="宋体" w:cs="宋体" w:eastAsia="宋体" w:hint="default"/>
          <w:sz w:val="16"/>
          <w:szCs w:val="16"/>
        </w:rPr>
      </w:pPr>
    </w:p>
    <w:p>
      <w:pPr>
        <w:pStyle w:val="BodyText"/>
        <w:spacing w:line="309" w:lineRule="auto"/>
        <w:ind w:left="153" w:right="147" w:firstLine="420"/>
        <w:jc w:val="both"/>
      </w:pPr>
      <w:r>
        <w:rPr/>
        <w:t>①资本公积</w:t>
      </w:r>
      <w:r>
        <w:rPr>
          <w:rFonts w:ascii="Times New Roman" w:hAnsi="Times New Roman" w:cs="Times New Roman" w:eastAsia="Times New Roman" w:hint="default"/>
        </w:rPr>
        <w:t>-</w:t>
      </w:r>
      <w:r>
        <w:rPr/>
        <w:t>股本溢价本年减少</w:t>
      </w:r>
      <w:r>
        <w:rPr>
          <w:rFonts w:ascii="Times New Roman" w:hAnsi="Times New Roman" w:cs="Times New Roman" w:eastAsia="Times New Roman" w:hint="default"/>
        </w:rPr>
        <w:t>742,950.00</w:t>
      </w:r>
      <w:r>
        <w:rPr/>
        <w:t>元本年度本公司系回购注销部分已不符合激励条件的原激励 对象已获授但尚未解锁的限制性股票</w:t>
      </w:r>
      <w:r>
        <w:rPr>
          <w:rFonts w:ascii="Times New Roman" w:hAnsi="Times New Roman" w:cs="Times New Roman" w:eastAsia="Times New Roman" w:hint="default"/>
        </w:rPr>
        <w:t>23.16</w:t>
      </w:r>
      <w:r>
        <w:rPr/>
        <w:t>万股，支付回购款</w:t>
      </w:r>
      <w:r>
        <w:rPr>
          <w:rFonts w:ascii="Times New Roman" w:hAnsi="Times New Roman" w:cs="Times New Roman" w:eastAsia="Times New Roman" w:hint="default"/>
        </w:rPr>
        <w:t>974,550.00</w:t>
      </w:r>
      <w:r>
        <w:rPr/>
        <w:t>元，其中</w:t>
      </w:r>
      <w:r>
        <w:rPr>
          <w:rFonts w:ascii="Times New Roman" w:hAnsi="Times New Roman" w:cs="Times New Roman" w:eastAsia="Times New Roman" w:hint="default"/>
        </w:rPr>
        <w:t>231,600.00</w:t>
      </w:r>
      <w:r>
        <w:rPr/>
        <w:t>元减少股本，</w:t>
      </w:r>
      <w:r>
        <w:rPr>
          <w:spacing w:val="3"/>
        </w:rPr>
        <w:t> </w:t>
      </w:r>
      <w:r>
        <w:rPr>
          <w:rFonts w:ascii="Times New Roman" w:hAnsi="Times New Roman" w:cs="Times New Roman" w:eastAsia="Times New Roman" w:hint="default"/>
        </w:rPr>
        <w:t>742,950.00</w:t>
      </w:r>
      <w:r>
        <w:rPr/>
        <w:t>元减少资本公积</w:t>
      </w:r>
      <w:r>
        <w:rPr>
          <w:rFonts w:ascii="Times New Roman" w:hAnsi="Times New Roman" w:cs="Times New Roman" w:eastAsia="Times New Roman" w:hint="default"/>
        </w:rPr>
        <w:t>-</w:t>
      </w:r>
      <w:r>
        <w:rPr/>
        <w:t>股本溢价。</w:t>
      </w:r>
    </w:p>
    <w:p>
      <w:pPr>
        <w:pStyle w:val="BodyText"/>
        <w:spacing w:line="319" w:lineRule="auto" w:before="136"/>
        <w:ind w:right="150" w:firstLine="420"/>
        <w:jc w:val="both"/>
      </w:pPr>
      <w:r>
        <w:rPr/>
        <w:t>②资本公积</w:t>
      </w:r>
      <w:r>
        <w:rPr>
          <w:rFonts w:ascii="Times New Roman" w:hAnsi="Times New Roman" w:cs="Times New Roman" w:eastAsia="Times New Roman" w:hint="default"/>
        </w:rPr>
        <w:t>-</w:t>
      </w:r>
      <w:r>
        <w:rPr/>
        <w:t>其他资本公积本年增加系股权激励费用摊销</w:t>
      </w:r>
      <w:r>
        <w:rPr>
          <w:rFonts w:ascii="Times New Roman" w:hAnsi="Times New Roman" w:cs="Times New Roman" w:eastAsia="Times New Roman" w:hint="default"/>
        </w:rPr>
        <w:t>2,088,868.11</w:t>
      </w:r>
      <w:r>
        <w:rPr/>
        <w:t>元及股份支付相关的支出允许税</w:t>
      </w:r>
      <w:r>
        <w:rPr>
          <w:spacing w:val="1"/>
        </w:rPr>
        <w:t> </w:t>
      </w:r>
      <w:r>
        <w:rPr>
          <w:spacing w:val="-1"/>
        </w:rPr>
        <w:t>前扣除金额超过会计准则规定确认的与股份支付相关的成本费用，超过部分的所得税影响直接计入资本公</w:t>
      </w:r>
      <w:r>
        <w:rPr>
          <w:spacing w:val="-81"/>
        </w:rPr>
        <w:t> </w:t>
      </w:r>
      <w:r>
        <w:rPr>
          <w:spacing w:val="-81"/>
        </w:rPr>
      </w:r>
      <w:r>
        <w:rPr/>
        <w:t>积</w:t>
      </w:r>
      <w:r>
        <w:rPr>
          <w:rFonts w:ascii="Times New Roman" w:hAnsi="Times New Roman" w:cs="Times New Roman" w:eastAsia="Times New Roman" w:hint="default"/>
        </w:rPr>
        <w:t>8,183,901.52</w:t>
      </w:r>
      <w:r>
        <w:rPr/>
        <w:t>元。本年减少</w:t>
      </w:r>
      <w:r>
        <w:rPr>
          <w:rFonts w:ascii="Times New Roman" w:hAnsi="Times New Roman" w:cs="Times New Roman" w:eastAsia="Times New Roman" w:hint="default"/>
        </w:rPr>
        <w:t>1,476,838.64</w:t>
      </w:r>
      <w:r>
        <w:rPr/>
        <w:t>元详见本附注九、</w:t>
      </w:r>
      <w:r>
        <w:rPr>
          <w:rFonts w:ascii="Times New Roman" w:hAnsi="Times New Roman" w:cs="Times New Roman" w:eastAsia="Times New Roman" w:hint="default"/>
        </w:rPr>
        <w:t>3</w:t>
      </w:r>
      <w:r>
        <w:rPr/>
        <w:t>、（</w:t>
      </w:r>
      <w:r>
        <w:rPr>
          <w:rFonts w:ascii="Times New Roman" w:hAnsi="Times New Roman" w:cs="Times New Roman" w:eastAsia="Times New Roman" w:hint="default"/>
        </w:rPr>
        <w:t>3</w:t>
      </w:r>
      <w:r>
        <w:rPr/>
        <w:t>）之②说明。</w:t>
      </w:r>
    </w:p>
    <w:p>
      <w:pPr>
        <w:spacing w:after="0" w:line="319" w:lineRule="auto"/>
        <w:jc w:val="both"/>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56</w:t>
      </w:r>
      <w:bookmarkStart w:name="56、库存股" w:id="298"/>
      <w:bookmarkEnd w:id="298"/>
      <w:r>
        <w:rPr>
          <w:rFonts w:ascii="Times New Roman" w:hAnsi="Times New Roman" w:cs="Times New Roman" w:eastAsia="Times New Roman" w:hint="default"/>
        </w:rPr>
      </w:r>
      <w:r>
        <w:rPr/>
        <w:t>、库存股</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35" w:right="8511"/>
        <w:jc w:val="center"/>
      </w:pPr>
      <w:r>
        <w:rPr/>
        <w:t>无。</w:t>
      </w:r>
    </w:p>
    <w:p>
      <w:pPr>
        <w:spacing w:line="240" w:lineRule="auto" w:before="9"/>
        <w:rPr>
          <w:rFonts w:ascii="宋体" w:hAnsi="宋体" w:cs="宋体" w:eastAsia="宋体" w:hint="default"/>
          <w:sz w:val="25"/>
          <w:szCs w:val="25"/>
        </w:rPr>
      </w:pPr>
    </w:p>
    <w:p>
      <w:pPr>
        <w:pStyle w:val="Heading4"/>
        <w:spacing w:line="506" w:lineRule="auto"/>
        <w:ind w:left="574" w:right="8086" w:hanging="420"/>
        <w:jc w:val="left"/>
        <w:rPr>
          <w:rFonts w:ascii="宋体" w:hAnsi="宋体" w:cs="宋体" w:eastAsia="宋体" w:hint="default"/>
          <w:b w:val="0"/>
          <w:bCs w:val="0"/>
        </w:rPr>
      </w:pPr>
      <w:r>
        <w:rPr>
          <w:rFonts w:ascii="Times New Roman" w:hAnsi="Times New Roman" w:cs="Times New Roman" w:eastAsia="Times New Roman" w:hint="default"/>
        </w:rPr>
        <w:t>57</w:t>
      </w:r>
      <w:r>
        <w:rPr/>
        <w:t>、其</w:t>
      </w:r>
      <w:bookmarkStart w:name="57、其他综合收益" w:id="299"/>
      <w:bookmarkEnd w:id="299"/>
      <w:r>
        <w:rPr/>
        <w:t>他综</w:t>
      </w:r>
      <w:r>
        <w:rPr/>
        <w:t>合收益</w:t>
      </w:r>
      <w:r>
        <w:rPr>
          <w:spacing w:val="1"/>
          <w:w w:val="99"/>
        </w:rPr>
        <w:t> </w:t>
      </w:r>
      <w:r>
        <w:rPr>
          <w:rFonts w:ascii="宋体" w:hAnsi="宋体" w:cs="宋体" w:eastAsia="宋体" w:hint="default"/>
          <w:b w:val="0"/>
          <w:bCs w:val="0"/>
        </w:rPr>
        <w:t>无。</w:t>
      </w:r>
    </w:p>
    <w:p>
      <w:pPr>
        <w:pStyle w:val="Heading4"/>
        <w:spacing w:line="520" w:lineRule="auto" w:before="103"/>
        <w:ind w:left="135" w:right="8507"/>
        <w:jc w:val="center"/>
        <w:rPr>
          <w:b w:val="0"/>
          <w:bCs w:val="0"/>
        </w:rPr>
      </w:pPr>
      <w:r>
        <w:rPr>
          <w:rFonts w:ascii="Times New Roman" w:hAnsi="Times New Roman" w:cs="Times New Roman" w:eastAsia="Times New Roman" w:hint="default"/>
        </w:rPr>
        <w:t>58</w:t>
      </w:r>
      <w:r>
        <w:rPr/>
        <w:t>、专项储备</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59</w:t>
      </w:r>
      <w:r>
        <w:rPr/>
        <w:t>、盈余公积</w:t>
      </w:r>
      <w:r>
        <w:rPr>
          <w:b w:val="0"/>
          <w:bCs w:val="0"/>
        </w:rPr>
      </w:r>
    </w:p>
    <w:p>
      <w:pPr>
        <w:spacing w:before="76"/>
        <w:ind w:left="0" w:right="152" w:firstLine="0"/>
        <w:jc w:val="right"/>
        <w:rPr>
          <w:rFonts w:ascii="宋体" w:hAnsi="宋体" w:cs="宋体" w:eastAsia="宋体" w:hint="default"/>
          <w:sz w:val="18"/>
          <w:szCs w:val="18"/>
        </w:rPr>
      </w:pPr>
      <w:bookmarkStart w:name="58、专项储备" w:id="300"/>
      <w:bookmarkEnd w:id="300"/>
      <w:r>
        <w:rPr/>
      </w:r>
      <w:bookmarkStart w:name="59、盈余公积" w:id="301"/>
      <w:bookmarkEnd w:id="301"/>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24,996,888.89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10,689,636.99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35,686,525.88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24,996,888.89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10,689,636.99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35,686,525.88</w:t>
            </w:r>
          </w:p>
        </w:tc>
      </w:tr>
    </w:tbl>
    <w:p>
      <w:pPr>
        <w:pStyle w:val="BodyText"/>
        <w:spacing w:line="273" w:lineRule="auto" w:before="26"/>
        <w:ind w:left="153" w:right="0"/>
        <w:jc w:val="left"/>
      </w:pPr>
      <w:r>
        <w:rPr>
          <w:spacing w:val="-1"/>
        </w:rPr>
        <w:t>盈余公积说明，包括本期增减变动情况、变动原因说明：本年度盈余公积增加数系母公司根据本年度实现</w:t>
      </w:r>
      <w:r>
        <w:rPr>
          <w:spacing w:val="-83"/>
        </w:rPr>
        <w:t> </w:t>
      </w:r>
      <w:r>
        <w:rPr>
          <w:spacing w:val="-83"/>
        </w:rPr>
      </w:r>
      <w:r>
        <w:rPr/>
        <w:t>的净利润的</w:t>
      </w:r>
      <w:r>
        <w:rPr>
          <w:spacing w:val="-56"/>
        </w:rPr>
        <w:t> </w:t>
      </w:r>
      <w:r>
        <w:rPr>
          <w:rFonts w:ascii="Times New Roman" w:hAnsi="Times New Roman" w:cs="Times New Roman" w:eastAsia="Times New Roman" w:hint="default"/>
        </w:rPr>
        <w:t>10</w:t>
      </w:r>
      <w:r>
        <w:rPr/>
        <w:t>％提取法定盈余公积。</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60、未分配利润" w:id="302"/>
      <w:bookmarkEnd w:id="302"/>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8"/>
      </w:tblGrid>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199,392,324.68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164,576,853.34</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13"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199,392,324.68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164,576,853.34</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114,602,055.27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56,286,872.37</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10,689,636.99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4,835,411.03</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6,651,192.00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16,635,990.00</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6" w:type="dxa"/>
            <w:tcBorders>
              <w:top w:val="single" w:sz="4" w:space="0" w:color="000000"/>
              <w:left w:val="single" w:sz="13"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13"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13"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296,653,550.96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199,392,324.68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footerReference w:type="default" r:id="rId33"/>
          <w:pgSz w:w="11910" w:h="16840"/>
          <w:pgMar w:footer="980" w:header="747" w:top="1060" w:bottom="1180" w:left="980" w:right="980"/>
          <w:pgNumType w:start="14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61</w:t>
      </w:r>
      <w:r>
        <w:rPr/>
        <w:t>、营</w:t>
      </w:r>
      <w:bookmarkStart w:name="61、营业收入和营业成本" w:id="303"/>
      <w:bookmarkEnd w:id="303"/>
      <w:r>
        <w:rPr/>
        <w:t>业收</w:t>
      </w:r>
      <w:r>
        <w:rPr/>
        <w:t>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0"/>
        <w:gridCol w:w="1916"/>
        <w:gridCol w:w="1914"/>
        <w:gridCol w:w="1914"/>
        <w:gridCol w:w="1914"/>
      </w:tblGrid>
      <w:tr>
        <w:trPr>
          <w:trHeight w:val="206" w:hRule="exact"/>
        </w:trPr>
        <w:tc>
          <w:tcPr>
            <w:tcW w:w="1900"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900" w:type="dxa"/>
            <w:vMerge/>
            <w:tcBorders>
              <w:left w:val="single" w:sz="4" w:space="0" w:color="000000"/>
              <w:bottom w:val="nil" w:sz="6" w:space="0" w:color="auto"/>
              <w:right w:val="single" w:sz="4" w:space="0" w:color="000000"/>
            </w:tcBorders>
            <w:shd w:val="clear" w:color="auto" w:fill="D4D4D4"/>
          </w:tcPr>
          <w:p>
            <w:pPr/>
          </w:p>
        </w:tc>
        <w:tc>
          <w:tcPr>
            <w:tcW w:w="191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6"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602,714,279.02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218,400,164.19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390,040,198.38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150,470,300.26</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380,928.00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318,207.49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373,152.00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78,410.85</w:t>
            </w:r>
          </w:p>
        </w:tc>
      </w:tr>
      <w:tr>
        <w:trPr>
          <w:trHeight w:val="403" w:hRule="exact"/>
        </w:trPr>
        <w:tc>
          <w:tcPr>
            <w:tcW w:w="19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603,095,207.02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218,718,371.68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390,413,350.38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150,548,711.11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2、营业税金及附加" w:id="304"/>
      <w:bookmarkEnd w:id="304"/>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5" w:type="dxa"/>
            <w:tcBorders>
              <w:top w:val="single" w:sz="4" w:space="0" w:color="000000"/>
              <w:left w:val="single" w:sz="13" w:space="0" w:color="D4D4D4"/>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516,825.83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365,459.61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4,323,459.82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2,078,652.14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1,852,954.20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890,850.89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5" w:type="dxa"/>
            <w:tcBorders>
              <w:top w:val="single" w:sz="4" w:space="0" w:color="000000"/>
              <w:left w:val="single" w:sz="13" w:space="0" w:color="D4D4D4"/>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1,235,402.81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593,900.62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7,928,642.66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3,928,863.26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3、销售费用" w:id="305"/>
      <w:bookmarkEnd w:id="305"/>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49,305,921.10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39,612,179.85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13,213,937.03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10,629,835.42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6,064,070.41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5,605,531.62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2,908,802.79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4,040,894.15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3,174,977.70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2,976,770.39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704,655.74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1,722,607.55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1,198,285.35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1,566,776.31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1,094,540.36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1,428,494.38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1,809,136.65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1,401,810.16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113,226.74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1,401,684.73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1,702,236.44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921,405.65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844,660.04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610,882.07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768,567.11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480,971.50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企业年金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318,258.47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436,485.09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663,461.91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180,800.04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83,884,737.84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73,017,128.91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4、管理费用" w:id="306"/>
      <w:bookmarkEnd w:id="306"/>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77,826,708.28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42,715,210.68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市场运营费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23,131,038.46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20,553,213.25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22,789,683.12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15,867,434.46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18,669,641.41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11,743,336.94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6,116,850.34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4,814,824.39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4,224,159.58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3,828,711.23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2,685,533.18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2,407,406.67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1,478,530.55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1,986,145.71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2,310,214.49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1,958,813.63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741,951.12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1,845,535.11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2,042,010.66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1,841,577.50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w:t>
            </w:r>
            <w:r>
              <w:rPr>
                <w:rFonts w:ascii="Times New Roman" w:hAnsi="Times New Roman" w:cs="Times New Roman" w:eastAsia="Times New Roman" w:hint="default"/>
                <w:sz w:val="18"/>
                <w:szCs w:val="18"/>
              </w:rPr>
              <w:t>(</w:t>
            </w:r>
            <w:r>
              <w:rPr>
                <w:rFonts w:ascii="宋体" w:hAnsi="宋体" w:cs="宋体" w:eastAsia="宋体" w:hint="default"/>
                <w:sz w:val="18"/>
                <w:szCs w:val="18"/>
              </w:rPr>
              <w:t>护</w:t>
            </w:r>
            <w:r>
              <w:rPr>
                <w:rFonts w:ascii="Times New Roman" w:hAnsi="Times New Roman" w:cs="Times New Roman" w:eastAsia="Times New Roman" w:hint="default"/>
                <w:sz w:val="18"/>
                <w:szCs w:val="18"/>
              </w:rPr>
              <w:t>)</w:t>
            </w:r>
            <w:r>
              <w:rPr>
                <w:rFonts w:ascii="宋体" w:hAnsi="宋体" w:cs="宋体" w:eastAsia="宋体" w:hint="default"/>
                <w:sz w:val="18"/>
                <w:szCs w:val="18"/>
              </w:rPr>
              <w:t>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1,019,543.74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1,209,187.01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1,396,594.53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1,169,034.11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1,449,774.95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1,154,659.08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2,444,891.40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1,121,296.70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482,155.88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661,130.82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673,062.54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531,943.19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476,921.04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374,155.30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残疾人补助金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250,417.91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218,605.52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企业年金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152,308.67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175,898.49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会员年费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280,595.00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174,983.10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571,279.51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555,780.01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171,753,866.36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117,448,882.90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9、营业外收入" w:id="307"/>
      <w:bookmarkEnd w:id="307"/>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5、财务费用" w:id="308"/>
      <w:bookmarkEnd w:id="308"/>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-7,579,256.30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-5,737,532.37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52,190.05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-97,276.00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198,884.00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82,473.61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-7,328,182.25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-5,752,334.76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6、资产减值损失" w:id="309"/>
      <w:bookmarkEnd w:id="309"/>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7,262,404.45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8,837,229.16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546,996.96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58,118.46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7,809,401.41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8,895,347.62</w:t>
            </w:r>
          </w:p>
        </w:tc>
      </w:tr>
    </w:tbl>
    <w:p>
      <w:pPr>
        <w:spacing w:line="240" w:lineRule="auto" w:before="2"/>
        <w:rPr>
          <w:rFonts w:ascii="宋体" w:hAnsi="宋体" w:cs="宋体" w:eastAsia="宋体" w:hint="default"/>
          <w:sz w:val="19"/>
          <w:szCs w:val="19"/>
        </w:rPr>
      </w:pPr>
    </w:p>
    <w:p>
      <w:pPr>
        <w:pStyle w:val="Heading4"/>
        <w:spacing w:line="506" w:lineRule="auto" w:before="35"/>
        <w:ind w:left="574" w:right="7665" w:hanging="420"/>
        <w:jc w:val="left"/>
        <w:rPr>
          <w:rFonts w:ascii="宋体" w:hAnsi="宋体" w:cs="宋体" w:eastAsia="宋体" w:hint="default"/>
          <w:b w:val="0"/>
          <w:bCs w:val="0"/>
        </w:rPr>
      </w:pPr>
      <w:r>
        <w:rPr>
          <w:rFonts w:ascii="Times New Roman" w:hAnsi="Times New Roman" w:cs="Times New Roman" w:eastAsia="Times New Roman" w:hint="default"/>
        </w:rPr>
        <w:t>67</w:t>
      </w:r>
      <w:r>
        <w:rPr/>
        <w:t>、公允价值变动收益</w:t>
      </w:r>
      <w:r>
        <w:rPr>
          <w:spacing w:val="1"/>
          <w:w w:val="99"/>
        </w:rPr>
        <w:t> </w:t>
      </w:r>
      <w:r>
        <w:rPr>
          <w:rFonts w:ascii="宋体" w:hAnsi="宋体" w:cs="宋体" w:eastAsia="宋体" w:hint="default"/>
          <w:b w:val="0"/>
          <w:bCs w:val="0"/>
        </w:rPr>
        <w:t>无。</w:t>
      </w:r>
    </w:p>
    <w:p>
      <w:pPr>
        <w:pStyle w:val="Heading4"/>
        <w:spacing w:line="240" w:lineRule="auto" w:before="103"/>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7、公允价值变动收益" w:id="310"/>
      <w:bookmarkEnd w:id="310"/>
      <w:r>
        <w:rPr/>
      </w:r>
      <w:bookmarkStart w:name="68、投资收益" w:id="311"/>
      <w:bookmarkEnd w:id="311"/>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7"/>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-4,297,571.35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-1,230,795.60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4D4D4"/>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5,918,386.14</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-4,297,571.35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4,687,590.54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2"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4D4D4"/>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2"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21,768,238.35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25,196,473.99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8,871,308.43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426,526.46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235,437.56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426,526.46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22,194,764.81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25,431,911.55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9,297,834.83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pStyle w:val="BodyText"/>
        <w:spacing w:line="240" w:lineRule="auto" w:before="26"/>
        <w:ind w:right="-20"/>
        <w:jc w:val="left"/>
      </w:pPr>
      <w:r>
        <w:rPr/>
        <w:t>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675" w:space="6154"/>
            <w:col w:w="112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28"/>
        <w:gridCol w:w="1842"/>
        <w:gridCol w:w="1702"/>
        <w:gridCol w:w="2196"/>
      </w:tblGrid>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软件产品增值税返还</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12,896,929.92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16,073,835.96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厦门超级计算中心（云计算中心）</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3,063,636.38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房产税、城镇土地使用税奖励金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86,243.04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2,770,970.11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国家科技支撑计划</w:t>
            </w:r>
            <w:r>
              <w:rPr>
                <w:rFonts w:ascii="Times New Roman" w:hAnsi="Times New Roman" w:cs="Times New Roman" w:eastAsia="Times New Roman" w:hint="default"/>
                <w:sz w:val="18"/>
                <w:szCs w:val="18"/>
              </w:rPr>
              <w:t>"</w:t>
            </w:r>
            <w:r>
              <w:rPr>
                <w:rFonts w:ascii="宋体" w:hAnsi="宋体" w:cs="宋体" w:eastAsia="宋体" w:hint="default"/>
                <w:sz w:val="18"/>
                <w:szCs w:val="18"/>
              </w:rPr>
              <w:t>泄密取证技术研究</w:t>
            </w:r>
            <w:r>
              <w:rPr>
                <w:rFonts w:ascii="Times New Roman" w:hAnsi="Times New Roman" w:cs="Times New Roman" w:eastAsia="Times New Roman"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电子数据取证综合平台产业化项目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475,476.59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517,449.54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专利申请费用资助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科学仪器设备资源共享优惠补贴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259,289.00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308,582.00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重点技术创新及产学研项目资金补助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信息安全管理标准认证补贴</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电子数据公证云</w:t>
            </w:r>
            <w:r>
              <w:rPr>
                <w:rFonts w:ascii="Times New Roman" w:hAnsi="Times New Roman" w:cs="Times New Roman" w:eastAsia="Times New Roman" w:hint="default"/>
                <w:sz w:val="18"/>
                <w:szCs w:val="18"/>
              </w:rPr>
              <w:t>"</w:t>
            </w:r>
            <w:r>
              <w:rPr>
                <w:rFonts w:ascii="宋体" w:hAnsi="宋体" w:cs="宋体" w:eastAsia="宋体" w:hint="default"/>
                <w:sz w:val="18"/>
                <w:szCs w:val="18"/>
              </w:rPr>
              <w:t>的购置设备补助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珠海市企业研究开发费补贴收入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纳税大户企业奖励金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资助聘请专家经费</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知识产权示范企业资助资金</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优秀新产品奖</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企业上市工作经费补助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软件骨干企业奖励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317,700.00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党群活动中心补助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高新技术企业财政扶持资金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816,500.00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软件产品登记奖励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软件人才培训补助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手机数据采集分析系统购置设备补助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219,499.80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21,768,238.35</w:t>
            </w:r>
          </w:p>
        </w:tc>
        <w:tc>
          <w:tcPr>
            <w:tcW w:w="1702"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25,196,473.99</w:t>
            </w:r>
          </w:p>
        </w:tc>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0" w:right="205" w:firstLine="0"/>
        <w:jc w:val="right"/>
        <w:rPr>
          <w:rFonts w:ascii="宋体" w:hAnsi="宋体" w:cs="宋体" w:eastAsia="宋体" w:hint="default"/>
          <w:sz w:val="18"/>
          <w:szCs w:val="18"/>
        </w:rPr>
      </w:pPr>
      <w:bookmarkStart w:name="70、营业外支出" w:id="312"/>
      <w:bookmarkEnd w:id="312"/>
      <w:r>
        <w:rPr/>
      </w:r>
      <w:r>
        <w:rPr>
          <w:rFonts w:ascii="宋体" w:hAnsi="宋体" w:cs="宋体" w:eastAsia="宋体" w:hint="default"/>
          <w:sz w:val="18"/>
          <w:szCs w:val="18"/>
        </w:rPr>
        <w:t>说明：本集团收到的软件产品增值税返还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12,896,929.92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元，因与公司经常性经营活动相关，作为经常性损益的政府补助。</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9"/>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161"/>
        <w:gridCol w:w="262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256,715.51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40,266.52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256,715.51</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256,715.51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40,266.52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256,715.51</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407" w:type="dxa"/>
            <w:tcBorders>
              <w:top w:val="single" w:sz="4" w:space="0" w:color="000000"/>
              <w:left w:val="single" w:sz="10" w:space="0" w:color="D4D4D4"/>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161"/>
        <w:gridCol w:w="262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279,700.00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168,247.26</w:t>
            </w:r>
          </w:p>
        </w:tc>
        <w:tc>
          <w:tcPr>
            <w:tcW w:w="2161"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168,247.26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18,838.58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12,064.77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18,838.58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740,746.61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332,031.29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740,746.61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2、其他综合收益" w:id="313"/>
      <w:bookmarkEnd w:id="313"/>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71、所得税费用" w:id="314"/>
      <w:bookmarkEnd w:id="314"/>
      <w:r>
        <w:rPr/>
      </w:r>
      <w:bookmarkStart w:name="（1）所得税费用表" w:id="315"/>
      <w:bookmarkEnd w:id="315"/>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17,570,118.52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8,959,999.63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-3,504,767.12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274,094.95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14,065,351.40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9,234,094.58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会计利润与所得税费用调整过程" w:id="316"/>
      <w:bookmarkEnd w:id="316"/>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67"/>
        <w:gridCol w:w="3200"/>
      </w:tblGrid>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137,484,816.17</w:t>
            </w: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13,748,481.61</w:t>
            </w: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1,014,544.71</w:t>
            </w: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206,693.10</w:t>
            </w: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-996,389.6</w:t>
            </w:r>
            <w:r>
              <w:rPr>
                <w:rFonts w:ascii="Times New Roman"/>
                <w:sz w:val="18"/>
              </w:rPr>
            </w: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92,021.58</w:t>
            </w: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200" w:type="dxa"/>
            <w:tcBorders>
              <w:top w:val="single" w:sz="4" w:space="0" w:color="000000"/>
              <w:left w:val="single" w:sz="10" w:space="0" w:color="D4D4D4"/>
              <w:bottom w:val="single" w:sz="4" w:space="0" w:color="000000"/>
              <w:right w:val="single" w:sz="4" w:space="0" w:color="000000"/>
            </w:tcBorders>
          </w:tcPr>
          <w:p>
            <w:pP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200" w:type="dxa"/>
            <w:tcBorders>
              <w:top w:val="single" w:sz="4" w:space="0" w:color="000000"/>
              <w:left w:val="single" w:sz="10" w:space="0" w:color="D4D4D4"/>
              <w:bottom w:val="single" w:sz="4" w:space="0" w:color="000000"/>
              <w:right w:val="single" w:sz="4" w:space="0" w:color="000000"/>
            </w:tcBorders>
          </w:tcPr>
          <w:p>
            <w:pP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14,065,351.40</w:t>
            </w:r>
          </w:p>
        </w:tc>
      </w:tr>
    </w:tbl>
    <w:p>
      <w:pPr>
        <w:spacing w:line="240" w:lineRule="auto" w:before="2"/>
        <w:rPr>
          <w:rFonts w:ascii="宋体" w:hAnsi="宋体" w:cs="宋体" w:eastAsia="宋体" w:hint="default"/>
          <w:sz w:val="19"/>
          <w:szCs w:val="19"/>
        </w:rPr>
      </w:pPr>
    </w:p>
    <w:p>
      <w:pPr>
        <w:pStyle w:val="Heading4"/>
        <w:spacing w:line="506" w:lineRule="auto" w:before="35"/>
        <w:ind w:left="574" w:right="8086" w:hanging="420"/>
        <w:jc w:val="left"/>
        <w:rPr>
          <w:rFonts w:ascii="宋体" w:hAnsi="宋体" w:cs="宋体" w:eastAsia="宋体" w:hint="default"/>
          <w:b w:val="0"/>
          <w:bCs w:val="0"/>
        </w:rPr>
      </w:pPr>
      <w:r>
        <w:rPr>
          <w:rFonts w:ascii="Times New Roman" w:hAnsi="Times New Roman" w:cs="Times New Roman" w:eastAsia="Times New Roman" w:hint="default"/>
        </w:rPr>
        <w:t>72</w:t>
      </w:r>
      <w:r>
        <w:rPr/>
        <w:t>、其他综合收益</w:t>
      </w:r>
      <w:r>
        <w:rPr>
          <w:spacing w:val="1"/>
          <w:w w:val="99"/>
        </w:rPr>
        <w:t> </w:t>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747" w:footer="980"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收到的其他与筹资活动有关的现金" w:id="317"/>
      <w:bookmarkEnd w:id="317"/>
      <w:r>
        <w:rPr>
          <w:b w:val="0"/>
          <w:bCs w:val="0"/>
        </w:rPr>
      </w:r>
      <w:bookmarkStart w:name="（6）支付的其他与筹资活动有关的现金" w:id="318"/>
      <w:bookmarkEnd w:id="318"/>
      <w:r>
        <w:rPr>
          <w:b w:val="0"/>
          <w:bCs w:val="0"/>
        </w:rPr>
      </w:r>
      <w:r>
        <w:rPr>
          <w:rFonts w:ascii="Times New Roman" w:hAnsi="Times New Roman" w:cs="Times New Roman" w:eastAsia="Times New Roman" w:hint="default"/>
        </w:rPr>
        <w:t>73</w:t>
      </w:r>
      <w:bookmarkStart w:name="73、现金流量表项目" w:id="319"/>
      <w:bookmarkEnd w:id="319"/>
      <w:r>
        <w:rPr>
          <w:rFonts w:ascii="Times New Roman" w:hAnsi="Times New Roman" w:cs="Times New Roman" w:eastAsia="Times New Roman" w:hint="default"/>
        </w:rPr>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bookmarkStart w:name="（1）收到的其他与经营活动有关的现金" w:id="320"/>
      <w:bookmarkEnd w:id="320"/>
      <w:r>
        <w:rPr>
          <w:rFonts w:ascii="Times New Roman" w:hAnsi="Times New Roman" w:cs="Times New Roman" w:eastAsia="Times New Roman" w:hint="default"/>
        </w:rPr>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收政府补助专项资金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14,402,559.48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7,096,252.11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2,630,514.70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2,226,666.80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收到的保证金、押金及其他往来款等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4,274,205.54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5,059,005.10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21,307,279.72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14,381,924.01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支付的其他与经营活动有关的现金" w:id="321"/>
      <w:bookmarkEnd w:id="321"/>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5,241,933.00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2,216,450.00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支付厦门服云信息科技有限公司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6,582,022.13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支付其他保证金、押金及其他往来款等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16,511,151.06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15,974,584.87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279,700.00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70,998,341.81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62,006,442.29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93,051,425.87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87,059,199.29</w:t>
            </w:r>
          </w:p>
        </w:tc>
      </w:tr>
    </w:tbl>
    <w:p>
      <w:pPr>
        <w:spacing w:line="240" w:lineRule="auto" w:before="2"/>
        <w:rPr>
          <w:rFonts w:ascii="宋体" w:hAnsi="宋体" w:cs="宋体" w:eastAsia="宋体" w:hint="default"/>
          <w:sz w:val="19"/>
          <w:szCs w:val="19"/>
        </w:rPr>
      </w:pPr>
    </w:p>
    <w:p>
      <w:pPr>
        <w:pStyle w:val="Heading4"/>
        <w:spacing w:line="506" w:lineRule="auto" w:before="35"/>
        <w:ind w:left="574" w:right="6083"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）收到的其他与投资活动有关的现金</w:t>
      </w:r>
      <w:r>
        <w:rPr>
          <w:w w:val="99"/>
        </w:rPr>
        <w:t> </w:t>
      </w:r>
      <w:r>
        <w:rPr>
          <w:rFonts w:ascii="宋体" w:hAnsi="宋体" w:cs="宋体" w:eastAsia="宋体" w:hint="default"/>
          <w:b w:val="0"/>
          <w:bCs w:val="0"/>
        </w:rPr>
        <w:t>无。</w:t>
      </w:r>
    </w:p>
    <w:p>
      <w:pPr>
        <w:pStyle w:val="Heading4"/>
        <w:spacing w:line="506" w:lineRule="auto" w:before="103"/>
        <w:ind w:left="574" w:right="6083"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）支付的其他与投资活动有关的现金</w:t>
      </w:r>
      <w:r>
        <w:rPr>
          <w:w w:val="99"/>
        </w:rPr>
        <w:t> </w:t>
      </w:r>
      <w:r>
        <w:rPr>
          <w:rFonts w:ascii="宋体" w:hAnsi="宋体" w:cs="宋体" w:eastAsia="宋体" w:hint="default"/>
          <w:b w:val="0"/>
          <w:bCs w:val="0"/>
        </w:rPr>
        <w:t>无。</w:t>
      </w:r>
    </w:p>
    <w:p>
      <w:pPr>
        <w:pStyle w:val="Heading4"/>
        <w:spacing w:line="506" w:lineRule="auto" w:before="103"/>
        <w:ind w:left="574" w:right="6083"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）收到的其他与筹资活动有关的现金</w:t>
      </w:r>
      <w:r>
        <w:rPr>
          <w:w w:val="99"/>
        </w:rPr>
        <w:t> </w:t>
      </w:r>
      <w:r>
        <w:rPr>
          <w:rFonts w:ascii="宋体" w:hAnsi="宋体" w:cs="宋体" w:eastAsia="宋体" w:hint="default"/>
          <w:b w:val="0"/>
          <w:bCs w:val="0"/>
        </w:rPr>
        <w:t>无。</w:t>
      </w:r>
    </w:p>
    <w:p>
      <w:pPr>
        <w:pStyle w:val="Heading4"/>
        <w:spacing w:line="240" w:lineRule="auto" w:before="103"/>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收到的其他与投资活动有关的现金" w:id="322"/>
      <w:bookmarkEnd w:id="322"/>
      <w:r>
        <w:rPr/>
      </w:r>
      <w:bookmarkStart w:name="（4）支付的其他与投资活动有关的现金" w:id="323"/>
      <w:bookmarkEnd w:id="323"/>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回购注销限制性股票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854,430.00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854,430.00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bookmarkStart w:name="74、现金流量表补充资料" w:id="324"/>
      <w:bookmarkEnd w:id="324"/>
      <w:r>
        <w:rPr>
          <w:rFonts w:ascii="Times New Roman" w:hAnsi="Times New Roman" w:cs="Times New Roman" w:eastAsia="Times New Roman" w:hint="default"/>
        </w:rPr>
      </w:r>
      <w:bookmarkStart w:name="（1）现金流量表补充资料" w:id="325"/>
      <w:bookmarkEnd w:id="325"/>
      <w:r>
        <w:rPr>
          <w:rFonts w:ascii="Times New Roman" w:hAnsi="Times New Roman" w:cs="Times New Roman" w:eastAsia="Times New Roman" w:hint="default"/>
        </w:rPr>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513"/>
        <w:gridCol w:w="2564"/>
        <w:gridCol w:w="2479"/>
      </w:tblGrid>
      <w:tr>
        <w:trPr>
          <w:trHeight w:val="403"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4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123,419,464.77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62,880,127.56</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7,809,401.41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8,895,347.62</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21,472,502.37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14,154,549.52</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12,520,985.55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5,698,193.73</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924,898.67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1,620,713.55</w:t>
            </w:r>
          </w:p>
        </w:tc>
      </w:tr>
      <w:tr>
        <w:trPr>
          <w:trHeight w:val="714"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256,715.51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422.18</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4D4D4"/>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39,844.34</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4D4D4"/>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-4,919,356.38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-3,608,141.57</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4,297,571.35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-4,687,590.54</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-3,504,767.12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274,094.95</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-66,992,121.78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-29,847,256.65</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-66,384,010.03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-38,895,321.19</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142,671,004.98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26,963,142.47</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2,088,868.11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5,503,894.24</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173,661,157.41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48,992,020.21</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4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64" w:type="dxa"/>
            <w:tcBorders>
              <w:top w:val="single" w:sz="4" w:space="0" w:color="000000"/>
              <w:left w:val="single" w:sz="13" w:space="0" w:color="D4D4D4"/>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64" w:type="dxa"/>
            <w:tcBorders>
              <w:top w:val="single" w:sz="4" w:space="0" w:color="000000"/>
              <w:left w:val="single" w:sz="13" w:space="0" w:color="D4D4D4"/>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64" w:type="dxa"/>
            <w:tcBorders>
              <w:top w:val="single" w:sz="4" w:space="0" w:color="000000"/>
              <w:left w:val="single" w:sz="13" w:space="0" w:color="D4D4D4"/>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4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246,699,791.23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212,815,985.41</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212,815,985.41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196,011,196.36</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64" w:type="dxa"/>
            <w:tcBorders>
              <w:top w:val="single" w:sz="4" w:space="0" w:color="000000"/>
              <w:left w:val="single" w:sz="13" w:space="0" w:color="D4D4D4"/>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64" w:type="dxa"/>
            <w:tcBorders>
              <w:top w:val="single" w:sz="4" w:space="0" w:color="000000"/>
              <w:left w:val="single" w:sz="13" w:space="0" w:color="D4D4D4"/>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6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33,883,805.82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16,804,789.05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6、所有权或使用权受到限制的资产" w:id="326"/>
      <w:bookmarkEnd w:id="32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本期支付的取得子公司的现金净额" w:id="327"/>
      <w:bookmarkEnd w:id="327"/>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4,854,800.00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其中：珠海市新德汇信息技术有限公司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4,854,800.00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4,854,800.00</w:t>
            </w:r>
          </w:p>
        </w:tc>
      </w:tr>
    </w:tbl>
    <w:p>
      <w:pPr>
        <w:spacing w:line="240" w:lineRule="auto" w:before="2"/>
        <w:rPr>
          <w:rFonts w:ascii="宋体" w:hAnsi="宋体" w:cs="宋体" w:eastAsia="宋体" w:hint="default"/>
          <w:sz w:val="19"/>
          <w:szCs w:val="19"/>
        </w:rPr>
      </w:pPr>
    </w:p>
    <w:p>
      <w:pPr>
        <w:pStyle w:val="Heading4"/>
        <w:spacing w:line="506" w:lineRule="auto" w:before="35"/>
        <w:ind w:left="574" w:right="6083"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）本期收到的处置子公</w:t>
      </w:r>
      <w:bookmarkStart w:name="（3）本期收到的处置子公司的现金净额" w:id="328"/>
      <w:bookmarkEnd w:id="328"/>
      <w:r>
        <w:rPr/>
        <w:t>司的现金</w:t>
      </w:r>
      <w:r>
        <w:rPr/>
        <w:t>净额</w:t>
      </w:r>
      <w:r>
        <w:rPr>
          <w:w w:val="99"/>
        </w:rPr>
        <w:t> </w:t>
      </w:r>
      <w:r>
        <w:rPr>
          <w:rFonts w:ascii="宋体" w:hAnsi="宋体" w:cs="宋体" w:eastAsia="宋体" w:hint="default"/>
          <w:b w:val="0"/>
          <w:bCs w:val="0"/>
        </w:rPr>
        <w:t>无。</w:t>
      </w:r>
    </w:p>
    <w:p>
      <w:pPr>
        <w:pStyle w:val="Heading4"/>
        <w:spacing w:line="240" w:lineRule="auto" w:before="103"/>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4）现金和现金等价物的构成" w:id="329"/>
      <w:bookmarkEnd w:id="329"/>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246,699,791.23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212,815,985.41</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19,254.28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3,729.26</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246,680,536.95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212,812,256.15</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8" w:type="dxa"/>
            <w:tcBorders>
              <w:top w:val="single" w:sz="4" w:space="0" w:color="000000"/>
              <w:left w:val="single" w:sz="13" w:space="0" w:color="D4D4D4"/>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8" w:type="dxa"/>
            <w:tcBorders>
              <w:top w:val="single" w:sz="4" w:space="0" w:color="000000"/>
              <w:left w:val="single" w:sz="13" w:space="0" w:color="D4D4D4"/>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246,699,791.23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212,815,985.41</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8" w:type="dxa"/>
            <w:tcBorders>
              <w:top w:val="single" w:sz="4" w:space="0" w:color="000000"/>
              <w:left w:val="single" w:sz="13" w:space="0" w:color="D4D4D4"/>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506" w:lineRule="auto" w:before="35"/>
        <w:ind w:left="574" w:right="6821" w:hanging="420"/>
        <w:jc w:val="left"/>
        <w:rPr>
          <w:rFonts w:ascii="宋体" w:hAnsi="宋体" w:cs="宋体" w:eastAsia="宋体" w:hint="default"/>
          <w:b w:val="0"/>
          <w:bCs w:val="0"/>
        </w:rPr>
      </w:pPr>
      <w:r>
        <w:rPr>
          <w:rFonts w:ascii="Times New Roman" w:hAnsi="Times New Roman" w:cs="Times New Roman" w:eastAsia="Times New Roman" w:hint="default"/>
        </w:rPr>
        <w:t>75</w:t>
      </w:r>
      <w:r>
        <w:rPr/>
        <w:t>、所有者权益变动表项目注释</w:t>
      </w:r>
      <w:r>
        <w:rPr>
          <w:spacing w:val="1"/>
          <w:w w:val="99"/>
        </w:rPr>
        <w:t> </w:t>
      </w:r>
      <w:r>
        <w:rPr>
          <w:rFonts w:ascii="宋体" w:hAnsi="宋体" w:cs="宋体" w:eastAsia="宋体" w:hint="default"/>
          <w:b w:val="0"/>
          <w:bCs w:val="0"/>
        </w:rPr>
        <w:t>无。</w:t>
      </w:r>
    </w:p>
    <w:p>
      <w:pPr>
        <w:pStyle w:val="Heading4"/>
        <w:spacing w:line="240" w:lineRule="auto" w:before="103"/>
        <w:ind w:right="0"/>
        <w:jc w:val="left"/>
        <w:rPr>
          <w:b w:val="0"/>
          <w:bCs w:val="0"/>
        </w:rPr>
      </w:pPr>
      <w:r>
        <w:rPr>
          <w:rFonts w:ascii="Times New Roman" w:hAnsi="Times New Roman" w:cs="Times New Roman" w:eastAsia="Times New Roman" w:hint="default"/>
        </w:rPr>
        <w:t>76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75、所有者权益变动表项目注释" w:id="330"/>
      <w:bookmarkEnd w:id="330"/>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8,266,683.00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3" w:space="0" w:color="D4D4D4"/>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8,266,683.00</w:t>
            </w:r>
          </w:p>
        </w:tc>
        <w:tc>
          <w:tcPr>
            <w:tcW w:w="31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八、合并范围的变更" w:id="331"/>
      <w:bookmarkEnd w:id="331"/>
      <w:r>
        <w:rPr>
          <w:b w:val="0"/>
          <w:bCs w:val="0"/>
        </w:rPr>
      </w:r>
      <w:bookmarkStart w:name="九、在其他主体中的权益" w:id="332"/>
      <w:bookmarkEnd w:id="332"/>
      <w:r>
        <w:rPr>
          <w:b w:val="0"/>
          <w:bCs w:val="0"/>
        </w:rPr>
      </w:r>
      <w:bookmarkStart w:name="1、在子公司中的权益" w:id="333"/>
      <w:bookmarkEnd w:id="333"/>
      <w:r>
        <w:rPr>
          <w:b w:val="0"/>
          <w:bCs w:val="0"/>
        </w:rPr>
      </w:r>
      <w:bookmarkStart w:name="（1）企业集团的构成" w:id="334"/>
      <w:bookmarkEnd w:id="334"/>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bookmarkStart w:name="77、外币货币性项目" w:id="335"/>
      <w:bookmarkEnd w:id="335"/>
      <w:r>
        <w:rPr>
          <w:rFonts w:ascii="Times New Roman" w:hAnsi="Times New Roman" w:cs="Times New Roman" w:eastAsia="Times New Roman" w:hint="default"/>
        </w:rPr>
      </w:r>
      <w:bookmarkStart w:name="（1）外币货币性项目" w:id="336"/>
      <w:bookmarkEnd w:id="336"/>
      <w:r>
        <w:rPr>
          <w:rFonts w:ascii="Times New Roman" w:hAnsi="Times New Roman" w:cs="Times New Roman" w:eastAsia="Times New Roman" w:hint="default"/>
        </w:rPr>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4D4D4"/>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297,150.04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1,818,258.89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4D4D4"/>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19,710.10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120,606.10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4D4D4"/>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246,466.68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1,508,129.61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50,951.70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311,773.45</w:t>
            </w:r>
          </w:p>
        </w:tc>
      </w:tr>
    </w:tbl>
    <w:p>
      <w:pPr>
        <w:spacing w:line="240" w:lineRule="auto" w:before="2"/>
        <w:rPr>
          <w:rFonts w:ascii="宋体" w:hAnsi="宋体" w:cs="宋体" w:eastAsia="宋体" w:hint="default"/>
          <w:sz w:val="19"/>
          <w:szCs w:val="19"/>
        </w:rPr>
      </w:pPr>
    </w:p>
    <w:p>
      <w:pPr>
        <w:pStyle w:val="Heading4"/>
        <w:spacing w:line="259" w:lineRule="auto" w:before="35"/>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w:t>
      </w:r>
      <w:bookmarkStart w:name="（2）境外经营实体说明，包括对于重要的境外经营实体，应披露其境外主要经营地、记账" w:id="337"/>
      <w:bookmarkEnd w:id="337"/>
      <w:r>
        <w:rPr/>
        <w:t>应披</w:t>
      </w:r>
      <w:r>
        <w:rPr/>
        <w:t>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74" w:right="0"/>
        <w:jc w:val="left"/>
      </w:pPr>
      <w:r>
        <w:rPr/>
        <w:t>本公司子公司香港鼎永泰克科技有限公司以香港为主要经营地，其采用美元记账本位币。</w:t>
      </w: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4" w:right="0"/>
        <w:jc w:val="left"/>
      </w:pPr>
      <w:r>
        <w:rPr/>
        <w:t>无。</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79</w:t>
      </w:r>
      <w:r>
        <w:rPr/>
        <w:t>、其他</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4" w:right="0"/>
        <w:jc w:val="left"/>
      </w:pPr>
      <w:r>
        <w:rPr/>
        <w:t>无。</w:t>
      </w:r>
    </w:p>
    <w:p>
      <w:pPr>
        <w:spacing w:line="240" w:lineRule="auto" w:before="12"/>
        <w:rPr>
          <w:rFonts w:ascii="宋体" w:hAnsi="宋体" w:cs="宋体" w:eastAsia="宋体" w:hint="default"/>
          <w:sz w:val="23"/>
          <w:szCs w:val="23"/>
        </w:rPr>
      </w:pPr>
    </w:p>
    <w:p>
      <w:pPr>
        <w:spacing w:line="496" w:lineRule="auto" w:before="0"/>
        <w:ind w:left="154" w:right="5782" w:firstLine="0"/>
        <w:jc w:val="left"/>
        <w:rPr>
          <w:rFonts w:ascii="宋体" w:hAnsi="宋体" w:cs="宋体" w:eastAsia="宋体" w:hint="default"/>
          <w:sz w:val="21"/>
          <w:szCs w:val="21"/>
        </w:rPr>
      </w:pP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宋体" w:hAnsi="宋体" w:cs="宋体" w:eastAsia="宋体" w:hint="default"/>
          <w:sz w:val="21"/>
          <w:szCs w:val="21"/>
        </w:rPr>
        <w:t>本报告期本集团合并范围未发生变动情况。 </w:t>
      </w:r>
      <w:r>
        <w:rPr>
          <w:rFonts w:ascii="宋体" w:hAnsi="宋体" w:cs="宋体" w:eastAsia="宋体" w:hint="default"/>
          <w:b/>
          <w:bCs/>
          <w:sz w:val="24"/>
          <w:szCs w:val="24"/>
        </w:rPr>
        <w:t>九、在其他主体中的权益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73"/>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994"/>
        <w:gridCol w:w="708"/>
        <w:gridCol w:w="851"/>
        <w:gridCol w:w="709"/>
        <w:gridCol w:w="850"/>
        <w:gridCol w:w="2058"/>
      </w:tblGrid>
      <w:tr>
        <w:trPr>
          <w:trHeight w:val="402" w:hRule="exact"/>
        </w:trPr>
        <w:tc>
          <w:tcPr>
            <w:tcW w:w="34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0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5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0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63" w:right="0"/>
              <w:jc w:val="left"/>
              <w:rPr>
                <w:rFonts w:ascii="宋体" w:hAnsi="宋体" w:cs="宋体" w:eastAsia="宋体" w:hint="default"/>
                <w:sz w:val="18"/>
                <w:szCs w:val="18"/>
              </w:rPr>
            </w:pPr>
            <w:bookmarkStart w:name="78、套期" w:id="338"/>
            <w:bookmarkEnd w:id="338"/>
            <w:r>
              <w:rPr/>
            </w:r>
            <w:bookmarkStart w:name="79、其他" w:id="339"/>
            <w:bookmarkEnd w:id="339"/>
            <w:r>
              <w:rPr/>
            </w:r>
            <w:r>
              <w:rPr>
                <w:rFonts w:ascii="宋体" w:hAnsi="宋体" w:cs="宋体" w:eastAsia="宋体" w:hint="default"/>
                <w:sz w:val="18"/>
                <w:szCs w:val="18"/>
              </w:rPr>
              <w:t>取得方式</w:t>
            </w:r>
          </w:p>
        </w:tc>
      </w:tr>
      <w:tr>
        <w:trPr>
          <w:trHeight w:val="402" w:hRule="exact"/>
        </w:trPr>
        <w:tc>
          <w:tcPr>
            <w:tcW w:w="3402" w:type="dxa"/>
            <w:vMerge/>
            <w:tcBorders>
              <w:left w:val="single" w:sz="4" w:space="0" w:color="000000"/>
              <w:bottom w:val="single" w:sz="4" w:space="0" w:color="000000"/>
              <w:right w:val="single" w:sz="4" w:space="0" w:color="000000"/>
            </w:tcBorders>
            <w:shd w:val="clear" w:color="auto" w:fill="D4D4D4"/>
          </w:tcPr>
          <w:p>
            <w:pPr/>
          </w:p>
        </w:tc>
        <w:tc>
          <w:tcPr>
            <w:tcW w:w="994" w:type="dxa"/>
            <w:vMerge/>
            <w:tcBorders>
              <w:left w:val="single" w:sz="4" w:space="0" w:color="000000"/>
              <w:bottom w:val="single" w:sz="4" w:space="0" w:color="000000"/>
              <w:right w:val="single" w:sz="4" w:space="0" w:color="000000"/>
            </w:tcBorders>
            <w:shd w:val="clear" w:color="auto" w:fill="D4D4D4"/>
          </w:tcPr>
          <w:p>
            <w:pPr/>
          </w:p>
        </w:tc>
        <w:tc>
          <w:tcPr>
            <w:tcW w:w="708" w:type="dxa"/>
            <w:vMerge/>
            <w:tcBorders>
              <w:left w:val="single" w:sz="4" w:space="0" w:color="000000"/>
              <w:bottom w:val="single" w:sz="4" w:space="0" w:color="000000"/>
              <w:right w:val="single" w:sz="4" w:space="0" w:color="000000"/>
            </w:tcBorders>
            <w:shd w:val="clear" w:color="auto" w:fill="D4D4D4"/>
          </w:tcPr>
          <w:p>
            <w:pPr/>
          </w:p>
        </w:tc>
        <w:tc>
          <w:tcPr>
            <w:tcW w:w="851" w:type="dxa"/>
            <w:vMerge/>
            <w:tcBorders>
              <w:left w:val="single" w:sz="4" w:space="0" w:color="000000"/>
              <w:bottom w:val="single" w:sz="4" w:space="0" w:color="000000"/>
              <w:right w:val="single" w:sz="4" w:space="0" w:color="000000"/>
            </w:tcBorders>
            <w:shd w:val="clear" w:color="auto" w:fill="D4D4D4"/>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058"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402"/>
        <w:gridCol w:w="994"/>
        <w:gridCol w:w="708"/>
        <w:gridCol w:w="851"/>
        <w:gridCol w:w="709"/>
        <w:gridCol w:w="850"/>
        <w:gridCol w:w="2058"/>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67.73%</w:t>
            </w:r>
          </w:p>
        </w:tc>
        <w:tc>
          <w:tcPr>
            <w:tcW w:w="8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51.00%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pStyle w:val="BodyText"/>
        <w:spacing w:line="240" w:lineRule="auto" w:before="26"/>
        <w:ind w:right="0"/>
        <w:jc w:val="left"/>
      </w:pPr>
      <w:r>
        <w:rPr/>
        <w:t>在子公司的持股比例不同于表决权比例的说明：</w:t>
      </w:r>
    </w:p>
    <w:p>
      <w:pPr>
        <w:spacing w:line="240" w:lineRule="auto" w:before="5"/>
        <w:rPr>
          <w:rFonts w:ascii="宋体" w:hAnsi="宋体" w:cs="宋体" w:eastAsia="宋体" w:hint="default"/>
          <w:sz w:val="14"/>
          <w:szCs w:val="14"/>
        </w:rPr>
      </w:pPr>
    </w:p>
    <w:p>
      <w:pPr>
        <w:pStyle w:val="BodyText"/>
        <w:spacing w:line="319" w:lineRule="auto"/>
        <w:ind w:left="153" w:right="104" w:firstLine="420"/>
        <w:jc w:val="left"/>
      </w:pPr>
      <w:r>
        <w:rPr/>
        <w:t>本公司持有厦门服云信息科技有限公司（原名杭州创聚科技有限公司）表决权比例为</w:t>
      </w:r>
      <w:r>
        <w:rPr>
          <w:rFonts w:ascii="Times New Roman" w:hAnsi="Times New Roman" w:cs="Times New Roman" w:eastAsia="Times New Roman" w:hint="default"/>
        </w:rPr>
        <w:t>53.39%</w:t>
      </w:r>
      <w:r>
        <w:rPr/>
        <w:t>。根据该 </w:t>
      </w:r>
      <w:r>
        <w:rPr>
          <w:spacing w:val="-3"/>
        </w:rPr>
        <w:t>公司章程，支付红利、经营计划的实质改变等重大事项须征得股东广州钧扬通泰投资咨询有限公司的同意，</w:t>
      </w:r>
      <w:r>
        <w:rPr>
          <w:spacing w:val="-92"/>
        </w:rPr>
        <w:t> </w:t>
      </w:r>
      <w:r>
        <w:rPr>
          <w:spacing w:val="-92"/>
        </w:rPr>
      </w:r>
      <w:r>
        <w:rPr>
          <w:spacing w:val="-3"/>
        </w:rPr>
        <w:t>且本公司在董事会中仅派有一名董事，本公司没有能力运用权力影响回报金额，故不能对该公司实施控制。</w:t>
      </w:r>
    </w:p>
    <w:p>
      <w:pPr>
        <w:spacing w:line="240" w:lineRule="auto" w:before="12"/>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bookmarkStart w:name="（2）重要的非全资子公司" w:id="340"/>
      <w:bookmarkEnd w:id="340"/>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77"/>
        <w:gridCol w:w="1700"/>
        <w:gridCol w:w="1702"/>
        <w:gridCol w:w="1559"/>
        <w:gridCol w:w="1632"/>
      </w:tblGrid>
      <w:tr>
        <w:trPr>
          <w:trHeight w:val="764" w:hRule="exact"/>
        </w:trPr>
        <w:tc>
          <w:tcPr>
            <w:tcW w:w="29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76"/>
              <w:ind w:left="576" w:right="35"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76"/>
              <w:ind w:left="233" w:right="53" w:hanging="180"/>
              <w:jc w:val="left"/>
              <w:rPr>
                <w:rFonts w:ascii="宋体" w:hAnsi="宋体" w:cs="宋体" w:eastAsia="宋体" w:hint="default"/>
                <w:sz w:val="18"/>
                <w:szCs w:val="18"/>
              </w:rPr>
            </w:pPr>
            <w:r>
              <w:rPr>
                <w:rFonts w:ascii="宋体" w:hAnsi="宋体" w:cs="宋体" w:eastAsia="宋体" w:hint="default"/>
                <w:sz w:val="18"/>
                <w:szCs w:val="18"/>
              </w:rPr>
              <w:t>本期向少数股东宣 告分派的股利</w:t>
            </w:r>
          </w:p>
        </w:tc>
        <w:tc>
          <w:tcPr>
            <w:tcW w:w="1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76"/>
              <w:ind w:left="629" w:right="90" w:hanging="540"/>
              <w:jc w:val="left"/>
              <w:rPr>
                <w:rFonts w:ascii="宋体" w:hAnsi="宋体" w:cs="宋体" w:eastAsia="宋体" w:hint="default"/>
                <w:sz w:val="18"/>
                <w:szCs w:val="18"/>
              </w:rPr>
            </w:pPr>
            <w:r>
              <w:rPr>
                <w:rFonts w:ascii="宋体" w:hAnsi="宋体" w:cs="宋体" w:eastAsia="宋体" w:hint="default"/>
                <w:sz w:val="18"/>
                <w:szCs w:val="18"/>
              </w:rPr>
              <w:t>期末少数股东权益 余额</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1,002,395.77</w:t>
            </w:r>
          </w:p>
        </w:tc>
        <w:tc>
          <w:tcPr>
            <w:tcW w:w="1559" w:type="dxa"/>
            <w:tcBorders>
              <w:top w:val="single" w:sz="10" w:space="0" w:color="D4D4D4"/>
              <w:left w:val="single" w:sz="4" w:space="0" w:color="000000"/>
              <w:bottom w:val="single" w:sz="4" w:space="0" w:color="000000"/>
              <w:right w:val="single" w:sz="4" w:space="0" w:color="000000"/>
            </w:tcBorders>
          </w:tcPr>
          <w:p>
            <w:pPr/>
          </w:p>
        </w:tc>
        <w:tc>
          <w:tcPr>
            <w:tcW w:w="1632"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4,980,023.86</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7,814,831.55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27,167,951.50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bookmarkStart w:name="（3）重要非全资子公司的主要财务信息" w:id="341"/>
      <w:bookmarkEnd w:id="341"/>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厦门美 亚中敏 电子科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37,557,7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06.37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1,060,83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38,618,5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45.44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18,384,6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24.58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18,724,6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31,550,7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222,819.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31,773,5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19,447,4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38.95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19,447,4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38.95</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珠海市 新德汇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85,969,9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73.16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1,022,22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86,992,1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31,547,3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96.27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31,547,3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53,057,6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764,572.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53,822,2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14,326,0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37.27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14,326,0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37.27</w:t>
            </w:r>
          </w:p>
        </w:tc>
      </w:tr>
    </w:tbl>
    <w:p>
      <w:pPr>
        <w:spacing w:before="51"/>
        <w:ind w:left="0" w:right="2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438"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6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厦门美亚中 敏电子科技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113,878,331.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7,567,834.41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7,567,834.41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1,372,214.90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33,755,118.9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5,086,656.94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5,086,656.94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-2,668,566.22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珠海市新德 汇信息技术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70,880,927.9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15,948,635.8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15,948,635.8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16,437,809.7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30,399,890.8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10,688,380.8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10,688,380.8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7,705,525.13</w:t>
            </w:r>
          </w:p>
        </w:tc>
      </w:tr>
    </w:tbl>
    <w:p>
      <w:pPr>
        <w:pStyle w:val="BodyText"/>
        <w:spacing w:line="240" w:lineRule="auto" w:before="26"/>
        <w:ind w:right="0"/>
        <w:jc w:val="left"/>
        <w:rPr>
          <w:rFonts w:ascii="Times New Roman" w:hAnsi="Times New Roman" w:cs="Times New Roman" w:eastAsia="Times New Roman" w:hint="default"/>
        </w:rPr>
      </w:pPr>
      <w:bookmarkStart w:name="（3）重要联营企业的主要财务信息" w:id="342"/>
      <w:bookmarkEnd w:id="342"/>
      <w:r>
        <w:rPr/>
      </w:r>
      <w:r>
        <w:rPr>
          <w:spacing w:val="-7"/>
        </w:rPr>
        <w:t>说明：本公司于</w:t>
      </w:r>
      <w:r>
        <w:rPr>
          <w:spacing w:val="-5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年非同一控制下合并取得了珠海市新德汇信息技术有限公司</w:t>
      </w:r>
      <w:r>
        <w:rPr>
          <w:spacing w:val="-52"/>
        </w:rPr>
        <w:t> </w:t>
      </w:r>
      <w:r>
        <w:rPr>
          <w:rFonts w:ascii="Times New Roman" w:hAnsi="Times New Roman" w:cs="Times New Roman" w:eastAsia="Times New Roman" w:hint="default"/>
          <w:spacing w:val="-5"/>
        </w:rPr>
        <w:t>51%</w:t>
      </w:r>
      <w:r>
        <w:rPr>
          <w:spacing w:val="-5"/>
        </w:rPr>
        <w:t>股，购买日确定为</w:t>
      </w:r>
      <w:r>
        <w:rPr>
          <w:spacing w:val="-52"/>
        </w:rPr>
        <w:t> </w:t>
      </w:r>
      <w:r>
        <w:rPr>
          <w:rFonts w:ascii="Times New Roman" w:hAnsi="Times New Roman" w:cs="Times New Roman" w:eastAsia="Times New Roman" w:hint="default"/>
        </w:rPr>
        <w:t>8</w:t>
      </w:r>
    </w:p>
    <w:p>
      <w:pPr>
        <w:pStyle w:val="BodyText"/>
        <w:spacing w:line="240" w:lineRule="auto" w:before="21"/>
        <w:ind w:left="153" w:right="0"/>
        <w:jc w:val="left"/>
      </w:pP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日，其上年发生额系</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月的发生额。</w:t>
      </w:r>
    </w:p>
    <w:p>
      <w:pPr>
        <w:spacing w:line="240" w:lineRule="auto" w:before="7"/>
        <w:rPr>
          <w:rFonts w:ascii="宋体" w:hAnsi="宋体" w:cs="宋体" w:eastAsia="宋体" w:hint="default"/>
          <w:sz w:val="24"/>
          <w:szCs w:val="24"/>
        </w:rPr>
      </w:pPr>
    </w:p>
    <w:p>
      <w:pPr>
        <w:pStyle w:val="Heading4"/>
        <w:spacing w:line="530" w:lineRule="auto"/>
        <w:ind w:left="574" w:right="4607"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）使用企业</w:t>
      </w:r>
      <w:bookmarkStart w:name="（4）使用企业集团资产和清偿企业集团债务的重大限制" w:id="343"/>
      <w:bookmarkEnd w:id="343"/>
      <w:r>
        <w:rPr/>
        <w:t>集团资产</w:t>
      </w:r>
      <w:r>
        <w:rPr/>
        <w:t>和清偿企业集团债务的重大限制</w:t>
      </w:r>
      <w:r>
        <w:rPr>
          <w:spacing w:val="1"/>
          <w:w w:val="99"/>
        </w:rPr>
        <w:t> </w:t>
      </w:r>
      <w:r>
        <w:rPr>
          <w:rFonts w:ascii="宋体" w:hAnsi="宋体" w:cs="宋体" w:eastAsia="宋体" w:hint="default"/>
          <w:b w:val="0"/>
          <w:bCs w:val="0"/>
        </w:rPr>
        <w:t>无。</w:t>
      </w:r>
    </w:p>
    <w:p>
      <w:pPr>
        <w:pStyle w:val="Heading4"/>
        <w:spacing w:line="530" w:lineRule="auto" w:before="115"/>
        <w:ind w:left="574" w:right="3131"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）向纳入合并财务报表范围的结构</w:t>
      </w:r>
      <w:bookmarkStart w:name="（5）向纳入合并财务报表范围的结构化主体提供的财务支持或其他支持" w:id="344"/>
      <w:bookmarkEnd w:id="344"/>
      <w:r>
        <w:rPr/>
        <w:t>化主体提</w:t>
      </w:r>
      <w:r>
        <w:rPr/>
        <w:t>供的财务支持或其他支持</w:t>
      </w:r>
      <w:r>
        <w:rPr>
          <w:spacing w:val="1"/>
          <w:w w:val="99"/>
        </w:rPr>
        <w:t> </w:t>
      </w:r>
      <w:r>
        <w:rPr>
          <w:rFonts w:ascii="宋体" w:hAnsi="宋体" w:cs="宋体" w:eastAsia="宋体" w:hint="default"/>
          <w:b w:val="0"/>
          <w:bCs w:val="0"/>
        </w:rPr>
        <w:t>无。</w:t>
      </w:r>
    </w:p>
    <w:p>
      <w:pPr>
        <w:pStyle w:val="Heading4"/>
        <w:spacing w:line="532" w:lineRule="auto" w:before="115"/>
        <w:ind w:left="574" w:right="4102" w:hanging="420"/>
        <w:jc w:val="left"/>
        <w:rPr>
          <w:rFonts w:ascii="宋体" w:hAnsi="宋体" w:cs="宋体" w:eastAsia="宋体" w:hint="default"/>
          <w:b w:val="0"/>
          <w:bCs w:val="0"/>
        </w:rPr>
      </w:pPr>
      <w:r>
        <w:rPr>
          <w:rFonts w:ascii="Times New Roman" w:hAnsi="Times New Roman" w:cs="Times New Roman" w:eastAsia="Times New Roman" w:hint="default"/>
          <w:w w:val="95"/>
        </w:rPr>
        <w:t>2</w:t>
      </w:r>
      <w:r>
        <w:rPr>
          <w:w w:val="95"/>
        </w:rPr>
        <w:t>、在子公司的所有者权益份额发生变化且仍控制</w:t>
      </w:r>
      <w:bookmarkStart w:name="2、在子公司的所有者权益份额发生变化且仍控制子公司的交易" w:id="345"/>
      <w:bookmarkEnd w:id="345"/>
      <w:r>
        <w:rPr>
          <w:w w:val="95"/>
        </w:rPr>
        <w:t>子公司的</w:t>
      </w:r>
      <w:r>
        <w:rPr>
          <w:w w:val="95"/>
        </w:rPr>
        <w:t>交易</w:t>
      </w:r>
      <w:r>
        <w:rPr>
          <w:spacing w:val="78"/>
          <w:w w:val="95"/>
        </w:rPr>
        <w:t> </w:t>
      </w:r>
      <w:r>
        <w:rPr>
          <w:spacing w:val="78"/>
          <w:w w:val="95"/>
        </w:rPr>
      </w:r>
      <w:r>
        <w:rPr>
          <w:rFonts w:ascii="宋体" w:hAnsi="宋体" w:cs="宋体" w:eastAsia="宋体" w:hint="default"/>
          <w:b w:val="0"/>
          <w:bCs w:val="0"/>
        </w:rPr>
        <w:t>无。</w:t>
      </w:r>
    </w:p>
    <w:p>
      <w:pPr>
        <w:pStyle w:val="Heading4"/>
        <w:spacing w:line="240" w:lineRule="auto" w:before="113"/>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994"/>
        <w:gridCol w:w="1134"/>
        <w:gridCol w:w="1076"/>
        <w:gridCol w:w="1192"/>
        <w:gridCol w:w="991"/>
        <w:gridCol w:w="1916"/>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8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bookmarkStart w:name="3、在合营安排或联营企业中的权益" w:id="346"/>
            <w:bookmarkEnd w:id="346"/>
            <w:r>
              <w:rPr/>
            </w:r>
            <w:r>
              <w:rPr>
                <w:rFonts w:ascii="宋体" w:hAnsi="宋体" w:cs="宋体" w:eastAsia="宋体" w:hint="default"/>
                <w:sz w:val="18"/>
                <w:szCs w:val="18"/>
              </w:rPr>
              <w:t>持股比例</w:t>
            </w:r>
          </w:p>
        </w:tc>
        <w:tc>
          <w:tcPr>
            <w:tcW w:w="191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142" w:right="53" w:hanging="90"/>
              <w:jc w:val="left"/>
              <w:rPr>
                <w:rFonts w:ascii="宋体" w:hAnsi="宋体" w:cs="宋体" w:eastAsia="宋体" w:hint="default"/>
                <w:sz w:val="18"/>
                <w:szCs w:val="18"/>
              </w:rPr>
            </w:pPr>
            <w:bookmarkStart w:name="（1）重要的合营企业或联营企业" w:id="347"/>
            <w:bookmarkEnd w:id="347"/>
            <w:r>
              <w:rPr/>
            </w:r>
            <w:r>
              <w:rPr>
                <w:rFonts w:ascii="宋体" w:hAnsi="宋体" w:cs="宋体" w:eastAsia="宋体" w:hint="default"/>
                <w:sz w:val="18"/>
                <w:szCs w:val="18"/>
              </w:rPr>
              <w:t>对合营企业或联营企业 投资的会计处理方法</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4D4D4"/>
          </w:tcPr>
          <w:p>
            <w:pPr/>
          </w:p>
        </w:tc>
        <w:tc>
          <w:tcPr>
            <w:tcW w:w="994" w:type="dxa"/>
            <w:vMerge/>
            <w:tcBorders>
              <w:left w:val="single" w:sz="4" w:space="0" w:color="000000"/>
              <w:bottom w:val="single" w:sz="4" w:space="0" w:color="000000"/>
              <w:right w:val="single" w:sz="4" w:space="0" w:color="000000"/>
            </w:tcBorders>
            <w:shd w:val="clear" w:color="auto" w:fill="D4D4D4"/>
          </w:tcPr>
          <w:p>
            <w:pPr/>
          </w:p>
        </w:tc>
        <w:tc>
          <w:tcPr>
            <w:tcW w:w="1134" w:type="dxa"/>
            <w:vMerge/>
            <w:tcBorders>
              <w:left w:val="single" w:sz="4" w:space="0" w:color="000000"/>
              <w:bottom w:val="single" w:sz="4" w:space="0" w:color="000000"/>
              <w:right w:val="single" w:sz="4" w:space="0" w:color="000000"/>
            </w:tcBorders>
            <w:shd w:val="clear" w:color="auto" w:fill="D4D4D4"/>
          </w:tcPr>
          <w:p>
            <w:pPr/>
          </w:p>
        </w:tc>
        <w:tc>
          <w:tcPr>
            <w:tcW w:w="1076" w:type="dxa"/>
            <w:vMerge/>
            <w:tcBorders>
              <w:left w:val="single" w:sz="4" w:space="0" w:color="000000"/>
              <w:bottom w:val="single" w:sz="4" w:space="0" w:color="000000"/>
              <w:right w:val="single" w:sz="4" w:space="0" w:color="000000"/>
            </w:tcBorders>
            <w:shd w:val="clear" w:color="auto" w:fill="D4D4D4"/>
          </w:tcPr>
          <w:p>
            <w:pPr/>
          </w:p>
        </w:tc>
        <w:tc>
          <w:tcPr>
            <w:tcW w:w="1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16"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53.39%</w:t>
            </w:r>
          </w:p>
        </w:tc>
        <w:tc>
          <w:tcPr>
            <w:tcW w:w="99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4"/>
        <w:spacing w:line="530" w:lineRule="auto" w:before="35"/>
        <w:ind w:left="574" w:right="6505"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）重要合营企业的主要财务信息</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重要合营企业的主要财务信息" w:id="348"/>
      <w:bookmarkEnd w:id="348"/>
      <w:r>
        <w:rPr/>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2"/>
        <w:gridCol w:w="1700"/>
        <w:gridCol w:w="1417"/>
        <w:gridCol w:w="1700"/>
        <w:gridCol w:w="1201"/>
      </w:tblGrid>
      <w:tr>
        <w:trPr>
          <w:trHeight w:val="34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5"/>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b/>
                <w:bCs/>
                <w:sz w:val="18"/>
                <w:szCs w:val="18"/>
              </w:rPr>
              <w:t>厦门服云信息科技有限公司</w:t>
            </w:r>
            <w:r>
              <w:rPr>
                <w:rFonts w:ascii="宋体" w:hAnsi="宋体" w:cs="宋体" w:eastAsia="宋体" w:hint="default"/>
                <w:sz w:val="18"/>
                <w:szCs w:val="18"/>
              </w:rPr>
            </w:r>
          </w:p>
        </w:tc>
        <w:tc>
          <w:tcPr>
            <w:tcW w:w="2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b/>
                <w:bCs/>
                <w:sz w:val="18"/>
                <w:szCs w:val="18"/>
              </w:rPr>
              <w:t>北京万诚信用评价有限公司</w:t>
            </w:r>
            <w:r>
              <w:rPr>
                <w:rFonts w:ascii="宋体" w:hAnsi="宋体" w:cs="宋体" w:eastAsia="宋体" w:hint="default"/>
                <w:sz w:val="18"/>
                <w:szCs w:val="18"/>
              </w:rPr>
            </w:r>
          </w:p>
        </w:tc>
      </w:tr>
      <w:tr>
        <w:trPr>
          <w:trHeight w:val="342" w:hRule="exact"/>
        </w:trPr>
        <w:tc>
          <w:tcPr>
            <w:tcW w:w="3262"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1"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5"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3,367,610.28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9,877,641.94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8,433,172.53</w:t>
            </w: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440,472.28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1,283,162.72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395,493.74</w:t>
            </w: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pacing w:val="-1"/>
                <w:sz w:val="18"/>
              </w:rPr>
              <w:t>3,808,082.56</w:t>
            </w:r>
            <w:r>
              <w:rPr>
                <w:rFonts w:ascii="Times New Roman"/>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b/>
                <w:spacing w:val="-1"/>
                <w:sz w:val="18"/>
              </w:rPr>
              <w:t>11,160,804.66</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pacing w:val="-1"/>
                <w:sz w:val="18"/>
              </w:rPr>
              <w:t>8,828,666.27</w:t>
            </w:r>
            <w:r>
              <w:rPr>
                <w:rFonts w:ascii="Times New Roman"/>
                <w:spacing w:val="-1"/>
                <w:sz w:val="18"/>
              </w:rPr>
            </w: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1,200,462.80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2,498,559.42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49,542.84</w:t>
            </w:r>
          </w:p>
        </w:tc>
        <w:tc>
          <w:tcPr>
            <w:tcW w:w="12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2"/>
        <w:gridCol w:w="1700"/>
        <w:gridCol w:w="1417"/>
        <w:gridCol w:w="1700"/>
        <w:gridCol w:w="1201"/>
      </w:tblGrid>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1,200,462.80</w:t>
            </w:r>
            <w:r>
              <w:rPr>
                <w:rFonts w:ascii="Times New Roman"/>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2,498,559.42</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49,542.84</w:t>
            </w:r>
            <w:r>
              <w:rPr>
                <w:rFonts w:ascii="Times New Roman"/>
                <w:spacing w:val="-1"/>
                <w:sz w:val="18"/>
              </w:rPr>
            </w: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2,607,619.76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8,662,245.24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8,779,123.43</w:t>
            </w: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0" w:right="0"/>
              <w:jc w:val="left"/>
              <w:rPr>
                <w:rFonts w:ascii="宋体" w:hAnsi="宋体" w:cs="宋体" w:eastAsia="宋体" w:hint="default"/>
                <w:sz w:val="18"/>
                <w:szCs w:val="18"/>
              </w:rPr>
            </w:pPr>
            <w:r>
              <w:rPr>
                <w:rFonts w:ascii="宋体" w:hAnsi="宋体" w:cs="宋体" w:eastAsia="宋体" w:hint="default"/>
                <w:sz w:val="18"/>
                <w:szCs w:val="18"/>
              </w:rPr>
              <w:t>其中：少数股东权益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归属于母公司的所有制权益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2,607,619.76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8,662,245.24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8,779,123.43</w:t>
            </w: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1,392,208.19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4,624,772.73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2,458,154.56</w:t>
            </w: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0" w:right="0"/>
              <w:jc w:val="left"/>
              <w:rPr>
                <w:rFonts w:ascii="宋体" w:hAnsi="宋体" w:cs="宋体" w:eastAsia="宋体" w:hint="default"/>
                <w:sz w:val="18"/>
                <w:szCs w:val="18"/>
              </w:rPr>
            </w:pPr>
            <w:r>
              <w:rPr>
                <w:rFonts w:ascii="宋体" w:hAnsi="宋体" w:cs="宋体" w:eastAsia="宋体" w:hint="default"/>
                <w:sz w:val="18"/>
                <w:szCs w:val="18"/>
              </w:rPr>
              <w:t>其中：商誉</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2" w:right="0"/>
              <w:jc w:val="left"/>
              <w:rPr>
                <w:rFonts w:ascii="宋体" w:hAnsi="宋体" w:cs="宋体" w:eastAsia="宋体" w:hint="default"/>
                <w:sz w:val="18"/>
                <w:szCs w:val="18"/>
              </w:rPr>
            </w:pPr>
            <w:r>
              <w:rPr>
                <w:rFonts w:ascii="宋体" w:hAnsi="宋体" w:cs="宋体" w:eastAsia="宋体" w:hint="default"/>
                <w:sz w:val="18"/>
                <w:szCs w:val="18"/>
              </w:rPr>
              <w:t>未实现内部交易损益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b/>
                <w:bCs/>
                <w:sz w:val="18"/>
                <w:szCs w:val="18"/>
              </w:rPr>
              <w:t>对联营企业权益投资的账面价值</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1,392,376.41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4,624,940.96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2,458,154.56</w:t>
            </w: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存在公开报价的权益投资的公允价值</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635,732.81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1,609,752.11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703,494.89</w:t>
            </w: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-6,054,625.48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-2,275,105.18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-3,042,876.57</w:t>
            </w: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-6,054,625.48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-2,275,105.18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-3,042,876.57</w:t>
            </w:r>
          </w:p>
        </w:tc>
        <w:tc>
          <w:tcPr>
            <w:tcW w:w="12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企业本期收到的来自联营企业的股利</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7"/>
          <w:szCs w:val="7"/>
        </w:rPr>
      </w:pPr>
    </w:p>
    <w:p>
      <w:pPr>
        <w:pStyle w:val="BodyText"/>
        <w:spacing w:line="240" w:lineRule="auto" w:before="35"/>
        <w:ind w:left="574" w:right="132"/>
        <w:jc w:val="left"/>
      </w:pPr>
      <w:bookmarkStart w:name="（4）不重要的合营企业和联营企业的汇总财务信息" w:id="349"/>
      <w:bookmarkEnd w:id="349"/>
      <w:r>
        <w:rPr/>
      </w:r>
      <w:bookmarkStart w:name="（5）合营企业或联营企业向本公司转移资金的能力存在重大限制的说明" w:id="350"/>
      <w:bookmarkEnd w:id="350"/>
      <w:r>
        <w:rPr/>
      </w:r>
      <w:r>
        <w:rPr/>
        <w:t>说明：</w:t>
      </w:r>
    </w:p>
    <w:p>
      <w:pPr>
        <w:spacing w:line="240" w:lineRule="auto" w:before="4"/>
        <w:rPr>
          <w:rFonts w:ascii="宋体" w:hAnsi="宋体" w:cs="宋体" w:eastAsia="宋体" w:hint="default"/>
          <w:sz w:val="25"/>
          <w:szCs w:val="25"/>
        </w:rPr>
      </w:pPr>
    </w:p>
    <w:p>
      <w:pPr>
        <w:pStyle w:val="BodyText"/>
        <w:spacing w:line="240" w:lineRule="auto"/>
        <w:ind w:left="634" w:right="132"/>
        <w:jc w:val="left"/>
      </w:pPr>
      <w:r>
        <w:rPr>
          <w:rFonts w:ascii="宋体" w:hAnsi="宋体" w:cs="宋体" w:eastAsia="宋体" w:hint="default"/>
          <w:sz w:val="24"/>
          <w:szCs w:val="24"/>
        </w:rPr>
        <w:t>①</w:t>
      </w:r>
      <w:r>
        <w:rPr/>
        <w:t>本公司于</w:t>
      </w:r>
      <w:r>
        <w:rPr>
          <w:rFonts w:ascii="Times New Roman" w:hAnsi="Times New Roman" w:cs="Times New Roman" w:eastAsia="Times New Roman" w:hint="default"/>
        </w:rPr>
        <w:t>2013  </w:t>
      </w:r>
      <w:r>
        <w:rPr>
          <w:rFonts w:ascii="Times New Roman" w:hAnsi="Times New Roman" w:cs="Times New Roman" w:eastAsia="Times New Roman" w:hint="default"/>
          <w:spacing w:val="29"/>
        </w:rPr>
        <w:t> </w:t>
      </w:r>
      <w:r>
        <w:rPr/>
        <w:t>年</w:t>
      </w:r>
      <w:r>
        <w:rPr>
          <w:rFonts w:ascii="Times New Roman" w:hAnsi="Times New Roman" w:cs="Times New Roman" w:eastAsia="Times New Roman" w:hint="default"/>
        </w:rPr>
        <w:t>7</w:t>
      </w:r>
      <w:r>
        <w:rPr/>
        <w:t>月转让原持有的厦门服云信息科技有限公司（原名杭州创聚科技有限公司）部</w:t>
      </w:r>
    </w:p>
    <w:p>
      <w:pPr>
        <w:pStyle w:val="BodyText"/>
        <w:spacing w:line="309" w:lineRule="auto" w:before="187"/>
        <w:ind w:right="168" w:hanging="1"/>
        <w:jc w:val="left"/>
      </w:pPr>
      <w:r>
        <w:rPr/>
        <w:t>分股权，根据修订后的公司章程，不能再对该公司实施控制。，故自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日起，本公司不再将厦</w:t>
      </w:r>
      <w:r>
        <w:rPr>
          <w:spacing w:val="-35"/>
        </w:rPr>
        <w:t> </w:t>
      </w:r>
      <w:r>
        <w:rPr>
          <w:spacing w:val="-35"/>
        </w:rPr>
      </w:r>
      <w:r>
        <w:rPr/>
        <w:t>门服云信息科技有限公司纳入合并范围，上述上年发生额系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月发生额。</w:t>
      </w:r>
    </w:p>
    <w:p>
      <w:pPr>
        <w:pStyle w:val="BodyText"/>
        <w:spacing w:line="314" w:lineRule="auto" w:before="136"/>
        <w:ind w:right="98" w:firstLine="420"/>
        <w:jc w:val="both"/>
      </w:pPr>
      <w:r>
        <w:rPr/>
        <w:t>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月，本公司与北京陆桥质检科技有限公司</w:t>
      </w:r>
      <w:r>
        <w:rPr>
          <w:spacing w:val="-16"/>
        </w:rPr>
        <w:t> </w:t>
      </w:r>
      <w:r>
        <w:rPr/>
        <w:t>、涂阳纯共同出资成立北京万诚信用评价有限公</w:t>
      </w:r>
      <w:r>
        <w:rPr/>
        <w:t> 司，初始注册资本</w:t>
      </w:r>
      <w:r>
        <w:rPr>
          <w:rFonts w:ascii="Times New Roman" w:hAnsi="Times New Roman" w:cs="Times New Roman" w:eastAsia="Times New Roman" w:hint="default"/>
        </w:rPr>
        <w:t>500</w:t>
      </w:r>
      <w:r>
        <w:rPr/>
        <w:t>万元，本公司出资人民币 </w:t>
      </w:r>
      <w:r>
        <w:rPr>
          <w:rFonts w:ascii="Times New Roman" w:hAnsi="Times New Roman" w:cs="Times New Roman" w:eastAsia="Times New Roman" w:hint="default"/>
        </w:rPr>
        <w:t>500 </w:t>
      </w:r>
      <w:r>
        <w:rPr>
          <w:spacing w:val="-3"/>
        </w:rPr>
        <w:t>万元，占合资公司</w:t>
      </w:r>
      <w:r>
        <w:rPr>
          <w:spacing w:val="-21"/>
        </w:rPr>
        <w:t> </w:t>
      </w:r>
      <w:r>
        <w:rPr>
          <w:rFonts w:ascii="Times New Roman" w:hAnsi="Times New Roman" w:cs="Times New Roman" w:eastAsia="Times New Roman" w:hint="default"/>
          <w:spacing w:val="-3"/>
        </w:rPr>
        <w:t>35%</w:t>
      </w:r>
      <w:r>
        <w:rPr>
          <w:spacing w:val="-3"/>
        </w:rPr>
        <w:t>股权。</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月，北京中合</w:t>
      </w:r>
      <w:r>
        <w:rPr/>
        <w:t> 农投投资基金管理有限公司对北京万诚信用评价有限公司进行单方增资，增资完成后北京万诚信用评价有 限公司注册资本由</w:t>
      </w:r>
      <w:r>
        <w:rPr>
          <w:rFonts w:ascii="Times New Roman" w:hAnsi="Times New Roman" w:cs="Times New Roman" w:eastAsia="Times New Roman" w:hint="default"/>
        </w:rPr>
        <w:t>500</w:t>
      </w:r>
      <w:r>
        <w:rPr/>
        <w:t>万元变更为</w:t>
      </w:r>
      <w:r>
        <w:rPr>
          <w:rFonts w:ascii="Times New Roman" w:hAnsi="Times New Roman" w:cs="Times New Roman" w:eastAsia="Times New Roman" w:hint="default"/>
        </w:rPr>
        <w:t>625</w:t>
      </w:r>
      <w:r>
        <w:rPr/>
        <w:t>万元，本公司持股比例由</w:t>
      </w:r>
      <w:r>
        <w:rPr>
          <w:rFonts w:ascii="Times New Roman" w:hAnsi="Times New Roman" w:cs="Times New Roman" w:eastAsia="Times New Roman" w:hint="default"/>
        </w:rPr>
        <w:t>35%</w:t>
      </w:r>
      <w:r>
        <w:rPr/>
        <w:t>变更为</w:t>
      </w:r>
      <w:r>
        <w:rPr>
          <w:rFonts w:ascii="Times New Roman" w:hAnsi="Times New Roman" w:cs="Times New Roman" w:eastAsia="Times New Roman" w:hint="default"/>
        </w:rPr>
        <w:t>28%</w:t>
      </w:r>
      <w:r>
        <w:rPr/>
        <w:t>，本公司按所持股权比例计</w:t>
      </w:r>
      <w:r>
        <w:rPr>
          <w:spacing w:val="-70"/>
        </w:rPr>
        <w:t> </w:t>
      </w:r>
      <w:r>
        <w:rPr>
          <w:spacing w:val="-70"/>
        </w:rPr>
      </w:r>
      <w:r>
        <w:rPr/>
        <w:t>算应享有的份额，调整减少长期股权投资的账面价值</w:t>
      </w:r>
      <w:r>
        <w:rPr>
          <w:rFonts w:ascii="Times New Roman" w:hAnsi="Times New Roman" w:cs="Times New Roman" w:eastAsia="Times New Roman" w:hint="default"/>
        </w:rPr>
        <w:t>1,476,838.64</w:t>
      </w:r>
      <w:r>
        <w:rPr/>
        <w:t>元，同时计入资本公积（其他资本公积）</w:t>
      </w:r>
    </w:p>
    <w:p>
      <w:pPr>
        <w:spacing w:line="240" w:lineRule="auto" w:before="7"/>
        <w:rPr>
          <w:rFonts w:ascii="宋体" w:hAnsi="宋体" w:cs="宋体" w:eastAsia="宋体" w:hint="default"/>
          <w:sz w:val="21"/>
          <w:szCs w:val="21"/>
        </w:rPr>
      </w:pPr>
    </w:p>
    <w:p>
      <w:pPr>
        <w:pStyle w:val="Heading4"/>
        <w:spacing w:line="530" w:lineRule="auto"/>
        <w:ind w:left="574" w:right="5049"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）不重要的合营企业和联营企业的汇总财务信息</w:t>
      </w:r>
      <w:r>
        <w:rPr>
          <w:w w:val="99"/>
        </w:rPr>
        <w:t> </w:t>
      </w:r>
      <w:r>
        <w:rPr>
          <w:rFonts w:ascii="宋体" w:hAnsi="宋体" w:cs="宋体" w:eastAsia="宋体" w:hint="default"/>
          <w:b w:val="0"/>
          <w:bCs w:val="0"/>
        </w:rPr>
        <w:t>无。</w:t>
      </w:r>
    </w:p>
    <w:p>
      <w:pPr>
        <w:spacing w:line="530" w:lineRule="auto" w:before="115"/>
        <w:ind w:left="574" w:right="315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b/>
          <w:bCs/>
          <w:spacing w:val="1"/>
          <w:w w:val="99"/>
          <w:sz w:val="21"/>
          <w:szCs w:val="21"/>
        </w:rPr>
        <w:t> </w:t>
      </w:r>
      <w:r>
        <w:rPr>
          <w:rFonts w:ascii="宋体" w:hAnsi="宋体" w:cs="宋体" w:eastAsia="宋体" w:hint="default"/>
          <w:sz w:val="21"/>
          <w:szCs w:val="21"/>
        </w:rPr>
        <w:t>联营企业向本公司转移资金的能力不存在重大限制的情况。</w:t>
      </w:r>
    </w:p>
    <w:p>
      <w:pPr>
        <w:spacing w:after="0" w:line="530" w:lineRule="auto"/>
        <w:jc w:val="left"/>
        <w:rPr>
          <w:rFonts w:ascii="宋体" w:hAnsi="宋体" w:cs="宋体" w:eastAsia="宋体" w:hint="default"/>
          <w:sz w:val="21"/>
          <w:szCs w:val="21"/>
        </w:rPr>
        <w:sectPr>
          <w:pgSz w:w="11910" w:h="16840"/>
          <w:pgMar w:header="747" w:footer="980" w:top="1060" w:bottom="1180" w:left="980" w:right="960"/>
        </w:sectPr>
      </w:pPr>
    </w:p>
    <w:p>
      <w:pPr>
        <w:spacing w:line="240" w:lineRule="auto" w:before="10"/>
        <w:rPr>
          <w:rFonts w:ascii="宋体" w:hAnsi="宋体" w:cs="宋体" w:eastAsia="宋体" w:hint="default"/>
          <w:sz w:val="24"/>
          <w:szCs w:val="24"/>
        </w:rPr>
      </w:pPr>
    </w:p>
    <w:p>
      <w:pPr>
        <w:pStyle w:val="Heading4"/>
        <w:spacing w:line="530" w:lineRule="auto" w:before="35"/>
        <w:ind w:left="574" w:right="5872" w:hanging="420"/>
        <w:jc w:val="left"/>
        <w:rPr>
          <w:rFonts w:ascii="宋体" w:hAnsi="宋体" w:cs="宋体" w:eastAsia="宋体" w:hint="default"/>
          <w:b w:val="0"/>
          <w:bCs w:val="0"/>
        </w:rPr>
      </w:pPr>
      <w:r>
        <w:rPr/>
        <w:t>（</w:t>
      </w:r>
      <w:r>
        <w:rPr>
          <w:rFonts w:ascii="Times New Roman" w:hAnsi="Times New Roman" w:cs="Times New Roman" w:eastAsia="Times New Roman" w:hint="default"/>
        </w:rPr>
        <w:t>6</w:t>
      </w:r>
      <w:bookmarkStart w:name="（6）合营企业或联营企业发生的超额亏损" w:id="351"/>
      <w:bookmarkEnd w:id="351"/>
      <w:r>
        <w:rPr>
          <w:rFonts w:ascii="Times New Roman" w:hAnsi="Times New Roman" w:cs="Times New Roman" w:eastAsia="Times New Roman" w:hint="default"/>
        </w:rPr>
      </w:r>
      <w:r>
        <w:rPr/>
        <w:t>）合营企业或联营企业发生的超额亏损</w:t>
      </w:r>
      <w:r>
        <w:rPr>
          <w:spacing w:val="1"/>
          <w:w w:val="99"/>
        </w:rPr>
        <w:t> </w:t>
      </w:r>
      <w:r>
        <w:rPr>
          <w:rFonts w:ascii="宋体" w:hAnsi="宋体" w:cs="宋体" w:eastAsia="宋体" w:hint="default"/>
          <w:b w:val="0"/>
          <w:bCs w:val="0"/>
        </w:rPr>
        <w:t>无。</w:t>
      </w:r>
    </w:p>
    <w:p>
      <w:pPr>
        <w:pStyle w:val="Heading4"/>
        <w:spacing w:line="530" w:lineRule="auto" w:before="115"/>
        <w:ind w:left="574" w:right="6083" w:hanging="420"/>
        <w:jc w:val="left"/>
        <w:rPr>
          <w:rFonts w:ascii="宋体" w:hAnsi="宋体" w:cs="宋体" w:eastAsia="宋体" w:hint="default"/>
          <w:b w:val="0"/>
          <w:bCs w:val="0"/>
        </w:rPr>
      </w:pPr>
      <w:r>
        <w:rPr/>
        <w:t>（</w:t>
      </w:r>
      <w:r>
        <w:rPr>
          <w:rFonts w:ascii="Times New Roman" w:hAnsi="Times New Roman" w:cs="Times New Roman" w:eastAsia="Times New Roman" w:hint="default"/>
        </w:rPr>
        <w:t>7</w:t>
      </w:r>
      <w:r>
        <w:rPr/>
        <w:t>）与合营企</w:t>
      </w:r>
      <w:bookmarkStart w:name="（7）与合营企业投资相关的未确认承诺" w:id="352"/>
      <w:bookmarkEnd w:id="352"/>
      <w:r>
        <w:rPr/>
        <w:t>业投资相</w:t>
      </w:r>
      <w:r>
        <w:rPr/>
        <w:t>关的未确认承诺</w:t>
      </w:r>
      <w:r>
        <w:rPr>
          <w:w w:val="99"/>
        </w:rPr>
        <w:t> </w:t>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532" w:lineRule="auto"/>
        <w:ind w:left="574" w:right="5240" w:hanging="420"/>
        <w:jc w:val="left"/>
        <w:rPr>
          <w:rFonts w:ascii="宋体" w:hAnsi="宋体" w:cs="宋体" w:eastAsia="宋体" w:hint="default"/>
          <w:b w:val="0"/>
          <w:bCs w:val="0"/>
        </w:rPr>
      </w:pPr>
      <w:r>
        <w:rPr/>
        <w:t>（</w:t>
      </w:r>
      <w:r>
        <w:rPr>
          <w:rFonts w:ascii="Times New Roman" w:hAnsi="Times New Roman" w:cs="Times New Roman" w:eastAsia="Times New Roman" w:hint="default"/>
        </w:rPr>
        <w:t>8</w:t>
      </w:r>
      <w:r>
        <w:rPr/>
        <w:t>）与合营企业或联营企</w:t>
      </w:r>
      <w:bookmarkStart w:name="（8）与合营企业或联营企业投资相关的或有负债" w:id="353"/>
      <w:bookmarkEnd w:id="353"/>
      <w:r>
        <w:rPr/>
        <w:t>业投资相</w:t>
      </w:r>
      <w:r>
        <w:rPr/>
        <w:t>关的或有负债</w:t>
      </w:r>
      <w:r>
        <w:rPr>
          <w:spacing w:val="1"/>
          <w:w w:val="99"/>
        </w:rPr>
        <w:t> </w:t>
      </w:r>
      <w:r>
        <w:rPr>
          <w:rFonts w:ascii="宋体" w:hAnsi="宋体" w:cs="宋体" w:eastAsia="宋体" w:hint="default"/>
          <w:b w:val="0"/>
          <w:bCs w:val="0"/>
        </w:rPr>
        <w:t>无。</w:t>
      </w:r>
    </w:p>
    <w:p>
      <w:pPr>
        <w:pStyle w:val="Heading4"/>
        <w:spacing w:line="530" w:lineRule="auto" w:before="113"/>
        <w:ind w:left="574" w:right="7980" w:hanging="420"/>
        <w:jc w:val="left"/>
        <w:rPr>
          <w:rFonts w:ascii="宋体" w:hAnsi="宋体" w:cs="宋体" w:eastAsia="宋体" w:hint="default"/>
          <w:b w:val="0"/>
          <w:bCs w:val="0"/>
        </w:rPr>
      </w:pPr>
      <w:r>
        <w:rPr>
          <w:rFonts w:ascii="Times New Roman" w:hAnsi="Times New Roman" w:cs="Times New Roman" w:eastAsia="Times New Roman" w:hint="default"/>
        </w:rPr>
        <w:t>4</w:t>
      </w:r>
      <w:r>
        <w:rPr/>
        <w:t>、重要的共同经营</w:t>
      </w:r>
      <w:r>
        <w:rPr>
          <w:spacing w:val="1"/>
          <w:w w:val="99"/>
        </w:rPr>
        <w:t> </w:t>
      </w:r>
      <w:r>
        <w:rPr>
          <w:rFonts w:ascii="宋体" w:hAnsi="宋体" w:cs="宋体" w:eastAsia="宋体" w:hint="default"/>
          <w:b w:val="0"/>
          <w:bCs w:val="0"/>
        </w:rPr>
        <w:t>无。</w:t>
      </w:r>
    </w:p>
    <w:p>
      <w:pPr>
        <w:pStyle w:val="Heading4"/>
        <w:spacing w:line="530" w:lineRule="auto" w:before="115"/>
        <w:ind w:left="574" w:right="4818" w:hanging="420"/>
        <w:jc w:val="left"/>
        <w:rPr>
          <w:rFonts w:ascii="宋体" w:hAnsi="宋体" w:cs="宋体" w:eastAsia="宋体" w:hint="default"/>
          <w:b w:val="0"/>
          <w:bCs w:val="0"/>
        </w:rPr>
      </w:pPr>
      <w:r>
        <w:rPr>
          <w:rFonts w:ascii="Times New Roman" w:hAnsi="Times New Roman" w:cs="Times New Roman" w:eastAsia="Times New Roman" w:hint="default"/>
        </w:rPr>
        <w:t>5</w:t>
      </w:r>
      <w:r>
        <w:rPr/>
        <w:t>、在未纳入合并财务报表范围的结构</w:t>
      </w:r>
      <w:bookmarkStart w:name="4、重要的共同经营" w:id="354"/>
      <w:bookmarkEnd w:id="354"/>
      <w:r>
        <w:rPr/>
        <w:t>化主体中</w:t>
      </w:r>
      <w:r>
        <w:rPr/>
        <w:t>的权益</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74" w:right="0"/>
        <w:jc w:val="left"/>
      </w:pPr>
      <w:r>
        <w:rPr/>
        <w:t>无。</w:t>
      </w:r>
    </w:p>
    <w:p>
      <w:pPr>
        <w:spacing w:line="240" w:lineRule="auto" w:before="6"/>
        <w:rPr>
          <w:rFonts w:ascii="宋体" w:hAnsi="宋体" w:cs="宋体" w:eastAsia="宋体" w:hint="default"/>
          <w:sz w:val="26"/>
          <w:szCs w:val="26"/>
        </w:rPr>
      </w:pPr>
    </w:p>
    <w:p>
      <w:pPr>
        <w:pStyle w:val="Heading2"/>
        <w:spacing w:line="240" w:lineRule="auto"/>
        <w:ind w:right="0"/>
        <w:jc w:val="left"/>
        <w:rPr>
          <w:b w:val="0"/>
          <w:bCs w:val="0"/>
        </w:rPr>
      </w:pPr>
      <w:r>
        <w:rPr/>
        <w:t>十、与金融工具相关的风险</w:t>
      </w:r>
      <w:r>
        <w:rPr>
          <w:b w:val="0"/>
          <w:bCs w:val="0"/>
        </w:rPr>
      </w:r>
    </w:p>
    <w:p>
      <w:pPr>
        <w:spacing w:line="240" w:lineRule="auto" w:before="0"/>
        <w:rPr>
          <w:rFonts w:ascii="宋体" w:hAnsi="宋体" w:cs="宋体" w:eastAsia="宋体" w:hint="default"/>
          <w:b/>
          <w:bCs/>
          <w:sz w:val="27"/>
          <w:szCs w:val="27"/>
        </w:rPr>
      </w:pPr>
    </w:p>
    <w:p>
      <w:pPr>
        <w:pStyle w:val="BodyText"/>
        <w:spacing w:line="326" w:lineRule="auto"/>
        <w:ind w:right="152" w:firstLine="420"/>
        <w:jc w:val="both"/>
      </w:pPr>
      <w:r>
        <w:rPr>
          <w:spacing w:val="-1"/>
        </w:rPr>
        <w:t>本集团各项金融工具的详细情况已于相关附注内披露。</w:t>
      </w:r>
      <w:bookmarkStart w:name="5、在未纳入合并财务报表范围的结构化主体中的权益" w:id="355"/>
      <w:bookmarkEnd w:id="355"/>
      <w:r>
        <w:rPr>
          <w:spacing w:val="-1"/>
        </w:rPr>
      </w:r>
      <w:bookmarkStart w:name="6、其他" w:id="356"/>
      <w:bookmarkEnd w:id="356"/>
      <w:r>
        <w:rPr>
          <w:spacing w:val="-1"/>
        </w:rPr>
        <w:t>与这些金融工具有关的风险</w:t>
      </w:r>
      <w:r>
        <w:rPr>
          <w:spacing w:val="-1"/>
        </w:rPr>
        <w:t>，</w:t>
      </w:r>
      <w:bookmarkStart w:name="十、与金融工具相关的风险" w:id="357"/>
      <w:bookmarkEnd w:id="357"/>
      <w:r>
        <w:rPr>
          <w:spacing w:val="-1"/>
        </w:rPr>
        <w:t>以及本集团为降</w:t>
      </w:r>
      <w:r>
        <w:rPr/>
        <w:t> </w:t>
      </w:r>
      <w:r>
        <w:rPr>
          <w:spacing w:val="-1"/>
        </w:rPr>
        <w:t>低这些风险所采取的风险管理政策如下所述。本集团管理层对这些风险敞口进行管理和监控以确保将上述</w:t>
      </w:r>
      <w:r>
        <w:rPr>
          <w:spacing w:val="-81"/>
        </w:rPr>
        <w:t> </w:t>
      </w:r>
      <w:r>
        <w:rPr>
          <w:spacing w:val="-81"/>
        </w:rPr>
      </w:r>
      <w:r>
        <w:rPr/>
        <w:t>风险控制在限定的范围之内。</w:t>
      </w:r>
    </w:p>
    <w:p>
      <w:pPr>
        <w:pStyle w:val="BodyText"/>
        <w:spacing w:line="240" w:lineRule="auto" w:before="113"/>
        <w:ind w:right="0"/>
        <w:jc w:val="left"/>
      </w:pPr>
      <w:r>
        <w:rPr>
          <w:rFonts w:ascii="Times New Roman" w:hAnsi="Times New Roman" w:cs="Times New Roman" w:eastAsia="Times New Roman" w:hint="default"/>
        </w:rPr>
        <w:t>1</w:t>
      </w:r>
      <w:r>
        <w:rPr/>
        <w:t>、风险管理目标和政策</w:t>
      </w:r>
    </w:p>
    <w:p>
      <w:pPr>
        <w:spacing w:line="240" w:lineRule="auto" w:before="7"/>
        <w:rPr>
          <w:rFonts w:ascii="宋体" w:hAnsi="宋体" w:cs="宋体" w:eastAsia="宋体" w:hint="default"/>
          <w:sz w:val="20"/>
          <w:szCs w:val="20"/>
        </w:rPr>
      </w:pPr>
    </w:p>
    <w:p>
      <w:pPr>
        <w:pStyle w:val="BodyText"/>
        <w:spacing w:line="326" w:lineRule="auto"/>
        <w:ind w:left="153" w:right="152" w:firstLine="420"/>
        <w:jc w:val="both"/>
      </w:pPr>
      <w:r>
        <w:rPr>
          <w:spacing w:val="-1"/>
        </w:rPr>
        <w:t>本集团从事风险管理的目标是在风险和收益之间取得适当的平衡，力求降低金融风险对本集团财务业</w:t>
      </w:r>
      <w:r>
        <w:rPr/>
        <w:t> </w:t>
      </w:r>
      <w:r>
        <w:rPr>
          <w:spacing w:val="-1"/>
        </w:rPr>
        <w:t>绩的不利影响。基于该风险管理目标，本集团已制定风险管理政策以辨别和分析本集团所面临的风险，设</w:t>
      </w:r>
      <w:r>
        <w:rPr>
          <w:spacing w:val="-83"/>
        </w:rPr>
        <w:t> </w:t>
      </w:r>
      <w:r>
        <w:rPr>
          <w:spacing w:val="-83"/>
        </w:rPr>
      </w:r>
      <w:r>
        <w:rPr>
          <w:spacing w:val="-1"/>
        </w:rPr>
        <w:t>定适当的风险可接受水平并设计相应的内部控制程序，以监控本集团的风险水平。本集团会定期审阅这些</w:t>
      </w:r>
      <w:r>
        <w:rPr>
          <w:spacing w:val="-81"/>
        </w:rPr>
        <w:t> </w:t>
      </w:r>
      <w:r>
        <w:rPr>
          <w:spacing w:val="-81"/>
        </w:rPr>
      </w:r>
      <w:r>
        <w:rPr>
          <w:spacing w:val="-1"/>
        </w:rPr>
        <w:t>风险管理政策及有关内部控制系统，以适应市场情况或本集团经营活动的改变。本集团的内部审计部门也</w:t>
      </w:r>
      <w:r>
        <w:rPr>
          <w:spacing w:val="-81"/>
        </w:rPr>
        <w:t> </w:t>
      </w:r>
      <w:r>
        <w:rPr>
          <w:spacing w:val="-81"/>
        </w:rPr>
      </w:r>
      <w:r>
        <w:rPr/>
        <w:t>定期或随机检查内部控制系统的执行是否符合风险管理政策。</w:t>
      </w:r>
    </w:p>
    <w:p>
      <w:pPr>
        <w:pStyle w:val="BodyText"/>
        <w:spacing w:line="326" w:lineRule="auto" w:before="144"/>
        <w:ind w:left="153" w:right="153" w:firstLine="420"/>
        <w:jc w:val="both"/>
      </w:pPr>
      <w:r>
        <w:rPr>
          <w:spacing w:val="-1"/>
        </w:rPr>
        <w:t>本集团的金融工具导致的主要风险是信用风险、流动性风险、市场风险（包括利率风险、汇率风险和</w:t>
      </w:r>
      <w:r>
        <w:rPr/>
        <w:t> 商品价格风险</w:t>
      </w:r>
      <w:r>
        <w:rPr>
          <w:rFonts w:ascii="Times New Roman" w:hAnsi="Times New Roman" w:cs="Times New Roman" w:eastAsia="Times New Roman" w:hint="default"/>
        </w:rPr>
        <w:t>/</w:t>
      </w:r>
      <w:r>
        <w:rPr/>
        <w:t>权益工具价格风险）。</w:t>
      </w:r>
    </w:p>
    <w:p>
      <w:pPr>
        <w:pStyle w:val="BodyText"/>
        <w:spacing w:line="240" w:lineRule="auto" w:before="120"/>
        <w:ind w:left="573" w:right="0"/>
        <w:jc w:val="left"/>
      </w:pPr>
      <w:r>
        <w:rPr/>
        <w:t>（</w:t>
      </w:r>
      <w:r>
        <w:rPr>
          <w:rFonts w:ascii="Times New Roman" w:hAnsi="Times New Roman" w:cs="Times New Roman" w:eastAsia="Times New Roman" w:hint="default"/>
        </w:rPr>
        <w:t>1</w:t>
      </w:r>
      <w:r>
        <w:rPr/>
        <w:t>）信用风险</w:t>
      </w:r>
    </w:p>
    <w:p>
      <w:pPr>
        <w:spacing w:after="0" w:line="240" w:lineRule="auto"/>
        <w:jc w:val="left"/>
        <w:sectPr>
          <w:pgSz w:w="11910" w:h="16840"/>
          <w:pgMar w:header="747" w:footer="980" w:top="1060" w:bottom="1180" w:left="980" w:right="980"/>
        </w:sectPr>
      </w:pPr>
    </w:p>
    <w:p>
      <w:pPr>
        <w:spacing w:line="240" w:lineRule="auto" w:before="1"/>
        <w:rPr>
          <w:rFonts w:ascii="宋体" w:hAnsi="宋体" w:cs="宋体" w:eastAsia="宋体" w:hint="default"/>
          <w:sz w:val="27"/>
          <w:szCs w:val="27"/>
        </w:rPr>
      </w:pPr>
    </w:p>
    <w:p>
      <w:pPr>
        <w:pStyle w:val="BodyText"/>
        <w:spacing w:line="240" w:lineRule="auto" w:before="35"/>
        <w:ind w:left="574" w:right="252"/>
        <w:jc w:val="left"/>
      </w:pPr>
      <w:r>
        <w:rPr/>
        <w:t>信用风险，是指交易对手方未能履行合同义务而导致本集团产生财务损失的风险。</w:t>
      </w:r>
    </w:p>
    <w:p>
      <w:pPr>
        <w:pStyle w:val="BodyText"/>
        <w:spacing w:line="490" w:lineRule="atLeast" w:before="4"/>
        <w:ind w:left="574" w:right="252"/>
        <w:jc w:val="left"/>
      </w:pPr>
      <w:r>
        <w:rPr/>
        <w:t>本集团对信用风险按组合分类进行管理。信用风险主要产生于银行存款和应收款项等。 </w:t>
      </w:r>
      <w:r>
        <w:rPr>
          <w:spacing w:val="-1"/>
        </w:rPr>
        <w:t>本集团银行存款主要存放于国有银行和其它大中型上市银行，本集团预期银行存款不存在重大的信用</w:t>
      </w:r>
    </w:p>
    <w:p>
      <w:pPr>
        <w:pStyle w:val="BodyText"/>
        <w:spacing w:line="240" w:lineRule="auto" w:before="99"/>
        <w:ind w:right="252"/>
        <w:jc w:val="left"/>
      </w:pPr>
      <w:r>
        <w:rPr/>
        <w:t>风险。</w:t>
      </w:r>
    </w:p>
    <w:p>
      <w:pPr>
        <w:spacing w:line="240" w:lineRule="auto" w:before="10"/>
        <w:rPr>
          <w:rFonts w:ascii="宋体" w:hAnsi="宋体" w:cs="宋体" w:eastAsia="宋体" w:hint="default"/>
          <w:sz w:val="16"/>
          <w:szCs w:val="16"/>
        </w:rPr>
      </w:pPr>
    </w:p>
    <w:p>
      <w:pPr>
        <w:pStyle w:val="BodyText"/>
        <w:spacing w:line="326" w:lineRule="auto"/>
        <w:ind w:right="291" w:firstLine="420"/>
        <w:jc w:val="both"/>
      </w:pPr>
      <w:r>
        <w:rPr>
          <w:spacing w:val="-1"/>
        </w:rPr>
        <w:t>对于应收款项，本集团设定相关政策以控制信用风险敞口。本集团基于对债务人的财务状况、外部评</w:t>
      </w:r>
      <w:r>
        <w:rPr/>
        <w:t> </w:t>
      </w:r>
      <w:r>
        <w:rPr>
          <w:spacing w:val="-1"/>
        </w:rPr>
        <w:t>级、从第三方获取担保的可能性、信用记录及其它因素诸如目前市场状况等评估债务人的信用资质并设置</w:t>
      </w:r>
      <w:r>
        <w:rPr>
          <w:spacing w:val="-81"/>
        </w:rPr>
        <w:t> </w:t>
      </w:r>
      <w:r>
        <w:rPr>
          <w:spacing w:val="-81"/>
        </w:rPr>
      </w:r>
      <w:r>
        <w:rPr>
          <w:spacing w:val="-1"/>
        </w:rPr>
        <w:t>相应欠款额度与信用期限。本集团会定期对债务人信用记录进行监控，对于信用记录不良的债务人，本集</w:t>
      </w:r>
      <w:r>
        <w:rPr>
          <w:spacing w:val="-83"/>
        </w:rPr>
        <w:t> </w:t>
      </w:r>
      <w:r>
        <w:rPr>
          <w:spacing w:val="-83"/>
        </w:rPr>
      </w:r>
      <w:r>
        <w:rPr/>
        <w:t>团会采用书面催款、缩短信用期或取消信用期等方式，以确保本集团的整体信用风险在可控的范围内。</w:t>
      </w:r>
    </w:p>
    <w:p>
      <w:pPr>
        <w:pStyle w:val="BodyText"/>
        <w:spacing w:line="326" w:lineRule="auto" w:before="144"/>
        <w:ind w:right="292" w:firstLine="420"/>
        <w:jc w:val="both"/>
      </w:pPr>
      <w:r>
        <w:rPr>
          <w:spacing w:val="-1"/>
        </w:rPr>
        <w:t>本集团所承受的最大信用风险敞口为资产负债表中每项金融资产的账面金额。本集团没有提供任何其</w:t>
      </w:r>
      <w:r>
        <w:rPr/>
        <w:t> 他可能令本集团承受信用风险的担保。</w:t>
      </w:r>
    </w:p>
    <w:p>
      <w:pPr>
        <w:pStyle w:val="BodyText"/>
        <w:spacing w:line="240" w:lineRule="auto" w:before="144"/>
        <w:ind w:left="574" w:right="252"/>
        <w:jc w:val="left"/>
      </w:pPr>
      <w:r>
        <w:rPr>
          <w:spacing w:val="7"/>
        </w:rPr>
        <w:t>本集团应收账款中，欠款金额前五大客户的应收账款占本集团应收账款总额的</w:t>
      </w:r>
      <w:r>
        <w:rPr>
          <w:rFonts w:ascii="Times New Roman" w:hAnsi="Times New Roman" w:cs="Times New Roman" w:eastAsia="Times New Roman" w:hint="default"/>
          <w:spacing w:val="7"/>
        </w:rPr>
        <w:t>27.62%</w:t>
      </w:r>
      <w:r>
        <w:rPr>
          <w:spacing w:val="7"/>
        </w:rPr>
        <w:t>（</w:t>
      </w:r>
      <w:r>
        <w:rPr>
          <w:rFonts w:ascii="Times New Roman" w:hAnsi="Times New Roman" w:cs="Times New Roman" w:eastAsia="Times New Roman" w:hint="default"/>
          <w:spacing w:val="7"/>
        </w:rPr>
        <w:t>2013</w:t>
      </w:r>
      <w:r>
        <w:rPr>
          <w:spacing w:val="7"/>
        </w:rPr>
        <w:t>年：</w:t>
      </w:r>
      <w:r>
        <w:rPr/>
      </w:r>
    </w:p>
    <w:p>
      <w:pPr>
        <w:pStyle w:val="BodyText"/>
        <w:spacing w:line="240" w:lineRule="auto" w:before="83"/>
        <w:ind w:right="252"/>
        <w:jc w:val="left"/>
        <w:rPr>
          <w:rFonts w:ascii="Times New Roman" w:hAnsi="Times New Roman" w:cs="Times New Roman" w:eastAsia="Times New Roman" w:hint="default"/>
        </w:rPr>
      </w:pPr>
      <w:r>
        <w:rPr>
          <w:rFonts w:ascii="Times New Roman" w:hAnsi="Times New Roman" w:cs="Times New Roman" w:eastAsia="Times New Roman" w:hint="default"/>
          <w:spacing w:val="2"/>
        </w:rPr>
        <w:t>22.69%</w:t>
      </w:r>
      <w:r>
        <w:rPr>
          <w:spacing w:val="2"/>
        </w:rPr>
        <w:t>）；本集团其他应收款中，欠款金额前五大公司的其他应收款占本集团其他应收款总额的</w:t>
      </w:r>
      <w:r>
        <w:rPr>
          <w:rFonts w:ascii="Times New Roman" w:hAnsi="Times New Roman" w:cs="Times New Roman" w:eastAsia="Times New Roman" w:hint="default"/>
          <w:spacing w:val="2"/>
        </w:rPr>
        <w:t>32.42%</w:t>
      </w:r>
    </w:p>
    <w:p>
      <w:pPr>
        <w:pStyle w:val="BodyText"/>
        <w:spacing w:line="240" w:lineRule="auto" w:before="83"/>
        <w:ind w:right="252"/>
        <w:jc w:val="left"/>
      </w:pP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44.45%</w:t>
      </w:r>
      <w:r>
        <w:rPr/>
        <w:t>）。</w:t>
      </w:r>
    </w:p>
    <w:p>
      <w:pPr>
        <w:spacing w:line="240" w:lineRule="auto" w:before="7"/>
        <w:rPr>
          <w:rFonts w:ascii="宋体" w:hAnsi="宋体" w:cs="宋体" w:eastAsia="宋体" w:hint="default"/>
          <w:sz w:val="15"/>
          <w:szCs w:val="15"/>
        </w:rPr>
      </w:pPr>
    </w:p>
    <w:p>
      <w:pPr>
        <w:pStyle w:val="BodyText"/>
        <w:spacing w:line="408" w:lineRule="auto"/>
        <w:ind w:left="574" w:right="252"/>
        <w:jc w:val="left"/>
      </w:pPr>
      <w:r>
        <w:rPr/>
        <w:t>（</w:t>
      </w:r>
      <w:r>
        <w:rPr>
          <w:rFonts w:ascii="Times New Roman" w:hAnsi="Times New Roman" w:cs="Times New Roman" w:eastAsia="Times New Roman" w:hint="default"/>
        </w:rPr>
        <w:t>2</w:t>
      </w:r>
      <w:r>
        <w:rPr/>
        <w:t>）流动性风险 </w:t>
      </w:r>
      <w:r>
        <w:rPr>
          <w:spacing w:val="3"/>
        </w:rPr>
        <w:t>流动性风险，是指本集团在履行以交付现金或其他金融资产的方式结算的义务时发生资金短缺的风</w:t>
      </w:r>
    </w:p>
    <w:p>
      <w:pPr>
        <w:pStyle w:val="BodyText"/>
        <w:spacing w:line="227" w:lineRule="exact"/>
        <w:ind w:right="252"/>
        <w:jc w:val="left"/>
      </w:pPr>
      <w:r>
        <w:rPr/>
        <w:t>险。</w:t>
      </w:r>
    </w:p>
    <w:p>
      <w:pPr>
        <w:spacing w:line="240" w:lineRule="auto" w:before="10"/>
        <w:rPr>
          <w:rFonts w:ascii="宋体" w:hAnsi="宋体" w:cs="宋体" w:eastAsia="宋体" w:hint="default"/>
          <w:sz w:val="16"/>
          <w:szCs w:val="16"/>
        </w:rPr>
      </w:pPr>
    </w:p>
    <w:p>
      <w:pPr>
        <w:pStyle w:val="BodyText"/>
        <w:spacing w:line="326" w:lineRule="auto"/>
        <w:ind w:right="291" w:firstLine="420"/>
        <w:jc w:val="both"/>
      </w:pPr>
      <w:r>
        <w:rPr>
          <w:spacing w:val="-1"/>
        </w:rPr>
        <w:t>管理流动风险时，本集团保持管理层认为充分的现金及现金等价物，并对其进行监控，以满足本集团</w:t>
      </w:r>
      <w:r>
        <w:rPr/>
        <w:t> </w:t>
      </w:r>
      <w:r>
        <w:rPr>
          <w:spacing w:val="-1"/>
        </w:rPr>
        <w:t>经营需要，并降低现金流量波动的影响。本集团管理层对银行借款的使用情况进行监控并确保遵守借款协</w:t>
      </w:r>
      <w:r>
        <w:rPr>
          <w:spacing w:val="-81"/>
        </w:rPr>
        <w:t> </w:t>
      </w:r>
      <w:r>
        <w:rPr>
          <w:spacing w:val="-81"/>
        </w:rPr>
      </w:r>
      <w:r>
        <w:rPr/>
        <w:t>议。同时从主要金融机构获得提供足够备用资金的承诺，以满足短期和长期的资金需求。</w:t>
      </w:r>
    </w:p>
    <w:p>
      <w:pPr>
        <w:pStyle w:val="BodyText"/>
        <w:spacing w:line="240" w:lineRule="auto" w:before="144"/>
        <w:ind w:left="574" w:right="252"/>
        <w:jc w:val="left"/>
      </w:pPr>
      <w:r>
        <w:rPr/>
        <w:t>本集团通过经营业务产生的资金来筹措营运资金。</w:t>
      </w:r>
    </w:p>
    <w:p>
      <w:pPr>
        <w:spacing w:line="240" w:lineRule="auto" w:before="10"/>
        <w:rPr>
          <w:rFonts w:ascii="宋体" w:hAnsi="宋体" w:cs="宋体" w:eastAsia="宋体" w:hint="default"/>
          <w:sz w:val="16"/>
          <w:szCs w:val="16"/>
        </w:rPr>
      </w:pPr>
    </w:p>
    <w:p>
      <w:pPr>
        <w:pStyle w:val="BodyText"/>
        <w:spacing w:line="326" w:lineRule="auto"/>
        <w:ind w:right="270" w:firstLine="420"/>
        <w:jc w:val="both"/>
      </w:pPr>
      <w:r>
        <w:rPr/>
        <w:t>期末本集团持有的金融负债和表外担保项目按未折现剩余合同现金流量的到期期限分析如下（单位： 人民币元）：</w:t>
      </w:r>
    </w:p>
    <w:p>
      <w:pPr>
        <w:spacing w:line="240" w:lineRule="auto" w:before="10"/>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3316"/>
        <w:gridCol w:w="1094"/>
        <w:gridCol w:w="1452"/>
        <w:gridCol w:w="1450"/>
        <w:gridCol w:w="1183"/>
        <w:gridCol w:w="1318"/>
      </w:tblGrid>
      <w:tr>
        <w:trPr>
          <w:trHeight w:val="419" w:hRule="exact"/>
        </w:trPr>
        <w:tc>
          <w:tcPr>
            <w:tcW w:w="3316" w:type="dxa"/>
            <w:vMerge w:val="restart"/>
            <w:tcBorders>
              <w:top w:val="single" w:sz="12" w:space="0" w:color="000000"/>
              <w:left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6497" w:type="dxa"/>
            <w:gridSpan w:val="5"/>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412" w:hRule="exact"/>
        </w:trPr>
        <w:tc>
          <w:tcPr>
            <w:tcW w:w="3316" w:type="dxa"/>
            <w:vMerge/>
            <w:tcBorders>
              <w:left w:val="single" w:sz="12"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sz w:val="18"/>
                <w:szCs w:val="18"/>
              </w:rPr>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b/>
                <w:bCs/>
                <w:sz w:val="18"/>
                <w:szCs w:val="18"/>
              </w:rPr>
              <w:t>一至二年以内</w:t>
            </w:r>
            <w:r>
              <w:rPr>
                <w:rFonts w:ascii="宋体" w:hAnsi="宋体" w:cs="宋体" w:eastAsia="宋体" w:hint="default"/>
                <w:sz w:val="18"/>
                <w:szCs w:val="18"/>
              </w:rPr>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hAnsi="宋体" w:cs="宋体" w:eastAsia="宋体" w:hint="default"/>
                <w:b/>
                <w:bCs/>
                <w:sz w:val="18"/>
                <w:szCs w:val="18"/>
              </w:rPr>
              <w:t>二至三年以内</w:t>
            </w:r>
            <w:r>
              <w:rPr>
                <w:rFonts w:ascii="宋体" w:hAnsi="宋体" w:cs="宋体" w:eastAsia="宋体" w:hint="default"/>
                <w:sz w:val="18"/>
                <w:szCs w:val="18"/>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hAnsi="宋体" w:cs="宋体" w:eastAsia="宋体" w:hint="default"/>
                <w:b/>
                <w:bCs/>
                <w:w w:val="95"/>
                <w:sz w:val="18"/>
                <w:szCs w:val="18"/>
              </w:rPr>
              <w:t>三年以上</w:t>
            </w:r>
            <w:r>
              <w:rPr>
                <w:rFonts w:ascii="宋体" w:hAnsi="宋体" w:cs="宋体" w:eastAsia="宋体" w:hint="default"/>
                <w:sz w:val="18"/>
                <w:szCs w:val="18"/>
              </w:rPr>
            </w:r>
          </w:p>
        </w:tc>
        <w:tc>
          <w:tcPr>
            <w:tcW w:w="13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380"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412" w:hRule="exact"/>
        </w:trPr>
        <w:tc>
          <w:tcPr>
            <w:tcW w:w="33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left="15"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94"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3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left="15" w:right="0"/>
              <w:jc w:val="left"/>
              <w:rPr>
                <w:rFonts w:ascii="宋体" w:hAnsi="宋体" w:cs="宋体" w:eastAsia="宋体" w:hint="default"/>
                <w:sz w:val="18"/>
                <w:szCs w:val="18"/>
              </w:rPr>
            </w:pPr>
            <w:r>
              <w:rPr>
                <w:rFonts w:ascii="宋体" w:hAnsi="宋体" w:cs="宋体" w:eastAsia="宋体" w:hint="default"/>
                <w:spacing w:val="-13"/>
                <w:sz w:val="18"/>
                <w:szCs w:val="18"/>
              </w:rPr>
              <w:t>应付账款</w:t>
            </w:r>
            <w:r>
              <w:rPr>
                <w:rFonts w:ascii="宋体" w:hAnsi="宋体" w:cs="宋体" w:eastAsia="宋体" w:hint="default"/>
                <w:sz w:val="18"/>
                <w:szCs w:val="18"/>
              </w:rPr>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63,720,141.81</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3,521,377.02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67,241,518.83</w:t>
            </w:r>
          </w:p>
        </w:tc>
      </w:tr>
      <w:tr>
        <w:trPr>
          <w:trHeight w:val="412" w:hRule="exact"/>
        </w:trPr>
        <w:tc>
          <w:tcPr>
            <w:tcW w:w="33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13,549,363.84</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5,199,816.05</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18,749,179.89</w:t>
            </w:r>
          </w:p>
        </w:tc>
      </w:tr>
      <w:tr>
        <w:trPr>
          <w:trHeight w:val="419" w:hRule="exact"/>
        </w:trPr>
        <w:tc>
          <w:tcPr>
            <w:tcW w:w="33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5"/>
              <w:ind w:left="15" w:right="0"/>
              <w:jc w:val="left"/>
              <w:rPr>
                <w:rFonts w:ascii="宋体" w:hAnsi="宋体" w:cs="宋体" w:eastAsia="宋体" w:hint="default"/>
                <w:sz w:val="18"/>
                <w:szCs w:val="18"/>
              </w:rPr>
            </w:pPr>
            <w:r>
              <w:rPr>
                <w:rFonts w:ascii="宋体" w:hAnsi="宋体" w:cs="宋体" w:eastAsia="宋体" w:hint="default"/>
                <w:b/>
                <w:bCs/>
                <w:sz w:val="18"/>
                <w:szCs w:val="18"/>
              </w:rPr>
              <w:t>金融负债和或有负债合计</w:t>
            </w:r>
            <w:r>
              <w:rPr>
                <w:rFonts w:ascii="宋体" w:hAnsi="宋体" w:cs="宋体" w:eastAsia="宋体" w:hint="default"/>
                <w:sz w:val="18"/>
                <w:szCs w:val="18"/>
              </w:rPr>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77,269,505.65</w:t>
            </w:r>
          </w:p>
        </w:tc>
        <w:tc>
          <w:tcPr>
            <w:tcW w:w="14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8,721,193.07</w:t>
            </w:r>
          </w:p>
        </w:tc>
        <w:tc>
          <w:tcPr>
            <w:tcW w:w="14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85,990,698.72</w:t>
            </w:r>
          </w:p>
        </w:tc>
      </w:tr>
    </w:tbl>
    <w:p>
      <w:pPr>
        <w:spacing w:line="240" w:lineRule="auto" w:before="10"/>
        <w:rPr>
          <w:rFonts w:ascii="宋体" w:hAnsi="宋体" w:cs="宋体" w:eastAsia="宋体" w:hint="default"/>
          <w:sz w:val="7"/>
          <w:szCs w:val="7"/>
        </w:rPr>
      </w:pPr>
    </w:p>
    <w:p>
      <w:pPr>
        <w:pStyle w:val="BodyText"/>
        <w:spacing w:line="326" w:lineRule="auto" w:before="35"/>
        <w:ind w:right="252" w:firstLine="420"/>
        <w:jc w:val="left"/>
      </w:pPr>
      <w:r>
        <w:rPr/>
        <w:t>期初本集团持有的金融负债和表外担保项目按未折现剩余合同现金流量的到期期限分析如下（单位： 人民币元）：</w:t>
      </w:r>
    </w:p>
    <w:p>
      <w:pPr>
        <w:spacing w:line="240" w:lineRule="auto" w:before="10"/>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3321"/>
        <w:gridCol w:w="1187"/>
        <w:gridCol w:w="1457"/>
        <w:gridCol w:w="1228"/>
        <w:gridCol w:w="1188"/>
        <w:gridCol w:w="1318"/>
      </w:tblGrid>
      <w:tr>
        <w:trPr>
          <w:trHeight w:val="419" w:hRule="exact"/>
        </w:trPr>
        <w:tc>
          <w:tcPr>
            <w:tcW w:w="3321" w:type="dxa"/>
            <w:vMerge w:val="restart"/>
            <w:tcBorders>
              <w:top w:val="single" w:sz="12" w:space="0" w:color="000000"/>
              <w:left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6377" w:type="dxa"/>
            <w:gridSpan w:val="5"/>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21" w:hRule="exact"/>
        </w:trPr>
        <w:tc>
          <w:tcPr>
            <w:tcW w:w="3321" w:type="dxa"/>
            <w:vMerge/>
            <w:tcBorders>
              <w:left w:val="single" w:sz="12" w:space="0" w:color="000000"/>
              <w:bottom w:val="single" w:sz="12" w:space="0" w:color="000000"/>
              <w:right w:val="single" w:sz="6" w:space="0" w:color="000000"/>
            </w:tcBorders>
          </w:tcPr>
          <w:p>
            <w:pPr/>
          </w:p>
        </w:tc>
        <w:tc>
          <w:tcPr>
            <w:tcW w:w="11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24" w:right="0"/>
              <w:jc w:val="left"/>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sz w:val="18"/>
                <w:szCs w:val="18"/>
              </w:rPr>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178" w:right="0"/>
              <w:jc w:val="left"/>
              <w:rPr>
                <w:rFonts w:ascii="宋体" w:hAnsi="宋体" w:cs="宋体" w:eastAsia="宋体" w:hint="default"/>
                <w:sz w:val="18"/>
                <w:szCs w:val="18"/>
              </w:rPr>
            </w:pPr>
            <w:r>
              <w:rPr>
                <w:rFonts w:ascii="宋体" w:hAnsi="宋体" w:cs="宋体" w:eastAsia="宋体" w:hint="default"/>
                <w:b/>
                <w:bCs/>
                <w:sz w:val="18"/>
                <w:szCs w:val="18"/>
              </w:rPr>
              <w:t>一至二年以内</w:t>
            </w:r>
            <w:r>
              <w:rPr>
                <w:rFonts w:ascii="宋体" w:hAnsi="宋体" w:cs="宋体" w:eastAsia="宋体" w:hint="default"/>
                <w:sz w:val="18"/>
                <w:szCs w:val="18"/>
              </w:rPr>
            </w:r>
          </w:p>
        </w:tc>
        <w:tc>
          <w:tcPr>
            <w:tcW w:w="12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64" w:right="0"/>
              <w:jc w:val="left"/>
              <w:rPr>
                <w:rFonts w:ascii="宋体" w:hAnsi="宋体" w:cs="宋体" w:eastAsia="宋体" w:hint="default"/>
                <w:sz w:val="18"/>
                <w:szCs w:val="18"/>
              </w:rPr>
            </w:pPr>
            <w:r>
              <w:rPr>
                <w:rFonts w:ascii="宋体" w:hAnsi="宋体" w:cs="宋体" w:eastAsia="宋体" w:hint="default"/>
                <w:b/>
                <w:bCs/>
                <w:sz w:val="18"/>
                <w:szCs w:val="18"/>
              </w:rPr>
              <w:t>二至三年以内</w:t>
            </w:r>
            <w:r>
              <w:rPr>
                <w:rFonts w:ascii="宋体" w:hAnsi="宋体" w:cs="宋体" w:eastAsia="宋体" w:hint="default"/>
                <w:sz w:val="18"/>
                <w:szCs w:val="18"/>
              </w:rPr>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24" w:right="0"/>
              <w:jc w:val="left"/>
              <w:rPr>
                <w:rFonts w:ascii="宋体" w:hAnsi="宋体" w:cs="宋体" w:eastAsia="宋体" w:hint="default"/>
                <w:sz w:val="18"/>
                <w:szCs w:val="18"/>
              </w:rPr>
            </w:pPr>
            <w:r>
              <w:rPr>
                <w:rFonts w:ascii="宋体" w:hAnsi="宋体" w:cs="宋体" w:eastAsia="宋体" w:hint="default"/>
                <w:b/>
                <w:bCs/>
                <w:sz w:val="18"/>
                <w:szCs w:val="18"/>
              </w:rPr>
              <w:t>三年以上</w:t>
            </w:r>
            <w:r>
              <w:rPr>
                <w:rFonts w:ascii="宋体" w:hAnsi="宋体" w:cs="宋体" w:eastAsia="宋体" w:hint="default"/>
                <w:sz w:val="18"/>
                <w:szCs w:val="18"/>
              </w:rPr>
            </w:r>
          </w:p>
        </w:tc>
        <w:tc>
          <w:tcPr>
            <w:tcW w:w="13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left="379"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84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3321"/>
        <w:gridCol w:w="1187"/>
        <w:gridCol w:w="1457"/>
        <w:gridCol w:w="1228"/>
        <w:gridCol w:w="1188"/>
        <w:gridCol w:w="1318"/>
      </w:tblGrid>
      <w:tr>
        <w:trPr>
          <w:trHeight w:val="419" w:hRule="exact"/>
        </w:trPr>
        <w:tc>
          <w:tcPr>
            <w:tcW w:w="332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3"/>
              <w:ind w:left="15"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87" w:type="dxa"/>
            <w:tcBorders>
              <w:top w:val="single" w:sz="12" w:space="0" w:color="000000"/>
              <w:left w:val="single" w:sz="6" w:space="0" w:color="000000"/>
              <w:bottom w:val="single" w:sz="6" w:space="0" w:color="000000"/>
              <w:right w:val="single" w:sz="6" w:space="0" w:color="000000"/>
            </w:tcBorders>
          </w:tcPr>
          <w:p>
            <w:pPr/>
          </w:p>
        </w:tc>
        <w:tc>
          <w:tcPr>
            <w:tcW w:w="1457" w:type="dxa"/>
            <w:tcBorders>
              <w:top w:val="single" w:sz="12" w:space="0" w:color="000000"/>
              <w:left w:val="single" w:sz="6" w:space="0" w:color="000000"/>
              <w:bottom w:val="single" w:sz="6" w:space="0" w:color="000000"/>
              <w:right w:val="single" w:sz="6" w:space="0" w:color="000000"/>
            </w:tcBorders>
          </w:tcPr>
          <w:p>
            <w:pPr/>
          </w:p>
        </w:tc>
        <w:tc>
          <w:tcPr>
            <w:tcW w:w="1228" w:type="dxa"/>
            <w:tcBorders>
              <w:top w:val="single" w:sz="12" w:space="0" w:color="000000"/>
              <w:left w:val="single" w:sz="6" w:space="0" w:color="000000"/>
              <w:bottom w:val="single" w:sz="6" w:space="0" w:color="000000"/>
              <w:right w:val="single" w:sz="6" w:space="0" w:color="000000"/>
            </w:tcBorders>
          </w:tcPr>
          <w:p>
            <w:pPr/>
          </w:p>
        </w:tc>
        <w:tc>
          <w:tcPr>
            <w:tcW w:w="1188" w:type="dxa"/>
            <w:tcBorders>
              <w:top w:val="single" w:sz="12" w:space="0" w:color="000000"/>
              <w:left w:val="single" w:sz="6" w:space="0" w:color="000000"/>
              <w:bottom w:val="single" w:sz="6" w:space="0" w:color="000000"/>
              <w:right w:val="single" w:sz="6" w:space="0" w:color="000000"/>
            </w:tcBorders>
          </w:tcPr>
          <w:p>
            <w:pPr/>
          </w:p>
        </w:tc>
        <w:tc>
          <w:tcPr>
            <w:tcW w:w="1318" w:type="dxa"/>
            <w:tcBorders>
              <w:top w:val="single" w:sz="12" w:space="0" w:color="000000"/>
              <w:left w:val="single" w:sz="6" w:space="0" w:color="000000"/>
              <w:bottom w:val="single" w:sz="6" w:space="0" w:color="000000"/>
              <w:right w:val="single" w:sz="12" w:space="0" w:color="000000"/>
            </w:tcBorders>
          </w:tcPr>
          <w:p>
            <w:pPr/>
          </w:p>
        </w:tc>
      </w:tr>
      <w:tr>
        <w:trPr>
          <w:trHeight w:val="412" w:hRule="exact"/>
        </w:trPr>
        <w:tc>
          <w:tcPr>
            <w:tcW w:w="33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5" w:right="0"/>
              <w:jc w:val="left"/>
              <w:rPr>
                <w:rFonts w:ascii="宋体" w:hAnsi="宋体" w:cs="宋体" w:eastAsia="宋体" w:hint="default"/>
                <w:sz w:val="18"/>
                <w:szCs w:val="18"/>
              </w:rPr>
            </w:pPr>
            <w:r>
              <w:rPr>
                <w:rFonts w:ascii="宋体" w:hAnsi="宋体" w:cs="宋体" w:eastAsia="宋体" w:hint="default"/>
                <w:spacing w:val="-13"/>
                <w:sz w:val="18"/>
                <w:szCs w:val="18"/>
              </w:rPr>
              <w:t>应付账款</w:t>
            </w:r>
            <w:r>
              <w:rPr>
                <w:rFonts w:ascii="宋体" w:hAnsi="宋体" w:cs="宋体" w:eastAsia="宋体" w:hint="default"/>
                <w:sz w:val="18"/>
                <w:szCs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w w:val="80"/>
                <w:sz w:val="18"/>
              </w:rPr>
              <w:t>38,994,682.42</w:t>
            </w:r>
            <w:r>
              <w:rPr>
                <w:rFonts w:ascii="Arial"/>
                <w:spacing w:val="-1"/>
                <w:sz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w w:val="80"/>
                <w:sz w:val="18"/>
              </w:rPr>
              <w:t>76,632.90</w:t>
            </w:r>
            <w:r>
              <w:rPr>
                <w:rFonts w:ascii="Arial"/>
                <w:sz w:val="18"/>
              </w:rPr>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w w:val="80"/>
                <w:sz w:val="18"/>
              </w:rPr>
              <w:t>289,906.90</w:t>
            </w:r>
            <w:r>
              <w:rPr>
                <w:rFonts w:ascii="Arial"/>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2"/>
              <w:jc w:val="right"/>
              <w:rPr>
                <w:rFonts w:ascii="Arial" w:hAnsi="Arial" w:cs="Arial" w:eastAsia="Arial" w:hint="default"/>
                <w:sz w:val="18"/>
                <w:szCs w:val="18"/>
              </w:rPr>
            </w:pPr>
            <w:r>
              <w:rPr>
                <w:rFonts w:ascii="Arial"/>
                <w:w w:val="81"/>
                <w:sz w:val="18"/>
              </w:rPr>
              <w:t>-</w:t>
            </w:r>
            <w:r>
              <w:rPr>
                <w:rFonts w:ascii="Arial"/>
                <w:sz w:val="18"/>
              </w:rPr>
            </w:r>
          </w:p>
        </w:tc>
        <w:tc>
          <w:tcPr>
            <w:tcW w:w="13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13"/>
              <w:jc w:val="right"/>
              <w:rPr>
                <w:rFonts w:ascii="Arial" w:hAnsi="Arial" w:cs="Arial" w:eastAsia="Arial" w:hint="default"/>
                <w:sz w:val="18"/>
                <w:szCs w:val="18"/>
              </w:rPr>
            </w:pPr>
            <w:r>
              <w:rPr>
                <w:rFonts w:ascii="Arial"/>
                <w:spacing w:val="-1"/>
                <w:w w:val="80"/>
                <w:sz w:val="18"/>
              </w:rPr>
              <w:t>39,361,222.22</w:t>
            </w:r>
            <w:r>
              <w:rPr>
                <w:rFonts w:ascii="Arial"/>
                <w:spacing w:val="-1"/>
                <w:sz w:val="18"/>
              </w:rPr>
            </w:r>
          </w:p>
        </w:tc>
      </w:tr>
      <w:tr>
        <w:trPr>
          <w:trHeight w:val="413" w:hRule="exact"/>
        </w:trPr>
        <w:tc>
          <w:tcPr>
            <w:tcW w:w="33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7,557,673.38</w:t>
            </w:r>
            <w:r>
              <w:rPr>
                <w:rFonts w:ascii="Arial"/>
                <w:sz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4,854,800.00</w:t>
            </w:r>
            <w:r>
              <w:rPr>
                <w:rFonts w:ascii="Arial"/>
                <w:sz w:val="18"/>
              </w:rPr>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4,854,800.00</w:t>
            </w:r>
            <w:r>
              <w:rPr>
                <w:rFonts w:ascii="Arial"/>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w w:val="81"/>
                <w:sz w:val="18"/>
              </w:rPr>
              <w:t>-</w:t>
            </w:r>
            <w:r>
              <w:rPr>
                <w:rFonts w:ascii="Arial"/>
                <w:sz w:val="18"/>
              </w:rPr>
            </w:r>
          </w:p>
        </w:tc>
        <w:tc>
          <w:tcPr>
            <w:tcW w:w="13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13"/>
              <w:jc w:val="right"/>
              <w:rPr>
                <w:rFonts w:ascii="Arial" w:hAnsi="Arial" w:cs="Arial" w:eastAsia="Arial" w:hint="default"/>
                <w:sz w:val="18"/>
                <w:szCs w:val="18"/>
              </w:rPr>
            </w:pPr>
            <w:r>
              <w:rPr>
                <w:rFonts w:ascii="Arial"/>
                <w:spacing w:val="-1"/>
                <w:w w:val="80"/>
                <w:sz w:val="18"/>
              </w:rPr>
              <w:t>17,267,273.38</w:t>
            </w:r>
            <w:r>
              <w:rPr>
                <w:rFonts w:ascii="Arial"/>
                <w:spacing w:val="-1"/>
                <w:sz w:val="18"/>
              </w:rPr>
            </w:r>
          </w:p>
        </w:tc>
      </w:tr>
      <w:tr>
        <w:trPr>
          <w:trHeight w:val="419" w:hRule="exact"/>
        </w:trPr>
        <w:tc>
          <w:tcPr>
            <w:tcW w:w="33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left="15" w:right="0"/>
              <w:jc w:val="left"/>
              <w:rPr>
                <w:rFonts w:ascii="宋体" w:hAnsi="宋体" w:cs="宋体" w:eastAsia="宋体" w:hint="default"/>
                <w:sz w:val="18"/>
                <w:szCs w:val="18"/>
              </w:rPr>
            </w:pPr>
            <w:r>
              <w:rPr>
                <w:rFonts w:ascii="宋体" w:hAnsi="宋体" w:cs="宋体" w:eastAsia="宋体" w:hint="default"/>
                <w:b/>
                <w:bCs/>
                <w:sz w:val="18"/>
                <w:szCs w:val="18"/>
              </w:rPr>
              <w:t>金融负债和或有负债合计</w:t>
            </w:r>
            <w:r>
              <w:rPr>
                <w:rFonts w:ascii="宋体" w:hAnsi="宋体" w:cs="宋体" w:eastAsia="宋体" w:hint="default"/>
                <w:sz w:val="18"/>
                <w:szCs w:val="18"/>
              </w:rPr>
            </w:r>
          </w:p>
        </w:tc>
        <w:tc>
          <w:tcPr>
            <w:tcW w:w="11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b/>
                <w:spacing w:val="-1"/>
                <w:w w:val="80"/>
                <w:sz w:val="18"/>
              </w:rPr>
              <w:t>46,552,355.80</w:t>
            </w:r>
            <w:r>
              <w:rPr>
                <w:rFonts w:ascii="Arial"/>
                <w:spacing w:val="-1"/>
                <w:sz w:val="18"/>
              </w:rPr>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4"/>
              <w:ind w:right="22"/>
              <w:jc w:val="right"/>
              <w:rPr>
                <w:rFonts w:ascii="Arial" w:hAnsi="Arial" w:cs="Arial" w:eastAsia="Arial" w:hint="default"/>
                <w:sz w:val="18"/>
                <w:szCs w:val="18"/>
              </w:rPr>
            </w:pPr>
            <w:r>
              <w:rPr>
                <w:rFonts w:ascii="Arial"/>
                <w:b/>
                <w:spacing w:val="-1"/>
                <w:w w:val="80"/>
                <w:sz w:val="18"/>
              </w:rPr>
              <w:t>4,931,432.90</w:t>
            </w:r>
            <w:r>
              <w:rPr>
                <w:rFonts w:ascii="Arial"/>
                <w:sz w:val="18"/>
              </w:rPr>
            </w:r>
          </w:p>
        </w:tc>
        <w:tc>
          <w:tcPr>
            <w:tcW w:w="12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4"/>
              <w:ind w:right="22"/>
              <w:jc w:val="right"/>
              <w:rPr>
                <w:rFonts w:ascii="Arial" w:hAnsi="Arial" w:cs="Arial" w:eastAsia="Arial" w:hint="default"/>
                <w:sz w:val="18"/>
                <w:szCs w:val="18"/>
              </w:rPr>
            </w:pPr>
            <w:r>
              <w:rPr>
                <w:rFonts w:ascii="Arial"/>
                <w:b/>
                <w:spacing w:val="-1"/>
                <w:w w:val="80"/>
                <w:sz w:val="18"/>
              </w:rPr>
              <w:t>5,144,706.90</w:t>
            </w:r>
            <w:r>
              <w:rPr>
                <w:rFonts w:ascii="Arial"/>
                <w:sz w:val="18"/>
              </w:rPr>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4"/>
              <w:ind w:right="22"/>
              <w:jc w:val="right"/>
              <w:rPr>
                <w:rFonts w:ascii="Arial" w:hAnsi="Arial" w:cs="Arial" w:eastAsia="Arial" w:hint="default"/>
                <w:sz w:val="18"/>
                <w:szCs w:val="18"/>
              </w:rPr>
            </w:pPr>
            <w:r>
              <w:rPr>
                <w:rFonts w:ascii="Arial"/>
                <w:b/>
                <w:w w:val="81"/>
                <w:sz w:val="18"/>
              </w:rPr>
              <w:t>-</w:t>
            </w:r>
            <w:r>
              <w:rPr>
                <w:rFonts w:ascii="Arial"/>
                <w:sz w:val="18"/>
              </w:rPr>
            </w:r>
          </w:p>
        </w:tc>
        <w:tc>
          <w:tcPr>
            <w:tcW w:w="13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4"/>
              <w:ind w:right="13"/>
              <w:jc w:val="right"/>
              <w:rPr>
                <w:rFonts w:ascii="Arial" w:hAnsi="Arial" w:cs="Arial" w:eastAsia="Arial" w:hint="default"/>
                <w:sz w:val="18"/>
                <w:szCs w:val="18"/>
              </w:rPr>
            </w:pPr>
            <w:r>
              <w:rPr>
                <w:rFonts w:ascii="Arial"/>
                <w:b/>
                <w:spacing w:val="-1"/>
                <w:w w:val="80"/>
                <w:sz w:val="18"/>
              </w:rPr>
              <w:t>56,628,495.60</w:t>
            </w:r>
            <w:r>
              <w:rPr>
                <w:rFonts w:ascii="Arial"/>
                <w:spacing w:val="-1"/>
                <w:sz w:val="18"/>
              </w:rPr>
            </w:r>
          </w:p>
        </w:tc>
      </w:tr>
    </w:tbl>
    <w:p>
      <w:pPr>
        <w:spacing w:line="240" w:lineRule="auto" w:before="10"/>
        <w:rPr>
          <w:rFonts w:ascii="宋体" w:hAnsi="宋体" w:cs="宋体" w:eastAsia="宋体" w:hint="default"/>
          <w:sz w:val="7"/>
          <w:szCs w:val="7"/>
        </w:rPr>
      </w:pPr>
    </w:p>
    <w:p>
      <w:pPr>
        <w:pStyle w:val="BodyText"/>
        <w:spacing w:line="326" w:lineRule="auto" w:before="35"/>
        <w:ind w:right="132" w:firstLine="420"/>
        <w:jc w:val="left"/>
      </w:pPr>
      <w:bookmarkStart w:name="十一、公允价值的披露" w:id="358"/>
      <w:bookmarkEnd w:id="358"/>
      <w:r>
        <w:rPr/>
      </w:r>
      <w:r>
        <w:rPr>
          <w:spacing w:val="-1"/>
        </w:rPr>
        <w:t>上表中披露的金融负债金额为未经折现的合同现金流量，因而可能与资产负债表中的账面金额有所不</w:t>
      </w:r>
      <w:r>
        <w:rPr/>
        <w:t> 同。</w:t>
      </w:r>
    </w:p>
    <w:p>
      <w:pPr>
        <w:pStyle w:val="BodyText"/>
        <w:spacing w:line="408" w:lineRule="auto" w:before="144"/>
        <w:ind w:left="574" w:right="132"/>
        <w:jc w:val="left"/>
      </w:pPr>
      <w:r>
        <w:rPr/>
        <w:t>（</w:t>
      </w:r>
      <w:r>
        <w:rPr>
          <w:rFonts w:ascii="Times New Roman" w:hAnsi="Times New Roman" w:cs="Times New Roman" w:eastAsia="Times New Roman" w:hint="default"/>
        </w:rPr>
        <w:t>3</w:t>
      </w:r>
      <w:r>
        <w:rPr/>
        <w:t>）市场风险 金融工具的市场风险，是指金融工具的公允价值或未来现金流量因市场价格变动而发生波动的风险，</w:t>
      </w:r>
    </w:p>
    <w:p>
      <w:pPr>
        <w:pStyle w:val="BodyText"/>
        <w:spacing w:line="227" w:lineRule="exact"/>
        <w:ind w:right="132"/>
        <w:jc w:val="left"/>
      </w:pPr>
      <w:r>
        <w:rPr/>
        <w:t>包括利率风险、汇率风险和其他价格风险。</w:t>
      </w:r>
    </w:p>
    <w:p>
      <w:pPr>
        <w:pStyle w:val="BodyText"/>
        <w:spacing w:line="490" w:lineRule="atLeast" w:before="4"/>
        <w:ind w:left="574" w:right="132"/>
        <w:jc w:val="left"/>
      </w:pPr>
      <w:r>
        <w:rPr/>
        <w:t>利率风险 </w:t>
      </w:r>
      <w:r>
        <w:rPr>
          <w:spacing w:val="-1"/>
        </w:rPr>
        <w:t>利率风险，是指金融工具的公允价值或未来现金流量因市场利率变动而发生波动的风险。利率风险可</w:t>
      </w:r>
    </w:p>
    <w:p>
      <w:pPr>
        <w:pStyle w:val="BodyText"/>
        <w:spacing w:line="432" w:lineRule="auto" w:before="99"/>
        <w:ind w:left="574" w:right="3282" w:hanging="420"/>
        <w:jc w:val="left"/>
      </w:pPr>
      <w:r>
        <w:rPr/>
        <w:t>源于已确认的计息金融工具和未确认的金融工具（如某些贷款承诺）。 本集团的利率风险主要产生于主要产生于货币资金。</w:t>
      </w:r>
    </w:p>
    <w:p>
      <w:pPr>
        <w:pStyle w:val="BodyText"/>
        <w:spacing w:line="240" w:lineRule="auto" w:before="51"/>
        <w:ind w:left="574" w:right="132"/>
        <w:jc w:val="left"/>
      </w:pPr>
      <w:r>
        <w:rPr/>
        <w:t>汇率风险</w:t>
      </w:r>
    </w:p>
    <w:p>
      <w:pPr>
        <w:spacing w:line="240" w:lineRule="auto" w:before="10"/>
        <w:rPr>
          <w:rFonts w:ascii="宋体" w:hAnsi="宋体" w:cs="宋体" w:eastAsia="宋体" w:hint="default"/>
          <w:sz w:val="16"/>
          <w:szCs w:val="16"/>
        </w:rPr>
      </w:pPr>
    </w:p>
    <w:p>
      <w:pPr>
        <w:pStyle w:val="BodyText"/>
        <w:spacing w:line="326" w:lineRule="auto"/>
        <w:ind w:right="132" w:firstLine="420"/>
        <w:jc w:val="left"/>
      </w:pPr>
      <w:r>
        <w:rPr>
          <w:spacing w:val="-1"/>
        </w:rPr>
        <w:t>汇率风险，是指金融工具的公允价值或未来现金流量因外汇汇率变动而发生波动的风险。汇率风险可</w:t>
      </w:r>
      <w:r>
        <w:rPr/>
        <w:t> 源于以记账本位币之外的外币进行计价的金融工具。</w:t>
      </w:r>
    </w:p>
    <w:p>
      <w:pPr>
        <w:pStyle w:val="BodyText"/>
        <w:spacing w:line="326" w:lineRule="auto" w:before="144"/>
        <w:ind w:right="132" w:firstLine="420"/>
        <w:jc w:val="left"/>
      </w:pPr>
      <w:r>
        <w:rPr>
          <w:spacing w:val="-1"/>
        </w:rPr>
        <w:t>本集团的主要经营位于中国境内，主要业务以人民币结算。因此，本集团所承担的外汇变动市场风险</w:t>
      </w:r>
      <w:r>
        <w:rPr/>
        <w:t> 不重大。</w:t>
      </w:r>
    </w:p>
    <w:p>
      <w:pPr>
        <w:pStyle w:val="BodyText"/>
        <w:spacing w:line="420" w:lineRule="auto" w:before="144"/>
        <w:ind w:left="574" w:right="132"/>
        <w:jc w:val="left"/>
      </w:pPr>
      <w:r>
        <w:rPr/>
        <w:t>本集团期末外币金融资产和外币金融负债列示见本附注项目注释其他之外币货币性项目说明。 </w:t>
      </w:r>
      <w:r>
        <w:rPr>
          <w:rFonts w:ascii="Times New Roman" w:hAnsi="Times New Roman" w:cs="Times New Roman" w:eastAsia="Times New Roman" w:hint="default"/>
        </w:rPr>
        <w:t>2</w:t>
      </w:r>
      <w:r>
        <w:rPr/>
        <w:t>、资本管理 </w:t>
      </w:r>
      <w:r>
        <w:rPr>
          <w:spacing w:val="-1"/>
        </w:rPr>
        <w:t>本集团资本管理政策的目标是为了保障本集团能够持续经营，从而为股东提供回报，并使其他利益相</w:t>
      </w:r>
    </w:p>
    <w:p>
      <w:pPr>
        <w:pStyle w:val="BodyText"/>
        <w:spacing w:line="217" w:lineRule="exact"/>
        <w:ind w:right="132"/>
        <w:jc w:val="left"/>
      </w:pPr>
      <w:r>
        <w:rPr/>
        <w:t>关者获益，同时维持最佳的资本结构以降低资本成本。</w:t>
      </w:r>
    </w:p>
    <w:p>
      <w:pPr>
        <w:spacing w:line="240" w:lineRule="auto" w:before="10"/>
        <w:rPr>
          <w:rFonts w:ascii="宋体" w:hAnsi="宋体" w:cs="宋体" w:eastAsia="宋体" w:hint="default"/>
          <w:sz w:val="16"/>
          <w:szCs w:val="16"/>
        </w:rPr>
      </w:pPr>
    </w:p>
    <w:p>
      <w:pPr>
        <w:pStyle w:val="BodyText"/>
        <w:spacing w:line="326" w:lineRule="auto"/>
        <w:ind w:right="132" w:firstLine="420"/>
        <w:jc w:val="left"/>
      </w:pPr>
      <w:r>
        <w:rPr>
          <w:spacing w:val="-1"/>
        </w:rPr>
        <w:t>为了维持或调整资本结构，本集团可能会调整支付给股东的股利金额、向股东返还资本、发行新股或</w:t>
      </w:r>
      <w:r>
        <w:rPr/>
        <w:t> 出售资产以减低债务。</w:t>
      </w:r>
    </w:p>
    <w:p>
      <w:pPr>
        <w:pStyle w:val="BodyText"/>
        <w:spacing w:line="309" w:lineRule="auto" w:before="144"/>
        <w:ind w:left="153" w:right="132" w:firstLine="420"/>
        <w:jc w:val="left"/>
      </w:pPr>
      <w:r>
        <w:rPr>
          <w:spacing w:val="-1"/>
        </w:rPr>
        <w:t>本集团以资产负债率（即总负债除以总资产）为基础对资本结构进行监控。于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w:t>
      </w:r>
      <w:r>
        <w:rPr>
          <w:spacing w:val="1"/>
        </w:rPr>
        <w:t> </w:t>
      </w:r>
      <w:r>
        <w:rPr/>
        <w:t>团的资产负债率为</w:t>
      </w:r>
      <w:r>
        <w:rPr>
          <w:rFonts w:ascii="Times New Roman" w:hAnsi="Times New Roman" w:cs="Times New Roman" w:eastAsia="Times New Roman" w:hint="default"/>
        </w:rPr>
        <w:t>25.69%</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18.61%</w:t>
      </w:r>
      <w:r>
        <w:rPr/>
        <w:t>）。</w:t>
      </w:r>
    </w:p>
    <w:p>
      <w:pPr>
        <w:spacing w:line="240" w:lineRule="auto" w:before="2"/>
        <w:rPr>
          <w:rFonts w:ascii="宋体" w:hAnsi="宋体" w:cs="宋体" w:eastAsia="宋体" w:hint="default"/>
          <w:sz w:val="20"/>
          <w:szCs w:val="20"/>
        </w:rPr>
      </w:pPr>
    </w:p>
    <w:p>
      <w:pPr>
        <w:pStyle w:val="Heading2"/>
        <w:spacing w:line="240" w:lineRule="auto"/>
        <w:ind w:right="132"/>
        <w:jc w:val="left"/>
        <w:rPr>
          <w:b w:val="0"/>
          <w:bCs w:val="0"/>
        </w:rPr>
      </w:pPr>
      <w:r>
        <w:rPr/>
        <w:t>十一、公允价值的披露</w:t>
      </w:r>
      <w:r>
        <w:rPr>
          <w:b w:val="0"/>
          <w:bCs w:val="0"/>
        </w:rPr>
      </w:r>
    </w:p>
    <w:p>
      <w:pPr>
        <w:spacing w:line="240" w:lineRule="auto" w:before="12"/>
        <w:rPr>
          <w:rFonts w:ascii="宋体" w:hAnsi="宋体" w:cs="宋体" w:eastAsia="宋体" w:hint="default"/>
          <w:b/>
          <w:bCs/>
          <w:sz w:val="26"/>
          <w:szCs w:val="26"/>
        </w:rPr>
      </w:pPr>
    </w:p>
    <w:p>
      <w:pPr>
        <w:pStyle w:val="BodyText"/>
        <w:spacing w:line="432" w:lineRule="auto"/>
        <w:ind w:left="574" w:right="132"/>
        <w:jc w:val="left"/>
      </w:pPr>
      <w:r>
        <w:rPr/>
        <w:t>按照在公允价值计量中对计量整体具有重大意义的最低层次的输入值，公允价值层次可分为： 第一层次：相同资产或负债在活跃市场中的报价（未经调整的）。 </w:t>
      </w:r>
      <w:r>
        <w:rPr>
          <w:spacing w:val="-1"/>
        </w:rPr>
        <w:t>第二层次：直接（即价格）或间接（即从价格推导出）地使用除第一层次中的资产或负债的市场报价</w:t>
      </w:r>
    </w:p>
    <w:p>
      <w:pPr>
        <w:spacing w:after="0" w:line="432" w:lineRule="auto"/>
        <w:jc w:val="left"/>
        <w:sectPr>
          <w:pgSz w:w="11910" w:h="16840"/>
          <w:pgMar w:header="747" w:footer="980" w:top="1060" w:bottom="1180" w:left="980" w:right="960"/>
        </w:sectPr>
      </w:pPr>
    </w:p>
    <w:p>
      <w:pPr>
        <w:spacing w:line="240" w:lineRule="auto" w:before="1"/>
        <w:rPr>
          <w:rFonts w:ascii="宋体" w:hAnsi="宋体" w:cs="宋体" w:eastAsia="宋体" w:hint="default"/>
          <w:sz w:val="27"/>
          <w:szCs w:val="27"/>
        </w:rPr>
      </w:pPr>
    </w:p>
    <w:p>
      <w:pPr>
        <w:pStyle w:val="BodyText"/>
        <w:spacing w:line="432" w:lineRule="auto" w:before="35"/>
        <w:ind w:left="654" w:right="1242" w:hanging="420"/>
        <w:jc w:val="left"/>
      </w:pPr>
      <w:bookmarkStart w:name="4、其他关联方情况" w:id="359"/>
      <w:bookmarkEnd w:id="359"/>
      <w:r>
        <w:rPr/>
      </w:r>
      <w:r>
        <w:rPr/>
        <w:t>之外的可观察输入值。 第三层次：资产或负债使用了任何非基于可观察市场数据的输入值（不可观察输入值）。 </w:t>
      </w:r>
      <w:r>
        <w:rPr>
          <w:rFonts w:ascii="Times New Roman" w:hAnsi="Times New Roman" w:cs="Times New Roman" w:eastAsia="Times New Roman" w:hint="default"/>
        </w:rPr>
        <w:t>1</w:t>
      </w:r>
      <w:r>
        <w:rPr/>
        <w:t>、以公允价值计量的项目和金额</w:t>
      </w:r>
    </w:p>
    <w:p>
      <w:pPr>
        <w:pStyle w:val="BodyText"/>
        <w:spacing w:line="408" w:lineRule="auto" w:before="17"/>
        <w:ind w:left="653" w:right="0"/>
        <w:jc w:val="left"/>
      </w:pPr>
      <w:r>
        <w:rPr/>
        <w:t>于 </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日，本集团无以公允价值计量的资产及负债。 </w:t>
      </w:r>
      <w:r>
        <w:rPr>
          <w:rFonts w:ascii="Times New Roman" w:hAnsi="Times New Roman" w:cs="Times New Roman" w:eastAsia="Times New Roman" w:hint="default"/>
        </w:rPr>
        <w:t>2</w:t>
      </w:r>
      <w:r>
        <w:rPr/>
        <w:t>、不以公允价值计量但披露其公允价值的项目和金额 </w:t>
      </w:r>
      <w:r>
        <w:rPr>
          <w:spacing w:val="-1"/>
        </w:rPr>
        <w:t>本集团以摊余成本计量的金融资产和金融负债主要包括：货币资金、应收票据、应收账款、其他应收</w:t>
      </w:r>
    </w:p>
    <w:p>
      <w:pPr>
        <w:pStyle w:val="BodyText"/>
        <w:spacing w:line="227" w:lineRule="exact"/>
        <w:ind w:left="233" w:right="1242"/>
        <w:jc w:val="left"/>
      </w:pPr>
      <w:r>
        <w:rPr/>
        <w:t>款、短期借款、应付票据、应付账款、其他应付款等。</w:t>
      </w:r>
    </w:p>
    <w:p>
      <w:pPr>
        <w:spacing w:line="240" w:lineRule="auto" w:before="10"/>
        <w:rPr>
          <w:rFonts w:ascii="宋体" w:hAnsi="宋体" w:cs="宋体" w:eastAsia="宋体" w:hint="default"/>
          <w:sz w:val="16"/>
          <w:szCs w:val="16"/>
        </w:rPr>
      </w:pPr>
    </w:p>
    <w:p>
      <w:pPr>
        <w:pStyle w:val="BodyText"/>
        <w:spacing w:line="240" w:lineRule="auto"/>
        <w:ind w:left="653" w:right="1242"/>
        <w:jc w:val="left"/>
      </w:pPr>
      <w:r>
        <w:rPr/>
        <w:t>本集团不以公允价值计量的金融资产和金融负债的账面价值与公允价值相差很小。</w:t>
      </w:r>
    </w:p>
    <w:p>
      <w:pPr>
        <w:spacing w:line="240" w:lineRule="auto" w:before="7"/>
        <w:rPr>
          <w:rFonts w:ascii="宋体" w:hAnsi="宋体" w:cs="宋体" w:eastAsia="宋体" w:hint="default"/>
          <w:sz w:val="26"/>
          <w:szCs w:val="26"/>
        </w:rPr>
      </w:pPr>
    </w:p>
    <w:p>
      <w:pPr>
        <w:pStyle w:val="Heading2"/>
        <w:spacing w:line="240" w:lineRule="auto"/>
        <w:ind w:left="234" w:right="1242"/>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spacing w:line="530" w:lineRule="auto" w:before="0"/>
        <w:ind w:left="654" w:right="523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spacing w:val="1"/>
          <w:w w:val="99"/>
          <w:sz w:val="21"/>
          <w:szCs w:val="21"/>
        </w:rPr>
        <w:t> </w:t>
      </w:r>
      <w:bookmarkStart w:name="十二、关联方及关联交易" w:id="360"/>
      <w:bookmarkEnd w:id="360"/>
      <w:r>
        <w:rPr>
          <w:rFonts w:ascii="宋体" w:hAnsi="宋体" w:cs="宋体" w:eastAsia="宋体" w:hint="default"/>
          <w:b/>
          <w:bCs/>
          <w:spacing w:val="1"/>
          <w:w w:val="99"/>
          <w:sz w:val="21"/>
          <w:szCs w:val="21"/>
        </w:rPr>
      </w:r>
      <w:r>
        <w:rPr>
          <w:rFonts w:ascii="宋体" w:hAnsi="宋体" w:cs="宋体" w:eastAsia="宋体" w:hint="default"/>
          <w:sz w:val="21"/>
          <w:szCs w:val="21"/>
        </w:rPr>
        <w:t>本企业最终控制方是郭永芳、滕达、刘祥南。</w:t>
      </w:r>
    </w:p>
    <w:p>
      <w:pPr>
        <w:spacing w:line="530" w:lineRule="auto" w:before="115"/>
        <w:ind w:left="654" w:right="596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
          <w:w w:val="99"/>
          <w:sz w:val="21"/>
          <w:szCs w:val="21"/>
        </w:rPr>
        <w:t> </w:t>
      </w:r>
      <w:r>
        <w:rPr>
          <w:rFonts w:ascii="宋体" w:hAnsi="宋体" w:cs="宋体" w:eastAsia="宋体" w:hint="default"/>
          <w:sz w:val="21"/>
          <w:szCs w:val="21"/>
        </w:rPr>
        <w:t>本企业子公司的情况详见附注九、</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Heading4"/>
        <w:spacing w:line="240" w:lineRule="auto" w:before="72"/>
        <w:ind w:left="234" w:right="1242"/>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left="653" w:right="0"/>
        <w:jc w:val="left"/>
      </w:pPr>
      <w:r>
        <w:rPr/>
        <w:t>本企业重要的合营或联营企业详见附注九、</w:t>
      </w:r>
      <w:r>
        <w:rPr>
          <w:rFonts w:ascii="Times New Roman" w:hAnsi="Times New Roman" w:cs="Times New Roman" w:eastAsia="Times New Roman" w:hint="default"/>
        </w:rPr>
        <w:t>3</w:t>
      </w:r>
      <w:r>
        <w:rPr/>
        <w:t>。 </w:t>
      </w:r>
      <w:r>
        <w:rPr>
          <w:spacing w:val="-1"/>
        </w:rPr>
        <w:t>本期与本公司发生关联方交易，</w:t>
      </w:r>
      <w:bookmarkStart w:name="1、本企业的母公司情况" w:id="361"/>
      <w:bookmarkEnd w:id="361"/>
      <w:r>
        <w:rPr>
          <w:spacing w:val="-1"/>
        </w:rPr>
      </w:r>
      <w:bookmarkStart w:name="2、本企业的子公司情况" w:id="362"/>
      <w:bookmarkEnd w:id="362"/>
      <w:r>
        <w:rPr>
          <w:spacing w:val="-1"/>
        </w:rPr>
      </w:r>
      <w:bookmarkStart w:name="3、本企业合营和联营企业情况" w:id="363"/>
      <w:bookmarkEnd w:id="363"/>
      <w:r>
        <w:rPr>
          <w:spacing w:val="-1"/>
        </w:rPr>
        <w:t>或前期与本公司发生关联方交易形成余额的其他合营或联营企业情况</w:t>
      </w:r>
    </w:p>
    <w:p>
      <w:pPr>
        <w:pStyle w:val="BodyText"/>
        <w:spacing w:line="227" w:lineRule="exact"/>
        <w:ind w:left="233" w:right="1242"/>
        <w:jc w:val="left"/>
      </w:pPr>
      <w:r>
        <w:rPr/>
        <w:t>如下：</w:t>
      </w:r>
    </w:p>
    <w:p>
      <w:pPr>
        <w:spacing w:line="240" w:lineRule="auto" w:before="8"/>
        <w:rPr>
          <w:rFonts w:ascii="宋体" w:hAnsi="宋体" w:cs="宋体" w:eastAsia="宋体" w:hint="default"/>
          <w:sz w:val="15"/>
          <w:szCs w:val="15"/>
        </w:rPr>
      </w:pPr>
    </w:p>
    <w:tbl>
      <w:tblPr>
        <w:tblW w:w="0" w:type="auto"/>
        <w:jc w:val="left"/>
        <w:tblInd w:w="22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625"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公司参股公司</w:t>
            </w:r>
          </w:p>
        </w:tc>
      </w:tr>
    </w:tbl>
    <w:p>
      <w:pPr>
        <w:spacing w:line="240" w:lineRule="auto" w:before="2"/>
        <w:rPr>
          <w:rFonts w:ascii="宋体" w:hAnsi="宋体" w:cs="宋体" w:eastAsia="宋体" w:hint="default"/>
          <w:sz w:val="19"/>
          <w:szCs w:val="19"/>
        </w:rPr>
      </w:pPr>
    </w:p>
    <w:p>
      <w:pPr>
        <w:pStyle w:val="Heading4"/>
        <w:spacing w:line="240" w:lineRule="auto" w:before="35"/>
        <w:ind w:left="234" w:right="1242"/>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6726"/>
        <w:gridCol w:w="3128"/>
      </w:tblGrid>
      <w:tr>
        <w:trPr>
          <w:trHeight w:val="397" w:hRule="exact"/>
        </w:trPr>
        <w:tc>
          <w:tcPr>
            <w:tcW w:w="6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98"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3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98" w:right="0"/>
              <w:jc w:val="left"/>
              <w:rPr>
                <w:rFonts w:ascii="宋体" w:hAnsi="宋体" w:cs="宋体" w:eastAsia="宋体" w:hint="default"/>
                <w:sz w:val="18"/>
                <w:szCs w:val="18"/>
              </w:rPr>
            </w:pPr>
            <w:r>
              <w:rPr>
                <w:rFonts w:ascii="宋体" w:hAnsi="宋体" w:cs="宋体" w:eastAsia="宋体" w:hint="default"/>
                <w:b/>
                <w:bCs/>
                <w:sz w:val="18"/>
                <w:szCs w:val="18"/>
              </w:rPr>
              <w:t>与本集团关系</w:t>
            </w:r>
            <w:r>
              <w:rPr>
                <w:rFonts w:ascii="宋体" w:hAnsi="宋体" w:cs="宋体" w:eastAsia="宋体" w:hint="default"/>
                <w:sz w:val="18"/>
                <w:szCs w:val="18"/>
              </w:rPr>
            </w:r>
          </w:p>
        </w:tc>
      </w:tr>
      <w:tr>
        <w:trPr>
          <w:trHeight w:val="830" w:hRule="exact"/>
        </w:trPr>
        <w:tc>
          <w:tcPr>
            <w:tcW w:w="6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香港柏科有限公司</w:t>
            </w:r>
          </w:p>
        </w:tc>
        <w:tc>
          <w:tcPr>
            <w:tcW w:w="3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32" w:lineRule="exact"/>
              <w:ind w:left="98" w:right="95"/>
              <w:jc w:val="left"/>
              <w:rPr>
                <w:rFonts w:ascii="宋体" w:hAnsi="宋体" w:cs="宋体" w:eastAsia="宋体" w:hint="default"/>
                <w:sz w:val="18"/>
                <w:szCs w:val="18"/>
              </w:rPr>
            </w:pPr>
            <w:r>
              <w:rPr>
                <w:rFonts w:ascii="宋体" w:hAnsi="宋体" w:cs="宋体" w:eastAsia="宋体" w:hint="default"/>
                <w:sz w:val="18"/>
                <w:szCs w:val="18"/>
              </w:rPr>
              <w:t>与本公司实际控制人滕达、郭永芳直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系亲属控制企业</w:t>
            </w:r>
          </w:p>
        </w:tc>
      </w:tr>
      <w:tr>
        <w:trPr>
          <w:trHeight w:val="397" w:hRule="exact"/>
        </w:trPr>
        <w:tc>
          <w:tcPr>
            <w:tcW w:w="6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98"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3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98"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10.71%</w:t>
            </w:r>
            <w:r>
              <w:rPr>
                <w:rFonts w:ascii="宋体" w:hAnsi="宋体" w:cs="宋体" w:eastAsia="宋体" w:hint="default"/>
                <w:sz w:val="18"/>
                <w:szCs w:val="18"/>
              </w:rPr>
              <w:t>股权</w:t>
            </w:r>
          </w:p>
        </w:tc>
      </w:tr>
      <w:tr>
        <w:trPr>
          <w:trHeight w:val="397" w:hRule="exact"/>
        </w:trPr>
        <w:tc>
          <w:tcPr>
            <w:tcW w:w="6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98"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3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98"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宋体" w:hAnsi="宋体" w:cs="宋体" w:eastAsia="宋体" w:hint="default"/>
                <w:sz w:val="18"/>
                <w:szCs w:val="18"/>
              </w:rPr>
              <w:t>股权</w:t>
            </w:r>
          </w:p>
        </w:tc>
      </w:tr>
      <w:tr>
        <w:trPr>
          <w:trHeight w:val="397" w:hRule="exact"/>
        </w:trPr>
        <w:tc>
          <w:tcPr>
            <w:tcW w:w="6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98"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3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98"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w:t>
            </w:r>
            <w:r>
              <w:rPr>
                <w:rFonts w:ascii="宋体" w:hAnsi="宋体" w:cs="宋体" w:eastAsia="宋体" w:hint="default"/>
                <w:sz w:val="18"/>
                <w:szCs w:val="18"/>
              </w:rPr>
              <w:t>股权</w:t>
            </w:r>
          </w:p>
        </w:tc>
      </w:tr>
    </w:tbl>
    <w:p>
      <w:pPr>
        <w:spacing w:after="0" w:line="240" w:lineRule="auto"/>
        <w:jc w:val="left"/>
        <w:rPr>
          <w:rFonts w:ascii="宋体" w:hAnsi="宋体" w:cs="宋体" w:eastAsia="宋体" w:hint="default"/>
          <w:sz w:val="18"/>
          <w:szCs w:val="18"/>
        </w:rPr>
        <w:sectPr>
          <w:pgSz w:w="11910" w:h="16840"/>
          <w:pgMar w:header="747" w:footer="980" w:top="1060" w:bottom="1180" w:left="900" w:right="900"/>
        </w:sectPr>
      </w:pPr>
    </w:p>
    <w:p>
      <w:pPr>
        <w:spacing w:line="240" w:lineRule="auto" w:before="12"/>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6726"/>
        <w:gridCol w:w="3128"/>
      </w:tblGrid>
      <w:tr>
        <w:trPr>
          <w:trHeight w:val="337" w:hRule="exact"/>
        </w:trPr>
        <w:tc>
          <w:tcPr>
            <w:tcW w:w="6726" w:type="dxa"/>
            <w:tcBorders>
              <w:top w:val="single" w:sz="6" w:space="0" w:color="000000"/>
              <w:left w:val="nil" w:sz="6" w:space="0" w:color="auto"/>
              <w:bottom w:val="single" w:sz="8" w:space="0" w:color="000000"/>
              <w:right w:val="nil" w:sz="6" w:space="0" w:color="auto"/>
            </w:tcBorders>
          </w:tcPr>
          <w:p>
            <w:pPr/>
          </w:p>
        </w:tc>
        <w:tc>
          <w:tcPr>
            <w:tcW w:w="3128" w:type="dxa"/>
            <w:tcBorders>
              <w:top w:val="single" w:sz="6" w:space="0" w:color="000000"/>
              <w:left w:val="nil" w:sz="6" w:space="0" w:color="auto"/>
              <w:bottom w:val="single" w:sz="8" w:space="0" w:color="000000"/>
              <w:right w:val="nil" w:sz="6" w:space="0" w:color="auto"/>
            </w:tcBorders>
          </w:tcPr>
          <w:p>
            <w:pPr/>
          </w:p>
        </w:tc>
      </w:tr>
      <w:tr>
        <w:trPr>
          <w:trHeight w:val="397" w:hRule="exact"/>
        </w:trPr>
        <w:tc>
          <w:tcPr>
            <w:tcW w:w="6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98"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3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98"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line="240" w:lineRule="auto" w:before="4"/>
        <w:rPr>
          <w:rFonts w:ascii="宋体" w:hAnsi="宋体" w:cs="宋体" w:eastAsia="宋体" w:hint="default"/>
          <w:b/>
          <w:bCs/>
          <w:sz w:val="19"/>
          <w:szCs w:val="19"/>
        </w:rPr>
      </w:pPr>
    </w:p>
    <w:p>
      <w:pPr>
        <w:pStyle w:val="Heading4"/>
        <w:spacing w:line="240" w:lineRule="auto" w:before="35"/>
        <w:ind w:left="234" w:right="1242"/>
        <w:jc w:val="left"/>
        <w:rPr>
          <w:b w:val="0"/>
          <w:bCs w:val="0"/>
        </w:rPr>
      </w:pPr>
      <w:bookmarkStart w:name="（4）关联担保情况" w:id="364"/>
      <w:bookmarkEnd w:id="364"/>
      <w:r>
        <w:rPr>
          <w:b w:val="0"/>
          <w:bCs w:val="0"/>
        </w:rPr>
      </w:r>
      <w:bookmarkStart w:name="（5）关联方资金拆借" w:id="365"/>
      <w:bookmarkEnd w:id="365"/>
      <w:r>
        <w:rPr>
          <w:b w:val="0"/>
          <w:bCs w:val="0"/>
        </w:rPr>
      </w:r>
      <w:bookmarkStart w:name="（6）关联方资产转让、债务重组情况" w:id="366"/>
      <w:bookmarkEnd w:id="366"/>
      <w:r>
        <w:rPr>
          <w:b w:val="0"/>
          <w:bCs w:val="0"/>
        </w:rPr>
      </w:r>
      <w:r>
        <w:rPr>
          <w:rFonts w:ascii="Times New Roman" w:hAnsi="Times New Roman" w:cs="Times New Roman" w:eastAsia="Times New Roman" w:hint="default"/>
        </w:rPr>
        <w:t>5</w:t>
      </w:r>
      <w:bookmarkStart w:name="5、关联交易情况" w:id="367"/>
      <w:bookmarkEnd w:id="367"/>
      <w:r>
        <w:rPr>
          <w:rFonts w:ascii="Times New Roman" w:hAnsi="Times New Roman" w:cs="Times New Roman" w:eastAsia="Times New Roman" w:hint="default"/>
        </w:rPr>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34" w:right="1242"/>
        <w:jc w:val="left"/>
        <w:rPr>
          <w:b w:val="0"/>
          <w:bCs w:val="0"/>
        </w:rPr>
      </w:pPr>
      <w:r>
        <w:rPr/>
        <w:t>（</w:t>
      </w:r>
      <w:r>
        <w:rPr>
          <w:rFonts w:ascii="Times New Roman" w:hAnsi="Times New Roman" w:cs="Times New Roman" w:eastAsia="Times New Roman" w:hint="default"/>
        </w:rPr>
        <w:t>1</w:t>
      </w:r>
      <w:r>
        <w:rPr/>
        <w:t>）购销商品</w:t>
      </w:r>
      <w:bookmarkStart w:name="（1）购销商品、提供和接受劳务的关联交易" w:id="368"/>
      <w:bookmarkEnd w:id="368"/>
      <w:r>
        <w:rPr/>
        <w:t>、提供和</w:t>
      </w:r>
      <w:r>
        <w:rPr/>
        <w:t>接受劳务的关联交易</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80" w:top="1060" w:bottom="1180" w:left="900" w:right="900"/>
        </w:sectPr>
      </w:pPr>
    </w:p>
    <w:p>
      <w:pPr>
        <w:pStyle w:val="BodyText"/>
        <w:spacing w:line="240" w:lineRule="auto" w:before="35"/>
        <w:ind w:left="234" w:right="-20"/>
        <w:jc w:val="left"/>
      </w:pPr>
      <w:r>
        <w:rPr/>
        <w:t>采购商品</w:t>
      </w:r>
      <w:r>
        <w:rPr>
          <w:rFonts w:ascii="Times New Roman" w:hAnsi="Times New Roman" w:cs="Times New Roman" w:eastAsia="Times New Roman" w:hint="default"/>
        </w:rPr>
        <w:t>/</w:t>
      </w:r>
      <w:r>
        <w:rPr/>
        <w:t>接受劳务情况表：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2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00" w:right="900"/>
          <w:cols w:num="2" w:equalWidth="0">
            <w:col w:w="2813" w:space="6105"/>
            <w:col w:w="1192"/>
          </w:cols>
        </w:sectPr>
      </w:pPr>
    </w:p>
    <w:p>
      <w:pPr>
        <w:spacing w:line="240" w:lineRule="auto" w:before="0"/>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398"/>
        <w:gridCol w:w="2258"/>
        <w:gridCol w:w="2260"/>
        <w:gridCol w:w="2652"/>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182,692.32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00" w:right="900"/>
        </w:sectPr>
      </w:pPr>
    </w:p>
    <w:p>
      <w:pPr>
        <w:pStyle w:val="BodyText"/>
        <w:spacing w:line="240" w:lineRule="auto" w:before="26"/>
        <w:ind w:left="234" w:right="-20"/>
        <w:jc w:val="left"/>
      </w:pPr>
      <w:r>
        <w:rPr/>
        <w:t>出售商品</w:t>
      </w:r>
      <w:r>
        <w:rPr>
          <w:rFonts w:ascii="Times New Roman" w:hAnsi="Times New Roman" w:cs="Times New Roman" w:eastAsia="Times New Roman" w:hint="default"/>
        </w:rPr>
        <w:t>/</w:t>
      </w:r>
      <w:r>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23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00" w:right="900"/>
          <w:cols w:num="2" w:equalWidth="0">
            <w:col w:w="2813" w:space="6015"/>
            <w:col w:w="1282"/>
          </w:cols>
        </w:sectPr>
      </w:pPr>
    </w:p>
    <w:p>
      <w:pPr>
        <w:spacing w:line="240" w:lineRule="auto" w:before="1"/>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香港柏科公司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600,794.62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445,206.53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1,647,207.52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126,826.49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1,631,764.24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469,738.75</w:t>
            </w:r>
          </w:p>
        </w:tc>
      </w:tr>
    </w:tbl>
    <w:p>
      <w:pPr>
        <w:spacing w:line="240" w:lineRule="auto" w:before="2"/>
        <w:rPr>
          <w:rFonts w:ascii="宋体" w:hAnsi="宋体" w:cs="宋体" w:eastAsia="宋体" w:hint="default"/>
          <w:sz w:val="19"/>
          <w:szCs w:val="19"/>
        </w:rPr>
      </w:pPr>
    </w:p>
    <w:p>
      <w:pPr>
        <w:pStyle w:val="Heading4"/>
        <w:spacing w:line="530" w:lineRule="auto" w:before="35"/>
        <w:ind w:left="654" w:right="5625"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spacing w:val="1"/>
          <w:w w:val="99"/>
        </w:rPr>
        <w:t> </w:t>
      </w:r>
      <w:r>
        <w:rPr>
          <w:rFonts w:ascii="宋体" w:hAnsi="宋体" w:cs="宋体" w:eastAsia="宋体" w:hint="default"/>
          <w:b w:val="0"/>
          <w:bCs w:val="0"/>
        </w:rPr>
        <w:t>无。</w:t>
      </w:r>
    </w:p>
    <w:p>
      <w:pPr>
        <w:pStyle w:val="Heading4"/>
        <w:spacing w:line="240" w:lineRule="auto" w:before="115"/>
        <w:ind w:left="234" w:right="1242"/>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654" w:right="1242"/>
        <w:jc w:val="left"/>
      </w:pPr>
      <w:r>
        <w:rPr/>
        <w:t>本公司作为出租方：</w:t>
      </w:r>
    </w:p>
    <w:p>
      <w:pPr>
        <w:spacing w:line="240" w:lineRule="auto" w:before="0"/>
        <w:rPr>
          <w:rFonts w:ascii="宋体" w:hAnsi="宋体" w:cs="宋体" w:eastAsia="宋体" w:hint="default"/>
          <w:sz w:val="13"/>
          <w:szCs w:val="13"/>
        </w:rPr>
      </w:pPr>
    </w:p>
    <w:p>
      <w:pPr>
        <w:spacing w:before="44"/>
        <w:ind w:left="0" w:right="232" w:firstLine="0"/>
        <w:jc w:val="right"/>
        <w:rPr>
          <w:rFonts w:ascii="宋体" w:hAnsi="宋体" w:cs="宋体" w:eastAsia="宋体" w:hint="default"/>
          <w:sz w:val="18"/>
          <w:szCs w:val="18"/>
        </w:rPr>
      </w:pPr>
      <w:bookmarkStart w:name="（2）关联受托管理/承包及委托管理/出包情况" w:id="369"/>
      <w:bookmarkEnd w:id="369"/>
      <w:r>
        <w:rPr/>
      </w:r>
      <w:bookmarkStart w:name="（3）关联租赁情况" w:id="370"/>
      <w:bookmarkEnd w:id="370"/>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552"/>
        <w:gridCol w:w="2230"/>
        <w:gridCol w:w="2393"/>
        <w:gridCol w:w="2393"/>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2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7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0" w:right="0"/>
              <w:jc w:val="left"/>
              <w:rPr>
                <w:rFonts w:ascii="Times New Roman" w:hAnsi="Times New Roman" w:cs="Times New Roman" w:eastAsia="Times New Roman" w:hint="default"/>
                <w:sz w:val="18"/>
                <w:szCs w:val="18"/>
              </w:rPr>
            </w:pPr>
            <w:r>
              <w:rPr>
                <w:rFonts w:ascii="Times New Roman"/>
                <w:sz w:val="18"/>
              </w:rPr>
              <w:t>180,000.00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530" w:lineRule="auto" w:before="35"/>
        <w:ind w:left="654" w:right="8060"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）关联担保情况</w:t>
      </w:r>
      <w:r>
        <w:rPr>
          <w:spacing w:val="1"/>
          <w:w w:val="99"/>
        </w:rPr>
        <w:t> </w:t>
      </w:r>
      <w:r>
        <w:rPr>
          <w:rFonts w:ascii="宋体" w:hAnsi="宋体" w:cs="宋体" w:eastAsia="宋体" w:hint="default"/>
          <w:b w:val="0"/>
          <w:bCs w:val="0"/>
        </w:rPr>
        <w:t>无。</w:t>
      </w:r>
    </w:p>
    <w:p>
      <w:pPr>
        <w:pStyle w:val="Heading4"/>
        <w:spacing w:line="530" w:lineRule="auto" w:before="115"/>
        <w:ind w:left="654" w:right="7850"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）关联方资金拆借</w:t>
      </w:r>
      <w:r>
        <w:rPr>
          <w:spacing w:val="1"/>
          <w:w w:val="99"/>
        </w:rPr>
        <w:t> </w:t>
      </w:r>
      <w:r>
        <w:rPr>
          <w:rFonts w:ascii="宋体" w:hAnsi="宋体" w:cs="宋体" w:eastAsia="宋体" w:hint="default"/>
          <w:b w:val="0"/>
          <w:bCs w:val="0"/>
        </w:rPr>
        <w:t>无。</w:t>
      </w:r>
    </w:p>
    <w:p>
      <w:pPr>
        <w:pStyle w:val="Heading4"/>
        <w:spacing w:line="530" w:lineRule="auto" w:before="115"/>
        <w:ind w:left="654" w:right="6374" w:hanging="420"/>
        <w:jc w:val="left"/>
        <w:rPr>
          <w:rFonts w:ascii="宋体" w:hAnsi="宋体" w:cs="宋体" w:eastAsia="宋体" w:hint="default"/>
          <w:b w:val="0"/>
          <w:bCs w:val="0"/>
        </w:rPr>
      </w:pPr>
      <w:r>
        <w:rPr/>
        <w:t>（</w:t>
      </w:r>
      <w:r>
        <w:rPr>
          <w:rFonts w:ascii="Times New Roman" w:hAnsi="Times New Roman" w:cs="Times New Roman" w:eastAsia="Times New Roman" w:hint="default"/>
        </w:rPr>
        <w:t>6</w:t>
      </w:r>
      <w:r>
        <w:rPr/>
        <w:t>）关联方资产转让、债务重组情况</w:t>
      </w:r>
      <w:r>
        <w:rPr>
          <w:spacing w:val="1"/>
          <w:w w:val="99"/>
        </w:rPr>
        <w:t> </w:t>
      </w:r>
      <w:r>
        <w:rPr>
          <w:rFonts w:ascii="宋体" w:hAnsi="宋体" w:cs="宋体" w:eastAsia="宋体" w:hint="default"/>
          <w:b w:val="0"/>
          <w:bCs w:val="0"/>
        </w:rPr>
        <w:t>无。</w:t>
      </w:r>
    </w:p>
    <w:p>
      <w:pPr>
        <w:spacing w:after="0" w:line="530" w:lineRule="auto"/>
        <w:jc w:val="left"/>
        <w:rPr>
          <w:rFonts w:ascii="宋体" w:hAnsi="宋体" w:cs="宋体" w:eastAsia="宋体" w:hint="default"/>
        </w:rPr>
        <w:sectPr>
          <w:type w:val="continuous"/>
          <w:pgSz w:w="11910" w:h="16840"/>
          <w:pgMar w:top="1060" w:bottom="1180" w:left="900" w:right="90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bookmarkStart w:name="7、关联方承诺" w:id="371"/>
      <w:bookmarkEnd w:id="371"/>
      <w:r>
        <w:rPr/>
      </w:r>
      <w:bookmarkStart w:name="8、其他" w:id="372"/>
      <w:bookmarkEnd w:id="372"/>
      <w:r>
        <w:rPr/>
      </w: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bookmarkStart w:name="（7）关键管理人员报酬" w:id="373"/>
      <w:bookmarkEnd w:id="373"/>
      <w:r>
        <w:rPr>
          <w:rFonts w:ascii="Times New Roman" w:hAnsi="Times New Roman" w:cs="Times New Roman" w:eastAsia="Times New Roman" w:hint="default"/>
        </w:rPr>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632.00</w:t>
            </w:r>
          </w:p>
        </w:tc>
      </w:tr>
    </w:tbl>
    <w:p>
      <w:pPr>
        <w:spacing w:line="240" w:lineRule="auto" w:before="2"/>
        <w:rPr>
          <w:rFonts w:ascii="宋体" w:hAnsi="宋体" w:cs="宋体" w:eastAsia="宋体" w:hint="default"/>
          <w:sz w:val="19"/>
          <w:szCs w:val="19"/>
        </w:rPr>
      </w:pPr>
    </w:p>
    <w:p>
      <w:pPr>
        <w:pStyle w:val="Heading4"/>
        <w:spacing w:line="530" w:lineRule="auto" w:before="35"/>
        <w:ind w:left="574" w:right="7980" w:hanging="420"/>
        <w:jc w:val="left"/>
        <w:rPr>
          <w:rFonts w:ascii="宋体" w:hAnsi="宋体" w:cs="宋体" w:eastAsia="宋体" w:hint="default"/>
          <w:b w:val="0"/>
          <w:bCs w:val="0"/>
        </w:rPr>
      </w:pPr>
      <w:r>
        <w:rPr/>
        <w:t>（</w:t>
      </w:r>
      <w:r>
        <w:rPr>
          <w:rFonts w:ascii="Times New Roman" w:hAnsi="Times New Roman" w:cs="Times New Roman" w:eastAsia="Times New Roman" w:hint="default"/>
        </w:rPr>
        <w:t>8</w:t>
      </w:r>
      <w:r>
        <w:rPr/>
        <w:t>）其他关联交易</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6</w:t>
      </w:r>
      <w:r>
        <w:rPr/>
        <w:t>、关联方应收</w:t>
      </w:r>
      <w:bookmarkStart w:name="（8）其他关联交易" w:id="374"/>
      <w:bookmarkEnd w:id="374"/>
      <w:r>
        <w:rPr/>
        <w:t>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关联方应收应付款项" w:id="375"/>
      <w:bookmarkEnd w:id="375"/>
      <w:r>
        <w:rPr/>
      </w:r>
      <w:bookmarkStart w:name="（1）应收项目" w:id="376"/>
      <w:bookmarkEnd w:id="376"/>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2268"/>
        <w:gridCol w:w="1382"/>
        <w:gridCol w:w="1594"/>
        <w:gridCol w:w="1594"/>
        <w:gridCol w:w="1595"/>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2268" w:type="dxa"/>
            <w:vMerge/>
            <w:tcBorders>
              <w:left w:val="single" w:sz="4" w:space="0" w:color="000000"/>
              <w:bottom w:val="single" w:sz="4" w:space="0" w:color="000000"/>
              <w:right w:val="single" w:sz="4" w:space="0" w:color="000000"/>
            </w:tcBorders>
            <w:shd w:val="clear" w:color="auto" w:fill="D4D4D4"/>
          </w:tcPr>
          <w:p>
            <w:pPr/>
          </w:p>
        </w:tc>
        <w:tc>
          <w:tcPr>
            <w:tcW w:w="1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
              <w:jc w:val="center"/>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38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1,814,532.92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90,726.65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
              <w:jc w:val="center"/>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927,606.84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46,380.34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204,982.91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10,249.15</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
              <w:jc w:val="center"/>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应付项目" w:id="377"/>
      <w:bookmarkEnd w:id="377"/>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712"/>
        <w:gridCol w:w="2551"/>
        <w:gridCol w:w="191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7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2,061.00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255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1,633,471.96</w:t>
            </w:r>
          </w:p>
        </w:tc>
      </w:tr>
    </w:tbl>
    <w:p>
      <w:pPr>
        <w:spacing w:line="240" w:lineRule="auto" w:before="2"/>
        <w:rPr>
          <w:rFonts w:ascii="宋体" w:hAnsi="宋体" w:cs="宋体" w:eastAsia="宋体" w:hint="default"/>
          <w:sz w:val="19"/>
          <w:szCs w:val="19"/>
        </w:rPr>
      </w:pPr>
    </w:p>
    <w:p>
      <w:pPr>
        <w:pStyle w:val="Heading4"/>
        <w:spacing w:line="530" w:lineRule="auto" w:before="35"/>
        <w:ind w:left="574" w:right="8402" w:hanging="420"/>
        <w:jc w:val="left"/>
        <w:rPr>
          <w:rFonts w:ascii="宋体" w:hAnsi="宋体" w:cs="宋体" w:eastAsia="宋体" w:hint="default"/>
          <w:b w:val="0"/>
          <w:bCs w:val="0"/>
        </w:rPr>
      </w:pPr>
      <w:r>
        <w:rPr>
          <w:rFonts w:ascii="Times New Roman" w:hAnsi="Times New Roman" w:cs="Times New Roman" w:eastAsia="Times New Roman" w:hint="default"/>
        </w:rPr>
        <w:t>7</w:t>
      </w:r>
      <w:r>
        <w:rPr/>
        <w:t>、关联方承诺</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135" w:right="8511"/>
        <w:jc w:val="center"/>
      </w:pPr>
      <w:r>
        <w:rPr/>
        <w:t>无。</w:t>
      </w:r>
    </w:p>
    <w:p>
      <w:pPr>
        <w:spacing w:after="0" w:line="240" w:lineRule="auto"/>
        <w:jc w:val="center"/>
        <w:sectPr>
          <w:pgSz w:w="11910" w:h="16840"/>
          <w:pgMar w:header="747" w:footer="980"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3、以现金结算的股份支付情况" w:id="378"/>
      <w:bookmarkEnd w:id="378"/>
      <w:r>
        <w:rPr>
          <w:b w:val="0"/>
          <w:bCs w:val="0"/>
        </w:rPr>
      </w:r>
      <w:bookmarkStart w:name="4、股份支付的修改、终止情况" w:id="379"/>
      <w:bookmarkEnd w:id="379"/>
      <w:r>
        <w:rPr>
          <w:b w:val="0"/>
          <w:bCs w:val="0"/>
        </w:rPr>
      </w:r>
      <w:bookmarkStart w:name="十三、股份支付" w:id="380"/>
      <w:bookmarkEnd w:id="380"/>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bookmarkStart w:name="1、股份支付总体情况" w:id="381"/>
      <w:bookmarkEnd w:id="381"/>
      <w:r>
        <w:rPr>
          <w:rFonts w:ascii="Times New Roman" w:hAnsi="Times New Roman" w:cs="Times New Roman" w:eastAsia="Times New Roman" w:hint="default"/>
        </w:rPr>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2,088,868.11</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2,088,868.11</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授予价格每股 </w:t>
            </w:r>
            <w:r>
              <w:rPr>
                <w:rFonts w:ascii="Times New Roman" w:hAnsi="Times New Roman" w:cs="Times New Roman" w:eastAsia="Times New Roman" w:hint="default"/>
                <w:sz w:val="18"/>
                <w:szCs w:val="18"/>
              </w:rPr>
              <w:t>8.58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元，因公司实施利润分配和资本</w:t>
            </w:r>
          </w:p>
          <w:p>
            <w:pPr>
              <w:pStyle w:val="TableParagraph"/>
              <w:spacing w:line="240" w:lineRule="auto" w:before="61"/>
              <w:ind w:left="22" w:right="-14"/>
              <w:jc w:val="left"/>
              <w:rPr>
                <w:rFonts w:ascii="宋体" w:hAnsi="宋体" w:cs="宋体" w:eastAsia="宋体" w:hint="default"/>
                <w:sz w:val="18"/>
                <w:szCs w:val="18"/>
              </w:rPr>
            </w:pPr>
            <w:r>
              <w:rPr>
                <w:rFonts w:ascii="宋体" w:hAnsi="宋体" w:cs="宋体" w:eastAsia="宋体" w:hint="default"/>
                <w:sz w:val="18"/>
                <w:szCs w:val="18"/>
              </w:rPr>
              <w:t>公积转增股本方案，授予价格调整为每股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日为解锁期</w:t>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0"/>
        <w:jc w:val="both"/>
      </w:pPr>
      <w:r>
        <w:rPr/>
        <w:t>其他说明：根据本公司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2"/>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日的第一次临时股东大会、</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日的第一届董事会第二</w:t>
      </w:r>
    </w:p>
    <w:p>
      <w:pPr>
        <w:pStyle w:val="BodyText"/>
        <w:spacing w:line="240" w:lineRule="auto" w:before="20"/>
        <w:ind w:left="153" w:right="0"/>
        <w:jc w:val="both"/>
      </w:pPr>
      <w:r>
        <w:rPr/>
        <w:t>十一次会议和和修改后的章程规定，本公司以定向增发的方式向</w:t>
      </w:r>
      <w:r>
        <w:rPr>
          <w:spacing w:val="-65"/>
        </w:rPr>
        <w:t> </w:t>
      </w:r>
      <w:r>
        <w:rPr>
          <w:rFonts w:ascii="Times New Roman" w:hAnsi="Times New Roman" w:cs="Times New Roman" w:eastAsia="Times New Roman" w:hint="default"/>
        </w:rPr>
        <w:t>201</w:t>
      </w:r>
      <w:r>
        <w:rPr>
          <w:rFonts w:ascii="Times New Roman" w:hAnsi="Times New Roman" w:cs="Times New Roman" w:eastAsia="Times New Roman" w:hint="default"/>
          <w:spacing w:val="-13"/>
        </w:rPr>
        <w:t> </w:t>
      </w:r>
      <w:r>
        <w:rPr/>
        <w:t>名激励对象授予限制性人民币普通股</w:t>
      </w:r>
    </w:p>
    <w:p>
      <w:pPr>
        <w:pStyle w:val="BodyText"/>
        <w:spacing w:line="240" w:lineRule="auto" w:before="21"/>
        <w:ind w:right="0"/>
        <w:jc w:val="both"/>
      </w:pPr>
      <w:r>
        <w:rPr/>
        <w:t>（</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390.66 </w:t>
      </w:r>
      <w:r>
        <w:rPr/>
        <w:t>万股（每股面值 </w:t>
      </w:r>
      <w:r>
        <w:rPr>
          <w:rFonts w:ascii="Times New Roman" w:hAnsi="Times New Roman" w:cs="Times New Roman" w:eastAsia="Times New Roman" w:hint="default"/>
        </w:rPr>
        <w:t>1 </w:t>
      </w:r>
      <w:r>
        <w:rPr>
          <w:spacing w:val="-3"/>
        </w:rPr>
        <w:t>元），授予价格每股 </w:t>
      </w:r>
      <w:r>
        <w:rPr>
          <w:rFonts w:ascii="Times New Roman" w:hAnsi="Times New Roman" w:cs="Times New Roman" w:eastAsia="Times New Roman" w:hint="default"/>
        </w:rPr>
        <w:t>8.58 </w:t>
      </w:r>
      <w:r>
        <w:rPr>
          <w:spacing w:val="-3"/>
        </w:rPr>
        <w:t>元，授予日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21"/>
        </w:rPr>
        <w:t> </w:t>
      </w:r>
      <w:r>
        <w:rPr/>
        <w:t>日。限制性股票</w:t>
      </w:r>
    </w:p>
    <w:p>
      <w:pPr>
        <w:pStyle w:val="BodyText"/>
        <w:spacing w:line="240" w:lineRule="auto" w:before="21"/>
        <w:ind w:right="0"/>
        <w:jc w:val="both"/>
      </w:pPr>
      <w:r>
        <w:rPr/>
        <w:t>自授予日起</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个月为禁售期，禁售期后</w:t>
      </w:r>
      <w:r>
        <w:rPr>
          <w:spacing w:val="-61"/>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个月为解锁期。在满足激励计划规定的解锁条件时，激励对象</w:t>
      </w:r>
    </w:p>
    <w:p>
      <w:pPr>
        <w:pStyle w:val="BodyText"/>
        <w:spacing w:line="259" w:lineRule="auto" w:before="21"/>
        <w:ind w:left="153" w:right="153"/>
        <w:jc w:val="both"/>
      </w:pPr>
      <w:r>
        <w:rPr/>
        <w:t>可分三期申请限制性股票解锁，分别自授予日起 </w:t>
      </w:r>
      <w:r>
        <w:rPr>
          <w:rFonts w:ascii="Times New Roman" w:hAnsi="Times New Roman" w:cs="Times New Roman" w:eastAsia="Times New Roman" w:hint="default"/>
        </w:rPr>
        <w:t>12 </w:t>
      </w:r>
      <w:r>
        <w:rPr>
          <w:spacing w:val="-3"/>
        </w:rPr>
        <w:t>个月后、</w:t>
      </w:r>
      <w:r>
        <w:rPr>
          <w:rFonts w:ascii="Times New Roman" w:hAnsi="Times New Roman" w:cs="Times New Roman" w:eastAsia="Times New Roman" w:hint="default"/>
          <w:spacing w:val="-3"/>
        </w:rPr>
        <w:t>24 </w:t>
      </w:r>
      <w:r>
        <w:rPr/>
        <w:t>个月后及 </w:t>
      </w:r>
      <w:r>
        <w:rPr>
          <w:rFonts w:ascii="Times New Roman" w:hAnsi="Times New Roman" w:cs="Times New Roman" w:eastAsia="Times New Roman" w:hint="default"/>
        </w:rPr>
        <w:t>36</w:t>
      </w:r>
      <w:r>
        <w:rPr>
          <w:rFonts w:ascii="Times New Roman" w:hAnsi="Times New Roman" w:cs="Times New Roman" w:eastAsia="Times New Roman" w:hint="default"/>
          <w:spacing w:val="-6"/>
        </w:rPr>
        <w:t> </w:t>
      </w:r>
      <w:r>
        <w:rPr/>
        <w:t>个月后申请所授予的限制性 股票总量的</w:t>
      </w:r>
      <w:r>
        <w:rPr>
          <w:spacing w:val="-6"/>
        </w:rPr>
        <w:t> </w:t>
      </w:r>
      <w:r>
        <w:rPr>
          <w:rFonts w:ascii="Times New Roman" w:hAnsi="Times New Roman" w:cs="Times New Roman" w:eastAsia="Times New Roman" w:hint="default"/>
        </w:rPr>
        <w:t>40%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。因公司实施</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年度利润分配和资本公积转增股本方案、</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年度利润 分配方案，限制性股票授予价格从每股</w:t>
      </w:r>
      <w:r>
        <w:rPr>
          <w:spacing w:val="-55"/>
        </w:rPr>
        <w:t> </w:t>
      </w:r>
      <w:r>
        <w:rPr>
          <w:rFonts w:ascii="Times New Roman" w:hAnsi="Times New Roman" w:cs="Times New Roman" w:eastAsia="Times New Roman" w:hint="default"/>
        </w:rPr>
        <w:t>8.58</w:t>
      </w:r>
      <w:r>
        <w:rPr>
          <w:rFonts w:ascii="Times New Roman" w:hAnsi="Times New Roman" w:cs="Times New Roman" w:eastAsia="Times New Roman" w:hint="default"/>
          <w:spacing w:val="-2"/>
        </w:rPr>
        <w:t> </w:t>
      </w:r>
      <w:r>
        <w:rPr/>
        <w:t>元调整为每股</w:t>
      </w:r>
      <w:r>
        <w:rPr>
          <w:spacing w:val="-55"/>
        </w:rPr>
        <w:t> </w:t>
      </w:r>
      <w:r>
        <w:rPr>
          <w:rFonts w:ascii="Times New Roman" w:hAnsi="Times New Roman" w:cs="Times New Roman" w:eastAsia="Times New Roman" w:hint="default"/>
        </w:rPr>
        <w:t>4.185</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2、以权益结算的股份支付情况" w:id="382"/>
      <w:bookmarkEnd w:id="382"/>
      <w:r>
        <w:rPr/>
      </w: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44"/>
        <w:ind w:left="0" w:right="159" w:firstLine="0"/>
        <w:jc w:val="right"/>
        <w:rPr>
          <w:rFonts w:ascii="宋体" w:hAnsi="宋体" w:cs="宋体" w:eastAsia="宋体" w:hint="default"/>
          <w:sz w:val="18"/>
          <w:szCs w:val="18"/>
        </w:rPr>
      </w:pPr>
      <w:r>
        <w:rPr/>
        <w:pict>
          <v:shape style="position:absolute;margin-left:56.459999pt;margin-top:-72.248283pt;width:479.1pt;height:132.2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69"/>
                    <w:gridCol w:w="5599"/>
                  </w:tblGrid>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按照授予日</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9"/>
                            <w:sz w:val="18"/>
                            <w:szCs w:val="18"/>
                          </w:rPr>
                          <w:t>日的股票收盘价，根据</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Black-Scholes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期权定 价模型计算限制性股票的公允价值。</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资产负债表日股权激励股份实际持有数。</w:t>
                        </w: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上期估计金额为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12,225,954.80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元，本期因员工离职减少股份支付费用</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32,007.89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元，调整后本期估计股份支付的费用总额为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12,193,946.91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11,587,982.31</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2,088,868.11</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532" w:lineRule="auto"/>
        <w:ind w:left="574" w:right="6926" w:hanging="420"/>
        <w:jc w:val="left"/>
        <w:rPr>
          <w:rFonts w:ascii="宋体" w:hAnsi="宋体" w:cs="宋体" w:eastAsia="宋体" w:hint="default"/>
          <w:b w:val="0"/>
          <w:bCs w:val="0"/>
        </w:rPr>
      </w:pPr>
      <w:r>
        <w:rPr>
          <w:rFonts w:ascii="Times New Roman" w:hAnsi="Times New Roman" w:cs="Times New Roman" w:eastAsia="Times New Roman" w:hint="default"/>
        </w:rPr>
        <w:t>4</w:t>
      </w:r>
      <w:r>
        <w:rPr/>
        <w:t>、股份支付的修改、终止情况</w:t>
      </w:r>
      <w:r>
        <w:rPr>
          <w:spacing w:val="1"/>
          <w:w w:val="99"/>
        </w:rPr>
        <w:t> </w:t>
      </w:r>
      <w:r>
        <w:rPr>
          <w:rFonts w:ascii="宋体" w:hAnsi="宋体" w:cs="宋体" w:eastAsia="宋体" w:hint="default"/>
          <w:b w:val="0"/>
          <w:bCs w:val="0"/>
        </w:rPr>
        <w:t>无。</w:t>
      </w:r>
    </w:p>
    <w:p>
      <w:pPr>
        <w:spacing w:after="0" w:line="532" w:lineRule="auto"/>
        <w:jc w:val="left"/>
        <w:rPr>
          <w:rFonts w:ascii="宋体" w:hAnsi="宋体" w:cs="宋体" w:eastAsia="宋体" w:hint="default"/>
        </w:rPr>
        <w:sectPr>
          <w:pgSz w:w="11910" w:h="16840"/>
          <w:pgMar w:header="747" w:footer="980"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2、或有事项" w:id="383"/>
      <w:bookmarkEnd w:id="383"/>
      <w:r>
        <w:rPr>
          <w:b w:val="0"/>
          <w:bCs w:val="0"/>
        </w:rPr>
      </w:r>
      <w:bookmarkStart w:name="（1）资产负债表日存在的重要或有事项" w:id="384"/>
      <w:bookmarkEnd w:id="384"/>
      <w:r>
        <w:rPr>
          <w:b w:val="0"/>
          <w:bCs w:val="0"/>
        </w:rPr>
      </w:r>
      <w:bookmarkStart w:name="十四、承诺及或有事项" w:id="385"/>
      <w:bookmarkEnd w:id="385"/>
      <w:r>
        <w:rPr>
          <w:b w:val="0"/>
          <w:bCs w:val="0"/>
        </w:rPr>
      </w:r>
      <w:r>
        <w:rPr/>
        <w:t>十四、承诺及或有事项</w:t>
      </w:r>
      <w:r>
        <w:rPr>
          <w:b w:val="0"/>
          <w:bCs w:val="0"/>
        </w:rPr>
      </w:r>
    </w:p>
    <w:p>
      <w:pPr>
        <w:spacing w:line="644" w:lineRule="exact" w:before="52"/>
        <w:ind w:left="574" w:right="641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bookmarkStart w:name="1、重要承诺事项" w:id="386"/>
      <w:bookmarkEnd w:id="386"/>
      <w:r>
        <w:rPr>
          <w:rFonts w:ascii="Times New Roman" w:hAnsi="Times New Roman" w:cs="Times New Roman" w:eastAsia="Times New Roman" w:hint="default"/>
          <w:b/>
          <w:bCs/>
          <w:sz w:val="21"/>
          <w:szCs w:val="21"/>
        </w:rPr>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21"/>
          <w:szCs w:val="21"/>
        </w:rPr>
        <w:t>资产负债表日存在的重要承诺：</w:t>
      </w:r>
    </w:p>
    <w:p>
      <w:pPr>
        <w:pStyle w:val="BodyText"/>
        <w:spacing w:line="309" w:lineRule="auto" w:before="120"/>
        <w:ind w:left="153" w:right="152" w:firstLine="42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日本公司第二届董事会第九次（临时）会议审议通过了《关于使用部分募集资金收购珠 海新德汇信息技术有限公司</w:t>
      </w:r>
      <w:r>
        <w:rPr>
          <w:spacing w:val="3"/>
        </w:rPr>
        <w:t> </w:t>
      </w:r>
      <w:r>
        <w:rPr>
          <w:rFonts w:ascii="Times New Roman" w:hAnsi="Times New Roman" w:cs="Times New Roman" w:eastAsia="Times New Roman" w:hint="default"/>
        </w:rPr>
        <w:t>51%</w:t>
      </w:r>
      <w:r>
        <w:rPr/>
        <w:t>股权的议案》，使用超募资金</w:t>
      </w:r>
      <w:r>
        <w:rPr>
          <w:rFonts w:ascii="Times New Roman" w:hAnsi="Times New Roman" w:cs="Times New Roman" w:eastAsia="Times New Roman" w:hint="default"/>
        </w:rPr>
        <w:t>5,854.80</w:t>
      </w:r>
      <w:r>
        <w:rPr/>
        <w:t>万元，以增资并受让方式取得珠海 市新德汇信息技术有限公司</w:t>
      </w:r>
      <w:r>
        <w:rPr>
          <w:spacing w:val="-7"/>
        </w:rPr>
        <w:t> </w:t>
      </w:r>
      <w:r>
        <w:rPr>
          <w:rFonts w:ascii="Times New Roman" w:hAnsi="Times New Roman" w:cs="Times New Roman" w:eastAsia="Times New Roman" w:hint="default"/>
        </w:rPr>
        <w:t>51%</w:t>
      </w:r>
      <w:r>
        <w:rPr/>
        <w:t>股权。</w:t>
      </w:r>
    </w:p>
    <w:p>
      <w:pPr>
        <w:pStyle w:val="BodyText"/>
        <w:spacing w:line="309" w:lineRule="auto" w:before="136"/>
        <w:ind w:left="153" w:right="152" w:firstLine="42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9</w:t>
      </w:r>
      <w:r>
        <w:rPr>
          <w:spacing w:val="-1"/>
        </w:rPr>
        <w:t>日本公司与珠海市新德汇信息技术有限公司原股东苏学武先生签订的《投资协议》，双方</w:t>
      </w:r>
      <w:r>
        <w:rPr/>
        <w:t> 同意：（</w:t>
      </w:r>
      <w:r>
        <w:rPr>
          <w:rFonts w:ascii="Times New Roman" w:hAnsi="Times New Roman" w:cs="Times New Roman" w:eastAsia="Times New Roman" w:hint="default"/>
        </w:rPr>
        <w:t>1</w:t>
      </w:r>
      <w:r>
        <w:rPr/>
        <w:t>）以现金</w:t>
      </w:r>
      <w:r>
        <w:rPr>
          <w:rFonts w:ascii="Times New Roman" w:hAnsi="Times New Roman" w:cs="Times New Roman" w:eastAsia="Times New Roman" w:hint="default"/>
        </w:rPr>
        <w:t>1000</w:t>
      </w:r>
      <w:r>
        <w:rPr/>
        <w:t>万元对珠海市新德汇信息技术有限公司增资，其中，</w:t>
      </w:r>
      <w:r>
        <w:rPr>
          <w:rFonts w:ascii="Times New Roman" w:hAnsi="Times New Roman" w:cs="Times New Roman" w:eastAsia="Times New Roman" w:hint="default"/>
        </w:rPr>
        <w:t>95.42</w:t>
      </w:r>
      <w:r>
        <w:rPr/>
        <w:t>万元计入注册资本，剩</w:t>
      </w:r>
      <w:r>
        <w:rPr>
          <w:spacing w:val="-88"/>
        </w:rPr>
        <w:t> </w:t>
      </w:r>
      <w:r>
        <w:rPr>
          <w:spacing w:val="-88"/>
        </w:rPr>
      </w:r>
      <w:r>
        <w:rPr/>
        <w:t>余</w:t>
      </w:r>
      <w:r>
        <w:rPr>
          <w:rFonts w:ascii="Times New Roman" w:hAnsi="Times New Roman" w:cs="Times New Roman" w:eastAsia="Times New Roman" w:hint="default"/>
        </w:rPr>
        <w:t>904.58</w:t>
      </w:r>
      <w:r>
        <w:rPr/>
        <w:t>万元计入资本公积，完成持有珠海市新德汇信息技术有限公司</w:t>
      </w:r>
      <w:r>
        <w:rPr>
          <w:rFonts w:ascii="Times New Roman" w:hAnsi="Times New Roman" w:cs="Times New Roman" w:eastAsia="Times New Roman" w:hint="default"/>
        </w:rPr>
        <w:t>8.71%</w:t>
      </w:r>
      <w:r>
        <w:rPr/>
        <w:t>的股权；（</w:t>
      </w:r>
      <w:r>
        <w:rPr>
          <w:rFonts w:ascii="Times New Roman" w:hAnsi="Times New Roman" w:cs="Times New Roman" w:eastAsia="Times New Roman" w:hint="default"/>
        </w:rPr>
        <w:t>2</w:t>
      </w:r>
      <w:r>
        <w:rPr/>
        <w:t>）增资完成后，</w:t>
      </w:r>
      <w:r>
        <w:rPr>
          <w:spacing w:val="-101"/>
        </w:rPr>
        <w:t> </w:t>
      </w:r>
      <w:r>
        <w:rPr>
          <w:spacing w:val="-101"/>
        </w:rPr>
      </w:r>
      <w:r>
        <w:rPr/>
        <w:t>苏学武先生以</w:t>
      </w:r>
      <w:r>
        <w:rPr>
          <w:rFonts w:ascii="Times New Roman" w:hAnsi="Times New Roman" w:cs="Times New Roman" w:eastAsia="Times New Roman" w:hint="default"/>
        </w:rPr>
        <w:t>4,854.80</w:t>
      </w:r>
      <w:r>
        <w:rPr/>
        <w:t>万元价款向本公司转让珠海市新德汇信息技术有限公司</w:t>
      </w:r>
      <w:r>
        <w:rPr>
          <w:rFonts w:ascii="Times New Roman" w:hAnsi="Times New Roman" w:cs="Times New Roman" w:eastAsia="Times New Roman" w:hint="default"/>
        </w:rPr>
        <w:t>42.29%</w:t>
      </w:r>
      <w:r>
        <w:rPr/>
        <w:t>股权。</w:t>
      </w:r>
    </w:p>
    <w:p>
      <w:pPr>
        <w:pStyle w:val="BodyText"/>
        <w:spacing w:line="309" w:lineRule="auto" w:before="136"/>
        <w:ind w:left="153" w:right="153" w:firstLine="420"/>
        <w:jc w:val="both"/>
      </w:pPr>
      <w:r>
        <w:rPr/>
        <w:t>本公司在协议生效之日起</w:t>
      </w:r>
      <w:r>
        <w:rPr>
          <w:rFonts w:ascii="Times New Roman" w:hAnsi="Times New Roman" w:cs="Times New Roman" w:eastAsia="Times New Roman" w:hint="default"/>
        </w:rPr>
        <w:t>15</w:t>
      </w:r>
      <w:r>
        <w:rPr/>
        <w:t>个工作日内，向苏学武先生支付股权转让价款的</w:t>
      </w:r>
      <w:r>
        <w:rPr>
          <w:rFonts w:ascii="Times New Roman" w:hAnsi="Times New Roman" w:cs="Times New Roman" w:eastAsia="Times New Roman" w:hint="default"/>
        </w:rPr>
        <w:t>70%</w:t>
      </w:r>
      <w:r>
        <w:rPr/>
        <w:t>。剩余的转让价款在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年审计报告之日起</w:t>
      </w:r>
      <w:r>
        <w:rPr>
          <w:rFonts w:ascii="Times New Roman" w:hAnsi="Times New Roman" w:cs="Times New Roman" w:eastAsia="Times New Roman" w:hint="default"/>
        </w:rPr>
        <w:t>15</w:t>
      </w:r>
      <w:r>
        <w:rPr/>
        <w:t>个工作日内，满足投资协议约定业绩承诺条件分别支付</w:t>
      </w:r>
      <w:r>
        <w:rPr>
          <w:rFonts w:ascii="Times New Roman" w:hAnsi="Times New Roman" w:cs="Times New Roman" w:eastAsia="Times New Roman" w:hint="default"/>
        </w:rPr>
        <w:t>10%</w:t>
      </w:r>
      <w:r>
        <w:rPr/>
        <w:t>， 若不满足，当期支付款按实现净利润占承诺净利润的百分比</w:t>
      </w:r>
      <w:r>
        <w:rPr>
          <w:rFonts w:ascii="Times New Roman" w:hAnsi="Times New Roman" w:cs="Times New Roman" w:eastAsia="Times New Roman" w:hint="default"/>
        </w:rPr>
        <w:t>*</w:t>
      </w:r>
      <w:r>
        <w:rPr/>
        <w:t>当期应付转让价款。</w:t>
      </w:r>
    </w:p>
    <w:p>
      <w:pPr>
        <w:pStyle w:val="BodyText"/>
        <w:spacing w:line="312" w:lineRule="auto" w:before="136"/>
        <w:ind w:left="153" w:right="149" w:firstLine="420"/>
        <w:jc w:val="both"/>
      </w:pPr>
      <w:r>
        <w:rPr>
          <w:spacing w:val="2"/>
        </w:rPr>
        <w:t>关于使用部分超募资金收购珠海市新德汇信息技术有限公司</w:t>
      </w:r>
      <w:r>
        <w:rPr>
          <w:spacing w:val="39"/>
        </w:rPr>
        <w:t> </w:t>
      </w:r>
      <w:r>
        <w:rPr>
          <w:rFonts w:ascii="Times New Roman" w:hAnsi="Times New Roman" w:cs="Times New Roman" w:eastAsia="Times New Roman" w:hint="default"/>
        </w:rPr>
        <w:t>51%</w:t>
      </w:r>
      <w:r>
        <w:rPr/>
        <w:t>股权时的业绩承诺：苏学武先生承 诺，经具有证券从业资格的审计机构审计后，珠海市新德汇信息技术有限公司 </w:t>
      </w:r>
      <w:r>
        <w:rPr>
          <w:rFonts w:ascii="Times New Roman" w:hAnsi="Times New Roman" w:cs="Times New Roman" w:eastAsia="Times New Roman" w:hint="default"/>
        </w:rPr>
        <w:t>2013</w:t>
      </w:r>
      <w:r>
        <w:rPr>
          <w:rFonts w:ascii="Times New Roman" w:hAnsi="Times New Roman" w:cs="Times New Roman" w:eastAsia="Times New Roman" w:hint="default"/>
          <w:spacing w:val="28"/>
        </w:rPr>
        <w:t> </w:t>
      </w:r>
      <w:r>
        <w:rPr/>
        <w:t>年度经审计后的净利 润不低于 </w:t>
      </w:r>
      <w:r>
        <w:rPr>
          <w:rFonts w:ascii="Times New Roman" w:hAnsi="Times New Roman" w:cs="Times New Roman" w:eastAsia="Times New Roman" w:hint="default"/>
        </w:rPr>
        <w:t>1022 </w:t>
      </w:r>
      <w:r>
        <w:rPr/>
        <w:t>万元，</w:t>
      </w:r>
      <w:r>
        <w:rPr>
          <w:rFonts w:ascii="Times New Roman" w:hAnsi="Times New Roman" w:cs="Times New Roman" w:eastAsia="Times New Roman" w:hint="default"/>
        </w:rPr>
        <w:t>2014 </w:t>
      </w:r>
      <w:r>
        <w:rPr/>
        <w:t>年度经审计后的净利润不低于 </w:t>
      </w:r>
      <w:r>
        <w:rPr>
          <w:rFonts w:ascii="Times New Roman" w:hAnsi="Times New Roman" w:cs="Times New Roman" w:eastAsia="Times New Roman" w:hint="default"/>
        </w:rPr>
        <w:t>1204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21"/>
        </w:rPr>
        <w:t> </w:t>
      </w:r>
      <w:r>
        <w:rPr/>
        <w:t>年度经审计后的净利润不低 于</w:t>
      </w:r>
      <w:r>
        <w:rPr>
          <w:rFonts w:ascii="Times New Roman" w:hAnsi="Times New Roman" w:cs="Times New Roman" w:eastAsia="Times New Roman" w:hint="default"/>
        </w:rPr>
        <w:t>1430</w:t>
      </w:r>
      <w:r>
        <w:rPr>
          <w:rFonts w:ascii="Times New Roman" w:hAnsi="Times New Roman" w:cs="Times New Roman" w:eastAsia="Times New Roman" w:hint="default"/>
          <w:spacing w:val="12"/>
        </w:rPr>
        <w:t> </w:t>
      </w:r>
      <w:r>
        <w:rPr/>
        <w:t>万元。各方一致同意，对新德汇公司</w:t>
      </w:r>
      <w:r>
        <w:rPr>
          <w:spacing w:val="1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2"/>
        </w:rPr>
        <w:t> </w:t>
      </w:r>
      <w:r>
        <w:rPr/>
        <w:t>年度、</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年度、</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年度经审计后的净利润进行</w:t>
      </w:r>
      <w:r>
        <w:rPr>
          <w:spacing w:val="-103"/>
        </w:rPr>
        <w:t> </w:t>
      </w:r>
      <w:r>
        <w:rPr>
          <w:spacing w:val="-103"/>
        </w:rPr>
      </w:r>
      <w:r>
        <w:rPr>
          <w:spacing w:val="-1"/>
        </w:rPr>
        <w:t>累计考核，如果三年经审计后的累计实际净利润总额未达到承诺净利润总额的，苏学武先生应对收购方给</w:t>
      </w:r>
      <w:r>
        <w:rPr>
          <w:spacing w:val="-81"/>
        </w:rPr>
        <w:t> </w:t>
      </w:r>
      <w:r>
        <w:rPr>
          <w:spacing w:val="-81"/>
        </w:rPr>
      </w:r>
      <w:r>
        <w:rPr/>
        <w:t>予现金补偿，补偿计算公式如下：现金补偿 </w:t>
      </w:r>
      <w:r>
        <w:rPr>
          <w:rFonts w:ascii="Times New Roman" w:hAnsi="Times New Roman" w:cs="Times New Roman" w:eastAsia="Times New Roman" w:hint="default"/>
        </w:rPr>
        <w:t>=</w:t>
      </w:r>
      <w:r>
        <w:rPr/>
        <w:t>（三年累计承诺净利润总额 </w:t>
      </w:r>
      <w:r>
        <w:rPr>
          <w:rFonts w:ascii="Times New Roman" w:hAnsi="Times New Roman" w:cs="Times New Roman" w:eastAsia="Times New Roman" w:hint="default"/>
        </w:rPr>
        <w:t>-  </w:t>
      </w:r>
      <w:r>
        <w:rPr>
          <w:rFonts w:ascii="Times New Roman" w:hAnsi="Times New Roman" w:cs="Times New Roman" w:eastAsia="Times New Roman" w:hint="default"/>
          <w:spacing w:val="36"/>
        </w:rPr>
        <w:t> </w:t>
      </w:r>
      <w:r>
        <w:rPr/>
        <w:t>三年累计实际净利润总额）</w:t>
      </w:r>
    </w:p>
    <w:p>
      <w:pPr>
        <w:pStyle w:val="BodyText"/>
        <w:spacing w:line="240" w:lineRule="auto" w:before="14"/>
        <w:ind w:left="153" w:right="0"/>
        <w:jc w:val="left"/>
      </w:pPr>
      <w:r>
        <w:rPr/>
        <w:t>×</w:t>
      </w:r>
      <w:r>
        <w:rPr>
          <w:rFonts w:ascii="Times New Roman" w:hAnsi="Times New Roman" w:cs="Times New Roman" w:eastAsia="Times New Roman" w:hint="default"/>
        </w:rPr>
        <w:t>51%</w:t>
      </w:r>
      <w:r>
        <w:rPr/>
        <w:t>。</w:t>
      </w:r>
    </w:p>
    <w:p>
      <w:pPr>
        <w:spacing w:line="240" w:lineRule="auto" w:before="7"/>
        <w:rPr>
          <w:rFonts w:ascii="宋体" w:hAnsi="宋体" w:cs="宋体" w:eastAsia="宋体" w:hint="default"/>
          <w:sz w:val="15"/>
          <w:szCs w:val="15"/>
        </w:rPr>
      </w:pPr>
    </w:p>
    <w:p>
      <w:pPr>
        <w:pStyle w:val="BodyText"/>
        <w:spacing w:line="319" w:lineRule="auto"/>
        <w:ind w:left="153" w:right="152" w:firstLine="420"/>
        <w:jc w:val="both"/>
      </w:pPr>
      <w:r>
        <w:rPr>
          <w:spacing w:val="-1"/>
        </w:rPr>
        <w:t>本公司承诺在满足《投资协议》约定的业绩考核期满，达到收购前提条件时立即启动收购珠海市新德</w:t>
      </w:r>
      <w:r>
        <w:rPr/>
        <w:t> 汇信息技术有限公司剩余</w:t>
      </w:r>
      <w:r>
        <w:rPr>
          <w:spacing w:val="14"/>
        </w:rPr>
        <w:t> </w:t>
      </w:r>
      <w:r>
        <w:rPr>
          <w:rFonts w:ascii="Times New Roman" w:hAnsi="Times New Roman" w:cs="Times New Roman" w:eastAsia="Times New Roman" w:hint="default"/>
          <w:spacing w:val="-3"/>
        </w:rPr>
        <w:t>49%</w:t>
      </w:r>
      <w:r>
        <w:rPr>
          <w:spacing w:val="-3"/>
        </w:rPr>
        <w:t>股权程序。收购价格应不低于：</w:t>
      </w:r>
      <w:r>
        <w:rPr>
          <w:rFonts w:ascii="Times New Roman" w:hAnsi="Times New Roman" w:cs="Times New Roman" w:eastAsia="Times New Roman" w:hint="default"/>
          <w:spacing w:val="-3"/>
        </w:rPr>
        <w:t>2015</w:t>
      </w:r>
      <w:r>
        <w:rPr>
          <w:spacing w:val="-3"/>
        </w:rPr>
        <w:t>年新德汇公司经审计的扣除非经常性损</w:t>
      </w:r>
      <w:r>
        <w:rPr/>
        <w:t> 益后的净利润×</w:t>
      </w:r>
      <w:r>
        <w:rPr>
          <w:rFonts w:ascii="Times New Roman" w:hAnsi="Times New Roman" w:cs="Times New Roman" w:eastAsia="Times New Roman" w:hint="default"/>
        </w:rPr>
        <w:t>10</w:t>
      </w:r>
      <w:r>
        <w:rPr/>
        <w:t>×</w:t>
      </w:r>
      <w:r>
        <w:rPr>
          <w:rFonts w:ascii="Times New Roman" w:hAnsi="Times New Roman" w:cs="Times New Roman" w:eastAsia="Times New Roman" w:hint="default"/>
        </w:rPr>
        <w:t>49%</w:t>
      </w:r>
      <w:r>
        <w:rPr/>
        <w:t>。</w:t>
      </w:r>
    </w:p>
    <w:p>
      <w:pPr>
        <w:pStyle w:val="BodyText"/>
        <w:spacing w:line="309" w:lineRule="auto" w:before="127"/>
        <w:ind w:left="153" w:right="152" w:firstLine="420"/>
        <w:jc w:val="both"/>
      </w:pPr>
      <w:r>
        <w:rPr>
          <w:rFonts w:ascii="Times New Roman" w:hAnsi="Times New Roman" w:cs="Times New Roman" w:eastAsia="Times New Roman" w:hint="default"/>
          <w:spacing w:val="-2"/>
        </w:rPr>
        <w:t>2013</w:t>
      </w:r>
      <w:r>
        <w:rPr>
          <w:spacing w:val="-2"/>
        </w:rPr>
        <w:t>年度珠海市新德汇信息技术有限公司业绩达到苏学武先生承诺条件，本公司于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月支付</w:t>
      </w:r>
      <w:r>
        <w:rPr>
          <w:rFonts w:ascii="Times New Roman" w:hAnsi="Times New Roman" w:cs="Times New Roman" w:eastAsia="Times New Roman" w:hint="default"/>
          <w:spacing w:val="-2"/>
        </w:rPr>
        <w:t>10%</w:t>
      </w:r>
      <w:r>
        <w:rPr>
          <w:rFonts w:ascii="Times New Roman" w:hAnsi="Times New Roman" w:cs="Times New Roman" w:eastAsia="Times New Roman" w:hint="default"/>
        </w:rPr>
        <w:t> </w:t>
      </w:r>
      <w:r>
        <w:rPr>
          <w:spacing w:val="-2"/>
        </w:rPr>
        <w:t>股权转让价款即</w:t>
      </w:r>
      <w:r>
        <w:rPr>
          <w:rFonts w:ascii="Times New Roman" w:hAnsi="Times New Roman" w:cs="Times New Roman" w:eastAsia="Times New Roman" w:hint="default"/>
          <w:spacing w:val="-2"/>
        </w:rPr>
        <w:t>485.48</w:t>
      </w:r>
      <w:r>
        <w:rPr>
          <w:spacing w:val="-2"/>
        </w:rPr>
        <w:t>万元，截至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日止，本公司尚有</w:t>
      </w:r>
      <w:r>
        <w:rPr>
          <w:rFonts w:ascii="Times New Roman" w:hAnsi="Times New Roman" w:cs="Times New Roman" w:eastAsia="Times New Roman" w:hint="default"/>
          <w:spacing w:val="-2"/>
        </w:rPr>
        <w:t>20%</w:t>
      </w:r>
      <w:r>
        <w:rPr>
          <w:spacing w:val="-2"/>
        </w:rPr>
        <w:t>股权转让价款即</w:t>
      </w:r>
      <w:r>
        <w:rPr>
          <w:rFonts w:ascii="Times New Roman" w:hAnsi="Times New Roman" w:cs="Times New Roman" w:eastAsia="Times New Roman" w:hint="default"/>
          <w:spacing w:val="-2"/>
        </w:rPr>
        <w:t>970.96</w:t>
      </w:r>
      <w:r>
        <w:rPr>
          <w:spacing w:val="-2"/>
        </w:rPr>
        <w:t>万元，未支付</w:t>
      </w:r>
      <w:r>
        <w:rPr>
          <w:spacing w:val="-98"/>
        </w:rPr>
        <w:t> </w:t>
      </w:r>
      <w:r>
        <w:rPr>
          <w:spacing w:val="-98"/>
        </w:rPr>
      </w:r>
      <w:r>
        <w:rPr/>
        <w:t>给苏学武先生。</w:t>
      </w:r>
    </w:p>
    <w:p>
      <w:pPr>
        <w:pStyle w:val="BodyText"/>
        <w:spacing w:line="240" w:lineRule="auto" w:before="158"/>
        <w:ind w:left="573"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日，本公司不存在其他应披露的承诺事项。</w:t>
      </w:r>
    </w:p>
    <w:p>
      <w:pPr>
        <w:spacing w:line="240" w:lineRule="auto" w:before="0"/>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30" w:lineRule="auto" w:before="0"/>
        <w:ind w:left="574" w:right="20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日，本集团不存在应披露的未决诉讼、对外担保等或有事项。</w:t>
      </w:r>
    </w:p>
    <w:p>
      <w:pPr>
        <w:spacing w:after="0" w:line="530" w:lineRule="auto"/>
        <w:jc w:val="left"/>
        <w:rPr>
          <w:rFonts w:ascii="宋体" w:hAnsi="宋体" w:cs="宋体" w:eastAsia="宋体" w:hint="default"/>
          <w:sz w:val="21"/>
          <w:szCs w:val="21"/>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spacing w:line="530" w:lineRule="auto" w:before="35"/>
        <w:ind w:left="574" w:right="4607" w:hanging="420"/>
        <w:jc w:val="left"/>
        <w:rPr>
          <w:rFonts w:ascii="宋体" w:hAnsi="宋体" w:cs="宋体" w:eastAsia="宋体" w:hint="default"/>
          <w:sz w:val="21"/>
          <w:szCs w:val="21"/>
        </w:rPr>
      </w:pPr>
      <w:bookmarkStart w:name="4、其他资产负债表日后事项说明" w:id="387"/>
      <w:bookmarkEnd w:id="387"/>
      <w:r>
        <w:rPr/>
      </w:r>
      <w:bookmarkStart w:name="十六、其他重要事项" w:id="388"/>
      <w:bookmarkEnd w:id="388"/>
      <w:r>
        <w:rPr/>
      </w:r>
      <w:bookmarkStart w:name="1、前期会计差错更正" w:id="389"/>
      <w:bookmarkEnd w:id="389"/>
      <w:r>
        <w:rPr/>
      </w:r>
      <w:bookmarkStart w:name="2、债务重组" w:id="390"/>
      <w:bookmarkEnd w:id="3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公司没有需要披露的重要或有事项，也应予以说明" w:id="391"/>
      <w:bookmarkEnd w:id="391"/>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spacing w:val="1"/>
          <w:w w:val="99"/>
          <w:sz w:val="21"/>
          <w:szCs w:val="21"/>
        </w:rPr>
        <w:t> </w:t>
      </w:r>
      <w:r>
        <w:rPr>
          <w:rFonts w:ascii="宋体" w:hAnsi="宋体" w:cs="宋体" w:eastAsia="宋体" w:hint="default"/>
          <w:sz w:val="21"/>
          <w:szCs w:val="21"/>
        </w:rPr>
        <w:t>公司不存在需要披露的重要或有事项。</w:t>
      </w:r>
    </w:p>
    <w:p>
      <w:pPr>
        <w:pStyle w:val="Heading2"/>
        <w:spacing w:line="240" w:lineRule="auto" w:before="92"/>
        <w:ind w:right="0"/>
        <w:jc w:val="left"/>
        <w:rPr>
          <w:b w:val="0"/>
          <w:bCs w:val="0"/>
        </w:rPr>
      </w:pPr>
      <w:bookmarkStart w:name="十五、资产负债表日后事项" w:id="392"/>
      <w:bookmarkEnd w:id="392"/>
      <w:r>
        <w:rPr>
          <w:b w:val="0"/>
          <w:bCs w:val="0"/>
        </w:rPr>
      </w:r>
      <w:r>
        <w:rPr/>
        <w:t>十五、资产负债表日后事项</w:t>
      </w:r>
      <w:r>
        <w:rPr>
          <w:b w:val="0"/>
          <w:bCs w:val="0"/>
        </w:rPr>
      </w:r>
    </w:p>
    <w:p>
      <w:pPr>
        <w:pStyle w:val="BodyText"/>
        <w:spacing w:line="644" w:lineRule="exact" w:before="52"/>
        <w:ind w:left="574" w:right="0" w:hanging="420"/>
        <w:jc w:val="left"/>
      </w:pPr>
      <w:r>
        <w:rPr>
          <w:rFonts w:ascii="Times New Roman" w:hAnsi="Times New Roman" w:cs="Times New Roman" w:eastAsia="Times New Roman" w:hint="default"/>
          <w:b/>
          <w:bCs/>
        </w:rPr>
        <w:t>1</w:t>
      </w:r>
      <w:r>
        <w:rPr>
          <w:rFonts w:ascii="宋体" w:hAnsi="宋体" w:cs="宋体" w:eastAsia="宋体" w:hint="default"/>
          <w:b/>
          <w:bCs/>
        </w:rPr>
        <w:t>、重要的非调整事项</w:t>
      </w:r>
      <w:r>
        <w:rPr>
          <w:rFonts w:ascii="宋体" w:hAnsi="宋体" w:cs="宋体" w:eastAsia="宋体" w:hint="default"/>
          <w:b/>
          <w:bCs/>
          <w:spacing w:val="1"/>
          <w:w w:val="99"/>
        </w:rPr>
        <w:t> </w:t>
      </w:r>
      <w:bookmarkStart w:name="1、重要的非调整事项" w:id="393"/>
      <w:bookmarkEnd w:id="393"/>
      <w:r>
        <w:rPr>
          <w:rFonts w:ascii="宋体" w:hAnsi="宋体" w:cs="宋体" w:eastAsia="宋体" w:hint="default"/>
          <w:b/>
          <w:bCs/>
          <w:spacing w:val="1"/>
          <w:w w:val="99"/>
        </w:rPr>
      </w:r>
      <w:r>
        <w:rPr>
          <w:spacing w:val="-1"/>
        </w:rPr>
        <w:t>本公司拟与厦门文广传媒集团有限公司、厦门维信投资有限公司、厦门外图集团有限公司、建信信托</w:t>
      </w:r>
    </w:p>
    <w:p>
      <w:pPr>
        <w:pStyle w:val="BodyText"/>
        <w:spacing w:line="312" w:lineRule="auto"/>
        <w:ind w:left="153" w:right="148"/>
        <w:jc w:val="both"/>
      </w:pPr>
      <w:r>
        <w:rPr>
          <w:spacing w:val="-1"/>
        </w:rPr>
        <w:t>有限责任公司四个合作方合资设立国家海峡版权交易中心有限公司（以下简称“合资公司”）。合资公司</w:t>
      </w:r>
      <w:r>
        <w:rPr>
          <w:spacing w:val="-83"/>
        </w:rPr>
        <w:t> </w:t>
      </w:r>
      <w:r>
        <w:rPr>
          <w:spacing w:val="-83"/>
        </w:rPr>
      </w:r>
      <w:r>
        <w:rPr/>
        <w:t>注册资本</w:t>
      </w:r>
      <w:r>
        <w:rPr>
          <w:rFonts w:ascii="Times New Roman" w:hAnsi="Times New Roman" w:cs="Times New Roman" w:eastAsia="Times New Roman" w:hint="default"/>
        </w:rPr>
        <w:t>5000</w:t>
      </w:r>
      <w:r>
        <w:rPr/>
        <w:t>万元，厦门文广传媒集团有限公司现金出资</w:t>
      </w:r>
      <w:r>
        <w:rPr>
          <w:rFonts w:ascii="Times New Roman" w:hAnsi="Times New Roman" w:cs="Times New Roman" w:eastAsia="Times New Roman" w:hint="default"/>
        </w:rPr>
        <w:t>2000</w:t>
      </w:r>
      <w:r>
        <w:rPr/>
        <w:t>万元，占合资公司</w:t>
      </w:r>
      <w:r>
        <w:rPr>
          <w:rFonts w:ascii="Times New Roman" w:hAnsi="Times New Roman" w:cs="Times New Roman" w:eastAsia="Times New Roman" w:hint="default"/>
        </w:rPr>
        <w:t>40%</w:t>
      </w:r>
      <w:r>
        <w:rPr/>
        <w:t>股权；厦门维信投资</w:t>
      </w:r>
      <w:r>
        <w:rPr>
          <w:spacing w:val="-101"/>
        </w:rPr>
        <w:t> </w:t>
      </w:r>
      <w:r>
        <w:rPr>
          <w:spacing w:val="-101"/>
        </w:rPr>
      </w:r>
      <w:r>
        <w:rPr/>
        <w:t>有限公司现金出资</w:t>
      </w:r>
      <w:r>
        <w:rPr>
          <w:rFonts w:ascii="Times New Roman" w:hAnsi="Times New Roman" w:cs="Times New Roman" w:eastAsia="Times New Roman" w:hint="default"/>
        </w:rPr>
        <w:t>1000</w:t>
      </w:r>
      <w:r>
        <w:rPr/>
        <w:t>万元，占合资公司</w:t>
      </w:r>
      <w:r>
        <w:rPr>
          <w:spacing w:val="3"/>
        </w:rPr>
        <w:t> </w:t>
      </w:r>
      <w:r>
        <w:rPr>
          <w:rFonts w:ascii="Times New Roman" w:hAnsi="Times New Roman" w:cs="Times New Roman" w:eastAsia="Times New Roman" w:hint="default"/>
        </w:rPr>
        <w:t>20%</w:t>
      </w:r>
      <w:r>
        <w:rPr/>
        <w:t>股权；厦门外图集团有限公司现金出资</w:t>
      </w:r>
      <w:r>
        <w:rPr>
          <w:rFonts w:ascii="Times New Roman" w:hAnsi="Times New Roman" w:cs="Times New Roman" w:eastAsia="Times New Roman" w:hint="default"/>
        </w:rPr>
        <w:t>500</w:t>
      </w:r>
      <w:r>
        <w:rPr/>
        <w:t>万元，占合资公 司</w:t>
      </w:r>
      <w:r>
        <w:rPr>
          <w:rFonts w:ascii="Times New Roman" w:hAnsi="Times New Roman" w:cs="Times New Roman" w:eastAsia="Times New Roman" w:hint="default"/>
        </w:rPr>
        <w:t>10%</w:t>
      </w:r>
      <w:r>
        <w:rPr/>
        <w:t>股权；建信信托有限责任公司现金出资</w:t>
      </w:r>
      <w:r>
        <w:rPr>
          <w:rFonts w:ascii="Times New Roman" w:hAnsi="Times New Roman" w:cs="Times New Roman" w:eastAsia="Times New Roman" w:hint="default"/>
        </w:rPr>
        <w:t>500</w:t>
      </w:r>
      <w:r>
        <w:rPr/>
        <w:t>万元，占合资公司</w:t>
      </w:r>
      <w:r>
        <w:rPr>
          <w:rFonts w:ascii="Times New Roman" w:hAnsi="Times New Roman" w:cs="Times New Roman" w:eastAsia="Times New Roman" w:hint="default"/>
        </w:rPr>
        <w:t>10%</w:t>
      </w:r>
      <w:r>
        <w:rPr/>
        <w:t>股权；本公司以自有现金</w:t>
      </w:r>
      <w:r>
        <w:rPr>
          <w:rFonts w:ascii="Times New Roman" w:hAnsi="Times New Roman" w:cs="Times New Roman" w:eastAsia="Times New Roman" w:hint="default"/>
        </w:rPr>
        <w:t>500</w:t>
      </w:r>
      <w:r>
        <w:rPr/>
        <w:t>万元</w:t>
      </w:r>
      <w:r>
        <w:rPr>
          <w:spacing w:val="-69"/>
        </w:rPr>
        <w:t> </w:t>
      </w:r>
      <w:r>
        <w:rPr>
          <w:spacing w:val="-2"/>
        </w:rPr>
        <w:t>加预计评估值为</w:t>
      </w:r>
      <w:r>
        <w:rPr>
          <w:rFonts w:ascii="Times New Roman" w:hAnsi="Times New Roman" w:cs="Times New Roman" w:eastAsia="Times New Roman" w:hint="default"/>
          <w:spacing w:val="-2"/>
        </w:rPr>
        <w:t>500</w:t>
      </w:r>
      <w:r>
        <w:rPr>
          <w:spacing w:val="-2"/>
        </w:rPr>
        <w:t>万元的技术平台出资，占合资公司</w:t>
      </w:r>
      <w:r>
        <w:rPr>
          <w:rFonts w:ascii="Times New Roman" w:hAnsi="Times New Roman" w:cs="Times New Roman" w:eastAsia="Times New Roman" w:hint="default"/>
          <w:spacing w:val="-2"/>
        </w:rPr>
        <w:t>20%</w:t>
      </w:r>
      <w:r>
        <w:rPr>
          <w:spacing w:val="-2"/>
        </w:rPr>
        <w:t>股权。本次对外投资事项已经本公司第二届董事</w:t>
      </w:r>
      <w:r>
        <w:rPr/>
        <w:t> 会第十九次（临时）会议审议通过。</w:t>
      </w:r>
    </w:p>
    <w:p>
      <w:pPr>
        <w:pStyle w:val="BodyText"/>
        <w:spacing w:line="644" w:lineRule="exact" w:before="36"/>
        <w:ind w:left="574" w:right="0" w:hanging="420"/>
        <w:jc w:val="left"/>
      </w:pPr>
      <w:r>
        <w:rPr>
          <w:rFonts w:ascii="Times New Roman" w:hAnsi="Times New Roman" w:cs="Times New Roman" w:eastAsia="Times New Roman" w:hint="default"/>
          <w:b/>
          <w:bCs/>
        </w:rPr>
        <w:t>2</w:t>
      </w:r>
      <w:r>
        <w:rPr>
          <w:rFonts w:ascii="宋体" w:hAnsi="宋体" w:cs="宋体" w:eastAsia="宋体" w:hint="default"/>
          <w:b/>
          <w:bCs/>
        </w:rPr>
        <w:t>、利润分配情况</w:t>
      </w:r>
      <w:r>
        <w:rPr>
          <w:rFonts w:ascii="宋体" w:hAnsi="宋体" w:cs="宋体" w:eastAsia="宋体" w:hint="default"/>
          <w:b/>
          <w:bCs/>
          <w:w w:val="99"/>
        </w:rPr>
        <w:t> </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日召开第二届董事会第二</w:t>
      </w:r>
      <w:bookmarkStart w:name="2、利润分配情况" w:id="394"/>
      <w:bookmarkEnd w:id="394"/>
      <w:r>
        <w:rPr/>
        <w:t>十次会</w:t>
      </w:r>
      <w:r>
        <w:rPr/>
        <w:t>议，审议通过本公司</w:t>
      </w:r>
      <w:r>
        <w:rPr>
          <w:rFonts w:ascii="Times New Roman" w:hAnsi="Times New Roman" w:cs="Times New Roman" w:eastAsia="Times New Roman" w:hint="default"/>
        </w:rPr>
        <w:t>2014</w:t>
      </w:r>
      <w:r>
        <w:rPr/>
        <w:t>年度权益分派预案列</w:t>
      </w:r>
    </w:p>
    <w:p>
      <w:pPr>
        <w:pStyle w:val="BodyText"/>
        <w:spacing w:line="309" w:lineRule="auto"/>
        <w:ind w:right="149" w:hanging="1"/>
        <w:jc w:val="both"/>
      </w:pPr>
      <w:r>
        <w:rPr/>
        <w:t>示如下：以截至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t>日公司总股本</w:t>
      </w:r>
      <w:r>
        <w:rPr>
          <w:rFonts w:ascii="Times New Roman" w:hAnsi="Times New Roman" w:cs="Times New Roman" w:eastAsia="Times New Roman" w:hint="default"/>
        </w:rPr>
        <w:t>221,581,600</w:t>
      </w:r>
      <w:r>
        <w:rPr/>
        <w:t>股为基数，向全体股东按每</w:t>
      </w:r>
      <w:r>
        <w:rPr>
          <w:rFonts w:ascii="Times New Roman" w:hAnsi="Times New Roman" w:cs="Times New Roman" w:eastAsia="Times New Roman" w:hint="default"/>
        </w:rPr>
        <w:t>10</w:t>
      </w:r>
      <w:r>
        <w:rPr/>
        <w:t>股派发现金股利人 民币</w:t>
      </w:r>
      <w:r>
        <w:rPr>
          <w:rFonts w:ascii="Times New Roman" w:hAnsi="Times New Roman" w:cs="Times New Roman" w:eastAsia="Times New Roman" w:hint="default"/>
        </w:rPr>
        <w:t>0.45</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股。上述权益分派预案尚须经本公司</w:t>
      </w:r>
      <w:r>
        <w:rPr>
          <w:spacing w:val="-87"/>
        </w:rPr>
        <w:t> </w:t>
      </w:r>
      <w:r>
        <w:rPr>
          <w:spacing w:val="-87"/>
        </w:rPr>
      </w:r>
      <w:r>
        <w:rPr/>
        <w:t>股东大会审议批准后实施。</w:t>
      </w:r>
    </w:p>
    <w:p>
      <w:pPr>
        <w:spacing w:line="240" w:lineRule="auto" w:before="8"/>
        <w:rPr>
          <w:rFonts w:ascii="宋体" w:hAnsi="宋体" w:cs="宋体" w:eastAsia="宋体" w:hint="default"/>
          <w:sz w:val="23"/>
          <w:szCs w:val="23"/>
        </w:rPr>
      </w:pPr>
    </w:p>
    <w:p>
      <w:pPr>
        <w:spacing w:line="530" w:lineRule="auto" w:before="0"/>
        <w:ind w:left="574" w:right="861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b/>
          <w:bCs/>
          <w:w w:val="99"/>
          <w:sz w:val="21"/>
          <w:szCs w:val="21"/>
        </w:rPr>
        <w:t> </w:t>
      </w:r>
      <w:r>
        <w:rPr>
          <w:rFonts w:ascii="宋体" w:hAnsi="宋体" w:cs="宋体" w:eastAsia="宋体" w:hint="default"/>
          <w:sz w:val="21"/>
          <w:szCs w:val="21"/>
        </w:rPr>
        <w:t>无。</w:t>
      </w:r>
    </w:p>
    <w:p>
      <w:pPr>
        <w:pStyle w:val="Heading4"/>
        <w:spacing w:line="240" w:lineRule="auto" w:before="115"/>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7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46"/>
        </w:rPr>
        <w:t> </w:t>
      </w:r>
      <w:r>
        <w:rPr/>
        <w:t>日（董</w:t>
      </w:r>
      <w:bookmarkStart w:name="3、销售退回" w:id="395"/>
      <w:bookmarkEnd w:id="395"/>
      <w:r>
        <w:rPr/>
        <w:t>事会批准报告日），本集团不存在其他应披露的资产负债表日后事项。</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532" w:lineRule="auto"/>
        <w:ind w:left="574" w:right="7770" w:hanging="420"/>
        <w:jc w:val="left"/>
        <w:rPr>
          <w:rFonts w:ascii="宋体" w:hAnsi="宋体" w:cs="宋体" w:eastAsia="宋体" w:hint="default"/>
          <w:b w:val="0"/>
          <w:bCs w:val="0"/>
        </w:rPr>
      </w:pPr>
      <w:r>
        <w:rPr>
          <w:rFonts w:ascii="Times New Roman" w:hAnsi="Times New Roman" w:cs="Times New Roman" w:eastAsia="Times New Roman" w:hint="default"/>
        </w:rPr>
        <w:t>1</w:t>
      </w:r>
      <w:r>
        <w:rPr/>
        <w:t>、前期会计差错更正</w:t>
      </w:r>
      <w:r>
        <w:rPr>
          <w:spacing w:val="1"/>
          <w:w w:val="99"/>
        </w:rPr>
        <w:t> </w:t>
      </w:r>
      <w:r>
        <w:rPr>
          <w:rFonts w:ascii="宋体" w:hAnsi="宋体" w:cs="宋体" w:eastAsia="宋体" w:hint="default"/>
          <w:b w:val="0"/>
          <w:bCs w:val="0"/>
        </w:rPr>
        <w:t>无。</w:t>
      </w:r>
    </w:p>
    <w:p>
      <w:pPr>
        <w:spacing w:line="530" w:lineRule="auto" w:before="113"/>
        <w:ind w:left="574" w:right="861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after="0" w:line="530" w:lineRule="auto"/>
        <w:jc w:val="left"/>
        <w:rPr>
          <w:rFonts w:ascii="宋体" w:hAnsi="宋体" w:cs="宋体" w:eastAsia="宋体" w:hint="default"/>
          <w:sz w:val="21"/>
          <w:szCs w:val="21"/>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4"/>
        <w:spacing w:line="547" w:lineRule="auto" w:before="35"/>
        <w:ind w:left="49" w:right="8526"/>
        <w:jc w:val="center"/>
        <w:rPr>
          <w:b w:val="0"/>
          <w:bCs w:val="0"/>
        </w:rPr>
      </w:pPr>
      <w:bookmarkStart w:name="（1）应收账款分类披露" w:id="396"/>
      <w:bookmarkEnd w:id="396"/>
      <w:r>
        <w:rPr>
          <w:b w:val="0"/>
          <w:bCs w:val="0"/>
        </w:rPr>
      </w:r>
      <w:r>
        <w:rPr>
          <w:rFonts w:ascii="Times New Roman" w:hAnsi="Times New Roman" w:cs="Times New Roman" w:eastAsia="Times New Roman" w:hint="default"/>
        </w:rPr>
        <w:t>3</w:t>
      </w:r>
      <w:bookmarkStart w:name="3、资产置换" w:id="397"/>
      <w:bookmarkEnd w:id="397"/>
      <w:r>
        <w:rPr>
          <w:rFonts w:ascii="Times New Roman" w:hAnsi="Times New Roman" w:cs="Times New Roman" w:eastAsia="Times New Roman" w:hint="default"/>
        </w:rPr>
      </w:r>
      <w:r>
        <w:rPr/>
        <w:t>、资产置换</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4</w:t>
      </w:r>
      <w:r>
        <w:rPr/>
        <w:t>、年金计划</w:t>
      </w:r>
      <w:r>
        <w:rPr>
          <w:b w:val="0"/>
          <w:bCs w:val="0"/>
        </w:rPr>
      </w:r>
    </w:p>
    <w:p>
      <w:pPr>
        <w:pStyle w:val="BodyText"/>
        <w:spacing w:line="273" w:lineRule="auto" w:before="23"/>
        <w:ind w:right="0" w:firstLine="420"/>
        <w:jc w:val="left"/>
      </w:pPr>
      <w:bookmarkStart w:name="4、年金计划" w:id="398"/>
      <w:bookmarkEnd w:id="398"/>
      <w:r>
        <w:rPr/>
      </w:r>
      <w:r>
        <w:rPr>
          <w:spacing w:val="-1"/>
        </w:rPr>
        <w:t>除了社会基本养老保险之外，本公司依据国家企业年金制度的相关政策建立企业年金计划（“年金计</w:t>
      </w:r>
      <w:r>
        <w:rPr/>
        <w:t> 划”），符合年金条件的公司员工可以自愿参加该年金计划。</w:t>
      </w:r>
    </w:p>
    <w:p>
      <w:pPr>
        <w:spacing w:line="240" w:lineRule="auto" w:before="6"/>
        <w:rPr>
          <w:rFonts w:ascii="宋体" w:hAnsi="宋体" w:cs="宋体" w:eastAsia="宋体" w:hint="default"/>
          <w:sz w:val="23"/>
          <w:szCs w:val="23"/>
        </w:rPr>
      </w:pPr>
    </w:p>
    <w:p>
      <w:pPr>
        <w:spacing w:line="542" w:lineRule="auto" w:before="0"/>
        <w:ind w:left="49" w:right="8526"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b/>
          <w:bCs/>
          <w:w w:val="99"/>
          <w:sz w:val="21"/>
          <w:szCs w:val="21"/>
        </w:rPr>
        <w:t> </w:t>
      </w:r>
      <w:r>
        <w:rPr>
          <w:rFonts w:ascii="宋体" w:hAnsi="宋体" w:cs="宋体" w:eastAsia="宋体" w:hint="default"/>
          <w:sz w:val="21"/>
          <w:szCs w:val="21"/>
        </w:rPr>
        <w:t>无。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b/>
          <w:bCs/>
          <w:w w:val="99"/>
          <w:sz w:val="21"/>
          <w:szCs w:val="21"/>
        </w:rPr>
        <w:t> </w:t>
      </w:r>
      <w:r>
        <w:rPr>
          <w:rFonts w:ascii="宋体" w:hAnsi="宋体" w:cs="宋体" w:eastAsia="宋体" w:hint="default"/>
          <w:sz w:val="21"/>
          <w:szCs w:val="21"/>
        </w:rPr>
        <w:t>无。</w:t>
      </w:r>
    </w:p>
    <w:p>
      <w:pPr>
        <w:pStyle w:val="Heading4"/>
        <w:spacing w:line="530" w:lineRule="auto" w:before="105"/>
        <w:ind w:left="574" w:right="5451" w:hanging="420"/>
        <w:jc w:val="left"/>
        <w:rPr>
          <w:rFonts w:ascii="宋体" w:hAnsi="宋体" w:cs="宋体" w:eastAsia="宋体" w:hint="default"/>
          <w:b w:val="0"/>
          <w:bCs w:val="0"/>
        </w:rPr>
      </w:pPr>
      <w:r>
        <w:rPr>
          <w:rFonts w:ascii="Times New Roman" w:hAnsi="Times New Roman" w:cs="Times New Roman" w:eastAsia="Times New Roman" w:hint="default"/>
        </w:rPr>
        <w:t>7</w:t>
      </w:r>
      <w:r>
        <w:rPr/>
        <w:t>、其他对投资者决策有影</w:t>
      </w:r>
      <w:bookmarkStart w:name="5、终止经营" w:id="399"/>
      <w:bookmarkEnd w:id="399"/>
      <w:r>
        <w:rPr/>
        <w:t>响的重要</w:t>
      </w:r>
      <w:r>
        <w:rPr/>
        <w:t>交</w:t>
      </w:r>
      <w:bookmarkStart w:name="6、分部信息" w:id="400"/>
      <w:bookmarkEnd w:id="400"/>
      <w:r>
        <w:rPr/>
        <w:t>易和事项</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76"/>
        <w:ind w:left="634" w:right="0"/>
        <w:jc w:val="left"/>
        <w:rPr>
          <w:rFonts w:ascii="宋体" w:hAnsi="宋体" w:cs="宋体" w:eastAsia="宋体" w:hint="default"/>
        </w:rPr>
      </w:pPr>
      <w:r>
        <w:rPr>
          <w:rFonts w:ascii="宋体" w:hAnsi="宋体" w:cs="宋体" w:eastAsia="宋体" w:hint="default"/>
          <w:w w:val="95"/>
        </w:rPr>
        <w:t>截至</w:t>
      </w:r>
      <w:r>
        <w:rPr>
          <w:rFonts w:ascii="Arial" w:hAnsi="Arial" w:cs="Arial" w:eastAsia="Arial" w:hint="default"/>
          <w:w w:val="95"/>
        </w:rPr>
        <w:t>2014</w:t>
      </w:r>
      <w:r>
        <w:rPr>
          <w:rFonts w:ascii="宋体" w:hAnsi="宋体" w:cs="宋体" w:eastAsia="宋体" w:hint="default"/>
          <w:w w:val="95"/>
        </w:rPr>
        <w:t>年</w:t>
      </w:r>
      <w:r>
        <w:rPr>
          <w:rFonts w:ascii="Arial" w:hAnsi="Arial" w:cs="Arial" w:eastAsia="Arial" w:hint="default"/>
          <w:w w:val="95"/>
        </w:rPr>
        <w:t>12</w:t>
      </w:r>
      <w:r>
        <w:rPr>
          <w:rFonts w:ascii="宋体" w:hAnsi="宋体" w:cs="宋体" w:eastAsia="宋体" w:hint="default"/>
          <w:w w:val="95"/>
        </w:rPr>
        <w:t>月</w:t>
      </w:r>
      <w:r>
        <w:rPr>
          <w:rFonts w:ascii="Arial" w:hAnsi="Arial" w:cs="Arial" w:eastAsia="Arial" w:hint="default"/>
          <w:w w:val="95"/>
        </w:rPr>
        <w:t>31  </w:t>
      </w:r>
      <w:r>
        <w:rPr>
          <w:rFonts w:ascii="Arial" w:hAnsi="Arial" w:cs="Arial" w:eastAsia="Arial" w:hint="default"/>
          <w:spacing w:val="61"/>
          <w:w w:val="95"/>
        </w:rPr>
        <w:t> </w:t>
      </w:r>
      <w:r>
        <w:rPr>
          <w:rFonts w:ascii="宋体" w:hAnsi="宋体" w:cs="宋体" w:eastAsia="宋体" w:hint="default"/>
          <w:w w:val="95"/>
        </w:rPr>
        <w:t>日，本集团</w:t>
      </w:r>
      <w:bookmarkStart w:name="7、其他对投资者决策有影响的重要交易和事项" w:id="401"/>
      <w:bookmarkEnd w:id="401"/>
      <w:r>
        <w:rPr>
          <w:rFonts w:ascii="宋体" w:hAnsi="宋体" w:cs="宋体" w:eastAsia="宋体" w:hint="default"/>
          <w:w w:val="95"/>
        </w:rPr>
      </w:r>
      <w:bookmarkStart w:name="8、其他" w:id="402"/>
      <w:bookmarkEnd w:id="402"/>
      <w:r>
        <w:rPr>
          <w:rFonts w:ascii="宋体" w:hAnsi="宋体" w:cs="宋体" w:eastAsia="宋体" w:hint="default"/>
          <w:w w:val="95"/>
        </w:rPr>
        <w:t>不存在应披露的其他重要事项。</w:t>
      </w:r>
    </w:p>
    <w:p>
      <w:pPr>
        <w:spacing w:line="240" w:lineRule="auto" w:before="10"/>
        <w:rPr>
          <w:rFonts w:ascii="宋体" w:hAnsi="宋体" w:cs="宋体" w:eastAsia="宋体" w:hint="default"/>
          <w:sz w:val="32"/>
          <w:szCs w:val="32"/>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49" w:right="8526"/>
        <w:jc w:val="center"/>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十七、母公司财务报表主要项目注释" w:id="403"/>
      <w:bookmarkEnd w:id="403"/>
      <w:r>
        <w:rPr/>
      </w:r>
      <w:bookmarkStart w:name="1、应收账款" w:id="404"/>
      <w:bookmarkEnd w:id="404"/>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1049"/>
        <w:gridCol w:w="696"/>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4D4D4"/>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4D4D4"/>
          </w:tcPr>
          <w:p>
            <w:pPr/>
          </w:p>
        </w:tc>
        <w:tc>
          <w:tcPr>
            <w:tcW w:w="153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4D4D4"/>
          </w:tcPr>
          <w:p>
            <w:pP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5" w:type="dxa"/>
            <w:gridSpan w:val="2"/>
            <w:vMerge/>
            <w:tcBorders>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4D4D4"/>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4D4D4"/>
          </w:tcPr>
          <w:p>
            <w:pPr/>
          </w:p>
        </w:tc>
        <w:tc>
          <w:tcPr>
            <w:tcW w:w="762" w:type="dxa"/>
            <w:tcBorders>
              <w:top w:val="single" w:sz="4" w:space="0" w:color="000000"/>
              <w:left w:val="single" w:sz="4" w:space="0" w:color="000000"/>
              <w:bottom w:val="nil" w:sz="6" w:space="0" w:color="auto"/>
              <w:right w:val="single" w:sz="4" w:space="0" w:color="000000"/>
            </w:tcBorders>
            <w:shd w:val="clear" w:color="auto" w:fill="D4D4D4"/>
          </w:tcPr>
          <w:p>
            <w:pPr/>
          </w:p>
        </w:tc>
        <w:tc>
          <w:tcPr>
            <w:tcW w:w="1049"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251" w:right="7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4D4D4"/>
          </w:tcPr>
          <w:p>
            <w:pPr/>
          </w:p>
        </w:tc>
        <w:tc>
          <w:tcPr>
            <w:tcW w:w="775"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65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4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33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6" w:type="dxa"/>
            <w:vMerge/>
            <w:tcBorders>
              <w:left w:val="single" w:sz="4" w:space="0" w:color="000000"/>
              <w:right w:val="single" w:sz="4" w:space="0" w:color="000000"/>
            </w:tcBorders>
            <w:shd w:val="clear" w:color="auto" w:fill="D4D4D4"/>
          </w:tcPr>
          <w:p>
            <w:pP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200" w:hRule="exact"/>
        </w:trPr>
        <w:tc>
          <w:tcPr>
            <w:tcW w:w="1611" w:type="dxa"/>
            <w:vMerge/>
            <w:tcBorders>
              <w:left w:val="single" w:sz="4" w:space="0" w:color="000000"/>
              <w:right w:val="single" w:sz="4" w:space="0" w:color="000000"/>
            </w:tcBorders>
            <w:shd w:val="clear" w:color="auto" w:fill="D4D4D4"/>
          </w:tcPr>
          <w:p>
            <w:pPr/>
          </w:p>
        </w:tc>
        <w:tc>
          <w:tcPr>
            <w:tcW w:w="775"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right w:val="single" w:sz="4" w:space="0" w:color="000000"/>
            </w:tcBorders>
            <w:shd w:val="clear" w:color="auto" w:fill="D4D4D4"/>
          </w:tcPr>
          <w:p>
            <w:pPr/>
          </w:p>
        </w:tc>
        <w:tc>
          <w:tcPr>
            <w:tcW w:w="790" w:type="dxa"/>
            <w:vMerge w:val="restart"/>
            <w:tcBorders>
              <w:top w:val="nil" w:sz="6" w:space="0" w:color="auto"/>
              <w:left w:val="single" w:sz="4" w:space="0" w:color="000000"/>
              <w:right w:val="single" w:sz="4" w:space="0" w:color="000000"/>
            </w:tcBorders>
            <w:shd w:val="clear" w:color="auto" w:fill="D4D4D4"/>
          </w:tcPr>
          <w:p>
            <w:pPr/>
          </w:p>
        </w:tc>
        <w:tc>
          <w:tcPr>
            <w:tcW w:w="654"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1049" w:type="dxa"/>
            <w:vMerge/>
            <w:tcBorders>
              <w:left w:val="single" w:sz="4" w:space="0" w:color="000000"/>
              <w:bottom w:val="nil" w:sz="6" w:space="0" w:color="auto"/>
              <w:right w:val="single" w:sz="4" w:space="0" w:color="000000"/>
            </w:tcBorders>
            <w:shd w:val="clear" w:color="auto" w:fill="D4D4D4"/>
          </w:tcPr>
          <w:p>
            <w:pPr/>
          </w:p>
        </w:tc>
        <w:tc>
          <w:tcPr>
            <w:tcW w:w="696" w:type="dxa"/>
            <w:vMerge/>
            <w:tcBorders>
              <w:left w:val="single" w:sz="4" w:space="0" w:color="000000"/>
              <w:right w:val="single" w:sz="4" w:space="0" w:color="000000"/>
            </w:tcBorders>
            <w:shd w:val="clear" w:color="auto" w:fill="D4D4D4"/>
          </w:tcPr>
          <w:p>
            <w:pPr/>
          </w:p>
        </w:tc>
        <w:tc>
          <w:tcPr>
            <w:tcW w:w="932"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4D4D4"/>
          </w:tcPr>
          <w:p>
            <w:pPr/>
          </w:p>
        </w:tc>
        <w:tc>
          <w:tcPr>
            <w:tcW w:w="77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single" w:sz="4" w:space="0" w:color="000000"/>
              <w:right w:val="single" w:sz="4" w:space="0" w:color="000000"/>
            </w:tcBorders>
            <w:shd w:val="clear" w:color="auto" w:fill="D4D4D4"/>
          </w:tcPr>
          <w:p>
            <w:pPr/>
          </w:p>
        </w:tc>
        <w:tc>
          <w:tcPr>
            <w:tcW w:w="65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1049"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single" w:sz="4" w:space="0" w:color="000000"/>
              <w:right w:val="single" w:sz="4" w:space="0" w:color="000000"/>
            </w:tcBorders>
            <w:shd w:val="clear" w:color="auto" w:fill="D4D4D4"/>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4D4D4"/>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1"/>
              <w:ind w:left="11" w:right="149"/>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7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176,812,</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631.83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22,224,7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15.69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154,587,9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16.14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133,990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,125.24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17,473,897.4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13.04%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116,516,22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7.82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1049"/>
        <w:gridCol w:w="696"/>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176,812,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631.83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22,224,7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15.69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154,587,9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16.14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133,990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,125.24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17,473,897.4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13.04%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116,516,22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7.82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pStyle w:val="BodyText"/>
        <w:spacing w:line="240" w:lineRule="auto" w:before="26"/>
        <w:ind w:right="-20"/>
        <w:jc w:val="left"/>
      </w:pPr>
      <w:bookmarkStart w:name="（2）本期计提、收回或转回的坏账准备情况" w:id="405"/>
      <w:bookmarkEnd w:id="405"/>
      <w:r>
        <w:rPr/>
      </w:r>
      <w:bookmarkStart w:name="（3）本期实际核销的应收账款情况" w:id="406"/>
      <w:bookmarkEnd w:id="406"/>
      <w:r>
        <w:rPr/>
      </w:r>
      <w:r>
        <w:rPr/>
        <w:t>期末单项金额重大并单项计提坏账准备的应收账款：</w:t>
      </w:r>
    </w:p>
    <w:p>
      <w:pPr>
        <w:pStyle w:val="BodyText"/>
        <w:spacing w:line="290" w:lineRule="auto" w:before="78"/>
        <w:ind w:right="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组合中，按账龄分析法计提坏账准备的应收账款：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985" w:space="384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4D4D4"/>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109,138,315.44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5,456,915.77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109,138,315.44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5,456,915.77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20,684,972.24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2,068,497.22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20,941,391.29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6,282,417.39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12,247,024.12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6,123,512.06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1,486,079.06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1,188,863.25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1,104,510.00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1,104,510.00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165,602,292.15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22,224,715.69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26"/>
        <w:ind w:right="-20"/>
        <w:jc w:val="left"/>
      </w:pPr>
      <w:r>
        <w:rPr/>
        <w:t>组合中，采用余额百分比法计提坏账准备的应收账款：</w:t>
      </w:r>
    </w:p>
    <w:p>
      <w:pPr>
        <w:pStyle w:val="BodyText"/>
        <w:spacing w:line="290" w:lineRule="auto" w:before="78"/>
        <w:ind w:right="4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组合中，采用其他方法计提坏账准备的应收账款：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5195" w:space="3724"/>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3254"/>
        <w:gridCol w:w="3253"/>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合并范围内应收款项</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11,210,339.68</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11,210,339.68</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6"/>
        </w:rPr>
        <w:t> </w:t>
      </w:r>
      <w:r>
        <w:rPr>
          <w:rFonts w:ascii="Times New Roman" w:hAnsi="Times New Roman" w:cs="Times New Roman" w:eastAsia="Times New Roman" w:hint="default"/>
        </w:rPr>
        <w:t>4,750,818.27</w:t>
      </w:r>
      <w:r>
        <w:rPr>
          <w:rFonts w:ascii="Times New Roman" w:hAnsi="Times New Roman" w:cs="Times New Roman" w:eastAsia="Times New Roman" w:hint="default"/>
          <w:spacing w:val="-4"/>
        </w:rPr>
        <w:t> </w:t>
      </w:r>
      <w:r>
        <w:rPr/>
        <w:t>元。本期无收回或转回的坏账准备。</w:t>
      </w:r>
    </w:p>
    <w:p>
      <w:pPr>
        <w:spacing w:line="240" w:lineRule="auto" w:before="6"/>
        <w:rPr>
          <w:rFonts w:ascii="宋体" w:hAnsi="宋体" w:cs="宋体" w:eastAsia="宋体" w:hint="default"/>
          <w:sz w:val="24"/>
          <w:szCs w:val="24"/>
        </w:rPr>
      </w:pPr>
    </w:p>
    <w:p>
      <w:pPr>
        <w:spacing w:line="506" w:lineRule="auto" w:before="0"/>
        <w:ind w:left="154" w:right="65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b/>
          <w:bCs/>
          <w:spacing w:val="1"/>
          <w:w w:val="99"/>
          <w:sz w:val="21"/>
          <w:szCs w:val="21"/>
        </w:rPr>
        <w:t> </w:t>
      </w:r>
      <w:r>
        <w:rPr>
          <w:rFonts w:ascii="宋体" w:hAnsi="宋体" w:cs="宋体" w:eastAsia="宋体" w:hint="default"/>
          <w:sz w:val="21"/>
          <w:szCs w:val="21"/>
        </w:rPr>
        <w:t>本年无实际核销的应收账款情况。</w:t>
      </w:r>
    </w:p>
    <w:p>
      <w:pPr>
        <w:spacing w:after="0" w:line="506" w:lineRule="auto"/>
        <w:jc w:val="left"/>
        <w:rPr>
          <w:rFonts w:ascii="宋体" w:hAnsi="宋体" w:cs="宋体" w:eastAsia="宋体" w:hint="default"/>
          <w:sz w:val="21"/>
          <w:szCs w:val="21"/>
        </w:rPr>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bookmarkStart w:name="（4）按欠款方归集的期末余额前五名的应收账款情况" w:id="407"/>
      <w:bookmarkEnd w:id="407"/>
      <w:r>
        <w:rPr>
          <w:rFonts w:ascii="Times New Roman" w:hAnsi="Times New Roman" w:cs="Times New Roman" w:eastAsia="Times New Roman" w:hint="default"/>
        </w:rPr>
      </w:r>
      <w:r>
        <w:rPr/>
        <w:t>）按欠款方归集的期末余额前五名的应收账款情况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396"/>
        <w:gridCol w:w="1559"/>
        <w:gridCol w:w="1843"/>
        <w:gridCol w:w="1483"/>
      </w:tblGrid>
      <w:tr>
        <w:trPr>
          <w:trHeight w:val="656"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345" w:right="481"/>
              <w:jc w:val="left"/>
              <w:rPr>
                <w:rFonts w:ascii="宋体" w:hAnsi="宋体" w:cs="宋体" w:eastAsia="宋体" w:hint="default"/>
                <w:sz w:val="18"/>
                <w:szCs w:val="18"/>
              </w:rPr>
            </w:pPr>
            <w:r>
              <w:rPr>
                <w:rFonts w:ascii="宋体" w:hAnsi="宋体" w:cs="宋体" w:eastAsia="宋体" w:hint="default"/>
                <w:sz w:val="18"/>
                <w:szCs w:val="18"/>
              </w:rPr>
              <w:t>应收账款 年末余额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308" w:right="173" w:hanging="270"/>
              <w:jc w:val="left"/>
              <w:rPr>
                <w:rFonts w:ascii="宋体" w:hAnsi="宋体" w:cs="宋体" w:eastAsia="宋体" w:hint="default"/>
                <w:sz w:val="18"/>
                <w:szCs w:val="18"/>
              </w:rPr>
            </w:pPr>
            <w:r>
              <w:rPr>
                <w:rFonts w:ascii="宋体" w:hAnsi="宋体" w:cs="宋体" w:eastAsia="宋体" w:hint="default"/>
                <w:sz w:val="18"/>
                <w:szCs w:val="18"/>
              </w:rPr>
              <w:t>占应收账款年末余额 合计数的比例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308" w:right="443"/>
              <w:jc w:val="left"/>
              <w:rPr>
                <w:rFonts w:ascii="宋体" w:hAnsi="宋体" w:cs="宋体" w:eastAsia="宋体" w:hint="default"/>
                <w:sz w:val="18"/>
                <w:szCs w:val="18"/>
              </w:rPr>
            </w:pPr>
            <w:r>
              <w:rPr>
                <w:rFonts w:ascii="宋体" w:hAnsi="宋体" w:cs="宋体" w:eastAsia="宋体" w:hint="default"/>
                <w:sz w:val="18"/>
                <w:szCs w:val="18"/>
              </w:rPr>
              <w:t>坏账准备 年末余额</w:t>
            </w:r>
          </w:p>
        </w:tc>
      </w:tr>
      <w:tr>
        <w:trPr>
          <w:trHeight w:val="34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38"/>
              <w:jc w:val="right"/>
              <w:rPr>
                <w:rFonts w:ascii="Times New Roman" w:hAnsi="Times New Roman" w:cs="Times New Roman" w:eastAsia="Times New Roman" w:hint="default"/>
                <w:sz w:val="18"/>
                <w:szCs w:val="18"/>
              </w:rPr>
            </w:pPr>
            <w:r>
              <w:rPr>
                <w:rFonts w:ascii="Times New Roman"/>
                <w:spacing w:val="-1"/>
                <w:sz w:val="18"/>
              </w:rPr>
              <w:t>26,417,216.24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14.94%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1,366,770.68</w:t>
            </w:r>
          </w:p>
        </w:tc>
      </w:tr>
      <w:tr>
        <w:trPr>
          <w:trHeight w:val="34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38"/>
              <w:jc w:val="right"/>
              <w:rPr>
                <w:rFonts w:ascii="Times New Roman" w:hAnsi="Times New Roman" w:cs="Times New Roman" w:eastAsia="Times New Roman" w:hint="default"/>
                <w:sz w:val="18"/>
                <w:szCs w:val="18"/>
              </w:rPr>
            </w:pPr>
            <w:r>
              <w:rPr>
                <w:rFonts w:ascii="Times New Roman"/>
                <w:spacing w:val="-1"/>
                <w:sz w:val="18"/>
              </w:rPr>
              <w:t>7,042,664.25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3.98%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1,477,187.39</w:t>
            </w:r>
          </w:p>
        </w:tc>
      </w:tr>
      <w:tr>
        <w:trPr>
          <w:trHeight w:val="34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38"/>
              <w:jc w:val="right"/>
              <w:rPr>
                <w:rFonts w:ascii="Times New Roman" w:hAnsi="Times New Roman" w:cs="Times New Roman" w:eastAsia="Times New Roman" w:hint="default"/>
                <w:sz w:val="18"/>
                <w:szCs w:val="18"/>
              </w:rPr>
            </w:pPr>
            <w:r>
              <w:rPr>
                <w:rFonts w:ascii="Times New Roman"/>
                <w:spacing w:val="-1"/>
                <w:sz w:val="18"/>
              </w:rPr>
              <w:t>6,531,490.69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3.69%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38"/>
              <w:jc w:val="right"/>
              <w:rPr>
                <w:rFonts w:ascii="Times New Roman" w:hAnsi="Times New Roman" w:cs="Times New Roman" w:eastAsia="Times New Roman" w:hint="default"/>
                <w:sz w:val="18"/>
                <w:szCs w:val="18"/>
              </w:rPr>
            </w:pPr>
            <w:r>
              <w:rPr>
                <w:rFonts w:ascii="Times New Roman"/>
                <w:spacing w:val="-1"/>
                <w:sz w:val="18"/>
              </w:rPr>
              <w:t>6,137,455.56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3.47%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327,872.78</w:t>
            </w:r>
          </w:p>
        </w:tc>
      </w:tr>
      <w:tr>
        <w:trPr>
          <w:trHeight w:val="34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38"/>
              <w:jc w:val="right"/>
              <w:rPr>
                <w:rFonts w:ascii="Times New Roman" w:hAnsi="Times New Roman" w:cs="Times New Roman" w:eastAsia="Times New Roman" w:hint="default"/>
                <w:sz w:val="18"/>
                <w:szCs w:val="18"/>
              </w:rPr>
            </w:pPr>
            <w:r>
              <w:rPr>
                <w:rFonts w:ascii="Times New Roman"/>
                <w:spacing w:val="-1"/>
                <w:sz w:val="18"/>
              </w:rPr>
              <w:t>5,096,297.26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2.88%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482,792.12</w:t>
            </w:r>
          </w:p>
        </w:tc>
      </w:tr>
      <w:tr>
        <w:trPr>
          <w:trHeight w:val="34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38"/>
              <w:jc w:val="right"/>
              <w:rPr>
                <w:rFonts w:ascii="Times New Roman" w:hAnsi="Times New Roman" w:cs="Times New Roman" w:eastAsia="Times New Roman" w:hint="default"/>
                <w:sz w:val="18"/>
                <w:szCs w:val="18"/>
              </w:rPr>
            </w:pPr>
            <w:r>
              <w:rPr>
                <w:rFonts w:ascii="Times New Roman"/>
                <w:spacing w:val="-1"/>
                <w:sz w:val="18"/>
              </w:rPr>
              <w:t>51,225,124.00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28.96%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3,654,622.97</w:t>
            </w:r>
          </w:p>
        </w:tc>
      </w:tr>
    </w:tbl>
    <w:p>
      <w:pPr>
        <w:spacing w:line="240" w:lineRule="auto" w:before="2"/>
        <w:rPr>
          <w:rFonts w:ascii="宋体" w:hAnsi="宋体" w:cs="宋体" w:eastAsia="宋体" w:hint="default"/>
          <w:sz w:val="19"/>
          <w:szCs w:val="19"/>
        </w:rPr>
      </w:pPr>
    </w:p>
    <w:p>
      <w:pPr>
        <w:pStyle w:val="Heading4"/>
        <w:spacing w:line="506" w:lineRule="auto" w:before="35"/>
        <w:ind w:left="574" w:right="5661"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）因金融资产转移而终止确认的应</w:t>
      </w:r>
      <w:bookmarkStart w:name="（5）因金融资产转移而终止确认的应收账款" w:id="408"/>
      <w:bookmarkEnd w:id="408"/>
      <w:r>
        <w:rPr/>
        <w:t>收账款</w:t>
      </w:r>
      <w:r>
        <w:rPr>
          <w:spacing w:val="1"/>
          <w:w w:val="99"/>
        </w:rPr>
        <w:t> </w:t>
      </w:r>
      <w:r>
        <w:rPr>
          <w:rFonts w:ascii="宋体" w:hAnsi="宋体" w:cs="宋体" w:eastAsia="宋体" w:hint="default"/>
          <w:b w:val="0"/>
          <w:bCs w:val="0"/>
        </w:rPr>
        <w:t>无。</w:t>
      </w:r>
    </w:p>
    <w:p>
      <w:pPr>
        <w:pStyle w:val="Heading4"/>
        <w:spacing w:line="506" w:lineRule="auto" w:before="103"/>
        <w:ind w:left="574" w:right="4818" w:hanging="420"/>
        <w:jc w:val="left"/>
        <w:rPr>
          <w:rFonts w:ascii="宋体" w:hAnsi="宋体" w:cs="宋体" w:eastAsia="宋体" w:hint="default"/>
          <w:b w:val="0"/>
          <w:bCs w:val="0"/>
        </w:rPr>
      </w:pPr>
      <w:r>
        <w:rPr/>
        <w:t>（</w:t>
      </w:r>
      <w:r>
        <w:rPr>
          <w:rFonts w:ascii="Times New Roman" w:hAnsi="Times New Roman" w:cs="Times New Roman" w:eastAsia="Times New Roman" w:hint="default"/>
        </w:rPr>
        <w:t>6</w:t>
      </w:r>
      <w:r>
        <w:rPr/>
        <w:t>）转移应收账款且继续涉入形成的资产、负债金额</w:t>
      </w:r>
      <w:r>
        <w:rPr>
          <w:spacing w:val="1"/>
          <w:w w:val="99"/>
        </w:rPr>
        <w:t> </w:t>
      </w:r>
      <w:r>
        <w:rPr>
          <w:rFonts w:ascii="宋体" w:hAnsi="宋体" w:cs="宋体" w:eastAsia="宋体" w:hint="default"/>
          <w:b w:val="0"/>
          <w:bCs w:val="0"/>
        </w:rPr>
        <w:t>无。</w:t>
      </w:r>
    </w:p>
    <w:p>
      <w:pPr>
        <w:pStyle w:val="Heading4"/>
        <w:spacing w:line="240" w:lineRule="auto" w:before="103"/>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转移应收账款且继续涉入形成的资产、负债金额" w:id="409"/>
      <w:bookmarkEnd w:id="409"/>
      <w:r>
        <w:rPr/>
      </w:r>
      <w:bookmarkStart w:name="2、其他应收款" w:id="410"/>
      <w:bookmarkEnd w:id="410"/>
      <w:r>
        <w:rPr/>
      </w:r>
      <w:bookmarkStart w:name="（1）其他应收款分类披露" w:id="411"/>
      <w:bookmarkEnd w:id="411"/>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2"/>
        <w:gridCol w:w="662"/>
        <w:gridCol w:w="120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4D4D4"/>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4D4D4"/>
          </w:tcPr>
          <w:p>
            <w:pPr/>
          </w:p>
        </w:tc>
        <w:tc>
          <w:tcPr>
            <w:tcW w:w="153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2"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4D4D4"/>
          </w:tcPr>
          <w:p>
            <w:pP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475" w:type="dxa"/>
            <w:gridSpan w:val="2"/>
            <w:vMerge/>
            <w:tcBorders>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4D4D4"/>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4D4D4"/>
          </w:tcPr>
          <w:p>
            <w:pPr/>
          </w:p>
        </w:tc>
        <w:tc>
          <w:tcPr>
            <w:tcW w:w="762" w:type="dxa"/>
            <w:tcBorders>
              <w:top w:val="single" w:sz="4" w:space="0" w:color="000000"/>
              <w:left w:val="single" w:sz="4" w:space="0" w:color="000000"/>
              <w:bottom w:val="nil" w:sz="6" w:space="0" w:color="auto"/>
              <w:right w:val="single" w:sz="4" w:space="0" w:color="000000"/>
            </w:tcBorders>
            <w:shd w:val="clear" w:color="auto" w:fill="D4D4D4"/>
          </w:tcPr>
          <w:p>
            <w:pPr/>
          </w:p>
        </w:tc>
        <w:tc>
          <w:tcPr>
            <w:tcW w:w="81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236" w:right="5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4D4D4"/>
          </w:tcPr>
          <w:p>
            <w:pPr/>
          </w:p>
        </w:tc>
        <w:tc>
          <w:tcPr>
            <w:tcW w:w="775"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65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2" w:type="dxa"/>
            <w:vMerge/>
            <w:tcBorders>
              <w:left w:val="single" w:sz="4" w:space="0" w:color="000000"/>
              <w:right w:val="single" w:sz="4" w:space="0" w:color="000000"/>
            </w:tcBorders>
            <w:shd w:val="clear" w:color="auto" w:fill="D4D4D4"/>
          </w:tcPr>
          <w:p>
            <w:pPr/>
          </w:p>
        </w:tc>
        <w:tc>
          <w:tcPr>
            <w:tcW w:w="1202"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1" w:type="dxa"/>
            <w:vMerge/>
            <w:tcBorders>
              <w:left w:val="single" w:sz="4" w:space="0" w:color="000000"/>
              <w:right w:val="single" w:sz="4" w:space="0" w:color="000000"/>
            </w:tcBorders>
            <w:shd w:val="clear" w:color="auto" w:fill="D4D4D4"/>
          </w:tcPr>
          <w:p>
            <w:pPr/>
          </w:p>
        </w:tc>
        <w:tc>
          <w:tcPr>
            <w:tcW w:w="775"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right w:val="single" w:sz="4" w:space="0" w:color="000000"/>
            </w:tcBorders>
            <w:shd w:val="clear" w:color="auto" w:fill="D4D4D4"/>
          </w:tcPr>
          <w:p>
            <w:pPr/>
          </w:p>
        </w:tc>
        <w:tc>
          <w:tcPr>
            <w:tcW w:w="790" w:type="dxa"/>
            <w:vMerge w:val="restart"/>
            <w:tcBorders>
              <w:top w:val="nil" w:sz="6" w:space="0" w:color="auto"/>
              <w:left w:val="single" w:sz="4" w:space="0" w:color="000000"/>
              <w:right w:val="single" w:sz="4" w:space="0" w:color="000000"/>
            </w:tcBorders>
            <w:shd w:val="clear" w:color="auto" w:fill="D4D4D4"/>
          </w:tcPr>
          <w:p>
            <w:pPr/>
          </w:p>
        </w:tc>
        <w:tc>
          <w:tcPr>
            <w:tcW w:w="654"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812"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1202"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4D4D4"/>
          </w:tcPr>
          <w:p>
            <w:pPr/>
          </w:p>
        </w:tc>
        <w:tc>
          <w:tcPr>
            <w:tcW w:w="77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single" w:sz="4" w:space="0" w:color="000000"/>
              <w:right w:val="single" w:sz="4" w:space="0" w:color="000000"/>
            </w:tcBorders>
            <w:shd w:val="clear" w:color="auto" w:fill="D4D4D4"/>
          </w:tcPr>
          <w:p>
            <w:pPr/>
          </w:p>
        </w:tc>
        <w:tc>
          <w:tcPr>
            <w:tcW w:w="65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81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vMerge/>
            <w:tcBorders>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4D4D4"/>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40,675,1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15.64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5,174,14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35,500,97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30,181,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772.58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3,926,657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13.01%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26,255,115.08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4D4D4"/>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4D4D4"/>
          </w:tcPr>
          <w:p>
            <w:pPr/>
          </w:p>
        </w:tc>
        <w:tc>
          <w:tcPr>
            <w:tcW w:w="775" w:type="dxa"/>
            <w:vMerge w:val="restart"/>
            <w:tcBorders>
              <w:top w:val="single" w:sz="4" w:space="0" w:color="000000"/>
              <w:left w:val="single" w:sz="9" w:space="0" w:color="D4D4D4"/>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40,675,1</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15.64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5,174,14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12.72%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35,500,97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30,181,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772.58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3,926,657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13.01%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26,255,115.08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4D4D4"/>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5" w:type="dxa"/>
            <w:vMerge/>
            <w:tcBorders>
              <w:left w:val="single" w:sz="9" w:space="0" w:color="D4D4D4"/>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bl>
    <w:p>
      <w:pPr>
        <w:pStyle w:val="BodyText"/>
        <w:spacing w:line="240" w:lineRule="auto" w:before="26"/>
        <w:ind w:right="0"/>
        <w:jc w:val="left"/>
      </w:pPr>
      <w:r>
        <w:rPr/>
        <w:t>期末单项金额重大并单项计提坏账准备的其他应收款：</w:t>
      </w:r>
    </w:p>
    <w:p>
      <w:pPr>
        <w:spacing w:after="0" w:line="240" w:lineRule="auto"/>
        <w:jc w:val="left"/>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80" w:top="1060" w:bottom="1180" w:left="980" w:right="980"/>
        </w:sectPr>
      </w:pPr>
    </w:p>
    <w:p>
      <w:pPr>
        <w:pStyle w:val="BodyText"/>
        <w:spacing w:line="290" w:lineRule="auto" w:before="35"/>
        <w:ind w:right="-20"/>
        <w:jc w:val="left"/>
      </w:pPr>
      <w:bookmarkStart w:name="（2）本期计提、收回或转回的坏账准备情况" w:id="412"/>
      <w:bookmarkEnd w:id="412"/>
      <w:r>
        <w:rPr/>
      </w:r>
      <w:bookmarkStart w:name="（3）本期实际核销的其他应收款情况" w:id="413"/>
      <w:bookmarkEnd w:id="413"/>
      <w:r>
        <w:rPr/>
      </w:r>
      <w:bookmarkStart w:name="（4）其他应收款按款项性质分类情况" w:id="414"/>
      <w:bookmarkEnd w:id="414"/>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组合中，按账龄分析法计提坏账准备的其他应收款：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985" w:space="384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4D4D4"/>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17,497,791.69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874,889.58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17,497,791.69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874,889.58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9,943,544.01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994,354.40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3,273,859.38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982,157.81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2,834,912.10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1,417,456.05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452,288.50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361,830.80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543,453.00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543,453.00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34,545,848.68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5,174,141.64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26"/>
        <w:ind w:right="-20"/>
        <w:jc w:val="left"/>
      </w:pPr>
      <w:r>
        <w:rPr/>
        <w:t>组合中，采用余额百分比法计提坏账准备的其他应收款：</w:t>
      </w:r>
    </w:p>
    <w:p>
      <w:pPr>
        <w:pStyle w:val="BodyText"/>
        <w:spacing w:line="290" w:lineRule="auto" w:before="78"/>
        <w:ind w:right="4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组合中，采用其他方法计提坏账准备的其他应收款：</w:t>
      </w:r>
    </w:p>
    <w:p>
      <w:pPr>
        <w:pStyle w:val="BodyText"/>
        <w:spacing w:line="240" w:lineRule="auto" w:before="3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spacing w:val="-2"/>
        </w:rPr>
        <w:t>不适用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5405" w:space="342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员工暂借款及其他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3,173,439.63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应收软件增值税退税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2,350,754.99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与子公司之间的往来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605,072.34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6,129,266.96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6"/>
        </w:rPr>
        <w:t> </w:t>
      </w:r>
      <w:r>
        <w:rPr>
          <w:rFonts w:ascii="Times New Roman" w:hAnsi="Times New Roman" w:cs="Times New Roman" w:eastAsia="Times New Roman" w:hint="default"/>
        </w:rPr>
        <w:t>1,247,484.14</w:t>
      </w:r>
      <w:r>
        <w:rPr>
          <w:rFonts w:ascii="Times New Roman" w:hAnsi="Times New Roman" w:cs="Times New Roman" w:eastAsia="Times New Roman" w:hint="default"/>
          <w:spacing w:val="-4"/>
        </w:rPr>
        <w:t> </w:t>
      </w:r>
      <w:r>
        <w:rPr/>
        <w:t>元。本期无收回或转回的坏账准备。</w:t>
      </w:r>
    </w:p>
    <w:p>
      <w:pPr>
        <w:spacing w:line="240" w:lineRule="auto" w:before="6"/>
        <w:rPr>
          <w:rFonts w:ascii="宋体" w:hAnsi="宋体" w:cs="宋体" w:eastAsia="宋体" w:hint="default"/>
          <w:sz w:val="24"/>
          <w:szCs w:val="24"/>
        </w:rPr>
      </w:pPr>
    </w:p>
    <w:p>
      <w:pPr>
        <w:pStyle w:val="Heading4"/>
        <w:spacing w:line="506" w:lineRule="auto"/>
        <w:ind w:left="574" w:right="6294"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）本期实际核销的其他应收款情况</w:t>
      </w:r>
      <w:r>
        <w:rPr>
          <w:spacing w:val="1"/>
          <w:w w:val="99"/>
        </w:rPr>
        <w:t> </w:t>
      </w:r>
      <w:r>
        <w:rPr>
          <w:rFonts w:ascii="宋体" w:hAnsi="宋体" w:cs="宋体" w:eastAsia="宋体" w:hint="default"/>
          <w:b w:val="0"/>
          <w:bCs w:val="0"/>
        </w:rPr>
        <w:t>无。</w:t>
      </w:r>
    </w:p>
    <w:p>
      <w:pPr>
        <w:pStyle w:val="Heading4"/>
        <w:spacing w:line="240" w:lineRule="auto" w:before="103"/>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2,116,249.52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2,701,317.45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26,124,200.15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17,524,719.02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单位与个人往来款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8,834,656.87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2,034,452.45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1,057,190.11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989,835.55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应收软件增值税退税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2,350,754.99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6,500,323.99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192,064.00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431,124.12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40,675,115.64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30,181,772.58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415"/>
      <w:bookmarkEnd w:id="415"/>
      <w:r>
        <w:rPr>
          <w:b w:val="0"/>
          <w:bCs w:val="0"/>
        </w:rPr>
      </w:r>
      <w:bookmarkStart w:name="（7）因金融资产转移而终止确认的其他应收款" w:id="416"/>
      <w:bookmarkEnd w:id="416"/>
      <w:r>
        <w:rPr>
          <w:b w:val="0"/>
          <w:bCs w:val="0"/>
        </w:rPr>
      </w:r>
      <w:r>
        <w:rPr/>
        <w:t>（</w:t>
      </w:r>
      <w:r>
        <w:rPr>
          <w:rFonts w:ascii="Times New Roman" w:hAnsi="Times New Roman" w:cs="Times New Roman" w:eastAsia="Times New Roman" w:hint="default"/>
        </w:rPr>
        <w:t>5</w:t>
      </w:r>
      <w:r>
        <w:rPr/>
        <w:t>）按欠款方归集的期末</w:t>
      </w:r>
      <w:bookmarkStart w:name="（5）按欠款方归集的期末余额前五名的其他应收款情况" w:id="417"/>
      <w:bookmarkEnd w:id="417"/>
      <w:r>
        <w:rPr/>
        <w:t>余额前五</w:t>
      </w:r>
      <w:r>
        <w:rPr/>
        <w:t>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418"/>
        <w:gridCol w:w="1276"/>
        <w:gridCol w:w="1702"/>
        <w:gridCol w:w="1700"/>
        <w:gridCol w:w="1205"/>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14" w:right="35"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16" w:right="56"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3,650,000.00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182,500.00</w:t>
            </w:r>
          </w:p>
        </w:tc>
      </w:tr>
      <w:tr>
        <w:trPr>
          <w:trHeight w:val="133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3,340,000.00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1"/>
              <w:ind w:left="103" w:right="13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2,150,000.00</w:t>
            </w:r>
            <w:r>
              <w:rPr>
                <w:rFonts w:ascii="宋体" w:hAnsi="宋体" w:cs="宋体" w:eastAsia="宋体" w:hint="default"/>
                <w:sz w:val="18"/>
                <w:szCs w:val="18"/>
              </w:rPr>
              <w:t>；</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190,000.00</w:t>
            </w:r>
            <w:r>
              <w:rPr>
                <w:rFonts w:ascii="宋体" w:hAnsi="宋体" w:cs="宋体" w:eastAsia="宋体" w:hint="default"/>
                <w:sz w:val="18"/>
                <w:szCs w:val="18"/>
              </w:rPr>
              <w:t>；</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772,000.00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2,640,140.00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132,007.00</w:t>
            </w:r>
          </w:p>
        </w:tc>
      </w:tr>
      <w:tr>
        <w:trPr>
          <w:trHeight w:val="133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3"/>
              <w:jc w:val="left"/>
              <w:rPr>
                <w:rFonts w:ascii="宋体" w:hAnsi="宋体" w:cs="宋体" w:eastAsia="宋体" w:hint="default"/>
                <w:sz w:val="18"/>
                <w:szCs w:val="18"/>
              </w:rPr>
            </w:pPr>
            <w:r>
              <w:rPr>
                <w:rFonts w:ascii="宋体" w:hAnsi="宋体" w:cs="宋体" w:eastAsia="宋体" w:hint="default"/>
                <w:sz w:val="18"/>
                <w:szCs w:val="18"/>
              </w:rPr>
              <w:t>投标保证金及 履约保证金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2,457,250.00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1"/>
              <w:ind w:left="103" w:right="13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2,160,000.00</w:t>
            </w:r>
            <w:r>
              <w:rPr>
                <w:rFonts w:ascii="宋体" w:hAnsi="宋体" w:cs="宋体" w:eastAsia="宋体" w:hint="default"/>
                <w:sz w:val="18"/>
                <w:szCs w:val="18"/>
              </w:rPr>
              <w:t>；</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100,000.00</w:t>
            </w:r>
            <w:r>
              <w:rPr>
                <w:rFonts w:ascii="宋体" w:hAnsi="宋体" w:cs="宋体" w:eastAsia="宋体" w:hint="default"/>
                <w:sz w:val="18"/>
                <w:szCs w:val="18"/>
              </w:rPr>
              <w:t>；</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197,250.00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344,625.00</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3"/>
              <w:jc w:val="left"/>
              <w:rPr>
                <w:rFonts w:ascii="宋体" w:hAnsi="宋体" w:cs="宋体" w:eastAsia="宋体" w:hint="default"/>
                <w:sz w:val="18"/>
                <w:szCs w:val="18"/>
              </w:rPr>
            </w:pPr>
            <w:r>
              <w:rPr>
                <w:rFonts w:ascii="宋体" w:hAnsi="宋体" w:cs="宋体" w:eastAsia="宋体" w:hint="default"/>
                <w:sz w:val="18"/>
                <w:szCs w:val="18"/>
              </w:rPr>
              <w:t>应收软件增值 税退税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2,350,754.99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5.78%</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14,438,144.99</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1,431,132.00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1700"/>
        <w:gridCol w:w="1277"/>
        <w:gridCol w:w="1134"/>
        <w:gridCol w:w="4039"/>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40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厦门国家税务局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center"/>
              <w:rPr>
                <w:rFonts w:ascii="宋体" w:hAnsi="宋体" w:cs="宋体" w:eastAsia="宋体" w:hint="default"/>
                <w:sz w:val="18"/>
                <w:szCs w:val="18"/>
              </w:rPr>
            </w:pPr>
            <w:r>
              <w:rPr>
                <w:rFonts w:ascii="宋体" w:hAnsi="宋体" w:cs="宋体" w:eastAsia="宋体" w:hint="default"/>
                <w:sz w:val="18"/>
                <w:szCs w:val="18"/>
              </w:rPr>
              <w:t>应收软件增值税退税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2,350,754.99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《国务院关于印发进一步鼓励软件产业和集成电路 </w:t>
            </w:r>
            <w:r>
              <w:rPr>
                <w:rFonts w:ascii="宋体" w:hAnsi="宋体" w:cs="宋体" w:eastAsia="宋体" w:hint="default"/>
                <w:spacing w:val="-5"/>
                <w:sz w:val="18"/>
                <w:szCs w:val="18"/>
              </w:rPr>
              <w:t>产业发展若干政策的通知》（国发〔</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号）已</w:t>
            </w:r>
            <w:r>
              <w:rPr>
                <w:rFonts w:ascii="宋体" w:hAnsi="宋体" w:cs="宋体" w:eastAsia="宋体" w:hint="default"/>
                <w:sz w:val="18"/>
                <w:szCs w:val="18"/>
              </w:rPr>
              <w:t>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月全额收到</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2,350,754.99</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40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506" w:lineRule="auto" w:before="35"/>
        <w:ind w:left="574" w:right="5451" w:hanging="420"/>
        <w:jc w:val="left"/>
        <w:rPr>
          <w:rFonts w:ascii="宋体" w:hAnsi="宋体" w:cs="宋体" w:eastAsia="宋体" w:hint="default"/>
          <w:b w:val="0"/>
          <w:bCs w:val="0"/>
        </w:rPr>
      </w:pPr>
      <w:r>
        <w:rPr/>
        <w:t>（</w:t>
      </w:r>
      <w:r>
        <w:rPr>
          <w:rFonts w:ascii="Times New Roman" w:hAnsi="Times New Roman" w:cs="Times New Roman" w:eastAsia="Times New Roman" w:hint="default"/>
        </w:rPr>
        <w:t>7</w:t>
      </w:r>
      <w:r>
        <w:rPr/>
        <w:t>）因金融资产转移而终止确认的其他应收款</w:t>
      </w:r>
      <w:r>
        <w:rPr>
          <w:spacing w:val="1"/>
          <w:w w:val="99"/>
        </w:rPr>
        <w:t> </w:t>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747" w:footer="980" w:top="1060" w:bottom="1180" w:left="980" w:right="980"/>
        </w:sectPr>
      </w:pPr>
    </w:p>
    <w:p>
      <w:pPr>
        <w:spacing w:line="240" w:lineRule="auto" w:before="9"/>
        <w:rPr>
          <w:rFonts w:ascii="宋体" w:hAnsi="宋体" w:cs="宋体" w:eastAsia="宋体" w:hint="default"/>
          <w:sz w:val="24"/>
          <w:szCs w:val="24"/>
        </w:rPr>
      </w:pPr>
    </w:p>
    <w:p>
      <w:pPr>
        <w:pStyle w:val="Heading4"/>
        <w:spacing w:line="506" w:lineRule="auto" w:before="35"/>
        <w:ind w:left="574" w:right="4607" w:hanging="420"/>
        <w:jc w:val="left"/>
        <w:rPr>
          <w:rFonts w:ascii="宋体" w:hAnsi="宋体" w:cs="宋体" w:eastAsia="宋体" w:hint="default"/>
          <w:b w:val="0"/>
          <w:bCs w:val="0"/>
        </w:rPr>
      </w:pPr>
      <w:r>
        <w:rPr/>
        <w:t>（</w:t>
      </w:r>
      <w:r>
        <w:rPr>
          <w:rFonts w:ascii="Times New Roman" w:hAnsi="Times New Roman" w:cs="Times New Roman" w:eastAsia="Times New Roman" w:hint="default"/>
        </w:rPr>
        <w:t>8</w:t>
      </w:r>
      <w:bookmarkStart w:name="（8）转移其他应收款且继续涉入形成的资产、负债金额" w:id="418"/>
      <w:bookmarkEnd w:id="418"/>
      <w:r>
        <w:rPr>
          <w:rFonts w:ascii="Times New Roman" w:hAnsi="Times New Roman" w:cs="Times New Roman" w:eastAsia="Times New Roman" w:hint="default"/>
        </w:rPr>
      </w:r>
      <w:r>
        <w:rPr/>
        <w:t>）转移其他应收款且继续涉入形成的资产、负债金额</w:t>
      </w:r>
      <w:r>
        <w:rPr>
          <w:spacing w:val="1"/>
          <w:w w:val="99"/>
        </w:rPr>
        <w:t> </w:t>
      </w:r>
      <w:r>
        <w:rPr>
          <w:rFonts w:ascii="宋体" w:hAnsi="宋体" w:cs="宋体" w:eastAsia="宋体" w:hint="default"/>
          <w:b w:val="0"/>
          <w:bCs w:val="0"/>
        </w:rPr>
        <w:t>无。</w:t>
      </w:r>
    </w:p>
    <w:p>
      <w:pPr>
        <w:pStyle w:val="Heading4"/>
        <w:spacing w:line="240" w:lineRule="auto" w:before="103"/>
        <w:ind w:right="0"/>
        <w:jc w:val="left"/>
        <w:rPr>
          <w:b w:val="0"/>
          <w:bCs w:val="0"/>
        </w:rPr>
      </w:pPr>
      <w:r>
        <w:rPr>
          <w:rFonts w:ascii="Times New Roman" w:hAnsi="Times New Roman" w:cs="Times New Roman" w:eastAsia="Times New Roman" w:hint="default"/>
        </w:rPr>
        <w:t>3</w:t>
      </w:r>
      <w:r>
        <w:rPr/>
        <w:t>、长期股</w:t>
      </w:r>
      <w:bookmarkStart w:name="3、长期股权投资" w:id="419"/>
      <w:bookmarkEnd w:id="419"/>
      <w:r>
        <w:rPr/>
        <w:t>权</w:t>
      </w:r>
      <w:r>
        <w:rPr/>
        <w:t>投资</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99"/>
        <w:gridCol w:w="1276"/>
        <w:gridCol w:w="1134"/>
        <w:gridCol w:w="1276"/>
        <w:gridCol w:w="1134"/>
        <w:gridCol w:w="1134"/>
        <w:gridCol w:w="1207"/>
      </w:tblGrid>
      <w:tr>
        <w:trPr>
          <w:trHeight w:val="206" w:hRule="exact"/>
        </w:trPr>
        <w:tc>
          <w:tcPr>
            <w:tcW w:w="2399" w:type="dxa"/>
            <w:tcBorders>
              <w:top w:val="single" w:sz="4" w:space="0" w:color="000000"/>
              <w:left w:val="single" w:sz="4" w:space="0" w:color="000000"/>
              <w:bottom w:val="nil" w:sz="6" w:space="0" w:color="auto"/>
              <w:right w:val="single" w:sz="4" w:space="0" w:color="000000"/>
            </w:tcBorders>
            <w:shd w:val="clear" w:color="auto" w:fill="D4D4D4"/>
          </w:tcPr>
          <w:p>
            <w:pPr/>
          </w:p>
        </w:tc>
        <w:tc>
          <w:tcPr>
            <w:tcW w:w="3686"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3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686" w:type="dxa"/>
            <w:gridSpan w:val="3"/>
            <w:vMerge/>
            <w:tcBorders>
              <w:left w:val="single" w:sz="4" w:space="0" w:color="000000"/>
              <w:bottom w:val="single" w:sz="4" w:space="0" w:color="000000"/>
              <w:right w:val="single" w:sz="4" w:space="0" w:color="000000"/>
            </w:tcBorders>
            <w:shd w:val="clear" w:color="auto" w:fill="D4D4D4"/>
          </w:tcPr>
          <w:p>
            <w:pPr/>
          </w:p>
        </w:tc>
        <w:tc>
          <w:tcPr>
            <w:tcW w:w="3475"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399" w:type="dxa"/>
            <w:vMerge/>
            <w:tcBorders>
              <w:left w:val="single" w:sz="4" w:space="0" w:color="000000"/>
              <w:bottom w:val="nil" w:sz="6" w:space="0" w:color="auto"/>
              <w:right w:val="single" w:sz="4" w:space="0" w:color="000000"/>
            </w:tcBorders>
            <w:shd w:val="clear" w:color="auto" w:fill="D4D4D4"/>
          </w:tcPr>
          <w:p>
            <w:pPr/>
          </w:p>
        </w:tc>
        <w:tc>
          <w:tcPr>
            <w:tcW w:w="12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399" w:type="dxa"/>
            <w:tcBorders>
              <w:top w:val="nil" w:sz="6" w:space="0" w:color="auto"/>
              <w:left w:val="single" w:sz="4" w:space="0" w:color="000000"/>
              <w:bottom w:val="single" w:sz="4" w:space="0" w:color="000000"/>
              <w:right w:val="single" w:sz="4" w:space="0" w:color="000000"/>
            </w:tcBorders>
            <w:shd w:val="clear" w:color="auto" w:fill="D4D4D4"/>
          </w:tcPr>
          <w:p>
            <w:pPr/>
          </w:p>
        </w:tc>
        <w:tc>
          <w:tcPr>
            <w:tcW w:w="1276" w:type="dxa"/>
            <w:vMerge/>
            <w:tcBorders>
              <w:left w:val="single" w:sz="4" w:space="0" w:color="000000"/>
              <w:bottom w:val="single" w:sz="4" w:space="0" w:color="000000"/>
              <w:right w:val="single" w:sz="4" w:space="0" w:color="000000"/>
            </w:tcBorders>
            <w:shd w:val="clear" w:color="auto" w:fill="D4D4D4"/>
          </w:tcPr>
          <w:p>
            <w:pPr/>
          </w:p>
        </w:tc>
        <w:tc>
          <w:tcPr>
            <w:tcW w:w="1134" w:type="dxa"/>
            <w:vMerge/>
            <w:tcBorders>
              <w:left w:val="single" w:sz="4" w:space="0" w:color="000000"/>
              <w:bottom w:val="single" w:sz="4" w:space="0" w:color="000000"/>
              <w:right w:val="single" w:sz="4" w:space="0" w:color="000000"/>
            </w:tcBorders>
            <w:shd w:val="clear" w:color="auto" w:fill="D4D4D4"/>
          </w:tcPr>
          <w:p>
            <w:pPr/>
          </w:p>
        </w:tc>
        <w:tc>
          <w:tcPr>
            <w:tcW w:w="1276" w:type="dxa"/>
            <w:vMerge/>
            <w:tcBorders>
              <w:left w:val="single" w:sz="4" w:space="0" w:color="000000"/>
              <w:bottom w:val="single" w:sz="4" w:space="0" w:color="000000"/>
              <w:right w:val="single" w:sz="4" w:space="0" w:color="000000"/>
            </w:tcBorders>
            <w:shd w:val="clear" w:color="auto" w:fill="D4D4D4"/>
          </w:tcPr>
          <w:p>
            <w:pPr/>
          </w:p>
        </w:tc>
        <w:tc>
          <w:tcPr>
            <w:tcW w:w="1134" w:type="dxa"/>
            <w:vMerge/>
            <w:tcBorders>
              <w:left w:val="single" w:sz="4" w:space="0" w:color="000000"/>
              <w:bottom w:val="single" w:sz="4" w:space="0" w:color="000000"/>
              <w:right w:val="single" w:sz="4" w:space="0" w:color="000000"/>
            </w:tcBorders>
            <w:shd w:val="clear" w:color="auto" w:fill="D4D4D4"/>
          </w:tcPr>
          <w:p>
            <w:pPr/>
          </w:p>
        </w:tc>
        <w:tc>
          <w:tcPr>
            <w:tcW w:w="1134" w:type="dxa"/>
            <w:vMerge/>
            <w:tcBorders>
              <w:left w:val="single" w:sz="4" w:space="0" w:color="000000"/>
              <w:bottom w:val="single" w:sz="4" w:space="0" w:color="000000"/>
              <w:right w:val="single" w:sz="4" w:space="0" w:color="000000"/>
            </w:tcBorders>
            <w:shd w:val="clear" w:color="auto" w:fill="D4D4D4"/>
          </w:tcPr>
          <w:p>
            <w:pPr/>
          </w:p>
        </w:tc>
        <w:tc>
          <w:tcPr>
            <w:tcW w:w="120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27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74,274,232.00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74,274,232.00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73,018,000.00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73,018,000.00</w:t>
            </w: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27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3,850,530.97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3,850,530.97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center"/>
              <w:rPr>
                <w:rFonts w:ascii="Times New Roman" w:hAnsi="Times New Roman" w:cs="Times New Roman" w:eastAsia="Times New Roman" w:hint="default"/>
                <w:sz w:val="18"/>
                <w:szCs w:val="18"/>
              </w:rPr>
            </w:pPr>
            <w:r>
              <w:rPr>
                <w:rFonts w:ascii="Times New Roman"/>
                <w:sz w:val="18"/>
              </w:rPr>
              <w:t>4,624,940.96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4,624,940.96</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78,124,762.97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78,124,762.97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77,642,940.96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77,642,940.96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1）对子公司投资" w:id="420"/>
      <w:bookmarkEnd w:id="420"/>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276"/>
        <w:gridCol w:w="1276"/>
        <w:gridCol w:w="992"/>
        <w:gridCol w:w="1276"/>
        <w:gridCol w:w="851"/>
        <w:gridCol w:w="1061"/>
      </w:tblGrid>
      <w:tr>
        <w:trPr>
          <w:trHeight w:val="71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55" w:right="73"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 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4,470,000.00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58,548,000.00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8" w:right="0"/>
              <w:jc w:val="left"/>
              <w:rPr>
                <w:rFonts w:ascii="Times New Roman" w:hAnsi="Times New Roman" w:cs="Times New Roman" w:eastAsia="Times New Roman" w:hint="default"/>
                <w:sz w:val="18"/>
                <w:szCs w:val="18"/>
              </w:rPr>
            </w:pPr>
            <w:r>
              <w:rPr>
                <w:rFonts w:ascii="Times New Roman"/>
                <w:sz w:val="18"/>
              </w:rPr>
              <w:t>58,548,000.00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1,256,232.00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1,256,232.00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73,018,000.00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1,256,232.00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8" w:right="0"/>
              <w:jc w:val="left"/>
              <w:rPr>
                <w:rFonts w:ascii="Times New Roman" w:hAnsi="Times New Roman" w:cs="Times New Roman" w:eastAsia="Times New Roman" w:hint="default"/>
                <w:sz w:val="18"/>
                <w:szCs w:val="18"/>
              </w:rPr>
            </w:pPr>
            <w:r>
              <w:rPr>
                <w:rFonts w:ascii="Times New Roman"/>
                <w:sz w:val="18"/>
              </w:rPr>
              <w:t>74,274,232.00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对联营、合营企业投资" w:id="421"/>
      <w:bookmarkEnd w:id="421"/>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906"/>
        <w:gridCol w:w="992"/>
        <w:gridCol w:w="494"/>
        <w:gridCol w:w="1064"/>
        <w:gridCol w:w="709"/>
        <w:gridCol w:w="1134"/>
        <w:gridCol w:w="850"/>
        <w:gridCol w:w="568"/>
        <w:gridCol w:w="463"/>
        <w:gridCol w:w="1096"/>
        <w:gridCol w:w="500"/>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90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75"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0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64" w:right="65"/>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906" w:type="dxa"/>
            <w:vMerge/>
            <w:tcBorders>
              <w:left w:val="single" w:sz="4" w:space="0" w:color="000000"/>
              <w:bottom w:val="single" w:sz="4" w:space="0" w:color="000000"/>
              <w:right w:val="single" w:sz="4" w:space="0" w:color="000000"/>
            </w:tcBorders>
            <w:shd w:val="clear" w:color="auto" w:fill="D4D4D4"/>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1"/>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99"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6" w:type="dxa"/>
            <w:vMerge/>
            <w:tcBorders>
              <w:left w:val="single" w:sz="4" w:space="0" w:color="000000"/>
              <w:bottom w:val="single" w:sz="4" w:space="0" w:color="000000"/>
              <w:right w:val="single" w:sz="4" w:space="0" w:color="000000"/>
            </w:tcBorders>
            <w:shd w:val="clear" w:color="auto" w:fill="D4D4D4"/>
          </w:tcPr>
          <w:p>
            <w:pPr/>
          </w:p>
        </w:tc>
        <w:tc>
          <w:tcPr>
            <w:tcW w:w="500"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06" w:type="dxa"/>
            <w:tcBorders>
              <w:top w:val="single" w:sz="4" w:space="0" w:color="000000"/>
              <w:left w:val="single" w:sz="13" w:space="0" w:color="D4D4D4"/>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厦门服云 信息科技 有限公司</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4,624,940.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99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-3,232,564.55</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1,392,376.41</w:t>
            </w:r>
          </w:p>
        </w:tc>
        <w:tc>
          <w:tcPr>
            <w:tcW w:w="5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906"/>
        <w:gridCol w:w="992"/>
        <w:gridCol w:w="494"/>
        <w:gridCol w:w="1064"/>
        <w:gridCol w:w="709"/>
        <w:gridCol w:w="1134"/>
        <w:gridCol w:w="850"/>
        <w:gridCol w:w="568"/>
        <w:gridCol w:w="463"/>
        <w:gridCol w:w="1096"/>
        <w:gridCol w:w="500"/>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北京万诚 信用评价 有限公司</w:t>
            </w:r>
          </w:p>
        </w:tc>
        <w:tc>
          <w:tcPr>
            <w:tcW w:w="90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-1,065,006.80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-1,476,838.64</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2,458,154.56</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4,624,940.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-4,297,571.35</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-1,476,838.64</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3,850,530.97</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4,624,940.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-4,297,571.35</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-1,476,838.64</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3,850,530.97</w:t>
            </w:r>
          </w:p>
        </w:tc>
        <w:tc>
          <w:tcPr>
            <w:tcW w:w="5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当期非经常性损益明细表" w:id="422"/>
      <w:bookmarkEnd w:id="42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4、营业收入和营业成本" w:id="423"/>
      <w:bookmarkEnd w:id="423"/>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206" w:hRule="exact"/>
        </w:trPr>
        <w:tc>
          <w:tcPr>
            <w:tcW w:w="1994" w:type="dxa"/>
            <w:tcBorders>
              <w:top w:val="single" w:sz="4" w:space="0" w:color="000000"/>
              <w:left w:val="single" w:sz="4" w:space="0" w:color="000000"/>
              <w:bottom w:val="nil" w:sz="6" w:space="0" w:color="auto"/>
              <w:right w:val="single" w:sz="4" w:space="0" w:color="000000"/>
            </w:tcBorders>
            <w:shd w:val="clear" w:color="auto" w:fill="D4D4D4"/>
          </w:tcPr>
          <w:p>
            <w:pPr/>
          </w:p>
        </w:tc>
        <w:tc>
          <w:tcPr>
            <w:tcW w:w="375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4D4D4"/>
          </w:tcPr>
          <w:p>
            <w:pP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1994" w:type="dxa"/>
            <w:vMerge/>
            <w:tcBorders>
              <w:left w:val="single" w:sz="4" w:space="0" w:color="000000"/>
              <w:bottom w:val="nil" w:sz="6" w:space="0" w:color="auto"/>
              <w:right w:val="single" w:sz="4" w:space="0" w:color="000000"/>
            </w:tcBorders>
            <w:shd w:val="clear" w:color="auto" w:fill="D4D4D4"/>
          </w:tcPr>
          <w:p>
            <w:pPr/>
          </w:p>
        </w:tc>
        <w:tc>
          <w:tcPr>
            <w:tcW w:w="18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554,221,931.42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229,724,,626.36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368,648,015.71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161,505,906.92</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814,146.00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983,511.68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541,502.00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78,410.85</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555,036,077.42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230,708,138.04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369,189,517.71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161,584,317.77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5、投资收益" w:id="424"/>
      <w:bookmarkEnd w:id="424"/>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13"/>
        <w:gridCol w:w="3070"/>
        <w:gridCol w:w="3186"/>
      </w:tblGrid>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-4,297,571.35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-1,726,037.97</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0" w:type="dxa"/>
            <w:tcBorders>
              <w:top w:val="single" w:sz="4" w:space="0" w:color="000000"/>
              <w:left w:val="single" w:sz="9" w:space="0" w:color="D4D4D4"/>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5,288,890.18</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-4,297,571.35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3,562,852.21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十八、补充资料" w:id="425"/>
      <w:bookmarkEnd w:id="425"/>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67"/>
        <w:gridCol w:w="1712"/>
        <w:gridCol w:w="1489"/>
      </w:tblGrid>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-256,715.51</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32"/>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 享受的政府补助除外）</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8,871,308.43</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-57,504.64</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895,477.76</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34,164.96</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7,627,445.56</w:t>
            </w:r>
          </w:p>
        </w:tc>
        <w:tc>
          <w:tcPr>
            <w:tcW w:w="14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5"/>
        <w:ind w:right="0"/>
        <w:jc w:val="left"/>
      </w:pPr>
      <w:bookmarkStart w:name="（3）境内外会计准则下会计数据差异原因说明，对已经境外审计机构审计的数据进行差异" w:id="426"/>
      <w:bookmarkEnd w:id="426"/>
      <w:r>
        <w:rPr/>
      </w:r>
      <w:bookmarkStart w:name="4、会计政策变更相关补充资料" w:id="427"/>
      <w:bookmarkEnd w:id="427"/>
      <w:r>
        <w:rPr/>
      </w: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非经常性损益》定义界定的非经常性损</w:t>
      </w:r>
    </w:p>
    <w:p>
      <w:pPr>
        <w:pStyle w:val="BodyText"/>
        <w:spacing w:line="259" w:lineRule="auto" w:before="20"/>
        <w:ind w:left="153" w:right="137"/>
        <w:jc w:val="left"/>
      </w:pPr>
      <w:r>
        <w:rPr/>
        <w:t>益项目，以及把《公开发行证券的公司信息披露解释性公告第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非经常性损益》中列举的非经常性 损益项目界定为经常性损益的项目，应说明原因。</w:t>
      </w:r>
    </w:p>
    <w:p>
      <w:pPr>
        <w:pStyle w:val="BodyText"/>
        <w:spacing w:line="240" w:lineRule="auto" w:before="6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w:t>
      </w:r>
      <w:bookmarkStart w:name="2、净资产收益率及每股收益" w:id="428"/>
      <w:bookmarkEnd w:id="428"/>
      <w:r>
        <w:rPr/>
        <w:t>率及每股</w:t>
      </w:r>
      <w:r>
        <w:rPr/>
        <w:t>收益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44"/>
        <w:ind w:left="0" w:right="160" w:firstLine="0"/>
        <w:jc w:val="right"/>
        <w:rPr>
          <w:rFonts w:ascii="宋体" w:hAnsi="宋体" w:cs="宋体" w:eastAsia="宋体" w:hint="default"/>
          <w:sz w:val="18"/>
          <w:szCs w:val="18"/>
        </w:rPr>
      </w:pPr>
      <w:r>
        <w:rPr/>
        <w:pict>
          <v:shape style="position:absolute;margin-left:57.029999pt;margin-top:-20.978308pt;width:478.55pt;height:96.5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17"/>
                    <w:gridCol w:w="1984"/>
                    <w:gridCol w:w="1986"/>
                    <w:gridCol w:w="1770"/>
                  </w:tblGrid>
                  <w:tr>
                    <w:trPr>
                      <w:trHeight w:val="206" w:hRule="exact"/>
                    </w:trPr>
                    <w:tc>
                      <w:tcPr>
                        <w:tcW w:w="3817" w:type="dxa"/>
                        <w:tcBorders>
                          <w:top w:val="single" w:sz="4" w:space="0" w:color="000000"/>
                          <w:left w:val="single" w:sz="4" w:space="0" w:color="000000"/>
                          <w:bottom w:val="nil" w:sz="6" w:space="0" w:color="auto"/>
                          <w:right w:val="single" w:sz="4" w:space="0" w:color="000000"/>
                        </w:tcBorders>
                        <w:shd w:val="clear" w:color="auto" w:fill="D4D4D4"/>
                      </w:tcPr>
                      <w:p>
                        <w:pPr/>
                      </w:p>
                    </w:tc>
                    <w:tc>
                      <w:tcPr>
                        <w:tcW w:w="1984" w:type="dxa"/>
                        <w:tcBorders>
                          <w:top w:val="single" w:sz="4" w:space="0" w:color="000000"/>
                          <w:left w:val="single" w:sz="4" w:space="0" w:color="000000"/>
                          <w:bottom w:val="nil" w:sz="6" w:space="0" w:color="auto"/>
                          <w:right w:val="single" w:sz="4" w:space="0" w:color="000000"/>
                        </w:tcBorders>
                        <w:shd w:val="clear" w:color="auto" w:fill="D4D4D4"/>
                      </w:tcPr>
                      <w:p>
                        <w:pPr/>
                      </w:p>
                    </w:tc>
                    <w:tc>
                      <w:tcPr>
                        <w:tcW w:w="375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38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98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756"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3817" w:type="dxa"/>
                        <w:vMerge/>
                        <w:tcBorders>
                          <w:left w:val="single" w:sz="4" w:space="0" w:color="000000"/>
                          <w:bottom w:val="nil" w:sz="6" w:space="0" w:color="auto"/>
                          <w:right w:val="single" w:sz="4" w:space="0" w:color="000000"/>
                        </w:tcBorders>
                        <w:shd w:val="clear" w:color="auto" w:fill="D4D4D4"/>
                      </w:tcPr>
                      <w:p>
                        <w:pPr/>
                      </w:p>
                    </w:tc>
                    <w:tc>
                      <w:tcPr>
                        <w:tcW w:w="1984" w:type="dxa"/>
                        <w:vMerge/>
                        <w:tcBorders>
                          <w:left w:val="single" w:sz="4" w:space="0" w:color="000000"/>
                          <w:bottom w:val="nil" w:sz="6" w:space="0" w:color="auto"/>
                          <w:right w:val="single" w:sz="4" w:space="0" w:color="000000"/>
                        </w:tcBorders>
                        <w:shd w:val="clear" w:color="auto" w:fill="D4D4D4"/>
                      </w:tcPr>
                      <w:p>
                        <w:pPr/>
                      </w:p>
                    </w:tc>
                    <w:tc>
                      <w:tcPr>
                        <w:tcW w:w="198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7"/>
                          <w:ind w:left="6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pacing w:val="-5"/>
                            <w:sz w:val="18"/>
                            <w:szCs w:val="18"/>
                          </w:rPr>
                          <w:t>稀释每股收益（元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w:t>
                        </w:r>
                      </w:p>
                    </w:tc>
                  </w:tr>
                  <w:tr>
                    <w:trPr>
                      <w:trHeight w:val="206" w:hRule="exact"/>
                    </w:trPr>
                    <w:tc>
                      <w:tcPr>
                        <w:tcW w:w="3817" w:type="dxa"/>
                        <w:tcBorders>
                          <w:top w:val="nil" w:sz="6" w:space="0" w:color="auto"/>
                          <w:left w:val="single" w:sz="4" w:space="0" w:color="000000"/>
                          <w:bottom w:val="single" w:sz="4" w:space="0" w:color="000000"/>
                          <w:right w:val="single" w:sz="4" w:space="0" w:color="000000"/>
                        </w:tcBorders>
                        <w:shd w:val="clear" w:color="auto" w:fill="D4D4D4"/>
                      </w:tcPr>
                      <w:p>
                        <w:pPr/>
                      </w:p>
                    </w:tc>
                    <w:tc>
                      <w:tcPr>
                        <w:tcW w:w="19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986" w:type="dxa"/>
                        <w:vMerge/>
                        <w:tcBorders>
                          <w:left w:val="single" w:sz="4" w:space="0" w:color="000000"/>
                          <w:bottom w:val="single" w:sz="4" w:space="0" w:color="000000"/>
                          <w:right w:val="single" w:sz="4" w:space="0" w:color="000000"/>
                        </w:tcBorders>
                        <w:shd w:val="clear" w:color="auto" w:fill="D4D4D4"/>
                      </w:tcPr>
                      <w:p>
                        <w:pPr/>
                      </w:p>
                    </w:tc>
                    <w:tc>
                      <w:tcPr>
                        <w:tcW w:w="1770"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715" w:hRule="exact"/>
                    </w:trPr>
                    <w:tc>
                      <w:tcPr>
                        <w:tcW w:w="38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193"/>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 净利润</w:t>
                        </w:r>
                      </w:p>
                    </w:tc>
                    <w:tc>
                      <w:tcPr>
                        <w:tcW w:w="198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0.48</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w:t>
      </w:r>
      <w:bookmarkStart w:name="3、境内外会计准则下会计数据差异" w:id="429"/>
      <w:bookmarkEnd w:id="429"/>
      <w:r>
        <w:rPr/>
        <w:t>会计准则</w:t>
      </w:r>
      <w:r>
        <w:rPr/>
        <w:t>披</w:t>
      </w:r>
      <w:bookmarkStart w:name="（1）同时按照国际会计准则与按中国会计准则披露的财务报告中净利润和净资产差异情况" w:id="430"/>
      <w:bookmarkEnd w:id="430"/>
      <w:r>
        <w:rPr/>
        <w:t>露的财务</w:t>
      </w:r>
      <w:r>
        <w:rPr/>
        <w:t>报告中净利润和净资产差异情况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80" w:top="1060" w:bottom="1180" w:left="980" w:right="980"/>
        </w:sectPr>
      </w:pPr>
    </w:p>
    <w:p>
      <w:pPr>
        <w:pStyle w:val="BodyText"/>
        <w:spacing w:line="240" w:lineRule="auto" w:before="35"/>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759" w:space="7069"/>
            <w:col w:w="112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831"/>
        <w:gridCol w:w="1913"/>
        <w:gridCol w:w="1913"/>
        <w:gridCol w:w="1913"/>
      </w:tblGrid>
      <w:tr>
        <w:trPr>
          <w:trHeight w:val="205" w:hRule="exact"/>
        </w:trPr>
        <w:tc>
          <w:tcPr>
            <w:tcW w:w="2000"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4D4D4"/>
          </w:tcPr>
          <w:p>
            <w:pPr/>
          </w:p>
        </w:tc>
        <w:tc>
          <w:tcPr>
            <w:tcW w:w="3744" w:type="dxa"/>
            <w:gridSpan w:val="2"/>
            <w:vMerge/>
            <w:tcBorders>
              <w:left w:val="single" w:sz="4" w:space="0" w:color="000000"/>
              <w:bottom w:val="single" w:sz="4" w:space="0" w:color="000000"/>
              <w:right w:val="single" w:sz="4" w:space="0" w:color="000000"/>
            </w:tcBorders>
            <w:shd w:val="clear" w:color="auto" w:fill="D4D4D4"/>
          </w:tcPr>
          <w:p>
            <w:pP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2000" w:type="dxa"/>
            <w:vMerge/>
            <w:tcBorders>
              <w:left w:val="single" w:sz="4" w:space="0" w:color="000000"/>
              <w:bottom w:val="nil" w:sz="6" w:space="0" w:color="auto"/>
              <w:right w:val="single" w:sz="4" w:space="0" w:color="000000"/>
            </w:tcBorders>
            <w:shd w:val="clear" w:color="auto" w:fill="D4D4D4"/>
          </w:tcPr>
          <w:p>
            <w:pPr/>
          </w:p>
        </w:tc>
        <w:tc>
          <w:tcPr>
            <w:tcW w:w="18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1"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3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114,393,168.46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56,286,872.37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935,248,850.15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827,869,394.22</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w:t>
            </w:r>
          </w:p>
        </w:tc>
        <w:tc>
          <w:tcPr>
            <w:tcW w:w="183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w:t>
      </w:r>
      <w:bookmarkStart w:name="（2）同时按照境外会计准则与按中国会计准则披露的财务报告中净利润和净资产差异情况" w:id="431"/>
      <w:bookmarkEnd w:id="431"/>
      <w:r>
        <w:rPr/>
        <w:t>节的</w:t>
      </w:r>
      <w:r>
        <w:rPr/>
        <w:t>，应注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0" w:right="236"/>
        <w:jc w:val="right"/>
      </w:pPr>
      <w:r>
        <w:rPr/>
        <w:t>公司根据财政部</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年发布的《企业会计准则第</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长期股权投资》等八项会计准则变更了相</w:t>
      </w:r>
    </w:p>
    <w:p>
      <w:pPr>
        <w:pStyle w:val="BodyText"/>
        <w:spacing w:line="309" w:lineRule="auto" w:before="83"/>
        <w:ind w:left="153" w:right="0"/>
        <w:jc w:val="left"/>
      </w:pPr>
      <w:r>
        <w:rPr/>
        <w:t>关会计政策并对比较财务报表进行了追溯重述，重述后的</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 负债表如下：</w:t>
      </w:r>
    </w:p>
    <w:p>
      <w:pPr>
        <w:spacing w:before="72"/>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72"/>
        <w:gridCol w:w="1712"/>
        <w:gridCol w:w="1559"/>
        <w:gridCol w:w="1913"/>
      </w:tblGrid>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397,368,696.36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390,544,835.41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521,675,111.47</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134,878,529.97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125,143,124.91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172,468,410.78</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6,162,475.93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10,766,227.05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7,682,872.00</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2,125,427.78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1,292,517.61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2,134,534.58</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18,912,204.68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28,482,252.71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38,856,979.55</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84,447,102.44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118,570,260.06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185,015,384.88</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389,745.23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753,399.38</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643,894,437.16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675,238,962.98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929,586,692.64</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7,880,000.00</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4,624,940.96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3,850,530.97</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26,078,363.61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9,749,104.35</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89,368,012.06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231,628,903.65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244,151,252.04</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161,216,920.00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322,487.67</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72"/>
        <w:gridCol w:w="1712"/>
        <w:gridCol w:w="1559"/>
        <w:gridCol w:w="1913"/>
      </w:tblGrid>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15,665,712.63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29,788,688.43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55,037,614.48</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7,364,935.45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20,167,263.83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2,799,283.36</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43,856,030.99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43,856,030.99</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3,432,622.16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1,545,504.31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901,166.11</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5,220,638.56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4,624,252.87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16,312,921.51</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283,268,840.86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370,193,948.65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384,860,391.48</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927,163,278.02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1,045,432,911.63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1,314,447,084.12</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38,481,758.35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39,361,222.22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67,241,518.83</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43,183,408.58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67,935,758.25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131,387,990.19</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28,963,187.55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39,091,267.21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53,043,033.07</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13,842,612.03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14,070,168.56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45,011,195.19</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2,602,967.49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17,267,273.81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18,749,179.89</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127,073,934.00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177,725,690.05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315,432,917.17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72"/>
        <w:gridCol w:w="1712"/>
        <w:gridCol w:w="1559"/>
        <w:gridCol w:w="1913"/>
      </w:tblGrid>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18,268,980.83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16,542,594.91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22,302,918.52</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18,818,980.83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16,792,594.91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22,302,918.52</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145,892,914.83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194,518,284.96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337,735,835.69</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110,906,600.00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221,813,200.00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221,581,600.00</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483,289,268.09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381,666,980.65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389,719,961.64</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20,161,477.86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24,996,888.89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35,686,525.88</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296,653,550.96</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164,576,853.34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199,392,324.68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943,641,638.48</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778,934,199.29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827,869,394.22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33,069,609.95</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2,336,163.90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23,045,232.45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976,711,248.43</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781,270,363.19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850,914,626.67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1,314,447,084.12</w:t>
            </w:r>
          </w:p>
        </w:tc>
      </w:tr>
      <w:tr>
        <w:trPr>
          <w:trHeight w:val="402" w:hRule="exact"/>
        </w:trPr>
        <w:tc>
          <w:tcPr>
            <w:tcW w:w="4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927,163,278.02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1,045,432,911.63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389,719,961.64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p>
      <w:pPr>
        <w:pStyle w:val="Heading1"/>
        <w:spacing w:line="240" w:lineRule="auto"/>
        <w:ind w:right="135"/>
        <w:jc w:val="center"/>
        <w:rPr>
          <w:b w:val="0"/>
          <w:bCs w:val="0"/>
        </w:rPr>
      </w:pPr>
      <w:bookmarkStart w:name="第十节 备查文件目录" w:id="432"/>
      <w:bookmarkEnd w:id="432"/>
      <w:r>
        <w:rPr>
          <w:b w:val="0"/>
          <w:bCs w:val="0"/>
        </w:rPr>
      </w:r>
      <w:bookmarkStart w:name="_bookmark9" w:id="433"/>
      <w:bookmarkEnd w:id="433"/>
      <w:r>
        <w:rPr>
          <w:b w:val="0"/>
          <w:bCs w:val="0"/>
        </w:rPr>
      </w:r>
      <w:r>
        <w:rPr/>
        <w:t>第十节</w:t>
      </w:r>
      <w:r>
        <w:rPr>
          <w:spacing w:val="-2"/>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BodyText"/>
        <w:spacing w:line="240" w:lineRule="auto"/>
        <w:ind w:left="634" w:right="0"/>
        <w:jc w:val="left"/>
      </w:pPr>
      <w:r>
        <w:rPr/>
        <w:t>一、公司法定代表人、主管会计工作负责人、会计机构负责人（会计主管人员）签名并盖章的财务报</w:t>
      </w:r>
    </w:p>
    <w:p>
      <w:pPr>
        <w:spacing w:line="240" w:lineRule="auto" w:before="1"/>
        <w:rPr>
          <w:rFonts w:ascii="宋体" w:hAnsi="宋体" w:cs="宋体" w:eastAsia="宋体" w:hint="default"/>
          <w:sz w:val="12"/>
          <w:szCs w:val="12"/>
        </w:rPr>
      </w:pPr>
    </w:p>
    <w:p>
      <w:pPr>
        <w:pStyle w:val="BodyText"/>
        <w:spacing w:line="240" w:lineRule="auto" w:before="35"/>
        <w:ind w:left="153" w:right="0"/>
        <w:jc w:val="left"/>
      </w:pPr>
      <w:r>
        <w:rPr/>
        <w:t>表。</w:t>
      </w:r>
    </w:p>
    <w:p>
      <w:pPr>
        <w:spacing w:line="240" w:lineRule="auto" w:before="13"/>
        <w:rPr>
          <w:rFonts w:ascii="宋体" w:hAnsi="宋体" w:cs="宋体" w:eastAsia="宋体" w:hint="default"/>
          <w:sz w:val="23"/>
          <w:szCs w:val="23"/>
        </w:rPr>
      </w:pPr>
    </w:p>
    <w:p>
      <w:pPr>
        <w:pStyle w:val="BodyText"/>
        <w:spacing w:line="544" w:lineRule="auto" w:before="35"/>
        <w:ind w:left="633" w:right="893"/>
        <w:jc w:val="left"/>
      </w:pPr>
      <w:r>
        <w:rPr/>
        <w:t>二、会计师事务所盖章、注册会计师签名并盖章的审计报告原件。 三、报告期内在中国证监会指定网站上公开披露过的本公司所有文件的正本及公告的原稿。 四、公司法定代表人签名的</w:t>
      </w:r>
      <w:r>
        <w:rPr>
          <w:rFonts w:ascii="Times New Roman" w:hAnsi="Times New Roman" w:cs="Times New Roman" w:eastAsia="Times New Roman" w:hint="default"/>
        </w:rPr>
        <w:t>2014</w:t>
      </w:r>
      <w:r>
        <w:rPr/>
        <w:t>年年度报告全文及其摘要。</w:t>
      </w:r>
    </w:p>
    <w:p>
      <w:pPr>
        <w:pStyle w:val="BodyText"/>
        <w:spacing w:line="544" w:lineRule="auto" w:before="38"/>
        <w:ind w:left="633" w:right="5723"/>
        <w:jc w:val="left"/>
      </w:pPr>
      <w:r>
        <w:rPr/>
        <w:t>五、其他相关资料。 以上备查文件的备置地点：公司证券部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tabs>
          <w:tab w:pos="2423" w:val="left" w:leader="none"/>
        </w:tabs>
        <w:spacing w:line="240" w:lineRule="auto"/>
        <w:ind w:left="0" w:right="527"/>
        <w:jc w:val="right"/>
        <w:rPr>
          <w:rFonts w:ascii="Times New Roman" w:hAnsi="Times New Roman" w:cs="Times New Roman" w:eastAsia="Times New Roman" w:hint="default"/>
          <w:b w:val="0"/>
          <w:bCs w:val="0"/>
        </w:rPr>
      </w:pPr>
      <w:r>
        <w:rPr>
          <w:w w:val="95"/>
        </w:rPr>
        <w:t>法定代表人：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Times New Roman" w:hAnsi="Times New Roman" w:cs="Times New Roman" w:eastAsia="Times New Roman" w:hint="default"/>
        </w:rPr>
      </w:r>
      <w:r>
        <w:rPr>
          <w:rFonts w:ascii="Times New Roman" w:hAnsi="Times New Roman" w:cs="Times New Roman" w:eastAsia="Times New Roman" w:hint="default"/>
          <w:b w:val="0"/>
          <w:bCs w:val="0"/>
        </w:rPr>
      </w:r>
    </w:p>
    <w:p>
      <w:pPr>
        <w:spacing w:line="240" w:lineRule="auto" w:before="4"/>
        <w:rPr>
          <w:rFonts w:ascii="Times New Roman" w:hAnsi="Times New Roman" w:cs="Times New Roman" w:eastAsia="Times New Roman" w:hint="default"/>
          <w:b/>
          <w:bCs/>
          <w:sz w:val="27"/>
          <w:szCs w:val="27"/>
        </w:rPr>
      </w:pPr>
    </w:p>
    <w:p>
      <w:pPr>
        <w:pStyle w:val="Heading4"/>
        <w:spacing w:line="544" w:lineRule="auto" w:before="35"/>
        <w:ind w:left="6631" w:right="133" w:firstLine="1942"/>
        <w:jc w:val="left"/>
        <w:rPr>
          <w:b w:val="0"/>
          <w:bCs w:val="0"/>
        </w:rPr>
      </w:pPr>
      <w:r>
        <w:rPr/>
        <w:t>刘祥南</w:t>
      </w:r>
      <w:r>
        <w:rPr>
          <w:spacing w:val="1"/>
          <w:w w:val="99"/>
        </w:rPr>
        <w:t> </w:t>
      </w:r>
      <w:r>
        <w:rPr/>
        <w:t>厦门市美亚柏科信息股份有限公司</w:t>
      </w:r>
      <w:r>
        <w:rPr>
          <w:b w:val="0"/>
          <w:bCs w:val="0"/>
        </w:rPr>
      </w:r>
    </w:p>
    <w:p>
      <w:pPr>
        <w:pStyle w:val="Heading4"/>
        <w:spacing w:line="240" w:lineRule="auto" w:before="4"/>
        <w:ind w:left="0" w:right="153"/>
        <w:jc w:val="right"/>
        <w:rPr>
          <w:b w:val="0"/>
          <w:bCs w:val="0"/>
        </w:rPr>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25</w:t>
      </w:r>
      <w:r>
        <w:rPr>
          <w:spacing w:val="-1"/>
        </w:rPr>
        <w:t>日</w:t>
      </w:r>
      <w:r>
        <w:rPr>
          <w:b w:val="0"/>
          <w:bCs w:val="0"/>
          <w:spacing w:val="-1"/>
        </w:rPr>
      </w:r>
    </w:p>
    <w:sectPr>
      <w:pgSz w:w="11910" w:h="16840"/>
      <w:pgMar w:header="747" w:footer="980"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PGothic">
    <w:altName w:val="MS PGothic"/>
    <w:charset w:val="0"/>
    <w:family w:val="swiss"/>
    <w:pitch w:val="variable"/>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457947pt;width:6.5pt;height:11pt;mso-position-horizontal-relative:page;mso-position-vertical-relative:page;z-index:-9455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897949pt;width:17.5pt;height:11pt;mso-position-horizontal-relative:page;mso-position-vertical-relative:page;z-index:-945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1.897949pt;width:8.5pt;height:11pt;mso-position-horizontal-relative:page;mso-position-vertical-relative:page;z-index:-945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1.897949pt;width:8.5pt;height:11pt;mso-position-horizontal-relative:page;mso-position-vertical-relative:page;z-index:-945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995pt;margin-top:781.897949pt;width:13pt;height:11pt;mso-position-horizontal-relative:page;mso-position-vertical-relative:page;z-index:-945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995pt;margin-top:781.897949pt;width:13pt;height:11pt;mso-position-horizontal-relative:page;mso-position-vertical-relative:page;z-index:-945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995pt;margin-top:781.897949pt;width:13pt;height:11pt;mso-position-horizontal-relative:page;mso-position-vertical-relative:page;z-index:-945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995pt;margin-top:781.897949pt;width:13pt;height:11pt;mso-position-horizontal-relative:page;mso-position-vertical-relative:page;z-index:-945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897949pt;width:15.5pt;height:11pt;mso-position-horizontal-relative:page;mso-position-vertical-relative:page;z-index:-945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897949pt;width:17.5pt;height:11pt;mso-position-horizontal-relative:page;mso-position-vertical-relative:page;z-index:-945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19995pt;margin-top:36.325607pt;width:222.55pt;height:11.5pt;mso-position-horizontal-relative:page;mso-position-vertical-relative:page;z-index:-945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13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88"/>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300188.cn/" TargetMode="External"/><Relationship Id="rId10" Type="http://schemas.openxmlformats.org/officeDocument/2006/relationships/hyperlink" Target="mailto:tzzgx@300188.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www.cninfo.com.cn/finalpage/2012-01-20/60469569.PDF" TargetMode="External"/><Relationship Id="rId15" Type="http://schemas.openxmlformats.org/officeDocument/2006/relationships/hyperlink" Target="http://www.cninfo.com.cn/finalpage/2012-01-20/60469572.PDF" TargetMode="External"/><Relationship Id="rId16" Type="http://schemas.openxmlformats.org/officeDocument/2006/relationships/hyperlink" Target="http://www.cninfo.com.cn/finalpage/2012-01-20/60469571.PDF" TargetMode="External"/><Relationship Id="rId17" Type="http://schemas.openxmlformats.org/officeDocument/2006/relationships/hyperlink" Target="http://www.cninfo.com.cn/finalpage/2012-05-30/61067445.PDF" TargetMode="External"/><Relationship Id="rId18" Type="http://schemas.openxmlformats.org/officeDocument/2006/relationships/hyperlink" Target="http://www.cninfo.com.cn/finalpage/2012-06-16/61144956.PDF" TargetMode="External"/><Relationship Id="rId19" Type="http://schemas.openxmlformats.org/officeDocument/2006/relationships/hyperlink" Target="http://www.cninfo.com.cn/finalpage/2012-06-16/61144955.PDF" TargetMode="External"/><Relationship Id="rId20" Type="http://schemas.openxmlformats.org/officeDocument/2006/relationships/hyperlink" Target="http://www.cninfo.com.cn/finalpage/2012-07-12/61256361.PDF" TargetMode="External"/><Relationship Id="rId21" Type="http://schemas.openxmlformats.org/officeDocument/2006/relationships/hyperlink" Target="http://www.cninfo.com.cn/finalpage/2012-07-12/61256352.PDF" TargetMode="External"/><Relationship Id="rId22" Type="http://schemas.openxmlformats.org/officeDocument/2006/relationships/hyperlink" Target="http://www.cninfo.com.cn/finalpage/2012-07-12/61256360.PDF" TargetMode="External"/><Relationship Id="rId23" Type="http://schemas.openxmlformats.org/officeDocument/2006/relationships/hyperlink" Target="http://www.cninfo.com.cn/finalpage/2012-07-23/61303256.PDF" TargetMode="External"/><Relationship Id="rId24" Type="http://schemas.openxmlformats.org/officeDocument/2006/relationships/hyperlink" Target="http://www.cninfo.com.cn/finalpage/2012-12-13/61902454.PDF" TargetMode="External"/><Relationship Id="rId25" Type="http://schemas.openxmlformats.org/officeDocument/2006/relationships/hyperlink" Target="http://www.cninfo.com.cn/finalpage/2013-06-29/62624991.PDF" TargetMode="External"/><Relationship Id="rId26" Type="http://schemas.openxmlformats.org/officeDocument/2006/relationships/hyperlink" Target="http://www.cninfo.com.cn/finalpage/2013-07-12/62829723.PDF" TargetMode="External"/><Relationship Id="rId27" Type="http://schemas.openxmlformats.org/officeDocument/2006/relationships/image" Target="media/image2.png"/><Relationship Id="rId28" Type="http://schemas.openxmlformats.org/officeDocument/2006/relationships/footer" Target="footer5.xml"/><Relationship Id="rId29" Type="http://schemas.openxmlformats.org/officeDocument/2006/relationships/footer" Target="footer6.xml"/><Relationship Id="rId30" Type="http://schemas.openxmlformats.org/officeDocument/2006/relationships/footer" Target="footer7.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厦门市美亚柏科信息股份有限公司</dc:creator>
  <dc:title>厦门市美亚柏科信息股份有限公司2014年年度报告全文</dc:title>
  <dcterms:created xsi:type="dcterms:W3CDTF">2020-05-06T19:04:24Z</dcterms:created>
  <dcterms:modified xsi:type="dcterms:W3CDTF">2020-05-06T19:04:24Z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Creator">
    <vt:lpwstr>Acrobat PDFMaker 9.0 Word 版</vt:lpwstr>
  </property>
  <property fmtid="{D5CDD505-2E9C-101B-9397-08002B2CF9AE}" pid="4" name="LastSaved">
    <vt:filetime>2020-05-06T00:00:00Z</vt:filetime>
  </property>
</Properties>
</file>