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header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p>
      <w:pPr>
        <w:spacing w:line="2220" w:lineRule="exact"/>
        <w:ind w:left="34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1409700" cy="14097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09700" cy="1409700"/>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1902" w:right="1183" w:firstLine="0"/>
        <w:jc w:val="center"/>
        <w:rPr>
          <w:rFonts w:ascii="宋体" w:hAnsi="宋体" w:cs="宋体" w:eastAsia="宋体" w:hint="default"/>
          <w:sz w:val="36"/>
          <w:szCs w:val="36"/>
        </w:rPr>
      </w:pPr>
      <w:r>
        <w:rPr>
          <w:rFonts w:ascii="宋体" w:hAnsi="宋体" w:cs="宋体" w:eastAsia="宋体" w:hint="default"/>
          <w:b/>
          <w:bCs/>
          <w:sz w:val="36"/>
          <w:szCs w:val="36"/>
        </w:rPr>
        <w:t>厦门市美亚柏科信息股份有限公司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823" w:right="11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12"/>
        <w:rPr>
          <w:rFonts w:ascii="宋体" w:hAnsi="宋体" w:cs="宋体" w:eastAsia="宋体" w:hint="default"/>
          <w:b/>
          <w:bCs/>
          <w:sz w:val="29"/>
          <w:szCs w:val="29"/>
        </w:rPr>
      </w:pPr>
    </w:p>
    <w:p>
      <w:pPr>
        <w:pStyle w:val="Heading4"/>
        <w:spacing w:line="240" w:lineRule="auto"/>
        <w:ind w:left="1606" w:right="1183"/>
        <w:jc w:val="center"/>
        <w:rPr>
          <w:rFonts w:ascii="Times New Roman" w:hAnsi="Times New Roman" w:cs="Times New Roman" w:eastAsia="Times New Roman" w:hint="default"/>
          <w:b w:val="0"/>
          <w:bCs w:val="0"/>
        </w:rPr>
      </w:pPr>
      <w:r>
        <w:rPr/>
        <w:t>公告编号：</w:t>
      </w:r>
      <w:r>
        <w:rPr>
          <w:rFonts w:ascii="Times New Roman" w:hAnsi="Times New Roman" w:cs="Times New Roman" w:eastAsia="Times New Roman" w:hint="default"/>
        </w:rPr>
        <w:t>2016-15</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44"/>
        <w:ind w:left="1826" w:right="11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footerReference w:type="default" r:id="rId5"/>
          <w:type w:val="continuous"/>
          <w:pgSz w:w="11910" w:h="16840"/>
          <w:pgMar w:footer="1267" w:top="1580" w:bottom="1460" w:left="1680" w:right="16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6"/>
          <w:szCs w:val="16"/>
        </w:rPr>
      </w:pPr>
    </w:p>
    <w:p>
      <w:pPr>
        <w:pStyle w:val="Heading1"/>
        <w:spacing w:line="240" w:lineRule="auto"/>
        <w:ind w:right="2504"/>
        <w:jc w:val="center"/>
        <w:rPr>
          <w:b w:val="0"/>
          <w:bCs w:val="0"/>
        </w:rPr>
      </w:pPr>
      <w:bookmarkStart w:name="第一节 重要提示、目录和释义" w:id="1"/>
      <w:bookmarkEnd w:id="1"/>
      <w:r>
        <w:rPr>
          <w:b w:val="0"/>
          <w:bCs w:val="0"/>
        </w:rPr>
      </w:r>
      <w:r>
        <w:rPr/>
        <w:t>第一节</w:t>
      </w:r>
      <w:r>
        <w:rPr>
          <w:spacing w:val="-3"/>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4" w:right="149"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spacing w:val="3"/>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0"/>
        <w:ind w:left="154" w:right="153"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公司负责人滕达、主管会计工作负责人张乃军及会计机构负责人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陈志友声明：保证年度报告中财务报告的真实、准确、完整。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本公司董事均亲自出席了审议本次年报的董事会会议。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本报告中有关未来计划、业绩预测等方面的内容，均不构成本公司对任何</w:t>
      </w:r>
      <w:r>
        <w:rPr>
          <w:rFonts w:ascii="宋体" w:hAnsi="宋体" w:cs="宋体" w:eastAsia="宋体" w:hint="default"/>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投资者及相关人士的实质承诺，投资者及相关人士均应当对此保持足够的风险</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398" w:lineRule="auto" w:before="157"/>
        <w:ind w:left="154" w:right="151" w:firstLine="561"/>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管理层讨论与分析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九、公司未来发展的展望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部</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分，详细描述了公司经营中可能存在的风险及应对措施，敬请投资者关注相关</w:t>
      </w:r>
      <w:r>
        <w:rPr>
          <w:rFonts w:ascii="宋体" w:hAnsi="宋体" w:cs="宋体" w:eastAsia="宋体" w:hint="default"/>
          <w:b/>
          <w:bCs/>
          <w:spacing w:val="26"/>
          <w:w w:val="95"/>
          <w:sz w:val="28"/>
          <w:szCs w:val="28"/>
        </w:rPr>
        <w:t> </w:t>
      </w:r>
      <w:r>
        <w:rPr>
          <w:rFonts w:ascii="宋体" w:hAnsi="宋体" w:cs="宋体" w:eastAsia="宋体" w:hint="default"/>
          <w:b/>
          <w:bCs/>
          <w:spacing w:val="26"/>
          <w:w w:val="95"/>
          <w:sz w:val="28"/>
          <w:szCs w:val="28"/>
        </w:rPr>
      </w:r>
      <w:r>
        <w:rPr>
          <w:rFonts w:ascii="宋体" w:hAnsi="宋体" w:cs="宋体" w:eastAsia="宋体" w:hint="default"/>
          <w:b/>
          <w:bCs/>
          <w:sz w:val="28"/>
          <w:szCs w:val="28"/>
        </w:rPr>
        <w:t>内容。</w:t>
      </w:r>
      <w:r>
        <w:rPr>
          <w:rFonts w:ascii="宋体" w:hAnsi="宋体" w:cs="宋体" w:eastAsia="宋体" w:hint="default"/>
          <w:sz w:val="28"/>
          <w:szCs w:val="28"/>
        </w:rPr>
      </w:r>
    </w:p>
    <w:p>
      <w:pPr>
        <w:spacing w:before="17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92"/>
          <w:sz w:val="28"/>
          <w:szCs w:val="28"/>
        </w:rPr>
        <w:t> </w:t>
      </w:r>
      <w:r>
        <w:rPr>
          <w:rFonts w:ascii="Times New Roman" w:hAnsi="Times New Roman" w:cs="Times New Roman" w:eastAsia="Times New Roman" w:hint="default"/>
          <w:b/>
          <w:bCs/>
          <w:sz w:val="28"/>
          <w:szCs w:val="28"/>
        </w:rPr>
        <w:t>487,254,406</w:t>
      </w:r>
      <w:r>
        <w:rPr>
          <w:rFonts w:ascii="Times New Roman" w:hAnsi="Times New Roman" w:cs="Times New Roman" w:eastAsia="Times New Roman" w:hint="default"/>
          <w:b/>
          <w:bCs/>
          <w:spacing w:val="-23"/>
          <w:sz w:val="28"/>
          <w:szCs w:val="28"/>
        </w:rPr>
        <w:t> </w:t>
      </w:r>
      <w:r>
        <w:rPr>
          <w:rFonts w:ascii="宋体" w:hAnsi="宋体" w:cs="宋体" w:eastAsia="宋体" w:hint="default"/>
          <w:b/>
          <w:bCs/>
          <w:spacing w:val="-5"/>
          <w:sz w:val="28"/>
          <w:szCs w:val="28"/>
        </w:rPr>
        <w:t>为基数，向</w:t>
      </w:r>
      <w:r>
        <w:rPr>
          <w:rFonts w:ascii="宋体" w:hAnsi="宋体" w:cs="宋体" w:eastAsia="宋体" w:hint="default"/>
          <w:spacing w:val="-5"/>
          <w:sz w:val="28"/>
          <w:szCs w:val="28"/>
        </w:rPr>
      </w:r>
    </w:p>
    <w:p>
      <w:pPr>
        <w:spacing w:before="236"/>
        <w:ind w:left="15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spacing w:val="1"/>
          <w:w w:val="99"/>
          <w:sz w:val="28"/>
          <w:szCs w:val="28"/>
        </w:rPr>
        <w:t>派发现</w:t>
      </w:r>
      <w:r>
        <w:rPr>
          <w:rFonts w:ascii="宋体" w:hAnsi="宋体" w:cs="宋体" w:eastAsia="宋体" w:hint="default"/>
          <w:b/>
          <w:bCs/>
          <w:spacing w:val="2"/>
          <w:w w:val="99"/>
          <w:sz w:val="28"/>
          <w:szCs w:val="28"/>
        </w:rPr>
        <w:t>金</w:t>
      </w:r>
      <w:r>
        <w:rPr>
          <w:rFonts w:ascii="宋体" w:hAnsi="宋体" w:cs="宋体" w:eastAsia="宋体" w:hint="default"/>
          <w:b/>
          <w:bCs/>
          <w:spacing w:val="1"/>
          <w:w w:val="99"/>
          <w:sz w:val="28"/>
          <w:szCs w:val="28"/>
        </w:rPr>
        <w:t>红</w:t>
      </w:r>
      <w:r>
        <w:rPr>
          <w:rFonts w:ascii="宋体" w:hAnsi="宋体" w:cs="宋体" w:eastAsia="宋体" w:hint="default"/>
          <w:b/>
          <w:bCs/>
          <w:w w:val="99"/>
          <w:sz w:val="28"/>
          <w:szCs w:val="28"/>
        </w:rPr>
        <w:t>利</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3</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1"/>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spacing w:val="1"/>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spacing w:val="2"/>
          <w:w w:val="99"/>
          <w:sz w:val="28"/>
          <w:szCs w:val="28"/>
        </w:rPr>
        <w:t>（</w:t>
      </w:r>
      <w:r>
        <w:rPr>
          <w:rFonts w:ascii="宋体" w:hAnsi="宋体" w:cs="宋体" w:eastAsia="宋体" w:hint="default"/>
          <w:b/>
          <w:bCs/>
          <w:spacing w:val="1"/>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spacing w:val="1"/>
          <w:w w:val="99"/>
          <w:sz w:val="28"/>
          <w:szCs w:val="28"/>
        </w:rPr>
        <w:t>以资本公</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股转增</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headerReference w:type="default" r:id="rId7"/>
          <w:footerReference w:type="default" r:id="rId8"/>
          <w:pgSz w:w="11910" w:h="16840"/>
          <w:pgMar w:header="918" w:footer="1267" w:top="1160" w:bottom="1460" w:left="980" w:right="98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spacing w:line="460" w:lineRule="exact" w:before="0"/>
        <w:ind w:left="3067" w:right="234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8"/>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8"/>
              </w:rPr>
              <w:t> </w:t>
            </w:r>
            <w:r>
              <w:rPr/>
              <w:t>重要事项</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8"/>
              </w:rPr>
              <w:t> </w:t>
            </w:r>
            <w:r>
              <w:rPr/>
              <w:t>优先股相关情况</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8"/>
              </w:rPr>
              <w:t> </w:t>
            </w:r>
            <w:r>
              <w:rPr/>
              <w:t>公司治理</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8"/>
              </w:rPr>
              <w:t> </w:t>
            </w:r>
            <w:r>
              <w:rPr/>
              <w:t>财务报告</w:t>
            </w:r>
            <w:r>
              <w:rPr>
                <w:rFonts w:ascii="Times New Roman" w:hAnsi="Times New Roman" w:cs="Times New Roman" w:eastAsia="Times New Roman" w:hint="default"/>
              </w:rPr>
              <w:tab/>
              <w:t>96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备查文件目录</w:t>
            </w:r>
            <w:r>
              <w:rPr>
                <w:rFonts w:ascii="Times New Roman" w:hAnsi="Times New Roman" w:cs="Times New Roman" w:eastAsia="Times New Roman" w:hint="default"/>
              </w:rPr>
              <w:tab/>
              <w:t>207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918" w:footer="1267" w:top="1160" w:bottom="1460" w:left="980" w:right="980"/>
        </w:sectPr>
      </w:pPr>
    </w:p>
    <w:p>
      <w:pPr>
        <w:spacing w:before="858"/>
        <w:ind w:left="3067" w:right="242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9"/>
        <w:gridCol w:w="686"/>
        <w:gridCol w:w="6604"/>
      </w:tblGrid>
      <w:tr>
        <w:trPr>
          <w:trHeight w:val="402" w:hRule="exact"/>
        </w:trPr>
        <w:tc>
          <w:tcPr>
            <w:tcW w:w="22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66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美亚柏科、公司或本公司</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美亚柏科信息安全研究所</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厦门市美亚柏科信息安全研究所有限公司，本公司的全资子公司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厦门服云信息科技有限公司，本公司的参股公司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厦门美亚中敏电子科技有限公司，本公司的控股子公司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香港鼎永泰克科技有限公司，本公司的控股子公司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杭州攀克网络技术有限公司，本公司的参股公司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巨龙信息</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厦门市巨龙信息科技有限公司，本公司的参股公司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宏创科技</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福建宏创信息科技有限公司，本公司的参股公司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珠海市新德汇信息技术有限公司，本公司的全资子公司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万诚信用</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北京万诚信用评价有限公司，本公司的参股公司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海峡国家版权交易中心有限公司，本公司的参股公司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武汉大千信息技术有限公司，本公司的控股子公司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深圳中新赛克</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深圳市中新赛克科技股份有限公司，本公司的参股子公司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正信世纪</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厦门正信世纪信息科技有限公司，本公司的参股子公司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安胜网络</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厦门安胜网络科技有限公司，本公司的控股子公司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江苏税软软件科技有限公司，本公司的全资子公司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美亚宏数</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北京美亚宏数科技有限责任公司，本公司的控股子公司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国信宏数</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北京国信宏数科技有限责任公司，本公司的控股孙公司</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基金管理公司</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厦门市美亚梧桐投资管理有限公司，本公司的参股子公司</w:t>
            </w:r>
          </w:p>
        </w:tc>
      </w:tr>
      <w:tr>
        <w:trPr>
          <w:trHeight w:val="161" w:hRule="exact"/>
        </w:trPr>
        <w:tc>
          <w:tcPr>
            <w:tcW w:w="2279" w:type="dxa"/>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SPV</w:t>
            </w:r>
          </w:p>
        </w:tc>
        <w:tc>
          <w:tcPr>
            <w:tcW w:w="686" w:type="dxa"/>
            <w:tcBorders>
              <w:top w:val="single" w:sz="4" w:space="0" w:color="000000"/>
              <w:left w:val="single" w:sz="4" w:space="0" w:color="000000"/>
              <w:bottom w:val="nil" w:sz="6" w:space="0" w:color="auto"/>
              <w:right w:val="single" w:sz="4" w:space="0" w:color="000000"/>
            </w:tcBorders>
            <w:shd w:val="clear" w:color="auto" w:fill="D4D4D4"/>
          </w:tcPr>
          <w:p>
            <w:pPr/>
          </w:p>
        </w:tc>
        <w:tc>
          <w:tcPr>
            <w:tcW w:w="6604" w:type="dxa"/>
            <w:vMerge w:val="restart"/>
            <w:tcBorders>
              <w:top w:val="single" w:sz="4" w:space="0" w:color="000000"/>
              <w:left w:val="single" w:sz="10" w:space="0" w:color="D4D4D4"/>
              <w:right w:val="single" w:sz="4" w:space="0" w:color="000000"/>
            </w:tcBorders>
          </w:tcPr>
          <w:p>
            <w:pPr>
              <w:pStyle w:val="TableParagraph"/>
              <w:spacing w:line="302" w:lineRule="auto" w:before="51"/>
              <w:ind w:left="27" w:right="20"/>
              <w:jc w:val="left"/>
              <w:rPr>
                <w:rFonts w:ascii="宋体" w:hAnsi="宋体" w:cs="宋体" w:eastAsia="宋体" w:hint="default"/>
                <w:sz w:val="18"/>
                <w:szCs w:val="18"/>
              </w:rPr>
            </w:pPr>
            <w:r>
              <w:rPr>
                <w:rFonts w:ascii="宋体" w:hAnsi="宋体" w:cs="宋体" w:eastAsia="宋体" w:hint="default"/>
                <w:spacing w:val="-5"/>
                <w:sz w:val="18"/>
                <w:szCs w:val="18"/>
              </w:rPr>
              <w:t>厦门市亚桐投资管理合伙企业（有限合伙），由</w:t>
            </w:r>
            <w:r>
              <w:rPr>
                <w:rFonts w:ascii="宋体" w:hAnsi="宋体" w:cs="宋体" w:eastAsia="宋体" w:hint="default"/>
                <w:spacing w:val="5"/>
                <w:sz w:val="18"/>
                <w:szCs w:val="18"/>
              </w:rPr>
              <w:t> </w:t>
            </w:r>
            <w:r>
              <w:rPr>
                <w:rFonts w:ascii="Times New Roman" w:hAnsi="Times New Roman" w:cs="Times New Roman" w:eastAsia="Times New Roman" w:hint="default"/>
                <w:spacing w:val="-1"/>
                <w:w w:val="99"/>
                <w:sz w:val="18"/>
                <w:szCs w:val="18"/>
              </w:rPr>
              <w:t>SPV</w:t>
            </w:r>
            <w:r>
              <w:rPr>
                <w:rFonts w:ascii="Times New Roman" w:hAnsi="Times New Roman" w:cs="Times New Roman" w:eastAsia="Times New Roman" w:hint="default"/>
                <w:spacing w:val="5"/>
                <w:w w:val="99"/>
                <w:sz w:val="18"/>
                <w:szCs w:val="18"/>
              </w:rPr>
              <w:t> </w:t>
            </w:r>
            <w:r>
              <w:rPr>
                <w:rFonts w:ascii="宋体" w:hAnsi="宋体" w:cs="宋体" w:eastAsia="宋体" w:hint="default"/>
                <w:sz w:val="18"/>
                <w:szCs w:val="18"/>
              </w:rPr>
              <w:t>发起设立美亚梧桐产业并购基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r>
      <w:tr>
        <w:trPr>
          <w:trHeight w:val="392" w:hRule="exact"/>
        </w:trPr>
        <w:tc>
          <w:tcPr>
            <w:tcW w:w="2279" w:type="dxa"/>
            <w:vMerge/>
            <w:tcBorders>
              <w:left w:val="single" w:sz="4" w:space="0" w:color="000000"/>
              <w:right w:val="single" w:sz="9" w:space="0" w:color="D4D4D4"/>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vMerge/>
            <w:tcBorders>
              <w:left w:val="single" w:sz="10" w:space="0" w:color="D4D4D4"/>
              <w:right w:val="single" w:sz="4" w:space="0" w:color="000000"/>
            </w:tcBorders>
          </w:tcPr>
          <w:p>
            <w:pPr/>
          </w:p>
        </w:tc>
      </w:tr>
      <w:tr>
        <w:trPr>
          <w:trHeight w:val="161" w:hRule="exact"/>
        </w:trPr>
        <w:tc>
          <w:tcPr>
            <w:tcW w:w="2279" w:type="dxa"/>
            <w:vMerge/>
            <w:tcBorders>
              <w:left w:val="single" w:sz="4" w:space="0" w:color="000000"/>
              <w:bottom w:val="single" w:sz="4" w:space="0" w:color="000000"/>
              <w:right w:val="single" w:sz="9" w:space="0" w:color="D4D4D4"/>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D4D4D4"/>
          </w:tcPr>
          <w:p>
            <w:pPr/>
          </w:p>
        </w:tc>
        <w:tc>
          <w:tcPr>
            <w:tcW w:w="6604" w:type="dxa"/>
            <w:vMerge/>
            <w:tcBorders>
              <w:left w:val="single" w:sz="10" w:space="0" w:color="D4D4D4"/>
              <w:bottom w:val="single" w:sz="4" w:space="0" w:color="000000"/>
              <w:right w:val="single" w:sz="4" w:space="0" w:color="000000"/>
            </w:tcBorders>
          </w:tcPr>
          <w:p>
            <w:pP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保荐机构、国信证券</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国信证券股份有限公司，本公司首次公开发行股票的保荐机构</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r>
              <w:rPr>
                <w:rFonts w:ascii="宋体" w:hAnsi="宋体" w:cs="宋体" w:eastAsia="宋体" w:hint="default"/>
                <w:spacing w:val="-90"/>
                <w:sz w:val="18"/>
                <w:szCs w:val="18"/>
              </w:rPr>
              <w:t>）</w:t>
            </w:r>
            <w:r>
              <w:rPr>
                <w:rFonts w:ascii="宋体" w:hAnsi="宋体" w:cs="宋体" w:eastAsia="宋体" w:hint="default"/>
                <w:sz w:val="18"/>
                <w:szCs w:val="18"/>
              </w:rPr>
              <w:t>，本公司年度审计机构</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首次公开发行股票</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发行人首次发行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股的行为</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厦门市美亚柏科信息股份有限公司首次限制性股票激励计划</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期员工持股计划</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重大资产重组</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美亚柏科拟发行股份购买江苏税软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股权及珠海新德汇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股权的交易统称</w:t>
            </w:r>
          </w:p>
        </w:tc>
      </w:tr>
      <w:tr>
        <w:trPr>
          <w:trHeight w:val="402" w:hRule="exact"/>
        </w:trPr>
        <w:tc>
          <w:tcPr>
            <w:tcW w:w="2279"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指</w:t>
            </w:r>
          </w:p>
        </w:tc>
        <w:tc>
          <w:tcPr>
            <w:tcW w:w="66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79"/>
        <w:ind w:left="2965" w:right="0"/>
        <w:jc w:val="left"/>
        <w:rPr>
          <w:b w:val="0"/>
          <w:bCs w:val="0"/>
        </w:rPr>
      </w:pPr>
      <w:bookmarkStart w:name="三、信息披露及备置地点" w:id="2"/>
      <w:bookmarkEnd w:id="2"/>
      <w:r>
        <w:rPr>
          <w:b w:val="0"/>
          <w:bCs w:val="0"/>
        </w:rPr>
      </w:r>
      <w:bookmarkStart w:name="四、其他有关资料" w:id="3"/>
      <w:bookmarkEnd w:id="3"/>
      <w:r>
        <w:rPr>
          <w:b w:val="0"/>
          <w:bCs w:val="0"/>
        </w:rPr>
      </w:r>
      <w:bookmarkStart w:name="第二节 公司简介和主要财务指标" w:id="4"/>
      <w:bookmarkEnd w:id="4"/>
      <w:r>
        <w:rPr>
          <w:b w:val="0"/>
          <w:bCs w:val="0"/>
        </w:rPr>
      </w:r>
      <w:bookmarkStart w:name="_bookmark0" w:id="5"/>
      <w:bookmarkEnd w:id="5"/>
      <w:r>
        <w:rPr>
          <w:b w:val="0"/>
          <w:bCs w:val="0"/>
        </w:rPr>
      </w:r>
      <w:r>
        <w:rPr/>
        <w:t>第二节</w:t>
      </w:r>
      <w:r>
        <w:rPr>
          <w:spacing w:val="-4"/>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1.119995pt;margin-top:114.07563pt;width:362.65pt;height:20.85pt;mso-position-horizontal-relative:page;mso-position-vertical-relative:paragraph;z-index:-1178944" coordorigin="3422,2282" coordsize="7253,417">
            <v:group style="position:absolute;left:3434;top:2294;width:2;height:393" coordorigin="3434,2294" coordsize="2,393">
              <v:shape style="position:absolute;left:3434;top:2294;width:2;height:393" coordorigin="3434,2294" coordsize="0,393" path="m3434,2294l3434,2686e" filled="false" stroked="true" strokeweight="1.2pt" strokecolor="#ffffff">
                <v:path arrowok="t"/>
              </v:shape>
            </v:group>
            <v:group style="position:absolute;left:3446;top:2294;width:7229;height:393" coordorigin="3446,2294" coordsize="7229,393">
              <v:shape style="position:absolute;left:3446;top:2294;width:7229;height:393" coordorigin="3446,2294" coordsize="7229,393" path="m3446,2686l10675,2686,10675,2294,3446,2294,3446,2686xe" filled="true" fillcolor="#ffffff" stroked="false">
                <v:path arrowok="t"/>
                <v:fill type="solid"/>
              </v:shape>
            </v:group>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65"/>
        <w:gridCol w:w="2145"/>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51"/>
              <w:ind w:left="23" w:right="0"/>
              <w:jc w:val="left"/>
              <w:rPr>
                <w:rFonts w:ascii="宋体" w:hAnsi="宋体" w:cs="宋体" w:eastAsia="宋体" w:hint="default"/>
                <w:sz w:val="18"/>
                <w:szCs w:val="18"/>
              </w:rPr>
            </w:pPr>
            <w:bookmarkStart w:name="一、公司信息" w:id="6"/>
            <w:bookmarkEnd w:id="6"/>
            <w:r>
              <w:rPr/>
            </w:r>
            <w:r>
              <w:rPr>
                <w:rFonts w:ascii="宋体" w:hAnsi="宋体" w:cs="宋体" w:eastAsia="宋体" w:hint="default"/>
                <w:sz w:val="18"/>
                <w:szCs w:val="18"/>
              </w:rPr>
              <w:t>美亚柏科</w:t>
            </w:r>
          </w:p>
        </w:tc>
        <w:tc>
          <w:tcPr>
            <w:tcW w:w="21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300188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美亚柏科</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Xiamen Meiya Pico Information</w:t>
            </w:r>
            <w:r>
              <w:rPr>
                <w:rFonts w:ascii="Times New Roman"/>
                <w:spacing w:val="-11"/>
                <w:sz w:val="18"/>
              </w:rPr>
              <w:t> </w:t>
            </w:r>
            <w:r>
              <w:rPr>
                <w:rFonts w:ascii="Times New Roman"/>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5"/>
                <w:sz w:val="18"/>
              </w:rPr>
              <w:t>MEIYA </w:t>
            </w:r>
            <w:r>
              <w:rPr>
                <w:rFonts w:ascii="Times New Roman"/>
                <w:sz w:val="18"/>
              </w:rPr>
              <w:t>PICO</w:t>
            </w:r>
            <w:r>
              <w:rPr>
                <w:rFonts w:ascii="Times New Roman"/>
                <w:spacing w:val="-5"/>
                <w:sz w:val="18"/>
              </w:rPr>
              <w:t> </w:t>
            </w:r>
            <w:r>
              <w:rPr>
                <w:rFonts w:ascii="Times New Roman"/>
                <w:sz w:val="18"/>
              </w:rPr>
              <w:t>INC.</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滕达</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102-402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号美亚柏科大厦</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361008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www.300188.cn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5"/>
        <w:gridCol w:w="5115"/>
        <w:gridCol w:w="2197"/>
      </w:tblGrid>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1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21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bookmarkStart w:name="二、联系人和联系方式" w:id="7"/>
            <w:bookmarkEnd w:id="7"/>
            <w:r>
              <w:rPr/>
            </w:r>
            <w:r>
              <w:rPr>
                <w:rFonts w:ascii="宋体" w:hAnsi="宋体" w:cs="宋体" w:eastAsia="宋体" w:hint="default"/>
                <w:sz w:val="18"/>
                <w:szCs w:val="18"/>
              </w:rPr>
              <w:t>证券事务代表</w:t>
            </w:r>
          </w:p>
        </w:tc>
      </w:tr>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1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51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号美亚柏科董事会办公室</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51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0592-3698792</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51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0592-2519335</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511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tzzgx@300188.cn</w:t>
              </w:r>
            </w:hyperlink>
          </w:p>
        </w:tc>
        <w:tc>
          <w:tcPr>
            <w:tcW w:w="21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巨潮资讯网，网址</w:t>
            </w:r>
            <w:r>
              <w:rPr>
                <w:rFonts w:ascii="宋体" w:hAnsi="宋体" w:cs="宋体" w:eastAsia="宋体" w:hint="default"/>
                <w:spacing w:val="-66"/>
                <w:sz w:val="18"/>
                <w:szCs w:val="18"/>
              </w:rPr>
              <w:t> </w:t>
            </w:r>
            <w:hyperlink r:id="rId11">
              <w:r>
                <w:rPr>
                  <w:rFonts w:ascii="Times New Roman" w:hAnsi="Times New Roman" w:cs="Times New Roman" w:eastAsia="Times New Roman" w:hint="default"/>
                  <w:sz w:val="18"/>
                  <w:szCs w:val="18"/>
                </w:rPr>
                <w:t>http://www.cninfo.com.cn</w:t>
              </w:r>
            </w:hyperlink>
          </w:p>
        </w:tc>
      </w:tr>
      <w:tr>
        <w:trPr>
          <w:trHeight w:val="403" w:hRule="exact"/>
        </w:trPr>
        <w:tc>
          <w:tcPr>
            <w:tcW w:w="3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福建省厦门市软件园二期观日路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四、其他有关资料</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918" w:footer="1267" w:top="1160" w:bottom="1460" w:left="980" w:right="980"/>
        </w:sect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福建省厦门市思明区曾厝垵软件园创新大厦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12-15 </w:t>
            </w:r>
            <w:r>
              <w:rPr>
                <w:rFonts w:ascii="宋体" w:hAnsi="宋体" w:cs="宋体" w:eastAsia="宋体" w:hint="default"/>
                <w:sz w:val="18"/>
                <w:szCs w:val="18"/>
              </w:rPr>
              <w:t>楼</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周俊超、余道前</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公司聘请的报告期内履行持续督导职责的保荐机构</w:t>
      </w:r>
    </w:p>
    <w:p>
      <w:pPr>
        <w:spacing w:line="240" w:lineRule="auto" w:before="10"/>
        <w:rPr>
          <w:rFonts w:ascii="宋体" w:hAnsi="宋体" w:cs="宋体" w:eastAsia="宋体" w:hint="default"/>
          <w:sz w:val="16"/>
          <w:szCs w:val="16"/>
        </w:rPr>
      </w:pPr>
    </w:p>
    <w:p>
      <w:pPr>
        <w:pStyle w:val="BodyText"/>
        <w:spacing w:line="408" w:lineRule="auto"/>
        <w:ind w:right="47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公司聘请的报告期内履行持续督导职责的财务顾问</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268"/>
        <w:gridCol w:w="2836"/>
        <w:gridCol w:w="2268"/>
        <w:gridCol w:w="2196"/>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财务顾问名称</w:t>
            </w:r>
          </w:p>
        </w:tc>
        <w:tc>
          <w:tcPr>
            <w:tcW w:w="2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2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1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中国国际金融股份有限公司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北京市建国门外大街</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号国贸大厦</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层</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杨士佳、胡霄俊</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日至</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五、主要会计数据和财务指标</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bookmarkStart w:name="五、主要会计数据和财务指标" w:id="8"/>
      <w:bookmarkEnd w:id="8"/>
      <w:r>
        <w:rPr/>
      </w:r>
      <w:r>
        <w:rPr/>
        <w:t>公司是否因会计政策变更及会计差错更正等追溯调整或重述以前年度会计数据</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4"/>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1973"/>
        <w:gridCol w:w="1417"/>
        <w:gridCol w:w="1360"/>
        <w:gridCol w:w="1334"/>
        <w:gridCol w:w="1067"/>
        <w:gridCol w:w="1202"/>
        <w:gridCol w:w="1202"/>
      </w:tblGrid>
      <w:tr>
        <w:trPr>
          <w:trHeight w:val="161" w:hRule="exact"/>
        </w:trPr>
        <w:tc>
          <w:tcPr>
            <w:tcW w:w="1973" w:type="dxa"/>
            <w:vMerge w:val="restart"/>
            <w:tcBorders>
              <w:top w:val="single" w:sz="4" w:space="0" w:color="000000"/>
              <w:left w:val="single" w:sz="4" w:space="0" w:color="000000"/>
              <w:right w:val="single" w:sz="4" w:space="0" w:color="000000"/>
            </w:tcBorders>
            <w:shd w:val="clear" w:color="auto" w:fill="D4D4D4"/>
          </w:tcPr>
          <w:p>
            <w:pPr/>
          </w:p>
        </w:tc>
        <w:tc>
          <w:tcPr>
            <w:tcW w:w="1417" w:type="dxa"/>
            <w:vMerge w:val="restart"/>
            <w:tcBorders>
              <w:top w:val="single" w:sz="4" w:space="0" w:color="000000"/>
              <w:left w:val="single" w:sz="4" w:space="0" w:color="000000"/>
              <w:right w:val="single" w:sz="4" w:space="0" w:color="000000"/>
            </w:tcBorders>
            <w:shd w:val="clear" w:color="auto" w:fill="D4D4D4"/>
          </w:tcPr>
          <w:p>
            <w:pPr/>
          </w:p>
        </w:tc>
        <w:tc>
          <w:tcPr>
            <w:tcW w:w="2694"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067"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347" w:right="77" w:hanging="270"/>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1973" w:type="dxa"/>
            <w:vMerge/>
            <w:tcBorders>
              <w:left w:val="single" w:sz="4" w:space="0" w:color="000000"/>
              <w:bottom w:val="nil" w:sz="6" w:space="0" w:color="auto"/>
              <w:right w:val="single" w:sz="4" w:space="0" w:color="000000"/>
            </w:tcBorders>
            <w:shd w:val="clear" w:color="auto" w:fill="D4D4D4"/>
          </w:tcPr>
          <w:p>
            <w:pPr/>
          </w:p>
        </w:tc>
        <w:tc>
          <w:tcPr>
            <w:tcW w:w="1417" w:type="dxa"/>
            <w:vMerge/>
            <w:tcBorders>
              <w:left w:val="single" w:sz="4" w:space="0" w:color="000000"/>
              <w:bottom w:val="nil" w:sz="6" w:space="0" w:color="auto"/>
              <w:right w:val="single" w:sz="4" w:space="0" w:color="000000"/>
            </w:tcBorders>
            <w:shd w:val="clear" w:color="auto" w:fill="D4D4D4"/>
          </w:tcPr>
          <w:p>
            <w:pPr/>
          </w:p>
        </w:tc>
        <w:tc>
          <w:tcPr>
            <w:tcW w:w="2694"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67" w:type="dxa"/>
            <w:vMerge/>
            <w:tcBorders>
              <w:left w:val="single" w:sz="4" w:space="0" w:color="000000"/>
              <w:right w:val="single" w:sz="4" w:space="0" w:color="000000"/>
            </w:tcBorders>
            <w:shd w:val="clear" w:color="auto" w:fill="D4D4D4"/>
          </w:tcPr>
          <w:p>
            <w:pPr/>
          </w:p>
        </w:tc>
        <w:tc>
          <w:tcPr>
            <w:tcW w:w="2405"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1973" w:type="dxa"/>
            <w:vMerge w:val="restart"/>
            <w:tcBorders>
              <w:top w:val="nil" w:sz="6" w:space="0" w:color="auto"/>
              <w:left w:val="single" w:sz="4" w:space="0" w:color="000000"/>
              <w:right w:val="single" w:sz="4" w:space="0" w:color="000000"/>
            </w:tcBorders>
            <w:shd w:val="clear" w:color="auto" w:fill="D4D4D4"/>
          </w:tcPr>
          <w:p>
            <w:pPr/>
          </w:p>
        </w:tc>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694" w:type="dxa"/>
            <w:gridSpan w:val="2"/>
            <w:vMerge/>
            <w:tcBorders>
              <w:left w:val="single" w:sz="4" w:space="0" w:color="000000"/>
              <w:bottom w:val="nil" w:sz="6" w:space="0" w:color="auto"/>
              <w:right w:val="single" w:sz="4" w:space="0" w:color="000000"/>
            </w:tcBorders>
            <w:shd w:val="clear" w:color="auto" w:fill="D4D4D4"/>
          </w:tcPr>
          <w:p>
            <w:pPr/>
          </w:p>
        </w:tc>
        <w:tc>
          <w:tcPr>
            <w:tcW w:w="1067" w:type="dxa"/>
            <w:vMerge/>
            <w:tcBorders>
              <w:left w:val="single" w:sz="4" w:space="0" w:color="000000"/>
              <w:right w:val="single" w:sz="4" w:space="0" w:color="000000"/>
            </w:tcBorders>
            <w:shd w:val="clear" w:color="auto" w:fill="D4D4D4"/>
          </w:tcPr>
          <w:p>
            <w:pPr/>
          </w:p>
        </w:tc>
        <w:tc>
          <w:tcPr>
            <w:tcW w:w="2405"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1973" w:type="dxa"/>
            <w:vMerge/>
            <w:tcBorders>
              <w:left w:val="single" w:sz="4" w:space="0" w:color="000000"/>
              <w:bottom w:val="nil" w:sz="6" w:space="0" w:color="auto"/>
              <w:right w:val="single" w:sz="4" w:space="0" w:color="000000"/>
            </w:tcBorders>
            <w:shd w:val="clear" w:color="auto" w:fill="D4D4D4"/>
          </w:tcPr>
          <w:p>
            <w:pPr/>
          </w:p>
        </w:tc>
        <w:tc>
          <w:tcPr>
            <w:tcW w:w="1417" w:type="dxa"/>
            <w:vMerge/>
            <w:tcBorders>
              <w:left w:val="single" w:sz="4" w:space="0" w:color="000000"/>
              <w:bottom w:val="nil" w:sz="6" w:space="0" w:color="auto"/>
              <w:right w:val="single" w:sz="4" w:space="0" w:color="000000"/>
            </w:tcBorders>
            <w:shd w:val="clear" w:color="auto" w:fill="D4D4D4"/>
          </w:tcPr>
          <w:p>
            <w:pPr/>
          </w:p>
        </w:tc>
        <w:tc>
          <w:tcPr>
            <w:tcW w:w="2694"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067" w:type="dxa"/>
            <w:vMerge/>
            <w:tcBorders>
              <w:left w:val="single" w:sz="4" w:space="0" w:color="000000"/>
              <w:bottom w:val="single" w:sz="4" w:space="0" w:color="000000"/>
              <w:right w:val="single" w:sz="4" w:space="0" w:color="000000"/>
            </w:tcBorders>
            <w:shd w:val="clear" w:color="auto" w:fill="D4D4D4"/>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7" w:hRule="exact"/>
        </w:trPr>
        <w:tc>
          <w:tcPr>
            <w:tcW w:w="1973"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763,160,356.75</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603,095,207.02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603,095,207.02</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390,413,350.38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390,413,350.38</w:t>
            </w:r>
          </w:p>
        </w:tc>
      </w:tr>
      <w:tr>
        <w:trPr>
          <w:trHeight w:val="714"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6"/>
              <w:jc w:val="left"/>
              <w:rPr>
                <w:rFonts w:ascii="宋体" w:hAnsi="宋体" w:cs="宋体" w:eastAsia="宋体" w:hint="default"/>
                <w:sz w:val="18"/>
                <w:szCs w:val="18"/>
              </w:rPr>
            </w:pPr>
            <w:r>
              <w:rPr>
                <w:rFonts w:ascii="宋体" w:hAnsi="宋体" w:cs="宋体" w:eastAsia="宋体" w:hint="default"/>
                <w:spacing w:val="14"/>
                <w:sz w:val="18"/>
                <w:szCs w:val="18"/>
              </w:rPr>
              <w:t>归属于上市公司股东的 </w:t>
            </w:r>
            <w:r>
              <w:rPr>
                <w:rFonts w:ascii="宋体" w:hAnsi="宋体" w:cs="宋体" w:eastAsia="宋体" w:hint="default"/>
                <w:sz w:val="18"/>
                <w:szCs w:val="18"/>
              </w:rPr>
              <w:t>净利润（元）</w:t>
            </w:r>
          </w:p>
        </w:tc>
        <w:tc>
          <w:tcPr>
            <w:tcW w:w="14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133,165,026.62</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114,602,055.27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114,602,055.27</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56,286,872.37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56,286,872.37</w:t>
            </w:r>
          </w:p>
        </w:tc>
      </w:tr>
      <w:tr>
        <w:trPr>
          <w:trHeight w:val="1026"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6"/>
              <w:jc w:val="both"/>
              <w:rPr>
                <w:rFonts w:ascii="宋体" w:hAnsi="宋体" w:cs="宋体" w:eastAsia="宋体" w:hint="default"/>
                <w:sz w:val="18"/>
                <w:szCs w:val="18"/>
              </w:rPr>
            </w:pPr>
            <w:r>
              <w:rPr>
                <w:rFonts w:ascii="宋体" w:hAnsi="宋体" w:cs="宋体" w:eastAsia="宋体" w:hint="default"/>
                <w:spacing w:val="14"/>
                <w:sz w:val="18"/>
                <w:szCs w:val="18"/>
              </w:rPr>
              <w:t>归属于上市公司股东的 扣除非经常性损益的净 </w:t>
            </w:r>
            <w:r>
              <w:rPr>
                <w:rFonts w:ascii="宋体" w:hAnsi="宋体" w:cs="宋体" w:eastAsia="宋体" w:hint="default"/>
                <w:sz w:val="18"/>
                <w:szCs w:val="18"/>
              </w:rPr>
              <w:t>利润（元）</w:t>
            </w:r>
          </w:p>
        </w:tc>
        <w:tc>
          <w:tcPr>
            <w:tcW w:w="14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120,746,736.88</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106,974,609.71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106,974,609.71</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42,146,366.40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42,146,366.40</w:t>
            </w:r>
          </w:p>
        </w:tc>
      </w:tr>
      <w:tr>
        <w:trPr>
          <w:trHeight w:val="714"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6"/>
              <w:jc w:val="left"/>
              <w:rPr>
                <w:rFonts w:ascii="宋体" w:hAnsi="宋体" w:cs="宋体" w:eastAsia="宋体" w:hint="default"/>
                <w:sz w:val="18"/>
                <w:szCs w:val="18"/>
              </w:rPr>
            </w:pPr>
            <w:r>
              <w:rPr>
                <w:rFonts w:ascii="宋体" w:hAnsi="宋体" w:cs="宋体" w:eastAsia="宋体" w:hint="default"/>
                <w:spacing w:val="14"/>
                <w:sz w:val="18"/>
                <w:szCs w:val="18"/>
              </w:rPr>
              <w:t>经营活动产生的现金流 </w:t>
            </w:r>
            <w:r>
              <w:rPr>
                <w:rFonts w:ascii="宋体" w:hAnsi="宋体" w:cs="宋体" w:eastAsia="宋体" w:hint="default"/>
                <w:sz w:val="18"/>
                <w:szCs w:val="18"/>
              </w:rPr>
              <w:t>量净额（元）</w:t>
            </w:r>
          </w:p>
        </w:tc>
        <w:tc>
          <w:tcPr>
            <w:tcW w:w="14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181,586,163.55</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173,661,157.41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173,661,157.41</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48,992,020.21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48,992,020.21</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0.31</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r>
      <w:tr>
        <w:trPr>
          <w:trHeight w:val="402"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4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13.24%</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w:t>
            </w:r>
          </w:p>
        </w:tc>
      </w:tr>
      <w:tr>
        <w:trPr>
          <w:trHeight w:val="161" w:hRule="exact"/>
        </w:trPr>
        <w:tc>
          <w:tcPr>
            <w:tcW w:w="1973" w:type="dxa"/>
            <w:vMerge w:val="restart"/>
            <w:tcBorders>
              <w:top w:val="single" w:sz="4" w:space="0" w:color="000000"/>
              <w:left w:val="single" w:sz="4" w:space="0" w:color="000000"/>
              <w:right w:val="single" w:sz="4" w:space="0" w:color="000000"/>
            </w:tcBorders>
            <w:shd w:val="clear" w:color="auto" w:fill="D4D4D4"/>
          </w:tcPr>
          <w:p>
            <w:pPr/>
          </w:p>
        </w:tc>
        <w:tc>
          <w:tcPr>
            <w:tcW w:w="1417" w:type="dxa"/>
            <w:vMerge w:val="restart"/>
            <w:tcBorders>
              <w:top w:val="single" w:sz="4" w:space="0" w:color="000000"/>
              <w:left w:val="single" w:sz="4" w:space="0" w:color="000000"/>
              <w:right w:val="single" w:sz="4" w:space="0" w:color="000000"/>
            </w:tcBorders>
            <w:shd w:val="clear" w:color="auto" w:fill="D4D4D4"/>
          </w:tcPr>
          <w:p>
            <w:pPr/>
          </w:p>
        </w:tc>
        <w:tc>
          <w:tcPr>
            <w:tcW w:w="2694"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1067"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167" w:right="77" w:hanging="90"/>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4D4D4"/>
          </w:tcPr>
          <w:p>
            <w:pPr/>
          </w:p>
        </w:tc>
      </w:tr>
      <w:tr>
        <w:trPr>
          <w:trHeight w:val="202" w:hRule="exact"/>
        </w:trPr>
        <w:tc>
          <w:tcPr>
            <w:tcW w:w="1973" w:type="dxa"/>
            <w:vMerge/>
            <w:tcBorders>
              <w:left w:val="single" w:sz="4" w:space="0" w:color="000000"/>
              <w:bottom w:val="nil" w:sz="6" w:space="0" w:color="auto"/>
              <w:right w:val="single" w:sz="4" w:space="0" w:color="000000"/>
            </w:tcBorders>
            <w:shd w:val="clear" w:color="auto" w:fill="D4D4D4"/>
          </w:tcPr>
          <w:p>
            <w:pPr/>
          </w:p>
        </w:tc>
        <w:tc>
          <w:tcPr>
            <w:tcW w:w="1417" w:type="dxa"/>
            <w:vMerge/>
            <w:tcBorders>
              <w:left w:val="single" w:sz="4" w:space="0" w:color="000000"/>
              <w:bottom w:val="nil" w:sz="6" w:space="0" w:color="auto"/>
              <w:right w:val="single" w:sz="4" w:space="0" w:color="000000"/>
            </w:tcBorders>
            <w:shd w:val="clear" w:color="auto" w:fill="D4D4D4"/>
          </w:tcPr>
          <w:p>
            <w:pPr/>
          </w:p>
        </w:tc>
        <w:tc>
          <w:tcPr>
            <w:tcW w:w="2694"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067" w:type="dxa"/>
            <w:vMerge/>
            <w:tcBorders>
              <w:left w:val="single" w:sz="4" w:space="0" w:color="000000"/>
              <w:right w:val="single" w:sz="4" w:space="0" w:color="000000"/>
            </w:tcBorders>
            <w:shd w:val="clear" w:color="auto" w:fill="D4D4D4"/>
          </w:tcPr>
          <w:p>
            <w:pPr/>
          </w:p>
        </w:tc>
        <w:tc>
          <w:tcPr>
            <w:tcW w:w="2405"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1973" w:type="dxa"/>
            <w:vMerge w:val="restart"/>
            <w:tcBorders>
              <w:top w:val="nil" w:sz="6" w:space="0" w:color="auto"/>
              <w:left w:val="single" w:sz="4" w:space="0" w:color="000000"/>
              <w:right w:val="single" w:sz="4" w:space="0" w:color="000000"/>
            </w:tcBorders>
            <w:shd w:val="clear" w:color="auto" w:fill="D4D4D4"/>
          </w:tcPr>
          <w:p>
            <w:pPr/>
          </w:p>
        </w:tc>
        <w:tc>
          <w:tcPr>
            <w:tcW w:w="14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4" w:type="dxa"/>
            <w:gridSpan w:val="2"/>
            <w:vMerge/>
            <w:tcBorders>
              <w:left w:val="single" w:sz="4" w:space="0" w:color="000000"/>
              <w:bottom w:val="nil" w:sz="6" w:space="0" w:color="auto"/>
              <w:right w:val="single" w:sz="4" w:space="0" w:color="000000"/>
            </w:tcBorders>
            <w:shd w:val="clear" w:color="auto" w:fill="D4D4D4"/>
          </w:tcPr>
          <w:p>
            <w:pPr/>
          </w:p>
        </w:tc>
        <w:tc>
          <w:tcPr>
            <w:tcW w:w="1067" w:type="dxa"/>
            <w:vMerge/>
            <w:tcBorders>
              <w:left w:val="single" w:sz="4" w:space="0" w:color="000000"/>
              <w:right w:val="single" w:sz="4" w:space="0" w:color="000000"/>
            </w:tcBorders>
            <w:shd w:val="clear" w:color="auto" w:fill="D4D4D4"/>
          </w:tcPr>
          <w:p>
            <w:pPr/>
          </w:p>
        </w:tc>
        <w:tc>
          <w:tcPr>
            <w:tcW w:w="2405" w:type="dxa"/>
            <w:gridSpan w:val="2"/>
            <w:vMerge/>
            <w:tcBorders>
              <w:left w:val="single" w:sz="4" w:space="0" w:color="000000"/>
              <w:bottom w:val="nil" w:sz="6" w:space="0" w:color="auto"/>
              <w:right w:val="single" w:sz="4" w:space="0" w:color="000000"/>
            </w:tcBorders>
            <w:shd w:val="clear" w:color="auto" w:fill="D4D4D4"/>
          </w:tcPr>
          <w:p>
            <w:pPr/>
          </w:p>
        </w:tc>
      </w:tr>
      <w:tr>
        <w:trPr>
          <w:trHeight w:val="156" w:hRule="exact"/>
        </w:trPr>
        <w:tc>
          <w:tcPr>
            <w:tcW w:w="1973" w:type="dxa"/>
            <w:vMerge/>
            <w:tcBorders>
              <w:left w:val="single" w:sz="4" w:space="0" w:color="000000"/>
              <w:bottom w:val="nil" w:sz="6" w:space="0" w:color="auto"/>
              <w:right w:val="single" w:sz="4" w:space="0" w:color="000000"/>
            </w:tcBorders>
            <w:shd w:val="clear" w:color="auto" w:fill="D4D4D4"/>
          </w:tcPr>
          <w:p>
            <w:pPr/>
          </w:p>
        </w:tc>
        <w:tc>
          <w:tcPr>
            <w:tcW w:w="1417" w:type="dxa"/>
            <w:vMerge/>
            <w:tcBorders>
              <w:left w:val="single" w:sz="4" w:space="0" w:color="000000"/>
              <w:bottom w:val="nil" w:sz="6" w:space="0" w:color="auto"/>
              <w:right w:val="single" w:sz="4" w:space="0" w:color="000000"/>
            </w:tcBorders>
            <w:shd w:val="clear" w:color="auto" w:fill="D4D4D4"/>
          </w:tcPr>
          <w:p>
            <w:pPr/>
          </w:p>
        </w:tc>
        <w:tc>
          <w:tcPr>
            <w:tcW w:w="2694"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067" w:type="dxa"/>
            <w:vMerge/>
            <w:tcBorders>
              <w:left w:val="single" w:sz="4" w:space="0" w:color="000000"/>
              <w:bottom w:val="single" w:sz="4" w:space="0" w:color="000000"/>
              <w:right w:val="single" w:sz="4" w:space="0" w:color="000000"/>
            </w:tcBorders>
            <w:shd w:val="clear" w:color="auto" w:fill="D4D4D4"/>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7" w:hRule="exact"/>
        </w:trPr>
        <w:tc>
          <w:tcPr>
            <w:tcW w:w="1973"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92"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1973" w:type="dxa"/>
            <w:tcBorders>
              <w:top w:val="single" w:sz="4" w:space="0" w:color="000000"/>
              <w:left w:val="single" w:sz="4" w:space="0" w:color="000000"/>
              <w:bottom w:val="nil" w:sz="6" w:space="0" w:color="auto"/>
              <w:right w:val="single" w:sz="4" w:space="0" w:color="000000"/>
            </w:tcBorders>
            <w:shd w:val="clear" w:color="auto" w:fill="D4D4D4"/>
          </w:tcPr>
          <w:p>
            <w:pPr/>
          </w:p>
        </w:tc>
        <w:tc>
          <w:tcPr>
            <w:tcW w:w="1417"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2,202,465,810.75</w:t>
            </w:r>
          </w:p>
        </w:tc>
        <w:tc>
          <w:tcPr>
            <w:tcW w:w="13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1,314,447,084.12</w:t>
            </w:r>
          </w:p>
        </w:tc>
        <w:tc>
          <w:tcPr>
            <w:tcW w:w="13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1,314,447,084.12</w:t>
            </w:r>
          </w:p>
        </w:tc>
        <w:tc>
          <w:tcPr>
            <w:tcW w:w="10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67.56%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1,045,432,911.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1,045,432,911.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63</w:t>
            </w:r>
          </w:p>
        </w:tc>
      </w:tr>
      <w:tr>
        <w:trPr>
          <w:trHeight w:val="392" w:hRule="exact"/>
        </w:trPr>
        <w:tc>
          <w:tcPr>
            <w:tcW w:w="197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417" w:type="dxa"/>
            <w:vMerge/>
            <w:tcBorders>
              <w:left w:val="single" w:sz="9" w:space="0" w:color="D4D4D4"/>
              <w:right w:val="single" w:sz="4" w:space="0" w:color="000000"/>
            </w:tcBorders>
          </w:tcPr>
          <w:p>
            <w:pPr/>
          </w:p>
        </w:tc>
        <w:tc>
          <w:tcPr>
            <w:tcW w:w="1360" w:type="dxa"/>
            <w:vMerge/>
            <w:tcBorders>
              <w:left w:val="single" w:sz="4" w:space="0" w:color="000000"/>
              <w:right w:val="single" w:sz="4" w:space="0" w:color="000000"/>
            </w:tcBorders>
          </w:tcPr>
          <w:p>
            <w:pPr/>
          </w:p>
        </w:tc>
        <w:tc>
          <w:tcPr>
            <w:tcW w:w="1334" w:type="dxa"/>
            <w:vMerge/>
            <w:tcBorders>
              <w:left w:val="single" w:sz="4" w:space="0" w:color="000000"/>
              <w:right w:val="single" w:sz="4" w:space="0" w:color="000000"/>
            </w:tcBorders>
          </w:tcPr>
          <w:p>
            <w:pPr/>
          </w:p>
        </w:tc>
        <w:tc>
          <w:tcPr>
            <w:tcW w:w="1067"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1973"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7" w:type="dxa"/>
            <w:vMerge/>
            <w:tcBorders>
              <w:left w:val="single" w:sz="9" w:space="0" w:color="D4D4D4"/>
              <w:bottom w:val="single" w:sz="4" w:space="0" w:color="000000"/>
              <w:right w:val="single" w:sz="4" w:space="0" w:color="000000"/>
            </w:tcBorders>
          </w:tcPr>
          <w:p>
            <w:pPr/>
          </w:p>
        </w:tc>
        <w:tc>
          <w:tcPr>
            <w:tcW w:w="1360"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single" w:sz="4" w:space="0" w:color="000000"/>
            </w:tcBorders>
          </w:tcPr>
          <w:p>
            <w:pPr/>
          </w:p>
        </w:tc>
        <w:tc>
          <w:tcPr>
            <w:tcW w:w="1067"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19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6"/>
              <w:jc w:val="left"/>
              <w:rPr>
                <w:rFonts w:ascii="宋体" w:hAnsi="宋体" w:cs="宋体" w:eastAsia="宋体" w:hint="default"/>
                <w:sz w:val="18"/>
                <w:szCs w:val="18"/>
              </w:rPr>
            </w:pPr>
            <w:r>
              <w:rPr>
                <w:rFonts w:ascii="宋体" w:hAnsi="宋体" w:cs="宋体" w:eastAsia="宋体" w:hint="default"/>
                <w:spacing w:val="14"/>
                <w:sz w:val="18"/>
                <w:szCs w:val="18"/>
              </w:rPr>
              <w:t>归属于上市公司股东的 </w:t>
            </w:r>
            <w:r>
              <w:rPr>
                <w:rFonts w:ascii="宋体" w:hAnsi="宋体" w:cs="宋体" w:eastAsia="宋体" w:hint="default"/>
                <w:sz w:val="18"/>
                <w:szCs w:val="18"/>
              </w:rPr>
              <w:t>净资产（元）</w:t>
            </w:r>
          </w:p>
        </w:tc>
        <w:tc>
          <w:tcPr>
            <w:tcW w:w="141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1,672,859,824.77</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943,641,638.48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924,891,499.28</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827,869,394.22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808,008,651.42</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267" w:top="1160" w:bottom="1460" w:left="980" w:right="980"/>
        </w:sectPr>
      </w:pPr>
    </w:p>
    <w:p>
      <w:pPr>
        <w:spacing w:line="240" w:lineRule="auto" w:before="5"/>
        <w:rPr>
          <w:rFonts w:ascii="宋体" w:hAnsi="宋体" w:cs="宋体" w:eastAsia="宋体" w:hint="default"/>
          <w:sz w:val="20"/>
          <w:szCs w:val="20"/>
        </w:rPr>
      </w:pPr>
    </w:p>
    <w:p>
      <w:pPr>
        <w:pStyle w:val="BodyText"/>
        <w:spacing w:line="240" w:lineRule="auto" w:before="35"/>
        <w:ind w:right="0"/>
        <w:jc w:val="left"/>
      </w:pPr>
      <w:bookmarkStart w:name="2、同时按照境外会计准则与按照中国会计准则披露的财务报告中净利润和净资产差异情况" w:id="9"/>
      <w:bookmarkEnd w:id="9"/>
      <w:r>
        <w:rPr/>
      </w:r>
      <w:bookmarkStart w:name="3、境内外会计准则下会计数据差异原因说明" w:id="10"/>
      <w:bookmarkEnd w:id="10"/>
      <w:r>
        <w:rPr/>
      </w:r>
      <w:r>
        <w:rPr/>
        <w:t>会计政策变更的原因及会计差错更正的情况：</w:t>
      </w:r>
    </w:p>
    <w:p>
      <w:pPr>
        <w:spacing w:line="240" w:lineRule="auto" w:before="10"/>
        <w:rPr>
          <w:rFonts w:ascii="宋体" w:hAnsi="宋体" w:cs="宋体" w:eastAsia="宋体" w:hint="default"/>
          <w:sz w:val="16"/>
          <w:szCs w:val="16"/>
        </w:rPr>
      </w:pPr>
    </w:p>
    <w:p>
      <w:pPr>
        <w:pStyle w:val="BodyText"/>
        <w:spacing w:line="309" w:lineRule="auto"/>
        <w:ind w:left="153" w:right="218" w:firstLine="420"/>
        <w:jc w:val="left"/>
      </w:pPr>
      <w:r>
        <w:rPr/>
        <w:t>根据《企业会计准则解释第</w:t>
      </w:r>
      <w:r>
        <w:rPr>
          <w:rFonts w:ascii="Times New Roman" w:hAnsi="Times New Roman" w:cs="Times New Roman" w:eastAsia="Times New Roman" w:hint="default"/>
        </w:rPr>
        <w:t>7</w:t>
      </w:r>
      <w:r>
        <w:rPr/>
        <w:t>号》，本公司变更限制性股票在等待期内发放现金股利的会计处理和基 本每股收益、稀释每股收益的计算方法，本公司对上述会计政策变更采用追溯调整法处理。</w:t>
      </w:r>
    </w:p>
    <w:p>
      <w:pPr>
        <w:pStyle w:val="BodyText"/>
        <w:spacing w:line="240" w:lineRule="auto" w:before="158"/>
        <w:ind w:left="573" w:right="0"/>
        <w:jc w:val="left"/>
      </w:pPr>
      <w:r>
        <w:rPr/>
        <w:t>截止披露前一交易日的公司总股本：</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4523"/>
        <w:gridCol w:w="5045"/>
      </w:tblGrid>
      <w:tr>
        <w:trPr>
          <w:trHeight w:val="403" w:hRule="exact"/>
        </w:trPr>
        <w:tc>
          <w:tcPr>
            <w:tcW w:w="4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487,254,406</w:t>
            </w:r>
          </w:p>
        </w:tc>
      </w:tr>
      <w:tr>
        <w:trPr>
          <w:trHeight w:val="403" w:hRule="exact"/>
        </w:trPr>
        <w:tc>
          <w:tcPr>
            <w:tcW w:w="4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0.2733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六、分季度主要财务指标" w:id="11"/>
      <w:bookmarkEnd w:id="11"/>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78,940,704.08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120,892,635.64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144,853,519.24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418,473,497.79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865,605.73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18,092,939.42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16,634,242.70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97,572,238.77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7"/>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归属于上市公司股东的扣除非经</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常性损益的净利润</w:t>
            </w:r>
          </w:p>
        </w:tc>
        <w:tc>
          <w:tcPr>
            <w:tcW w:w="175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-625,717.25</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16,446,369.84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15,521,052.83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89,405,031.46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-140,281,281.40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-19,861,757.76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-30,028,395.14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371,757,597.85</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上述财务指标或其加总数是否与公司已披露季度报告、半年度报告相关财务指标存在重大差异</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w:t>
      </w:r>
      <w:bookmarkStart w:name="七、境内外会计准则下会计数据差异" w:id="12"/>
      <w:bookmarkEnd w:id="12"/>
      <w:r>
        <w:rPr/>
        <w:t>和净资产</w:t>
      </w:r>
      <w:r>
        <w:rPr/>
        <w:t>差异情况</w:t>
      </w:r>
      <w:r>
        <w:rPr>
          <w:b w:val="0"/>
          <w:bCs w:val="0"/>
        </w:rPr>
      </w:r>
    </w:p>
    <w:p>
      <w:pPr>
        <w:spacing w:line="240" w:lineRule="auto" w:before="0"/>
        <w:rPr>
          <w:rFonts w:ascii="宋体" w:hAnsi="宋体" w:cs="宋体" w:eastAsia="宋体" w:hint="default"/>
          <w:b/>
          <w:bCs/>
          <w:sz w:val="27"/>
          <w:szCs w:val="27"/>
        </w:rPr>
      </w:pPr>
    </w:p>
    <w:p>
      <w:pPr>
        <w:pStyle w:val="BodyText"/>
        <w:spacing w:line="408" w:lineRule="auto"/>
        <w:ind w:right="3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bookmarkStart w:name="1、同时按照国际会计准则与按照中国会计准则披露的财务报告中净利润和净资产差异情况" w:id="13"/>
      <w:bookmarkEnd w:id="13"/>
      <w:r>
        <w:rPr/>
        <w:t>公司报告期不存在按照国际会计准则与按照中国会计准则披露的财务报告中净利润和净资产差异情</w:t>
      </w:r>
    </w:p>
    <w:p>
      <w:pPr>
        <w:pStyle w:val="BodyText"/>
        <w:spacing w:line="227" w:lineRule="exact"/>
        <w:ind w:left="154" w:right="0"/>
        <w:jc w:val="left"/>
      </w:pPr>
      <w:r>
        <w:rPr/>
        <w:t>况。</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3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公司报告期不存在按照境外会计准则与按照中国会计准则披露的财务报告中净利润和净资产差异情</w:t>
      </w:r>
    </w:p>
    <w:p>
      <w:pPr>
        <w:pStyle w:val="BodyText"/>
        <w:spacing w:line="227" w:lineRule="exact"/>
        <w:ind w:left="154" w:right="0"/>
        <w:jc w:val="left"/>
      </w:pPr>
      <w:r>
        <w:rPr/>
        <w:t>况。</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 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w:t>
      </w:r>
    </w:p>
    <w:p>
      <w:pPr>
        <w:spacing w:after="0" w:line="240" w:lineRule="auto"/>
        <w:jc w:val="left"/>
        <w:sectPr>
          <w:pgSz w:w="11910" w:h="16840"/>
          <w:pgMar w:header="918" w:footer="1267" w:top="1160" w:bottom="1460" w:left="980" w:right="980"/>
        </w:sectPr>
      </w:pPr>
    </w:p>
    <w:p>
      <w:pPr>
        <w:spacing w:line="240" w:lineRule="auto" w:before="0"/>
        <w:rPr>
          <w:rFonts w:ascii="宋体" w:hAnsi="宋体" w:cs="宋体" w:eastAsia="宋体" w:hint="default"/>
          <w:sz w:val="17"/>
          <w:szCs w:val="17"/>
        </w:rPr>
      </w:pPr>
    </w:p>
    <w:p>
      <w:pPr>
        <w:pStyle w:val="Heading2"/>
        <w:spacing w:line="240" w:lineRule="auto" w:before="26"/>
        <w:ind w:right="97"/>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088"/>
        <w:gridCol w:w="1430"/>
        <w:gridCol w:w="1416"/>
        <w:gridCol w:w="1418"/>
        <w:gridCol w:w="1204"/>
      </w:tblGrid>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非流动资产处置损益（包括已计提资产减值准备的冲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销部分）</w:t>
            </w:r>
          </w:p>
        </w:tc>
        <w:tc>
          <w:tcPr>
            <w:tcW w:w="14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93,012.60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-256,715.51</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5,878,119.62</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pacing w:val="-4"/>
                <w:sz w:val="18"/>
                <w:szCs w:val="18"/>
              </w:rPr>
              <w:t>计入当期损益的政府补助（与企业业务密切相关，按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照国家统一标准定额或定量享受的政府补助除外）</w:t>
            </w:r>
          </w:p>
        </w:tc>
        <w:tc>
          <w:tcPr>
            <w:tcW w:w="14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14,803,594.48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8,871,308.43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9,122,638.03</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-143,304.78</w:t>
            </w:r>
            <w:r>
              <w:rPr>
                <w:rFonts w:ascii="Times New Roman"/>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-57,504.64</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-56,327.21</w:t>
            </w:r>
            <w:r>
              <w:rPr>
                <w:rFonts w:ascii="Times New Roman"/>
                <w:sz w:val="18"/>
              </w:rPr>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1,648,311.91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895,477.76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665,092.56</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686,700.65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34,164.96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138,831.91</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12,418,289.74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7,627,445.56</w:t>
            </w:r>
          </w:p>
        </w:tc>
        <w:tc>
          <w:tcPr>
            <w:tcW w:w="1418"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14,140,505.97</w:t>
            </w:r>
          </w:p>
        </w:tc>
        <w:tc>
          <w:tcPr>
            <w:tcW w:w="12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7"/>
          <w:szCs w:val="7"/>
        </w:rPr>
      </w:pPr>
    </w:p>
    <w:p>
      <w:pPr>
        <w:pStyle w:val="BodyText"/>
        <w:spacing w:line="309" w:lineRule="auto" w:before="35"/>
        <w:ind w:left="153" w:right="296" w:firstLine="420"/>
        <w:jc w:val="both"/>
      </w:pPr>
      <w:r>
        <w:rPr/>
        <w:t>对公司根据《公开发行证券的公司信息披露解释性公告第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非经常性损益》定义界定的非经常 性损益项目，以及把《公开发行证券的公司信息披露解释性公告第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非经常性损益》中列举的非经 常性损益项目界定为经常性损益的项目，应说明原因</w:t>
      </w:r>
    </w:p>
    <w:p>
      <w:pPr>
        <w:pStyle w:val="BodyText"/>
        <w:spacing w:line="494" w:lineRule="exact" w:before="8"/>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spacing w:val="-1"/>
        </w:rPr>
        <w:t>公司报告期不存在将根据《公开发行证券的公司信息披露解释性公告第</w:t>
      </w:r>
      <w:r>
        <w:rPr>
          <w:rFonts w:ascii="Times New Roman" w:hAnsi="Times New Roman" w:cs="Times New Roman" w:eastAsia="Times New Roman" w:hint="default"/>
          <w:spacing w:val="-1"/>
        </w:rPr>
        <w:t>1</w:t>
      </w:r>
      <w:r>
        <w:rPr>
          <w:spacing w:val="-1"/>
        </w:rPr>
        <w:t>号</w:t>
      </w:r>
      <w:r>
        <w:rPr>
          <w:rFonts w:ascii="Times New Roman" w:hAnsi="Times New Roman" w:cs="Times New Roman" w:eastAsia="Times New Roman" w:hint="default"/>
          <w:spacing w:val="-1"/>
        </w:rPr>
        <w:t>——</w:t>
      </w:r>
      <w:r>
        <w:rPr>
          <w:spacing w:val="-1"/>
        </w:rPr>
        <w:t>非经常性损益》定义、</w:t>
      </w:r>
    </w:p>
    <w:p>
      <w:pPr>
        <w:pStyle w:val="BodyText"/>
        <w:spacing w:line="240" w:lineRule="auto" w:before="30"/>
        <w:ind w:left="153" w:right="97"/>
        <w:jc w:val="left"/>
      </w:pPr>
      <w:r>
        <w:rPr/>
        <w:t>列举的非经常性损益项目界定为经常性损益的项目的情形。</w:t>
      </w:r>
    </w:p>
    <w:p>
      <w:pPr>
        <w:spacing w:after="0" w:line="240" w:lineRule="auto"/>
        <w:jc w:val="left"/>
        <w:sectPr>
          <w:pgSz w:w="11910" w:h="16840"/>
          <w:pgMar w:header="918" w:footer="1267" w:top="1160" w:bottom="14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9"/>
        <w:ind w:left="3768" w:right="97"/>
        <w:jc w:val="left"/>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2"/>
        </w:rPr>
        <w:t> </w:t>
      </w:r>
      <w:r>
        <w:rPr/>
        <w:t>公司业务概要</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97"/>
        <w:jc w:val="left"/>
        <w:rPr>
          <w:b w:val="0"/>
          <w:bCs w:val="0"/>
        </w:rPr>
      </w:pPr>
      <w:r>
        <w:rPr/>
        <w:t>一、报告期内</w:t>
      </w:r>
      <w:bookmarkStart w:name="一、报告期内公司从事的主要业务" w:id="17"/>
      <w:bookmarkEnd w:id="17"/>
      <w:r>
        <w:rPr/>
        <w:t>公司从事</w:t>
      </w:r>
      <w:r>
        <w:rPr/>
        <w:t>的主要业务</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97" w:firstLine="420"/>
        <w:jc w:val="left"/>
      </w:pPr>
      <w:r>
        <w:rPr>
          <w:spacing w:val="-3"/>
        </w:rPr>
        <w:t>中共中央总书记、中央网络安全和信息化领导小组组长习近平提出了“没有网络安全就没有国家安全，</w:t>
      </w:r>
      <w:r>
        <w:rPr/>
        <w:t> 没有信息化就没有现代化”，“努力把我国建设成为网络强国”等重要指示，把对网络安全和信息化重要 性的认识提到了一个新的高度，为下一步推进网络空间安全和信息化建设指明了方向。</w:t>
      </w:r>
    </w:p>
    <w:p>
      <w:pPr>
        <w:pStyle w:val="BodyText"/>
        <w:spacing w:line="316" w:lineRule="auto" w:before="144"/>
        <w:ind w:left="153" w:right="210" w:firstLine="420"/>
        <w:jc w:val="both"/>
      </w:pPr>
      <w:r>
        <w:rPr>
          <w:rFonts w:ascii="Times New Roman" w:hAnsi="Times New Roman" w:cs="Times New Roman" w:eastAsia="Times New Roman" w:hint="default"/>
          <w:spacing w:val="-1"/>
        </w:rPr>
        <w:t>2015</w:t>
      </w:r>
      <w:r>
        <w:rPr>
          <w:spacing w:val="-1"/>
        </w:rPr>
        <w:t>年，公司对业务发展战略方向以及主要产品和服务体系进行了进一步梳理，明确了“网络空间安</w:t>
      </w:r>
      <w:r>
        <w:rPr/>
        <w:t> 全与大数据信息化”的战略方向及“四大产品</w:t>
      </w:r>
      <w:r>
        <w:rPr>
          <w:rFonts w:ascii="Times New Roman" w:hAnsi="Times New Roman" w:cs="Times New Roman" w:eastAsia="Times New Roman" w:hint="default"/>
        </w:rPr>
        <w:t>+</w:t>
      </w:r>
      <w:r>
        <w:rPr/>
        <w:t>四大服务”主营业务体系。四大产品包括电子数据取证、 </w:t>
      </w:r>
      <w:r>
        <w:rPr>
          <w:spacing w:val="-1"/>
        </w:rPr>
        <w:t>视频分析及专项执法装备、大搜索及大数据信息化产品；在四大产品的技术基础上衍生发展出存证云及其</w:t>
      </w:r>
      <w:r>
        <w:rPr>
          <w:spacing w:val="-81"/>
        </w:rPr>
        <w:t> </w:t>
      </w:r>
      <w:r>
        <w:rPr>
          <w:spacing w:val="-81"/>
        </w:rPr>
      </w:r>
      <w:r>
        <w:rPr>
          <w:spacing w:val="-1"/>
        </w:rPr>
        <w:t>衍生服务、搜索云及其衍生服务、数据服务和信息安全服务四大服务体系。同时，公司拥有超级计算（云</w:t>
      </w:r>
      <w:r>
        <w:rPr>
          <w:spacing w:val="-83"/>
        </w:rPr>
        <w:t> </w:t>
      </w:r>
      <w:r>
        <w:rPr>
          <w:spacing w:val="-83"/>
        </w:rPr>
      </w:r>
      <w:r>
        <w:rPr>
          <w:spacing w:val="-2"/>
        </w:rPr>
        <w:t>计算）平台、人才教育</w:t>
      </w:r>
      <w:r>
        <w:rPr>
          <w:rFonts w:ascii="Times New Roman" w:hAnsi="Times New Roman" w:cs="Times New Roman" w:eastAsia="Times New Roman" w:hint="default"/>
          <w:spacing w:val="-2"/>
        </w:rPr>
        <w:t>/</w:t>
      </w:r>
      <w:r>
        <w:rPr>
          <w:spacing w:val="-2"/>
        </w:rPr>
        <w:t>培训平台、创业平台、投资平台四大资源平台为公司发展提供保障。社会责任和富</w:t>
      </w:r>
      <w:r>
        <w:rPr>
          <w:spacing w:val="-92"/>
        </w:rPr>
        <w:t> </w:t>
      </w:r>
      <w:r>
        <w:rPr>
          <w:spacing w:val="-92"/>
        </w:rPr>
      </w:r>
      <w:r>
        <w:rPr/>
        <w:t>有特色的非公党建两大企业文化是保持企业经营宗旨不动摇的两大基石。</w:t>
      </w:r>
    </w:p>
    <w:p>
      <w:pPr>
        <w:spacing w:line="240" w:lineRule="auto" w:before="12"/>
        <w:rPr>
          <w:rFonts w:ascii="宋体" w:hAnsi="宋体" w:cs="宋体" w:eastAsia="宋体" w:hint="default"/>
          <w:sz w:val="20"/>
          <w:szCs w:val="20"/>
        </w:rPr>
      </w:pPr>
    </w:p>
    <w:p>
      <w:pPr>
        <w:spacing w:line="6273" w:lineRule="exact"/>
        <w:ind w:left="512" w:right="0" w:firstLine="0"/>
        <w:rPr>
          <w:rFonts w:ascii="宋体" w:hAnsi="宋体" w:cs="宋体" w:eastAsia="宋体" w:hint="default"/>
          <w:sz w:val="20"/>
          <w:szCs w:val="20"/>
        </w:rPr>
      </w:pPr>
      <w:r>
        <w:rPr>
          <w:rFonts w:ascii="宋体" w:hAnsi="宋体" w:cs="宋体" w:eastAsia="宋体" w:hint="default"/>
          <w:position w:val="-124"/>
          <w:sz w:val="20"/>
          <w:szCs w:val="20"/>
        </w:rPr>
        <w:drawing>
          <wp:inline distT="0" distB="0" distL="0" distR="0">
            <wp:extent cx="5909113" cy="398335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5909113" cy="3983354"/>
                    </a:xfrm>
                    <a:prstGeom prst="rect">
                      <a:avLst/>
                    </a:prstGeom>
                  </pic:spPr>
                </pic:pic>
              </a:graphicData>
            </a:graphic>
          </wp:inline>
        </w:drawing>
      </w:r>
      <w:r>
        <w:rPr>
          <w:rFonts w:ascii="宋体" w:hAnsi="宋体" w:cs="宋体" w:eastAsia="宋体" w:hint="default"/>
          <w:position w:val="-124"/>
          <w:sz w:val="20"/>
          <w:szCs w:val="20"/>
        </w:rPr>
      </w:r>
    </w:p>
    <w:p>
      <w:pPr>
        <w:spacing w:line="240" w:lineRule="auto" w:before="1"/>
        <w:rPr>
          <w:rFonts w:ascii="宋体" w:hAnsi="宋体" w:cs="宋体" w:eastAsia="宋体" w:hint="default"/>
          <w:sz w:val="23"/>
          <w:szCs w:val="23"/>
        </w:rPr>
      </w:pPr>
    </w:p>
    <w:p>
      <w:pPr>
        <w:spacing w:before="0"/>
        <w:ind w:left="555" w:right="256" w:firstLine="0"/>
        <w:jc w:val="center"/>
        <w:rPr>
          <w:rFonts w:ascii="宋体" w:hAnsi="宋体" w:cs="宋体" w:eastAsia="宋体" w:hint="default"/>
          <w:sz w:val="18"/>
          <w:szCs w:val="18"/>
        </w:rPr>
      </w:pPr>
      <w:r>
        <w:rPr>
          <w:rFonts w:ascii="宋体" w:hAnsi="宋体" w:cs="宋体" w:eastAsia="宋体" w:hint="default"/>
          <w:sz w:val="18"/>
          <w:szCs w:val="18"/>
        </w:rPr>
        <w:t>图</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5"/>
          <w:sz w:val="18"/>
          <w:szCs w:val="18"/>
        </w:rPr>
        <w:t> </w:t>
      </w:r>
      <w:r>
        <w:rPr>
          <w:rFonts w:ascii="宋体" w:hAnsi="宋体" w:cs="宋体" w:eastAsia="宋体" w:hint="default"/>
          <w:sz w:val="18"/>
          <w:szCs w:val="18"/>
        </w:rPr>
        <w:t>公司主营业务关系图</w:t>
      </w:r>
    </w:p>
    <w:p>
      <w:pPr>
        <w:spacing w:line="240" w:lineRule="auto" w:before="10"/>
        <w:rPr>
          <w:rFonts w:ascii="宋体" w:hAnsi="宋体" w:cs="宋体" w:eastAsia="宋体" w:hint="default"/>
          <w:sz w:val="16"/>
          <w:szCs w:val="16"/>
        </w:rPr>
      </w:pPr>
    </w:p>
    <w:p>
      <w:pPr>
        <w:pStyle w:val="BodyText"/>
        <w:spacing w:line="240" w:lineRule="auto"/>
        <w:ind w:right="97"/>
        <w:jc w:val="left"/>
      </w:pPr>
      <w:r>
        <w:rPr>
          <w:rFonts w:ascii="Times New Roman" w:hAnsi="Times New Roman" w:cs="Times New Roman" w:eastAsia="Times New Roman" w:hint="default"/>
        </w:rPr>
        <w:t>1</w:t>
      </w:r>
      <w:r>
        <w:rPr/>
        <w:t>、产品简介</w:t>
      </w:r>
    </w:p>
    <w:p>
      <w:pPr>
        <w:spacing w:after="0" w:line="240" w:lineRule="auto"/>
        <w:jc w:val="left"/>
        <w:sectPr>
          <w:pgSz w:w="11910" w:h="16840"/>
          <w:pgMar w:header="918" w:footer="1267" w:top="1160" w:bottom="1460" w:left="980" w:right="920"/>
        </w:sectPr>
      </w:pPr>
    </w:p>
    <w:p>
      <w:pPr>
        <w:spacing w:line="240" w:lineRule="auto" w:before="5"/>
        <w:rPr>
          <w:rFonts w:ascii="宋体" w:hAnsi="宋体" w:cs="宋体" w:eastAsia="宋体" w:hint="default"/>
          <w:sz w:val="20"/>
          <w:szCs w:val="20"/>
        </w:rPr>
      </w:pPr>
    </w:p>
    <w:p>
      <w:pPr>
        <w:pStyle w:val="BodyText"/>
        <w:spacing w:line="324" w:lineRule="auto" w:before="35"/>
        <w:ind w:left="154" w:right="103" w:firstLine="420"/>
        <w:jc w:val="left"/>
      </w:pPr>
      <w:r>
        <w:rPr/>
        <w:t>（</w:t>
      </w:r>
      <w:r>
        <w:rPr>
          <w:rFonts w:ascii="Times New Roman" w:hAnsi="Times New Roman" w:cs="Times New Roman" w:eastAsia="Times New Roman" w:hint="default"/>
        </w:rPr>
        <w:t>1</w:t>
      </w:r>
      <w:r>
        <w:rPr/>
        <w:t>）电子数据取证：针对计算机、手机、移动硬盘、</w:t>
      </w:r>
      <w:r>
        <w:rPr>
          <w:rFonts w:ascii="Times New Roman" w:hAnsi="Times New Roman" w:cs="Times New Roman" w:eastAsia="Times New Roman" w:hint="default"/>
        </w:rPr>
        <w:t>U</w:t>
      </w:r>
      <w:r>
        <w:rPr/>
        <w:t>盘、存储卡及各类电子数据存储设备中的电子 数据进行采集、分析，从而形成符合司法有效性的电子证据，主要包括计算机取证系列、移动互联网终端 取证系列及视频取证分析系列，涵盖电子数据保全（证据固定）、数据复制、数据恢复、数据分析数据采 </w:t>
      </w:r>
      <w:r>
        <w:rPr>
          <w:spacing w:val="-3"/>
        </w:rPr>
        <w:t>集、数据查缉、可视化展示和数据销毁等取证过程全系列产品。产品主要用户为公安、检察、工商、海关、</w:t>
      </w:r>
      <w:r>
        <w:rPr>
          <w:spacing w:val="-95"/>
        </w:rPr>
        <w:t> </w:t>
      </w:r>
      <w:r>
        <w:rPr>
          <w:spacing w:val="-95"/>
        </w:rPr>
      </w:r>
      <w:r>
        <w:rPr/>
        <w:t>税务等各级司法机关和行政执法部门。公司是国内电子数据取证行业的龙头企业，是全球电子数据取证行</w:t>
      </w:r>
      <w:r>
        <w:rPr/>
        <w:t> 业两家上市公司之一。</w:t>
      </w:r>
    </w:p>
    <w:p>
      <w:pPr>
        <w:pStyle w:val="BodyText"/>
        <w:spacing w:line="321" w:lineRule="auto" w:before="146"/>
        <w:ind w:left="154" w:right="106" w:firstLine="420"/>
        <w:jc w:val="both"/>
      </w:pPr>
      <w:r>
        <w:rPr>
          <w:spacing w:val="-1"/>
        </w:rPr>
        <w:t>（</w:t>
      </w:r>
      <w:r>
        <w:rPr>
          <w:rFonts w:ascii="Times New Roman" w:hAnsi="Times New Roman" w:cs="Times New Roman" w:eastAsia="Times New Roman" w:hint="default"/>
          <w:spacing w:val="-1"/>
        </w:rPr>
        <w:t>2</w:t>
      </w:r>
      <w:r>
        <w:rPr>
          <w:spacing w:val="-1"/>
        </w:rPr>
        <w:t>）视频分析及专项执法装备：快速采集各类视频、图像文件，并通过智能转码、恢复、快速检索、</w:t>
      </w:r>
      <w:r>
        <w:rPr/>
        <w:t> </w:t>
      </w:r>
      <w:r>
        <w:rPr>
          <w:spacing w:val="-3"/>
        </w:rPr>
        <w:t>图像增强、图像比对等多项技术实现对视频、图像的快速分析、定位，大大缩短执法工作人员调查、取证、</w:t>
      </w:r>
      <w:r>
        <w:rPr>
          <w:spacing w:val="-94"/>
        </w:rPr>
        <w:t> </w:t>
      </w:r>
      <w:r>
        <w:rPr>
          <w:spacing w:val="-94"/>
        </w:rPr>
      </w:r>
      <w:r>
        <w:rPr>
          <w:spacing w:val="-3"/>
        </w:rPr>
        <w:t>分析的时间，提高视频、图像识别的准确率。该系列产品可广泛应用于各级公安执法部门、交通管理部门，</w:t>
      </w:r>
      <w:r>
        <w:rPr>
          <w:spacing w:val="-95"/>
        </w:rPr>
        <w:t> </w:t>
      </w:r>
      <w:r>
        <w:rPr>
          <w:spacing w:val="-95"/>
        </w:rPr>
      </w:r>
      <w:r>
        <w:rPr/>
        <w:t>以及机场、商场等各公共场所安保部门的监控视频管理，具有广阔的应用前景。</w:t>
      </w:r>
    </w:p>
    <w:p>
      <w:pPr>
        <w:pStyle w:val="BodyText"/>
        <w:spacing w:line="321" w:lineRule="auto" w:before="148"/>
        <w:ind w:left="154" w:right="97" w:firstLine="420"/>
        <w:jc w:val="left"/>
      </w:pPr>
      <w:r>
        <w:rPr/>
        <w:t>（</w:t>
      </w:r>
      <w:r>
        <w:rPr>
          <w:rFonts w:ascii="Times New Roman" w:hAnsi="Times New Roman" w:cs="Times New Roman" w:eastAsia="Times New Roman" w:hint="default"/>
        </w:rPr>
        <w:t>3</w:t>
      </w:r>
      <w:r>
        <w:rPr/>
        <w:t>）大搜索：主要产品为与搜索技术相关舆情监测产品和网络信息监管产品，包括行业网络信息搜 </w:t>
      </w:r>
      <w:r>
        <w:rPr>
          <w:spacing w:val="-1"/>
        </w:rPr>
        <w:t>索、网络信息监管、信息安全检测和防护等。行业网络信息搜索业务主要为公安、网信等政府监管部门及</w:t>
      </w:r>
      <w:r>
        <w:rPr>
          <w:spacing w:val="-85"/>
        </w:rPr>
        <w:t> </w:t>
      </w:r>
      <w:r>
        <w:rPr>
          <w:spacing w:val="-85"/>
        </w:rPr>
      </w:r>
      <w:r>
        <w:rPr>
          <w:spacing w:val="-1"/>
        </w:rPr>
        <w:t>企事业单位提供互联网舆情搜索分析产品及服务；网络信息监管产品主要为针对工商、税务、海关、检验</w:t>
      </w:r>
      <w:r>
        <w:rPr>
          <w:spacing w:val="-86"/>
        </w:rPr>
        <w:t> </w:t>
      </w:r>
      <w:r>
        <w:rPr>
          <w:spacing w:val="-86"/>
        </w:rPr>
      </w:r>
      <w:r>
        <w:rPr>
          <w:spacing w:val="-1"/>
        </w:rPr>
        <w:t>检疫等各执法部门网络监管需求研发的系统或装备。公司的主要优势在于多年的技术积累和对业务部门需</w:t>
      </w:r>
      <w:r>
        <w:rPr>
          <w:spacing w:val="-81"/>
        </w:rPr>
        <w:t> </w:t>
      </w:r>
      <w:r>
        <w:rPr>
          <w:spacing w:val="-81"/>
        </w:rPr>
      </w:r>
      <w:r>
        <w:rPr/>
        <w:t>求的深入了解和快速响应。</w:t>
      </w:r>
    </w:p>
    <w:p>
      <w:pPr>
        <w:pStyle w:val="BodyText"/>
        <w:spacing w:line="319" w:lineRule="auto" w:before="148"/>
        <w:ind w:left="154" w:right="97" w:firstLine="420"/>
        <w:jc w:val="left"/>
      </w:pPr>
      <w:r>
        <w:rPr/>
        <w:t>（</w:t>
      </w:r>
      <w:r>
        <w:rPr>
          <w:rFonts w:ascii="Times New Roman" w:hAnsi="Times New Roman" w:cs="Times New Roman" w:eastAsia="Times New Roman" w:hint="default"/>
        </w:rPr>
        <w:t>4</w:t>
      </w:r>
      <w:r>
        <w:rPr/>
        <w:t>）大数据信息化：主要为公安、税务、工商等司法机关和行政执法部门提供大数据分析平台建设 及数据采集、数据清洗、数据分析、数据应用服务。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日上午，公司与国家信息中心、签订了 </w:t>
      </w:r>
      <w:r>
        <w:rPr>
          <w:spacing w:val="-1"/>
        </w:rPr>
        <w:t>战略框架协议，联合拓展互联网政务大数据业务。国务院总理李克强在国务院常务会议上表示，中国正在</w:t>
      </w:r>
      <w:r>
        <w:rPr>
          <w:spacing w:val="-83"/>
        </w:rPr>
        <w:t> </w:t>
      </w:r>
      <w:r>
        <w:rPr>
          <w:spacing w:val="-83"/>
        </w:rPr>
      </w:r>
      <w:r>
        <w:rPr>
          <w:spacing w:val="-1"/>
        </w:rPr>
        <w:t>推进简政放权，放管结合、优化服务，而大数据手段的运用十分重要。运用大数据转变政府职能，不仅是</w:t>
      </w:r>
      <w:r>
        <w:rPr>
          <w:spacing w:val="-83"/>
        </w:rPr>
        <w:t> </w:t>
      </w:r>
      <w:r>
        <w:rPr>
          <w:spacing w:val="-83"/>
        </w:rPr>
      </w:r>
      <w:r>
        <w:rPr>
          <w:spacing w:val="-1"/>
        </w:rPr>
        <w:t>国家经济社会发展的现实需求，这本身也涉及国家安全。建立统一的数据平台，是建设现代化国家的基础</w:t>
      </w:r>
      <w:r>
        <w:rPr>
          <w:spacing w:val="-83"/>
        </w:rPr>
        <w:t> </w:t>
      </w:r>
      <w:r>
        <w:rPr>
          <w:spacing w:val="-83"/>
        </w:rPr>
      </w:r>
      <w:r>
        <w:rPr/>
        <w:t>性工程，也有利于国家安全。</w:t>
      </w:r>
    </w:p>
    <w:p>
      <w:pPr>
        <w:pStyle w:val="BodyText"/>
        <w:spacing w:line="240" w:lineRule="auto" w:before="150"/>
        <w:ind w:right="97"/>
        <w:jc w:val="left"/>
      </w:pPr>
      <w:r>
        <w:rPr>
          <w:rFonts w:ascii="Times New Roman" w:hAnsi="Times New Roman" w:cs="Times New Roman" w:eastAsia="Times New Roman" w:hint="default"/>
        </w:rPr>
        <w:t>2</w:t>
      </w:r>
      <w:r>
        <w:rPr/>
        <w:t>、服务简介</w:t>
      </w:r>
    </w:p>
    <w:p>
      <w:pPr>
        <w:spacing w:line="240" w:lineRule="auto" w:before="7"/>
        <w:rPr>
          <w:rFonts w:ascii="宋体" w:hAnsi="宋体" w:cs="宋体" w:eastAsia="宋体" w:hint="default"/>
          <w:sz w:val="15"/>
          <w:szCs w:val="15"/>
        </w:rPr>
      </w:pPr>
    </w:p>
    <w:p>
      <w:pPr>
        <w:pStyle w:val="BodyText"/>
        <w:spacing w:line="309" w:lineRule="auto"/>
        <w:ind w:left="154" w:right="114" w:firstLine="420"/>
        <w:jc w:val="left"/>
      </w:pPr>
      <w:r>
        <w:rPr/>
        <w:t>（</w:t>
      </w:r>
      <w:r>
        <w:rPr>
          <w:rFonts w:ascii="Times New Roman" w:hAnsi="Times New Roman" w:cs="Times New Roman" w:eastAsia="Times New Roman" w:hint="default"/>
        </w:rPr>
        <w:t>1</w:t>
      </w:r>
      <w:r>
        <w:rPr/>
        <w:t>）存证云</w:t>
      </w:r>
      <w:r>
        <w:rPr>
          <w:rFonts w:ascii="Times New Roman" w:hAnsi="Times New Roman" w:cs="Times New Roman" w:eastAsia="Times New Roman" w:hint="default"/>
        </w:rPr>
        <w:t>+</w:t>
      </w:r>
      <w:r>
        <w:rPr/>
        <w:t>：围绕电子数据取证、存证、出证提供一站式服务，主要包括存证云服务、电子数据鉴 定服务，以及基于存证云平台及相关技术衍生出的企业电子数据取证服务、知识产权保护</w:t>
      </w:r>
      <w:r>
        <w:rPr>
          <w:rFonts w:ascii="Times New Roman" w:hAnsi="Times New Roman" w:cs="Times New Roman" w:eastAsia="Times New Roman" w:hint="default"/>
        </w:rPr>
        <w:t>/</w:t>
      </w:r>
      <w:r>
        <w:rPr/>
        <w:t>版权交易服务、 </w:t>
      </w:r>
      <w:r>
        <w:rPr>
          <w:rFonts w:ascii="Times New Roman" w:hAnsi="Times New Roman" w:cs="Times New Roman" w:eastAsia="Times New Roman" w:hint="default"/>
        </w:rPr>
        <w:t>EID</w:t>
      </w:r>
      <w:r>
        <w:rPr/>
        <w:t>身份认证服务、食品安全溯源服务等。</w:t>
      </w:r>
    </w:p>
    <w:p>
      <w:pPr>
        <w:pStyle w:val="BodyText"/>
        <w:spacing w:line="309" w:lineRule="auto" w:before="136"/>
        <w:ind w:left="154" w:right="203" w:firstLine="420"/>
        <w:jc w:val="left"/>
      </w:pPr>
      <w:r>
        <w:rPr>
          <w:spacing w:val="-1"/>
        </w:rPr>
        <w:t>（</w:t>
      </w:r>
      <w:r>
        <w:rPr>
          <w:rFonts w:ascii="Times New Roman" w:hAnsi="Times New Roman" w:cs="Times New Roman" w:eastAsia="Times New Roman" w:hint="default"/>
          <w:spacing w:val="-1"/>
        </w:rPr>
        <w:t>2</w:t>
      </w:r>
      <w:r>
        <w:rPr>
          <w:spacing w:val="-1"/>
        </w:rPr>
        <w:t>）搜索云</w:t>
      </w:r>
      <w:r>
        <w:rPr>
          <w:rFonts w:ascii="Times New Roman" w:hAnsi="Times New Roman" w:cs="Times New Roman" w:eastAsia="Times New Roman" w:hint="default"/>
          <w:spacing w:val="-1"/>
        </w:rPr>
        <w:t>+</w:t>
      </w:r>
      <w:r>
        <w:rPr>
          <w:spacing w:val="-1"/>
        </w:rPr>
        <w:t>：基于搜索云平台和互联网信息搜索技术为公安、网信、企事业单位等提供舆情搜索服</w:t>
      </w:r>
      <w:r>
        <w:rPr/>
        <w:t> 务。</w:t>
      </w:r>
    </w:p>
    <w:p>
      <w:pPr>
        <w:pStyle w:val="BodyText"/>
        <w:spacing w:line="319" w:lineRule="auto" w:before="158"/>
        <w:ind w:left="154" w:right="97" w:firstLine="420"/>
        <w:jc w:val="left"/>
      </w:pPr>
      <w:r>
        <w:rPr/>
        <w:t>（</w:t>
      </w:r>
      <w:r>
        <w:rPr>
          <w:rFonts w:ascii="Times New Roman" w:hAnsi="Times New Roman" w:cs="Times New Roman" w:eastAsia="Times New Roman" w:hint="default"/>
        </w:rPr>
        <w:t>3</w:t>
      </w:r>
      <w:r>
        <w:rPr/>
        <w:t>）数据服务：基于大数据采集、分析技术提供的数据清洗、分析、维护服务。近期，公司与国家 </w:t>
      </w:r>
      <w:r>
        <w:rPr>
          <w:spacing w:val="-1"/>
        </w:rPr>
        <w:t>信息中心、中国社科院分别签署了战略合作协议，围绕中国社科院大数据调查平台、国家发改委政务大数</w:t>
      </w:r>
      <w:r>
        <w:rPr>
          <w:spacing w:val="-83"/>
        </w:rPr>
        <w:t> </w:t>
      </w:r>
      <w:r>
        <w:rPr>
          <w:spacing w:val="-83"/>
        </w:rPr>
      </w:r>
      <w:r>
        <w:rPr/>
        <w:t>据中心、国家一带一路数据库、国家发改委税务大数据等领域提供数据服务。</w:t>
      </w:r>
    </w:p>
    <w:p>
      <w:pPr>
        <w:pStyle w:val="BodyText"/>
        <w:spacing w:line="309" w:lineRule="auto" w:before="150"/>
        <w:ind w:left="154" w:right="277" w:firstLine="420"/>
        <w:jc w:val="left"/>
      </w:pPr>
      <w:r>
        <w:rPr/>
        <w:t>（</w:t>
      </w:r>
      <w:r>
        <w:rPr>
          <w:rFonts w:ascii="Times New Roman" w:hAnsi="Times New Roman" w:cs="Times New Roman" w:eastAsia="Times New Roman" w:hint="default"/>
        </w:rPr>
        <w:t>4</w:t>
      </w:r>
      <w:r>
        <w:rPr/>
        <w:t>）信息安全服务：基于信息安全检测技术及防护技术和安全云平台为用户提供信息安全检测、服 务器安全、网站安全防护服务等。</w:t>
      </w:r>
    </w:p>
    <w:p>
      <w:pPr>
        <w:spacing w:after="0" w:line="309" w:lineRule="auto"/>
        <w:jc w:val="left"/>
        <w:sectPr>
          <w:pgSz w:w="11910" w:h="16840"/>
          <w:pgMar w:header="918" w:footer="1267" w:top="1160" w:bottom="1460" w:left="980" w:right="920"/>
        </w:sectPr>
      </w:pPr>
    </w:p>
    <w:p>
      <w:pPr>
        <w:spacing w:line="240" w:lineRule="auto" w:before="4"/>
        <w:rPr>
          <w:rFonts w:ascii="宋体" w:hAnsi="宋体" w:cs="宋体" w:eastAsia="宋体" w:hint="default"/>
          <w:sz w:val="25"/>
          <w:szCs w:val="25"/>
        </w:rPr>
      </w:pPr>
    </w:p>
    <w:p>
      <w:pPr>
        <w:spacing w:line="6151" w:lineRule="exact"/>
        <w:ind w:left="740" w:right="0" w:firstLine="0"/>
        <w:rPr>
          <w:rFonts w:ascii="宋体" w:hAnsi="宋体" w:cs="宋体" w:eastAsia="宋体" w:hint="default"/>
          <w:sz w:val="20"/>
          <w:szCs w:val="20"/>
        </w:rPr>
      </w:pPr>
      <w:bookmarkStart w:name="二、主要资产重大变化情况" w:id="18"/>
      <w:bookmarkEnd w:id="18"/>
      <w:r>
        <w:rPr/>
      </w:r>
      <w:bookmarkStart w:name="1、主要资产重大变化情况" w:id="19"/>
      <w:bookmarkEnd w:id="19"/>
      <w:r>
        <w:rPr/>
      </w:r>
      <w:r>
        <w:rPr>
          <w:rFonts w:ascii="宋体" w:hAnsi="宋体" w:cs="宋体" w:eastAsia="宋体" w:hint="default"/>
          <w:position w:val="-122"/>
          <w:sz w:val="20"/>
          <w:szCs w:val="20"/>
        </w:rPr>
        <w:drawing>
          <wp:inline distT="0" distB="0" distL="0" distR="0">
            <wp:extent cx="5374566" cy="390648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5374566" cy="3906488"/>
                    </a:xfrm>
                    <a:prstGeom prst="rect">
                      <a:avLst/>
                    </a:prstGeom>
                  </pic:spPr>
                </pic:pic>
              </a:graphicData>
            </a:graphic>
          </wp:inline>
        </w:drawing>
      </w:r>
      <w:r>
        <w:rPr>
          <w:rFonts w:ascii="宋体" w:hAnsi="宋体" w:cs="宋体" w:eastAsia="宋体" w:hint="default"/>
          <w:position w:val="-122"/>
          <w:sz w:val="20"/>
          <w:szCs w:val="20"/>
        </w:rPr>
      </w:r>
    </w:p>
    <w:p>
      <w:pPr>
        <w:spacing w:before="96"/>
        <w:ind w:left="2503" w:right="2504" w:firstLine="0"/>
        <w:jc w:val="center"/>
        <w:rPr>
          <w:rFonts w:ascii="宋体" w:hAnsi="宋体" w:cs="宋体" w:eastAsia="宋体" w:hint="default"/>
          <w:sz w:val="18"/>
          <w:szCs w:val="18"/>
        </w:rPr>
      </w:pPr>
      <w:r>
        <w:rPr>
          <w:rFonts w:ascii="宋体" w:hAnsi="宋体" w:cs="宋体" w:eastAsia="宋体" w:hint="default"/>
          <w:sz w:val="18"/>
          <w:szCs w:val="18"/>
        </w:rPr>
        <w:t>图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公司发展路线图</w:t>
      </w:r>
    </w:p>
    <w:p>
      <w:pPr>
        <w:spacing w:line="240" w:lineRule="auto" w:before="4"/>
        <w:rPr>
          <w:rFonts w:ascii="宋体" w:hAnsi="宋体" w:cs="宋体" w:eastAsia="宋体" w:hint="default"/>
          <w:sz w:val="14"/>
          <w:szCs w:val="14"/>
        </w:rPr>
      </w:pPr>
    </w:p>
    <w:p>
      <w:pPr>
        <w:pStyle w:val="BodyText"/>
        <w:spacing w:line="326" w:lineRule="auto"/>
        <w:ind w:left="154" w:right="0" w:firstLine="420"/>
        <w:jc w:val="left"/>
      </w:pPr>
      <w:r>
        <w:rPr>
          <w:spacing w:val="-1"/>
        </w:rPr>
        <w:t>过去，公司致力于为各级司法机关打击犯罪提供电子数据取证设备与大数据平台及网络信息安全解决</w:t>
      </w:r>
      <w:r>
        <w:rPr/>
        <w:t> 方案，作为国内电子数据取证行业的龙头企业，不断引领行业技术发展。</w:t>
      </w:r>
    </w:p>
    <w:p>
      <w:pPr>
        <w:pStyle w:val="BodyText"/>
        <w:spacing w:line="326" w:lineRule="auto" w:before="144"/>
        <w:ind w:left="154" w:right="0" w:firstLine="420"/>
        <w:jc w:val="left"/>
      </w:pPr>
      <w:r>
        <w:rPr>
          <w:spacing w:val="-1"/>
        </w:rPr>
        <w:t>现在，公司正着力于将大数据技术和大搜索技术应用于为更多执法部门开展网络空间社会治理提供产</w:t>
      </w:r>
      <w:r>
        <w:rPr/>
        <w:t> 品和服务。</w:t>
      </w:r>
    </w:p>
    <w:p>
      <w:pPr>
        <w:pStyle w:val="BodyText"/>
        <w:spacing w:line="309" w:lineRule="auto" w:before="144"/>
        <w:ind w:left="153" w:right="204" w:firstLine="420"/>
        <w:jc w:val="left"/>
      </w:pPr>
      <w:r>
        <w:rPr/>
        <w:t>未来，公司将继续充分发挥技术及资源优势，借助互联网</w:t>
      </w:r>
      <w:r>
        <w:rPr>
          <w:rFonts w:ascii="Times New Roman" w:hAnsi="Times New Roman" w:cs="Times New Roman" w:eastAsia="Times New Roman" w:hint="default"/>
        </w:rPr>
        <w:t>+</w:t>
      </w:r>
      <w:r>
        <w:rPr/>
        <w:t>大数据的力量，为更广大的社会公众提供 便民服务。</w:t>
      </w:r>
    </w:p>
    <w:p>
      <w:pPr>
        <w:pStyle w:val="BodyText"/>
        <w:spacing w:line="309" w:lineRule="auto" w:before="158"/>
        <w:ind w:left="153" w:right="204" w:firstLine="420"/>
        <w:jc w:val="left"/>
      </w:pPr>
      <w:r>
        <w:rPr/>
        <w:t>回首过去、立足现在、展望未来，公司将继续坚持“内生增长</w:t>
      </w:r>
      <w:r>
        <w:rPr>
          <w:rFonts w:ascii="Times New Roman" w:hAnsi="Times New Roman" w:cs="Times New Roman" w:eastAsia="Times New Roman" w:hint="default"/>
        </w:rPr>
        <w:t>+</w:t>
      </w:r>
      <w:r>
        <w:rPr/>
        <w:t>外延扩张”的战略发展方向，为社会 发展做出更大贡献。</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5"/>
        <w:gridCol w:w="7583"/>
      </w:tblGrid>
      <w:tr>
        <w:trPr>
          <w:trHeight w:val="763"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5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1" w:hanging="1"/>
              <w:jc w:val="left"/>
              <w:rPr>
                <w:rFonts w:ascii="宋体" w:hAnsi="宋体" w:cs="宋体" w:eastAsia="宋体" w:hint="default"/>
                <w:sz w:val="18"/>
                <w:szCs w:val="18"/>
              </w:rPr>
            </w:pPr>
            <w:r>
              <w:rPr>
                <w:rFonts w:ascii="宋体" w:hAnsi="宋体" w:cs="宋体" w:eastAsia="宋体" w:hint="default"/>
                <w:sz w:val="18"/>
                <w:szCs w:val="18"/>
              </w:rPr>
              <w:t>固定资产较年初增长</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3.41%</w:t>
            </w:r>
            <w:r>
              <w:rPr>
                <w:rFonts w:ascii="宋体" w:hAnsi="宋体" w:cs="宋体" w:eastAsia="宋体" w:hint="default"/>
                <w:spacing w:val="-3"/>
                <w:sz w:val="18"/>
                <w:szCs w:val="18"/>
              </w:rPr>
              <w:t>，主要是由于本报告期东海火炬科技园</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楼部分楼层装修在建完工转</w:t>
            </w:r>
            <w:r>
              <w:rPr>
                <w:rFonts w:ascii="宋体" w:hAnsi="宋体" w:cs="宋体" w:eastAsia="宋体" w:hint="default"/>
                <w:spacing w:val="-88"/>
                <w:sz w:val="18"/>
                <w:szCs w:val="18"/>
              </w:rPr>
              <w:t> </w:t>
            </w:r>
            <w:r>
              <w:rPr>
                <w:rFonts w:ascii="宋体" w:hAnsi="宋体" w:cs="宋体" w:eastAsia="宋体" w:hint="default"/>
                <w:sz w:val="18"/>
                <w:szCs w:val="18"/>
              </w:rPr>
              <w:t>入及购置电子及办公设备所致。</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18.67%</w:t>
            </w:r>
            <w:r>
              <w:rPr>
                <w:rFonts w:ascii="宋体" w:hAnsi="宋体" w:cs="宋体" w:eastAsia="宋体" w:hint="default"/>
                <w:sz w:val="18"/>
                <w:szCs w:val="18"/>
              </w:rPr>
              <w:t>，主要是由于本报告期公司无形资产摊销及计提减值准备所致。</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1"/>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1985"/>
        <w:gridCol w:w="7583"/>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1" w:hanging="1"/>
              <w:jc w:val="left"/>
              <w:rPr>
                <w:rFonts w:ascii="宋体" w:hAnsi="宋体" w:cs="宋体" w:eastAsia="宋体" w:hint="default"/>
                <w:sz w:val="18"/>
                <w:szCs w:val="18"/>
              </w:rPr>
            </w:pPr>
            <w:r>
              <w:rPr>
                <w:rFonts w:ascii="宋体" w:hAnsi="宋体" w:cs="宋体" w:eastAsia="宋体" w:hint="default"/>
                <w:sz w:val="18"/>
                <w:szCs w:val="18"/>
              </w:rPr>
              <w:t>在建工程较年初增长 </w:t>
            </w:r>
            <w:r>
              <w:rPr>
                <w:rFonts w:ascii="Times New Roman" w:hAnsi="Times New Roman" w:cs="Times New Roman" w:eastAsia="Times New Roman" w:hint="default"/>
                <w:sz w:val="18"/>
                <w:szCs w:val="18"/>
              </w:rPr>
              <w:t>3872.05%</w:t>
            </w:r>
            <w:r>
              <w:rPr>
                <w:rFonts w:ascii="宋体" w:hAnsi="宋体" w:cs="宋体" w:eastAsia="宋体" w:hint="default"/>
                <w:sz w:val="18"/>
                <w:szCs w:val="18"/>
              </w:rPr>
              <w:t>，主要是东海火炬科技园</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楼装修工程部分楼层装修尚未完工所 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应收账款较年初增长</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50.92%</w:t>
            </w:r>
            <w:r>
              <w:rPr>
                <w:rFonts w:ascii="宋体" w:hAnsi="宋体" w:cs="宋体" w:eastAsia="宋体" w:hint="default"/>
                <w:sz w:val="18"/>
                <w:szCs w:val="18"/>
              </w:rPr>
              <w:t>，主要是由于本报告期公司业务量增加及期末武汉大千和江苏税软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资产负债表纳入合并所致。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181.23%</w:t>
            </w:r>
            <w:r>
              <w:rPr>
                <w:rFonts w:ascii="宋体" w:hAnsi="宋体" w:cs="宋体" w:eastAsia="宋体" w:hint="default"/>
                <w:sz w:val="18"/>
                <w:szCs w:val="18"/>
              </w:rPr>
              <w:t>，主要是公司经营规模扩大预付款项增加所致。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应收利息较年初减少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61.55%</w:t>
            </w:r>
            <w:r>
              <w:rPr>
                <w:rFonts w:ascii="宋体" w:hAnsi="宋体" w:cs="宋体" w:eastAsia="宋体" w:hint="default"/>
                <w:sz w:val="18"/>
                <w:szCs w:val="18"/>
              </w:rPr>
              <w:t>，主要是由于本报告期末未到期定期存款减少所致。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35.32%</w:t>
            </w:r>
            <w:r>
              <w:rPr>
                <w:rFonts w:ascii="宋体" w:hAnsi="宋体" w:cs="宋体" w:eastAsia="宋体" w:hint="default"/>
                <w:sz w:val="18"/>
                <w:szCs w:val="18"/>
              </w:rPr>
              <w:t>，主要是由于公司经营规模扩大，备货需求和发货尚未验收增加所致。</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5"/>
              <w:jc w:val="both"/>
              <w:rPr>
                <w:rFonts w:ascii="宋体" w:hAnsi="宋体" w:cs="宋体" w:eastAsia="宋体" w:hint="default"/>
                <w:sz w:val="18"/>
                <w:szCs w:val="18"/>
              </w:rPr>
            </w:pPr>
            <w:r>
              <w:rPr>
                <w:rFonts w:ascii="宋体" w:hAnsi="宋体" w:cs="宋体" w:eastAsia="宋体" w:hint="default"/>
                <w:sz w:val="18"/>
                <w:szCs w:val="18"/>
              </w:rPr>
              <w:t>其他流动资产较年初增长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5576.27%</w:t>
            </w:r>
            <w:r>
              <w:rPr>
                <w:rFonts w:ascii="宋体" w:hAnsi="宋体" w:cs="宋体" w:eastAsia="宋体" w:hint="default"/>
                <w:sz w:val="18"/>
                <w:szCs w:val="18"/>
              </w:rPr>
              <w:t>，主要是由于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）新纳入合并的江苏税软购买理财产品所致， 该理财产品子公司已于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日赎回，并取得投资收益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45,945.21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）预缴企业所得</w:t>
            </w:r>
            <w:r>
              <w:rPr>
                <w:rFonts w:ascii="宋体" w:hAnsi="宋体" w:cs="宋体" w:eastAsia="宋体" w:hint="default"/>
                <w:sz w:val="18"/>
                <w:szCs w:val="18"/>
              </w:rPr>
              <w:t> 税款。</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685.04%</w:t>
            </w:r>
            <w:r>
              <w:rPr>
                <w:rFonts w:ascii="宋体" w:hAnsi="宋体" w:cs="宋体" w:eastAsia="宋体" w:hint="default"/>
                <w:sz w:val="18"/>
                <w:szCs w:val="18"/>
              </w:rPr>
              <w:t>，主要是由于本报告期公司投资参股中新赛克公司所致。</w:t>
            </w:r>
          </w:p>
        </w:tc>
      </w:tr>
      <w:tr>
        <w:trPr>
          <w:trHeight w:val="10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长期股权投资较年初增长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172.53%</w:t>
            </w:r>
            <w:r>
              <w:rPr>
                <w:rFonts w:ascii="宋体" w:hAnsi="宋体" w:cs="宋体" w:eastAsia="宋体" w:hint="default"/>
                <w:sz w:val="18"/>
                <w:szCs w:val="18"/>
              </w:rPr>
              <w:t>，主要是报告期公司参股公司服云科技引入战略投资者，本公 </w:t>
            </w:r>
            <w:r>
              <w:rPr>
                <w:rFonts w:ascii="宋体" w:hAnsi="宋体" w:cs="宋体" w:eastAsia="宋体" w:hint="default"/>
                <w:spacing w:val="-1"/>
                <w:sz w:val="18"/>
                <w:szCs w:val="18"/>
              </w:rPr>
              <w:t>司持有服云科技股权被动稀释，相应增加长期股权投资金额以及本公司按权益法确认对服云科技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的其他权益变动金额所致。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381.25%</w:t>
            </w:r>
            <w:r>
              <w:rPr>
                <w:rFonts w:ascii="宋体" w:hAnsi="宋体" w:cs="宋体" w:eastAsia="宋体" w:hint="default"/>
                <w:sz w:val="18"/>
                <w:szCs w:val="18"/>
              </w:rPr>
              <w:t>，主要是报告期公司开发阶段的研发项目开发支出增加所致。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7"/>
              <w:jc w:val="left"/>
              <w:rPr>
                <w:rFonts w:ascii="宋体" w:hAnsi="宋体" w:cs="宋体" w:eastAsia="宋体" w:hint="default"/>
                <w:sz w:val="18"/>
                <w:szCs w:val="18"/>
              </w:rPr>
            </w:pPr>
            <w:r>
              <w:rPr>
                <w:rFonts w:ascii="宋体" w:hAnsi="宋体" w:cs="宋体" w:eastAsia="宋体" w:hint="default"/>
                <w:sz w:val="18"/>
                <w:szCs w:val="18"/>
              </w:rPr>
              <w:t>商誉较年初增加</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1189.74%</w:t>
            </w:r>
            <w:r>
              <w:rPr>
                <w:rFonts w:ascii="宋体" w:hAnsi="宋体" w:cs="宋体" w:eastAsia="宋体" w:hint="default"/>
                <w:sz w:val="18"/>
                <w:szCs w:val="18"/>
              </w:rPr>
              <w:t>，主要原因是报告期公司发行股份购买资产事项之标的资产江苏税软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股权及通过现金增资及购买获得的武汉大千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过户完成，商誉增加所致。</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长期待摊费用较年初增加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63.44%</w:t>
            </w:r>
            <w:r>
              <w:rPr>
                <w:rFonts w:ascii="宋体" w:hAnsi="宋体" w:cs="宋体" w:eastAsia="宋体" w:hint="default"/>
                <w:sz w:val="18"/>
                <w:szCs w:val="18"/>
              </w:rPr>
              <w:t>，主要是由于租入办公场所装修增加所致。</w:t>
            </w:r>
          </w:p>
        </w:tc>
      </w:tr>
    </w:tbl>
    <w:p>
      <w:pPr>
        <w:spacing w:line="240" w:lineRule="auto" w:before="2"/>
        <w:rPr>
          <w:rFonts w:ascii="宋体" w:hAnsi="宋体" w:cs="宋体" w:eastAsia="宋体" w:hint="default"/>
          <w:b/>
          <w:bCs/>
          <w:sz w:val="19"/>
          <w:szCs w:val="19"/>
        </w:rPr>
      </w:pPr>
    </w:p>
    <w:p>
      <w:pPr>
        <w:pStyle w:val="Heading4"/>
        <w:spacing w:line="240" w:lineRule="auto" w:before="35"/>
        <w:ind w:right="97"/>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4"/>
        <w:rPr>
          <w:rFonts w:ascii="宋体" w:hAnsi="宋体" w:cs="宋体" w:eastAsia="宋体" w:hint="default"/>
          <w:sz w:val="25"/>
          <w:szCs w:val="25"/>
        </w:rPr>
      </w:pPr>
    </w:p>
    <w:p>
      <w:pPr>
        <w:pStyle w:val="Heading2"/>
        <w:spacing w:line="240" w:lineRule="auto"/>
        <w:ind w:right="97"/>
        <w:jc w:val="left"/>
        <w:rPr>
          <w:b w:val="0"/>
          <w:bCs w:val="0"/>
        </w:rPr>
      </w:pPr>
      <w:r>
        <w:rPr/>
        <w:t>三、核心竞争力分析</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97" w:firstLine="420"/>
        <w:jc w:val="left"/>
      </w:pPr>
      <w:r>
        <w:rPr>
          <w:spacing w:val="-3"/>
        </w:rPr>
        <w:t>报告期内，公司通过自主研发和外延并购的方式，</w:t>
      </w:r>
      <w:bookmarkStart w:name="2、主要境外资产情况" w:id="20"/>
      <w:bookmarkEnd w:id="20"/>
      <w:r>
        <w:rPr>
          <w:spacing w:val="-3"/>
        </w:rPr>
        <w:t>不断提升公司的核心技术实力</w:t>
      </w:r>
      <w:r>
        <w:rPr>
          <w:spacing w:val="-3"/>
        </w:rPr>
        <w:t>，</w:t>
      </w:r>
      <w:bookmarkStart w:name="三、核心竞争力分析" w:id="21"/>
      <w:bookmarkEnd w:id="21"/>
      <w:r>
        <w:rPr>
          <w:spacing w:val="-3"/>
        </w:rPr>
        <w:t>完善市场营销渠道，</w:t>
      </w:r>
      <w:r>
        <w:rPr/>
        <w:t> 增强了公司的综合竞争力。主要体现在以下几方面：</w:t>
      </w:r>
    </w:p>
    <w:p>
      <w:pPr>
        <w:pStyle w:val="BodyText"/>
        <w:spacing w:line="319" w:lineRule="auto" w:before="144"/>
        <w:ind w:left="153" w:right="104" w:firstLine="420"/>
        <w:jc w:val="left"/>
      </w:pPr>
      <w:r>
        <w:rPr>
          <w:rFonts w:ascii="Times New Roman" w:hAnsi="Times New Roman" w:cs="Times New Roman" w:eastAsia="Times New Roman" w:hint="default"/>
        </w:rPr>
        <w:t>1</w:t>
      </w:r>
      <w:r>
        <w:rPr/>
        <w:t>、公司实施了重大资产重组项目</w:t>
      </w:r>
      <w:r>
        <w:rPr>
          <w:rFonts w:ascii="宋体" w:hAnsi="宋体" w:cs="宋体" w:eastAsia="宋体" w:hint="default"/>
        </w:rPr>
        <w:t>——</w:t>
      </w:r>
      <w:r>
        <w:rPr/>
        <w:t>发行股份购买江苏税软</w:t>
      </w:r>
      <w:r>
        <w:rPr>
          <w:rFonts w:ascii="Times New Roman" w:hAnsi="Times New Roman" w:cs="Times New Roman" w:eastAsia="Times New Roman" w:hint="default"/>
        </w:rPr>
        <w:t>100%</w:t>
      </w:r>
      <w:r>
        <w:rPr/>
        <w:t>股权及新德汇剩余</w:t>
      </w:r>
      <w:r>
        <w:rPr>
          <w:rFonts w:ascii="Times New Roman" w:hAnsi="Times New Roman" w:cs="Times New Roman" w:eastAsia="Times New Roman" w:hint="default"/>
        </w:rPr>
        <w:t>49%</w:t>
      </w:r>
      <w:r>
        <w:rPr/>
        <w:t>股权，交易 完成后江苏税软及新德汇均成为公司的全资子公司。江苏税软是国内涉税评估和稽查软件领域的领导者， 其自主研发的税务稽查查账软件被国家税务总局选定在全国范围推广，用户覆盖全国</w:t>
      </w:r>
      <w:r>
        <w:rPr>
          <w:rFonts w:ascii="Times New Roman" w:hAnsi="Times New Roman" w:cs="Times New Roman" w:eastAsia="Times New Roman" w:hint="default"/>
        </w:rPr>
        <w:t>28</w:t>
      </w:r>
      <w:r>
        <w:rPr/>
        <w:t>个省、</w:t>
      </w:r>
      <w:r>
        <w:rPr>
          <w:rFonts w:ascii="Times New Roman" w:hAnsi="Times New Roman" w:cs="Times New Roman" w:eastAsia="Times New Roman" w:hint="default"/>
        </w:rPr>
        <w:t>200</w:t>
      </w:r>
      <w:r>
        <w:rPr/>
        <w:t>多个税 务稽查机关，其相关产品在国内市场覆盖率约</w:t>
      </w:r>
      <w:r>
        <w:rPr>
          <w:rFonts w:ascii="Times New Roman" w:hAnsi="Times New Roman" w:cs="Times New Roman" w:eastAsia="Times New Roman" w:hint="default"/>
        </w:rPr>
        <w:t>75%</w:t>
      </w:r>
      <w:r>
        <w:rPr/>
        <w:t>。新德汇是国内刑侦领域具有较强影响力的大数据信息 化专家，其相关产品已经部署到全国各地公安系统以及部分检察院、海关缉私部门，在细分行业的细分市 场处于领先地位，未来将复制其在公安行业的经验，推广到检察院、海关缉私等部门。本次重组项目的实 </w:t>
      </w:r>
      <w:r>
        <w:rPr>
          <w:spacing w:val="-3"/>
        </w:rPr>
        <w:t>施，将有利于提升公司的盈利能力，加快公司在税务、刑侦等新行业的业务拓展，提升公司的综合竞争力。</w:t>
      </w:r>
    </w:p>
    <w:p>
      <w:pPr>
        <w:pStyle w:val="BodyText"/>
        <w:spacing w:line="319" w:lineRule="auto" w:before="150"/>
        <w:ind w:left="153" w:right="212" w:firstLine="420"/>
        <w:jc w:val="both"/>
      </w:pPr>
      <w:r>
        <w:rPr>
          <w:rFonts w:ascii="Times New Roman" w:hAnsi="Times New Roman" w:cs="Times New Roman" w:eastAsia="Times New Roman" w:hint="default"/>
          <w:spacing w:val="-3"/>
        </w:rPr>
        <w:t>2</w:t>
      </w:r>
      <w:r>
        <w:rPr>
          <w:spacing w:val="-3"/>
        </w:rPr>
        <w:t>、报告期内，公司通过增资并受让部分股权的方式收购了武汉大千信息技术有限公司</w:t>
      </w:r>
      <w:r>
        <w:rPr>
          <w:rFonts w:ascii="Times New Roman" w:hAnsi="Times New Roman" w:cs="Times New Roman" w:eastAsia="Times New Roman" w:hint="default"/>
          <w:spacing w:val="-3"/>
        </w:rPr>
        <w:t>51%</w:t>
      </w:r>
      <w:r>
        <w:rPr>
          <w:spacing w:val="-3"/>
        </w:rPr>
        <w:t>的股权。武</w:t>
      </w:r>
      <w:r>
        <w:rPr/>
        <w:t> </w:t>
      </w:r>
      <w:r>
        <w:rPr>
          <w:spacing w:val="-1"/>
        </w:rPr>
        <w:t>汉大千专注于公共安全行业的海量图像与视频的检索、分析、研判和侦查等技术领域的产品、装备的研发</w:t>
      </w:r>
      <w:r>
        <w:rPr>
          <w:spacing w:val="-85"/>
        </w:rPr>
        <w:t> </w:t>
      </w:r>
      <w:r>
        <w:rPr>
          <w:spacing w:val="-85"/>
        </w:rPr>
      </w:r>
      <w:r>
        <w:rPr>
          <w:spacing w:val="-1"/>
        </w:rPr>
        <w:t>和服务，是国内最早从事公共安全海量视频检索、分析和研判等信息技术研究的企业之一，具有较强的技</w:t>
      </w:r>
    </w:p>
    <w:p>
      <w:pPr>
        <w:spacing w:after="0" w:line="319" w:lineRule="auto"/>
        <w:jc w:val="both"/>
        <w:sectPr>
          <w:pgSz w:w="11910" w:h="16840"/>
          <w:pgMar w:header="918" w:footer="1267" w:top="1160" w:bottom="1460" w:left="980" w:right="920"/>
        </w:sectPr>
      </w:pPr>
    </w:p>
    <w:p>
      <w:pPr>
        <w:spacing w:line="240" w:lineRule="auto" w:before="5"/>
        <w:rPr>
          <w:rFonts w:ascii="宋体" w:hAnsi="宋体" w:cs="宋体" w:eastAsia="宋体" w:hint="default"/>
          <w:sz w:val="20"/>
          <w:szCs w:val="20"/>
        </w:rPr>
      </w:pPr>
    </w:p>
    <w:p>
      <w:pPr>
        <w:pStyle w:val="BodyText"/>
        <w:spacing w:line="326" w:lineRule="auto" w:before="35"/>
        <w:ind w:left="154" w:right="97"/>
        <w:jc w:val="left"/>
      </w:pPr>
      <w:r>
        <w:rPr>
          <w:spacing w:val="-1"/>
        </w:rPr>
        <w:t>术实力和产品成熟度。双方合作有利于发挥各自所在细分领域产品和渠道资源优势互补，快速进入视频分</w:t>
      </w:r>
      <w:r>
        <w:rPr>
          <w:spacing w:val="-81"/>
        </w:rPr>
        <w:t> </w:t>
      </w:r>
      <w:r>
        <w:rPr>
          <w:spacing w:val="-81"/>
        </w:rPr>
      </w:r>
      <w:r>
        <w:rPr/>
        <w:t>析市场，并带动公司电子数据采集和取证产品的销售，完善公司产品体系。</w:t>
      </w:r>
    </w:p>
    <w:p>
      <w:pPr>
        <w:pStyle w:val="BodyText"/>
        <w:spacing w:line="309" w:lineRule="auto" w:before="144"/>
        <w:ind w:left="153" w:right="296" w:firstLine="420"/>
        <w:jc w:val="both"/>
      </w:pPr>
      <w:r>
        <w:rPr>
          <w:rFonts w:ascii="Times New Roman" w:hAnsi="Times New Roman" w:cs="Times New Roman" w:eastAsia="Times New Roman" w:hint="default"/>
        </w:rPr>
        <w:t>3</w:t>
      </w:r>
      <w:r>
        <w:rPr/>
        <w:t>、通过加强自身研发投入和实施投资并购，报告期内公司专利、商标、著作权等无形资产进一步增 加。</w:t>
      </w:r>
    </w:p>
    <w:p>
      <w:pPr>
        <w:pStyle w:val="BodyText"/>
        <w:spacing w:line="309" w:lineRule="auto" w:before="158"/>
        <w:ind w:left="153" w:right="296" w:firstLine="420"/>
        <w:jc w:val="both"/>
      </w:pPr>
      <w:r>
        <w:rPr>
          <w:spacing w:val="-1"/>
        </w:rPr>
        <w:t>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日，公司共取得授权专利</w:t>
      </w:r>
      <w:r>
        <w:rPr>
          <w:rFonts w:ascii="Times New Roman" w:hAnsi="Times New Roman" w:cs="Times New Roman" w:eastAsia="Times New Roman" w:hint="default"/>
          <w:spacing w:val="-1"/>
        </w:rPr>
        <w:t>108</w:t>
      </w:r>
      <w:r>
        <w:rPr>
          <w:spacing w:val="-1"/>
        </w:rPr>
        <w:t>项，其中发明专利</w:t>
      </w:r>
      <w:r>
        <w:rPr>
          <w:rFonts w:ascii="Times New Roman" w:hAnsi="Times New Roman" w:cs="Times New Roman" w:eastAsia="Times New Roman" w:hint="default"/>
          <w:spacing w:val="-1"/>
        </w:rPr>
        <w:t>58</w:t>
      </w:r>
      <w:r>
        <w:rPr>
          <w:spacing w:val="-1"/>
        </w:rPr>
        <w:t>项，实用新型专利</w:t>
      </w:r>
      <w:r>
        <w:rPr>
          <w:rFonts w:ascii="Times New Roman" w:hAnsi="Times New Roman" w:cs="Times New Roman" w:eastAsia="Times New Roman" w:hint="default"/>
          <w:spacing w:val="-1"/>
        </w:rPr>
        <w:t>34</w:t>
      </w:r>
      <w:r>
        <w:rPr>
          <w:spacing w:val="-1"/>
        </w:rPr>
        <w:t>项，外观设</w:t>
      </w:r>
      <w:r>
        <w:rPr/>
        <w:t> 计专利</w:t>
      </w:r>
      <w:r>
        <w:rPr>
          <w:rFonts w:ascii="Times New Roman" w:hAnsi="Times New Roman" w:cs="Times New Roman" w:eastAsia="Times New Roman" w:hint="default"/>
        </w:rPr>
        <w:t>16</w:t>
      </w:r>
      <w:r>
        <w:rPr/>
        <w:t>项。其中，报告期内新增授权专利</w:t>
      </w:r>
      <w:r>
        <w:rPr>
          <w:rFonts w:ascii="Times New Roman" w:hAnsi="Times New Roman" w:cs="Times New Roman" w:eastAsia="Times New Roman" w:hint="default"/>
        </w:rPr>
        <w:t>24</w:t>
      </w:r>
      <w:r>
        <w:rPr/>
        <w:t>项，其中发明专利</w:t>
      </w:r>
      <w:r>
        <w:rPr>
          <w:rFonts w:ascii="Times New Roman" w:hAnsi="Times New Roman" w:cs="Times New Roman" w:eastAsia="Times New Roman" w:hint="default"/>
        </w:rPr>
        <w:t>23</w:t>
      </w:r>
      <w:r>
        <w:rPr/>
        <w:t>项，实用新型专利</w:t>
      </w:r>
      <w:r>
        <w:rPr>
          <w:rFonts w:ascii="Times New Roman" w:hAnsi="Times New Roman" w:cs="Times New Roman" w:eastAsia="Times New Roman" w:hint="default"/>
        </w:rPr>
        <w:t>1</w:t>
      </w:r>
      <w:r>
        <w:rPr/>
        <w:t>项；新提交申请的 专利</w:t>
      </w:r>
      <w:r>
        <w:rPr>
          <w:rFonts w:ascii="Times New Roman" w:hAnsi="Times New Roman" w:cs="Times New Roman" w:eastAsia="Times New Roman" w:hint="default"/>
        </w:rPr>
        <w:t>22</w:t>
      </w:r>
      <w:r>
        <w:rPr/>
        <w:t>项，其中发明专利</w:t>
      </w:r>
      <w:r>
        <w:rPr>
          <w:rFonts w:ascii="Times New Roman" w:hAnsi="Times New Roman" w:cs="Times New Roman" w:eastAsia="Times New Roman" w:hint="default"/>
        </w:rPr>
        <w:t>20</w:t>
      </w:r>
      <w:r>
        <w:rPr/>
        <w:t>项，实用新型专利</w:t>
      </w:r>
      <w:r>
        <w:rPr>
          <w:rFonts w:ascii="Times New Roman" w:hAnsi="Times New Roman" w:cs="Times New Roman" w:eastAsia="Times New Roman" w:hint="default"/>
        </w:rPr>
        <w:t>1</w:t>
      </w:r>
      <w:r>
        <w:rPr/>
        <w:t>项，外观专利</w:t>
      </w:r>
      <w:r>
        <w:rPr>
          <w:rFonts w:ascii="Times New Roman" w:hAnsi="Times New Roman" w:cs="Times New Roman" w:eastAsia="Times New Roman" w:hint="default"/>
        </w:rPr>
        <w:t>1</w:t>
      </w:r>
      <w:r>
        <w:rPr/>
        <w:t>项。</w:t>
      </w:r>
    </w:p>
    <w:p>
      <w:pPr>
        <w:pStyle w:val="BodyText"/>
        <w:spacing w:line="309" w:lineRule="auto" w:before="136"/>
        <w:ind w:left="153" w:right="97" w:firstLine="420"/>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日，公司共取得注册商标</w:t>
      </w:r>
      <w:r>
        <w:rPr>
          <w:rFonts w:ascii="Times New Roman" w:hAnsi="Times New Roman" w:cs="Times New Roman" w:eastAsia="Times New Roman" w:hint="default"/>
        </w:rPr>
        <w:t>30</w:t>
      </w:r>
      <w:r>
        <w:rPr/>
        <w:t>项，注册有效期为</w:t>
      </w:r>
      <w:r>
        <w:rPr>
          <w:rFonts w:ascii="Times New Roman" w:hAnsi="Times New Roman" w:cs="Times New Roman" w:eastAsia="Times New Roman" w:hint="default"/>
        </w:rPr>
        <w:t>10</w:t>
      </w:r>
      <w:r>
        <w:rPr/>
        <w:t>年，所有注册商标均在有效期内， </w:t>
      </w:r>
      <w:r>
        <w:rPr>
          <w:spacing w:val="-1"/>
        </w:rPr>
        <w:t>其中报告期内新增</w:t>
      </w:r>
      <w:r>
        <w:rPr>
          <w:rFonts w:ascii="Times New Roman" w:hAnsi="Times New Roman" w:cs="Times New Roman" w:eastAsia="Times New Roman" w:hint="default"/>
          <w:spacing w:val="-1"/>
        </w:rPr>
        <w:t>1</w:t>
      </w:r>
      <w:r>
        <w:rPr>
          <w:spacing w:val="-1"/>
        </w:rPr>
        <w:t>项；国家工商行政管理总局商标局已受理、正在审核过程中的商标注册申请共有</w:t>
      </w:r>
      <w:r>
        <w:rPr>
          <w:rFonts w:ascii="Times New Roman" w:hAnsi="Times New Roman" w:cs="Times New Roman" w:eastAsia="Times New Roman" w:hint="default"/>
          <w:spacing w:val="-1"/>
        </w:rPr>
        <w:t>10</w:t>
      </w:r>
      <w:r>
        <w:rPr>
          <w:spacing w:val="-1"/>
        </w:rPr>
        <w:t>项，</w:t>
      </w:r>
      <w:r>
        <w:rPr>
          <w:spacing w:val="-84"/>
        </w:rPr>
        <w:t> </w:t>
      </w:r>
      <w:r>
        <w:rPr/>
        <w:t>其中报告期内新增</w:t>
      </w:r>
      <w:r>
        <w:rPr>
          <w:rFonts w:ascii="Times New Roman" w:hAnsi="Times New Roman" w:cs="Times New Roman" w:eastAsia="Times New Roman" w:hint="default"/>
        </w:rPr>
        <w:t>5</w:t>
      </w:r>
      <w:r>
        <w:rPr/>
        <w:t>项。</w:t>
      </w:r>
    </w:p>
    <w:p>
      <w:pPr>
        <w:pStyle w:val="BodyText"/>
        <w:spacing w:line="240" w:lineRule="auto" w:before="136"/>
        <w:ind w:left="573" w:right="97"/>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日，公司共取得软件著作权</w:t>
      </w:r>
      <w:r>
        <w:rPr>
          <w:rFonts w:ascii="Times New Roman" w:hAnsi="Times New Roman" w:cs="Times New Roman" w:eastAsia="Times New Roman" w:hint="default"/>
        </w:rPr>
        <w:t>187</w:t>
      </w:r>
      <w:r>
        <w:rPr/>
        <w:t>项，报告期内新增软件著作权</w:t>
      </w:r>
      <w:r>
        <w:rPr>
          <w:rFonts w:ascii="Times New Roman" w:hAnsi="Times New Roman" w:cs="Times New Roman" w:eastAsia="Times New Roman" w:hint="default"/>
        </w:rPr>
        <w:t>31</w:t>
      </w:r>
      <w:r>
        <w:rPr/>
        <w:t>项。</w:t>
      </w:r>
    </w:p>
    <w:p>
      <w:pPr>
        <w:spacing w:line="240" w:lineRule="auto" w:before="7"/>
        <w:rPr>
          <w:rFonts w:ascii="宋体" w:hAnsi="宋体" w:cs="宋体" w:eastAsia="宋体" w:hint="default"/>
          <w:sz w:val="15"/>
          <w:szCs w:val="15"/>
        </w:rPr>
      </w:pPr>
    </w:p>
    <w:p>
      <w:pPr>
        <w:pStyle w:val="BodyText"/>
        <w:spacing w:line="321" w:lineRule="auto"/>
        <w:ind w:left="153" w:right="212" w:firstLine="420"/>
        <w:jc w:val="both"/>
      </w:pPr>
      <w:r>
        <w:rPr>
          <w:rFonts w:ascii="Times New Roman" w:hAnsi="Times New Roman" w:cs="Times New Roman" w:eastAsia="Times New Roman" w:hint="default"/>
        </w:rPr>
        <w:t>4</w:t>
      </w:r>
      <w:r>
        <w:rPr/>
        <w:t>、报告期内，公司顺利通过了信息系统集成及服务资质（二级）复评和</w:t>
      </w:r>
      <w:r>
        <w:rPr>
          <w:rFonts w:ascii="Times New Roman" w:hAnsi="Times New Roman" w:cs="Times New Roman" w:eastAsia="Times New Roman" w:hint="default"/>
        </w:rPr>
        <w:t>CMMI3</w:t>
      </w:r>
      <w:r>
        <w:rPr/>
        <w:t>认证复评，并取得了 </w:t>
      </w:r>
      <w:r>
        <w:rPr>
          <w:spacing w:val="-1"/>
        </w:rPr>
        <w:t>信息安全服务资质证书（安全工程类一级）。信息安全服务资质认证是依据国家法律法规、国家标准、行</w:t>
      </w:r>
      <w:r>
        <w:rPr>
          <w:spacing w:val="-83"/>
        </w:rPr>
        <w:t> </w:t>
      </w:r>
      <w:r>
        <w:rPr>
          <w:spacing w:val="-83"/>
        </w:rPr>
      </w:r>
      <w:r>
        <w:rPr>
          <w:spacing w:val="-1"/>
        </w:rPr>
        <w:t>业标准和技术规范，按照认证基本规范及认证规则，对提供信息安全服务机构的信息安全服务资质进行评</w:t>
      </w:r>
      <w:r>
        <w:rPr>
          <w:spacing w:val="-81"/>
        </w:rPr>
        <w:t> </w:t>
      </w:r>
      <w:r>
        <w:rPr>
          <w:spacing w:val="-81"/>
        </w:rPr>
      </w:r>
      <w:r>
        <w:rPr>
          <w:spacing w:val="-1"/>
        </w:rPr>
        <w:t>价，是信息安全服务机构提供安全服务的一种资格，包括法律地位、资源状况、管理水平、技术能力等方</w:t>
      </w:r>
      <w:r>
        <w:rPr>
          <w:spacing w:val="-83"/>
        </w:rPr>
        <w:t> </w:t>
      </w:r>
      <w:r>
        <w:rPr>
          <w:spacing w:val="-83"/>
        </w:rPr>
      </w:r>
      <w:r>
        <w:rPr/>
        <w:t>面的要求。上述资质的取得使公司相关业务开展更具竞争力。</w:t>
      </w:r>
    </w:p>
    <w:p>
      <w:pPr>
        <w:spacing w:after="0" w:line="321" w:lineRule="auto"/>
        <w:jc w:val="both"/>
        <w:sectPr>
          <w:pgSz w:w="11910" w:h="16840"/>
          <w:pgMar w:header="918" w:footer="1267" w:top="1160" w:bottom="1460" w:left="980" w:right="920"/>
        </w:sectPr>
      </w:pPr>
    </w:p>
    <w:p>
      <w:pPr>
        <w:spacing w:line="240" w:lineRule="auto" w:before="0"/>
        <w:rPr>
          <w:rFonts w:ascii="宋体" w:hAnsi="宋体" w:cs="宋体" w:eastAsia="宋体" w:hint="default"/>
          <w:sz w:val="20"/>
          <w:szCs w:val="20"/>
        </w:rPr>
      </w:pPr>
    </w:p>
    <w:p>
      <w:pPr>
        <w:pStyle w:val="Heading1"/>
        <w:spacing w:line="240" w:lineRule="auto" w:before="180"/>
        <w:ind w:left="3448" w:right="97"/>
        <w:jc w:val="left"/>
        <w:rPr>
          <w:b w:val="0"/>
          <w:bCs w:val="0"/>
        </w:rPr>
      </w:pPr>
      <w:bookmarkStart w:name="第四节 管理层讨论与分析" w:id="22"/>
      <w:bookmarkEnd w:id="22"/>
      <w:r>
        <w:rPr>
          <w:b w:val="0"/>
          <w:bCs w:val="0"/>
        </w:rPr>
      </w:r>
      <w:bookmarkStart w:name="_bookmark2" w:id="23"/>
      <w:bookmarkEnd w:id="23"/>
      <w:r>
        <w:rPr>
          <w:b w:val="0"/>
          <w:bCs w:val="0"/>
        </w:rPr>
      </w:r>
      <w:r>
        <w:rPr/>
        <w:t>第四节</w:t>
      </w:r>
      <w:r>
        <w:rPr>
          <w:spacing w:val="-4"/>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7"/>
        <w:jc w:val="left"/>
        <w:rPr>
          <w:b w:val="0"/>
          <w:bCs w:val="0"/>
        </w:rPr>
      </w:pPr>
      <w:r>
        <w:rPr/>
        <w:t>一、概述</w:t>
      </w:r>
      <w:r>
        <w:rPr>
          <w:b w:val="0"/>
          <w:bCs w:val="0"/>
        </w:rPr>
      </w:r>
    </w:p>
    <w:p>
      <w:pPr>
        <w:spacing w:line="240" w:lineRule="auto" w:before="12"/>
        <w:rPr>
          <w:rFonts w:ascii="宋体" w:hAnsi="宋体" w:cs="宋体" w:eastAsia="宋体" w:hint="default"/>
          <w:b/>
          <w:bCs/>
          <w:sz w:val="26"/>
          <w:szCs w:val="26"/>
        </w:rPr>
      </w:pPr>
    </w:p>
    <w:p>
      <w:pPr>
        <w:pStyle w:val="BodyText"/>
        <w:spacing w:line="309" w:lineRule="auto"/>
        <w:ind w:left="154" w:right="97" w:firstLine="420"/>
        <w:jc w:val="left"/>
      </w:pPr>
      <w:r>
        <w:rPr>
          <w:rFonts w:ascii="Times New Roman" w:hAnsi="Times New Roman" w:cs="Times New Roman" w:eastAsia="Times New Roman" w:hint="default"/>
          <w:spacing w:val="-1"/>
        </w:rPr>
        <w:t>2015</w:t>
      </w:r>
      <w:bookmarkStart w:name="一、概述" w:id="24"/>
      <w:bookmarkEnd w:id="24"/>
      <w:r>
        <w:rPr>
          <w:rFonts w:ascii="Times New Roman" w:hAnsi="Times New Roman" w:cs="Times New Roman" w:eastAsia="Times New Roman" w:hint="default"/>
          <w:spacing w:val="-1"/>
        </w:rPr>
      </w:r>
      <w:r>
        <w:rPr>
          <w:spacing w:val="-1"/>
        </w:rPr>
        <w:t>年度，公司在深耕传统市场的同时，继续加强新行业的拓展，并针对市场开拓重点，推出面向行</w:t>
      </w:r>
      <w:r>
        <w:rPr/>
        <w:t> 业用户和区县用户的产品和解决方案，保障了公司</w:t>
      </w:r>
      <w:r>
        <w:rPr>
          <w:rFonts w:ascii="Times New Roman" w:hAnsi="Times New Roman" w:cs="Times New Roman" w:eastAsia="Times New Roman" w:hint="default"/>
        </w:rPr>
        <w:t>2015</w:t>
      </w:r>
      <w:r>
        <w:rPr/>
        <w:t>年度营业收入稳步增长。</w:t>
      </w:r>
    </w:p>
    <w:p>
      <w:pPr>
        <w:pStyle w:val="Heading4"/>
        <w:spacing w:line="240" w:lineRule="auto" w:before="136"/>
        <w:ind w:left="576" w:right="97"/>
        <w:jc w:val="left"/>
        <w:rPr>
          <w:b w:val="0"/>
          <w:bCs w:val="0"/>
        </w:rPr>
      </w:pPr>
      <w:r>
        <w:rPr/>
        <w:t>（一）销售与市场拓展</w:t>
      </w:r>
      <w:r>
        <w:rPr>
          <w:b w:val="0"/>
          <w:bCs w:val="0"/>
        </w:rPr>
      </w:r>
    </w:p>
    <w:p>
      <w:pPr>
        <w:pStyle w:val="BodyText"/>
        <w:spacing w:line="490" w:lineRule="atLeast" w:before="4"/>
        <w:ind w:left="573" w:right="173"/>
        <w:jc w:val="left"/>
      </w:pPr>
      <w:r>
        <w:rPr/>
        <w:t>销售的季节性特点仍然显著，收入主要集中在下半年，主营业务销售情况较为稳定。 行业销售情况：传统网安领域因产品覆盖率和饱和度已较高，故增速有所放缓；检察、工商、税务、</w:t>
      </w:r>
    </w:p>
    <w:p>
      <w:pPr>
        <w:pStyle w:val="BodyText"/>
        <w:spacing w:line="432" w:lineRule="auto" w:before="99"/>
        <w:ind w:left="573" w:right="97" w:hanging="420"/>
        <w:jc w:val="left"/>
      </w:pPr>
      <w:r>
        <w:rPr/>
        <w:t>刑侦、经侦等次新行业销售取得较大增长，产品覆盖率和饱和度均较低，市场空间大。 区域覆盖情况：随着区县战略的持续推进，区县市场渗透率逐步提高。</w:t>
      </w:r>
    </w:p>
    <w:p>
      <w:pPr>
        <w:pStyle w:val="BodyText"/>
        <w:spacing w:line="309" w:lineRule="auto" w:before="51"/>
        <w:ind w:left="153" w:right="97" w:firstLine="420"/>
        <w:jc w:val="left"/>
      </w:pPr>
      <w:r>
        <w:rPr>
          <w:spacing w:val="-1"/>
        </w:rPr>
        <w:t>国际市场情况：随着国家“一带一路”对外交流合作的逐步开展，</w:t>
      </w:r>
      <w:r>
        <w:rPr>
          <w:rFonts w:ascii="Times New Roman" w:hAnsi="Times New Roman" w:cs="Times New Roman" w:eastAsia="Times New Roman" w:hint="default"/>
          <w:spacing w:val="-1"/>
        </w:rPr>
        <w:t>2015</w:t>
      </w:r>
      <w:r>
        <w:rPr>
          <w:spacing w:val="-1"/>
        </w:rPr>
        <w:t>年度公司承办了十余期对外技</w:t>
      </w:r>
      <w:r>
        <w:rPr/>
        <w:t> 术交流和培训活动，为公司产品在国际市场进一步推广打下了良好的基础。</w:t>
      </w:r>
    </w:p>
    <w:p>
      <w:pPr>
        <w:pStyle w:val="Heading4"/>
        <w:spacing w:line="240" w:lineRule="auto" w:before="159"/>
        <w:ind w:left="576" w:right="97"/>
        <w:jc w:val="left"/>
        <w:rPr>
          <w:b w:val="0"/>
          <w:bCs w:val="0"/>
        </w:rPr>
      </w:pPr>
      <w:r>
        <w:rPr/>
        <w:t>（二）产品及技术研发</w:t>
      </w:r>
      <w:r>
        <w:rPr>
          <w:b w:val="0"/>
          <w:bCs w:val="0"/>
        </w:rPr>
      </w:r>
    </w:p>
    <w:p>
      <w:pPr>
        <w:spacing w:line="240" w:lineRule="auto" w:before="10"/>
        <w:rPr>
          <w:rFonts w:ascii="宋体" w:hAnsi="宋体" w:cs="宋体" w:eastAsia="宋体" w:hint="default"/>
          <w:b/>
          <w:bCs/>
          <w:sz w:val="16"/>
          <w:szCs w:val="16"/>
        </w:rPr>
      </w:pPr>
    </w:p>
    <w:p>
      <w:pPr>
        <w:pStyle w:val="BodyText"/>
        <w:spacing w:line="319" w:lineRule="auto"/>
        <w:ind w:left="153" w:right="104" w:firstLine="420"/>
        <w:jc w:val="left"/>
      </w:pPr>
      <w:r>
        <w:rPr>
          <w:rFonts w:ascii="Times New Roman" w:hAnsi="Times New Roman" w:cs="Times New Roman" w:eastAsia="Times New Roman" w:hint="default"/>
        </w:rPr>
        <w:t>1</w:t>
      </w:r>
      <w:r>
        <w:rPr/>
        <w:t>、电子数据取证：围绕数据保全、数据恢复、数据提取、数据处理、数据分析、数据展示及手机芯 </w:t>
      </w:r>
      <w:r>
        <w:rPr>
          <w:spacing w:val="-3"/>
        </w:rPr>
        <w:t>片取证等重要方面开展核心技术研发，面向市场推出了取证金刚、手机数据高级分析系统、数据恢复大师、</w:t>
      </w:r>
      <w:r>
        <w:rPr>
          <w:spacing w:val="-90"/>
        </w:rPr>
        <w:t> </w:t>
      </w:r>
      <w:r>
        <w:rPr>
          <w:spacing w:val="-90"/>
        </w:rPr>
      </w:r>
      <w:r>
        <w:rPr/>
        <w:t>计算机审计系统等重要产品；手机芯片取证技术研发获得关键性进展，完成手机数据恢复塔的产品化。</w:t>
      </w:r>
    </w:p>
    <w:p>
      <w:pPr>
        <w:pStyle w:val="BodyText"/>
        <w:spacing w:line="314" w:lineRule="auto" w:before="150"/>
        <w:ind w:left="153" w:right="173" w:firstLine="420"/>
        <w:jc w:val="left"/>
      </w:pPr>
      <w:r>
        <w:rPr>
          <w:rFonts w:ascii="Times New Roman" w:hAnsi="Times New Roman" w:cs="Times New Roman" w:eastAsia="Times New Roman" w:hint="default"/>
        </w:rPr>
        <w:t>2</w:t>
      </w:r>
      <w:r>
        <w:rPr/>
        <w:t>、大搜索：完成从数据采集</w:t>
      </w:r>
      <w:r>
        <w:rPr>
          <w:rFonts w:ascii="Arial" w:hAnsi="Arial" w:cs="Arial" w:eastAsia="Arial" w:hint="default"/>
        </w:rPr>
        <w:t>→</w:t>
      </w:r>
      <w:r>
        <w:rPr/>
        <w:t>预处理</w:t>
      </w:r>
      <w:r>
        <w:rPr>
          <w:rFonts w:ascii="Arial" w:hAnsi="Arial" w:cs="Arial" w:eastAsia="Arial" w:hint="default"/>
        </w:rPr>
        <w:t>→</w:t>
      </w:r>
      <w:r>
        <w:rPr/>
        <w:t>存储</w:t>
      </w:r>
      <w:r>
        <w:rPr>
          <w:rFonts w:ascii="Arial" w:hAnsi="Arial" w:cs="Arial" w:eastAsia="Arial" w:hint="default"/>
        </w:rPr>
        <w:t>→</w:t>
      </w:r>
      <w:r>
        <w:rPr/>
        <w:t>应用的系统架构全面升级；围绕智能推荐、正负面分 析、区域热点识别、属地研判等核心技术进行突破，不断丰富数据资源，通过软件产品、软件</w:t>
      </w:r>
      <w:r>
        <w:rPr>
          <w:rFonts w:ascii="Times New Roman" w:hAnsi="Times New Roman" w:cs="Times New Roman" w:eastAsia="Times New Roman" w:hint="default"/>
        </w:rPr>
        <w:t>SaaS</w:t>
      </w:r>
      <w:r>
        <w:rPr/>
        <w:t>服务、 </w:t>
      </w:r>
      <w:r>
        <w:rPr>
          <w:spacing w:val="-1"/>
        </w:rPr>
        <w:t>数据服务和分析报告等形式为公安、工商、税务、网信、证监、食药监、检验检疫等多行业用户及企事业</w:t>
      </w:r>
      <w:r>
        <w:rPr>
          <w:spacing w:val="-83"/>
        </w:rPr>
        <w:t> </w:t>
      </w:r>
      <w:r>
        <w:rPr>
          <w:spacing w:val="-83"/>
        </w:rPr>
      </w:r>
      <w:r>
        <w:rPr/>
        <w:t>单位提供解决方案。</w:t>
      </w:r>
    </w:p>
    <w:p>
      <w:pPr>
        <w:pStyle w:val="BodyText"/>
        <w:spacing w:line="324" w:lineRule="auto" w:before="154"/>
        <w:ind w:left="153" w:right="97" w:firstLine="420"/>
        <w:jc w:val="left"/>
      </w:pPr>
      <w:r>
        <w:rPr>
          <w:rFonts w:ascii="Times New Roman" w:hAnsi="Times New Roman" w:cs="Times New Roman" w:eastAsia="Times New Roman" w:hint="default"/>
        </w:rPr>
        <w:t>3</w:t>
      </w:r>
      <w:r>
        <w:rPr/>
        <w:t>、大数据信息化：加强大数据核心技术的研究及大数据应用服务拓展。</w:t>
      </w:r>
      <w:r>
        <w:rPr>
          <w:rFonts w:ascii="Times New Roman" w:hAnsi="Times New Roman" w:cs="Times New Roman" w:eastAsia="Times New Roman" w:hint="default"/>
        </w:rPr>
        <w:t>2015</w:t>
      </w:r>
      <w:r>
        <w:rPr/>
        <w:t>年度，公司与国家信息 </w:t>
      </w:r>
      <w:r>
        <w:rPr>
          <w:spacing w:val="-1"/>
        </w:rPr>
        <w:t>中心、飞利信三方签订了“关于联合拓展互联网政务大数据业务的框架协议”，旨在配合国家和各地方发</w:t>
      </w:r>
      <w:r>
        <w:rPr>
          <w:spacing w:val="-85"/>
        </w:rPr>
        <w:t> </w:t>
      </w:r>
      <w:r>
        <w:rPr>
          <w:spacing w:val="-85"/>
        </w:rPr>
      </w:r>
      <w:r>
        <w:rPr>
          <w:spacing w:val="-1"/>
        </w:rPr>
        <w:t>展改革部门开展互联网大数据分析业务；支撑“一带一路”数据库建设和税务大数据业务；拓展可服务于</w:t>
      </w:r>
      <w:r>
        <w:rPr>
          <w:spacing w:val="-86"/>
        </w:rPr>
        <w:t> </w:t>
      </w:r>
      <w:r>
        <w:rPr>
          <w:spacing w:val="-86"/>
        </w:rPr>
      </w:r>
      <w:r>
        <w:rPr>
          <w:spacing w:val="-1"/>
        </w:rPr>
        <w:t>其他行业和地区以及企事业机构所需要的相关政务大数据业务；与中国社会科学院调查与数据信息中心签</w:t>
      </w:r>
      <w:r>
        <w:rPr>
          <w:spacing w:val="-81"/>
        </w:rPr>
        <w:t> </w:t>
      </w:r>
      <w:r>
        <w:rPr>
          <w:spacing w:val="-81"/>
        </w:rPr>
      </w:r>
      <w:r>
        <w:rPr>
          <w:spacing w:val="-1"/>
        </w:rPr>
        <w:t>署战略合作协议，拟通过共同构建专业化、社会化、市场化的大数据应用服务平台，共同推进数字化社科</w:t>
      </w:r>
      <w:r>
        <w:rPr>
          <w:spacing w:val="-86"/>
        </w:rPr>
        <w:t> </w:t>
      </w:r>
      <w:r>
        <w:rPr>
          <w:spacing w:val="-86"/>
        </w:rPr>
      </w:r>
      <w:r>
        <w:rPr>
          <w:spacing w:val="-1"/>
        </w:rPr>
        <w:t>院建设，协作开发大数据调查、分析与应用市场；与华为技术有限公司深化公安大数据及信息化领域的业</w:t>
      </w:r>
      <w:r>
        <w:rPr>
          <w:spacing w:val="-84"/>
        </w:rPr>
        <w:t> </w:t>
      </w:r>
      <w:r>
        <w:rPr>
          <w:spacing w:val="-84"/>
        </w:rPr>
      </w:r>
      <w:r>
        <w:rPr/>
        <w:t>务合作。</w:t>
      </w:r>
    </w:p>
    <w:p>
      <w:pPr>
        <w:pStyle w:val="BodyText"/>
        <w:spacing w:line="321" w:lineRule="auto" w:before="146"/>
        <w:ind w:left="153" w:right="213" w:firstLine="420"/>
        <w:jc w:val="left"/>
      </w:pPr>
      <w:r>
        <w:rPr>
          <w:rFonts w:ascii="Times New Roman" w:hAnsi="Times New Roman" w:cs="Times New Roman" w:eastAsia="Times New Roman" w:hint="default"/>
        </w:rPr>
        <w:t>4</w:t>
      </w:r>
      <w:r>
        <w:rPr/>
        <w:t>、视频分析及专项执法装备：根据公司的总体战略布局及规划，成立视频图像分析技术研究院和技 </w:t>
      </w:r>
      <w:r>
        <w:rPr>
          <w:spacing w:val="-1"/>
        </w:rPr>
        <w:t>术支持团队，以相关行业市场为依托、以最前沿的图像处理技术为基础，通过自研与引进相结合，开发与</w:t>
      </w:r>
      <w:r>
        <w:rPr>
          <w:spacing w:val="-86"/>
        </w:rPr>
        <w:t> </w:t>
      </w:r>
      <w:r>
        <w:rPr>
          <w:spacing w:val="-86"/>
        </w:rPr>
      </w:r>
      <w:r>
        <w:rPr>
          <w:spacing w:val="-1"/>
        </w:rPr>
        <w:t>视频取证相关的硬件、软件及系统产品。于此同时，通过与武汉大千合作，共同开展视频分析产品研发及</w:t>
      </w:r>
      <w:r>
        <w:rPr>
          <w:spacing w:val="-86"/>
        </w:rPr>
        <w:t> </w:t>
      </w:r>
      <w:r>
        <w:rPr>
          <w:spacing w:val="-86"/>
        </w:rPr>
      </w:r>
      <w:r>
        <w:rPr/>
        <w:t>技术服务，并已推出免费产品（</w:t>
      </w:r>
      <w:r>
        <w:rPr>
          <w:rFonts w:ascii="Times New Roman" w:hAnsi="Times New Roman" w:cs="Times New Roman" w:eastAsia="Times New Roman" w:hint="default"/>
        </w:rPr>
        <w:t>CP-3500</w:t>
      </w:r>
      <w:r>
        <w:rPr/>
        <w:t>法眼视频分析系统）抢占市场。</w:t>
      </w:r>
    </w:p>
    <w:p>
      <w:pPr>
        <w:pStyle w:val="Heading4"/>
        <w:spacing w:line="240" w:lineRule="auto" w:before="124"/>
        <w:ind w:left="576" w:right="97"/>
        <w:jc w:val="left"/>
        <w:rPr>
          <w:b w:val="0"/>
          <w:bCs w:val="0"/>
        </w:rPr>
      </w:pPr>
      <w:r>
        <w:rPr/>
        <w:t>（三）服务拓展</w:t>
      </w:r>
      <w:r>
        <w:rPr>
          <w:b w:val="0"/>
          <w:bCs w:val="0"/>
        </w:rPr>
      </w:r>
    </w:p>
    <w:p>
      <w:pPr>
        <w:spacing w:after="0" w:line="240" w:lineRule="auto"/>
        <w:jc w:val="left"/>
        <w:sectPr>
          <w:footerReference w:type="default" r:id="rId14"/>
          <w:pgSz w:w="11910" w:h="16840"/>
          <w:pgMar w:footer="1020" w:header="918" w:top="1160" w:bottom="1220" w:left="980" w:right="920"/>
          <w:pgNumType w:start="14"/>
        </w:sectPr>
      </w:pPr>
    </w:p>
    <w:p>
      <w:pPr>
        <w:spacing w:line="240" w:lineRule="auto" w:before="5"/>
        <w:rPr>
          <w:rFonts w:ascii="宋体" w:hAnsi="宋体" w:cs="宋体" w:eastAsia="宋体" w:hint="default"/>
          <w:b/>
          <w:bCs/>
          <w:sz w:val="20"/>
          <w:szCs w:val="20"/>
        </w:rPr>
      </w:pPr>
    </w:p>
    <w:p>
      <w:pPr>
        <w:pStyle w:val="BodyText"/>
        <w:spacing w:line="321" w:lineRule="auto" w:before="35"/>
        <w:ind w:left="254" w:right="212" w:firstLine="420"/>
        <w:jc w:val="left"/>
      </w:pPr>
      <w:r>
        <w:rPr/>
        <w:t>着重放在“互联网</w:t>
      </w:r>
      <w:r>
        <w:rPr>
          <w:rFonts w:ascii="Times New Roman" w:hAnsi="Times New Roman" w:cs="Times New Roman" w:eastAsia="Times New Roman" w:hint="default"/>
        </w:rPr>
        <w:t>+</w:t>
      </w:r>
      <w:r>
        <w:rPr/>
        <w:t>”项目，引入互联网思维，发展针对行业应用及社会大众应用的信息安全服务及 数据服务。针对行业应用，重点推广电子数据鉴定服务、取证云服务、搜索云服务、信息安全检测服务、 </w:t>
      </w:r>
      <w:r>
        <w:rPr>
          <w:spacing w:val="-1"/>
        </w:rPr>
        <w:t>企业调查服务等。针对社会大众应用，重点推广存证云、数字知识产权保护服务，并依托分子公司，开展</w:t>
      </w:r>
      <w:r>
        <w:rPr>
          <w:spacing w:val="-83"/>
        </w:rPr>
        <w:t> </w:t>
      </w:r>
      <w:r>
        <w:rPr>
          <w:spacing w:val="-83"/>
        </w:rPr>
      </w:r>
      <w:r>
        <w:rPr/>
        <w:t>食品安全溯源、版权交易、电子身份认证、服务器安全等业务。</w:t>
      </w:r>
    </w:p>
    <w:p>
      <w:pPr>
        <w:pStyle w:val="BodyText"/>
        <w:spacing w:line="309" w:lineRule="auto" w:before="148"/>
        <w:ind w:left="254" w:right="244" w:firstLine="419"/>
        <w:jc w:val="left"/>
      </w:pPr>
      <w:r>
        <w:rPr>
          <w:rFonts w:ascii="Times New Roman" w:hAnsi="Times New Roman" w:cs="Times New Roman" w:eastAsia="Times New Roman" w:hint="default"/>
          <w:spacing w:val="-1"/>
        </w:rPr>
        <w:t>1</w:t>
      </w:r>
      <w:r>
        <w:rPr>
          <w:spacing w:val="-1"/>
        </w:rPr>
        <w:t>、存证云</w:t>
      </w:r>
      <w:r>
        <w:rPr>
          <w:rFonts w:ascii="Times New Roman" w:hAnsi="Times New Roman" w:cs="Times New Roman" w:eastAsia="Times New Roman" w:hint="default"/>
          <w:spacing w:val="-1"/>
        </w:rPr>
        <w:t>+</w:t>
      </w:r>
      <w:r>
        <w:rPr>
          <w:spacing w:val="-1"/>
        </w:rPr>
        <w:t>：提供电子数据取证、存证、出证一站式服务，重点围绕政府客户和企业客户需求输出存</w:t>
      </w:r>
      <w:r>
        <w:rPr/>
        <w:t> 证能力，推出存证宝、存证邮、存证戳、</w:t>
      </w:r>
      <w:r>
        <w:rPr>
          <w:rFonts w:ascii="Times New Roman" w:hAnsi="Times New Roman" w:cs="Times New Roman" w:eastAsia="Times New Roman" w:hint="default"/>
        </w:rPr>
        <w:t>110</w:t>
      </w:r>
      <w:r>
        <w:rPr/>
        <w:t>随手拍、电子合同在线签约等存证服务的多种业务形态。</w:t>
      </w:r>
    </w:p>
    <w:p>
      <w:pPr>
        <w:pStyle w:val="BodyText"/>
        <w:spacing w:line="309" w:lineRule="auto" w:before="136"/>
        <w:ind w:left="254" w:right="243" w:firstLine="420"/>
        <w:jc w:val="left"/>
      </w:pPr>
      <w:r>
        <w:rPr>
          <w:rFonts w:ascii="Times New Roman" w:hAnsi="Times New Roman" w:cs="Times New Roman" w:eastAsia="Times New Roman" w:hint="default"/>
          <w:spacing w:val="-1"/>
        </w:rPr>
        <w:t>2</w:t>
      </w:r>
      <w:r>
        <w:rPr>
          <w:spacing w:val="-1"/>
        </w:rPr>
        <w:t>、搜索云</w:t>
      </w:r>
      <w:r>
        <w:rPr>
          <w:rFonts w:ascii="Times New Roman" w:hAnsi="Times New Roman" w:cs="Times New Roman" w:eastAsia="Times New Roman" w:hint="default"/>
          <w:spacing w:val="-1"/>
        </w:rPr>
        <w:t>+</w:t>
      </w:r>
      <w:r>
        <w:rPr>
          <w:spacing w:val="-1"/>
        </w:rPr>
        <w:t>：以搜索技术为基础，舆情产品框架为模板，不断丰富搜索云数据，面向公安、工商、网</w:t>
      </w:r>
      <w:r>
        <w:rPr/>
        <w:t> 信、证监、食药监、检验检疫等各行业提供基于互联网大数据的行业应用服务。</w:t>
      </w:r>
    </w:p>
    <w:p>
      <w:pPr>
        <w:pStyle w:val="BodyText"/>
        <w:spacing w:line="309" w:lineRule="auto" w:before="158"/>
        <w:ind w:left="254" w:right="317" w:firstLine="420"/>
        <w:jc w:val="left"/>
      </w:pPr>
      <w:r>
        <w:rPr>
          <w:rFonts w:ascii="Times New Roman" w:hAnsi="Times New Roman" w:cs="Times New Roman" w:eastAsia="Times New Roman" w:hint="default"/>
        </w:rPr>
        <w:t>3</w:t>
      </w:r>
      <w:r>
        <w:rPr/>
        <w:t>、数据服务：重点开展公安、检察行业警用信息化建设、大数据分析服务，探索政务大数据、社科 大数据的社会化服务模式。</w:t>
      </w:r>
    </w:p>
    <w:p>
      <w:pPr>
        <w:pStyle w:val="BodyText"/>
        <w:spacing w:line="309" w:lineRule="auto" w:before="158"/>
        <w:ind w:left="254" w:right="317" w:firstLine="420"/>
        <w:jc w:val="left"/>
      </w:pPr>
      <w:r>
        <w:rPr>
          <w:rFonts w:ascii="Times New Roman" w:hAnsi="Times New Roman" w:cs="Times New Roman" w:eastAsia="Times New Roman" w:hint="default"/>
        </w:rPr>
        <w:t>4</w:t>
      </w:r>
      <w:r>
        <w:rPr/>
        <w:t>、信息安全服务：针对政府部门、企事业单位及个人提供服务器及网站安全防护、软件安全性检测 服务。</w:t>
      </w:r>
    </w:p>
    <w:p>
      <w:pPr>
        <w:pStyle w:val="Heading4"/>
        <w:spacing w:line="240" w:lineRule="auto" w:before="158"/>
        <w:ind w:left="676" w:right="212"/>
        <w:jc w:val="left"/>
        <w:rPr>
          <w:b w:val="0"/>
          <w:bCs w:val="0"/>
        </w:rPr>
      </w:pPr>
      <w:r>
        <w:rPr/>
        <w:t>（四）公司管理</w:t>
      </w:r>
      <w:r>
        <w:rPr>
          <w:b w:val="0"/>
          <w:bCs w:val="0"/>
        </w:rPr>
      </w:r>
    </w:p>
    <w:p>
      <w:pPr>
        <w:spacing w:line="240" w:lineRule="auto" w:before="10"/>
        <w:rPr>
          <w:rFonts w:ascii="宋体" w:hAnsi="宋体" w:cs="宋体" w:eastAsia="宋体" w:hint="default"/>
          <w:b/>
          <w:bCs/>
          <w:sz w:val="16"/>
          <w:szCs w:val="16"/>
        </w:rPr>
      </w:pPr>
    </w:p>
    <w:p>
      <w:pPr>
        <w:pStyle w:val="BodyText"/>
        <w:spacing w:line="319" w:lineRule="auto"/>
        <w:ind w:left="253" w:right="212"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年，公司相续设立了首席数据官，成立了大数据委员会，操盘公司大数据战略发展规划：建 </w:t>
      </w:r>
      <w:r>
        <w:rPr>
          <w:spacing w:val="-1"/>
        </w:rPr>
        <w:t>立数据标准，整合数据；对大数据相关技术进行研究，将研究成果进行分享和转化；促进大数据技术在不</w:t>
      </w:r>
      <w:r>
        <w:rPr>
          <w:spacing w:val="-86"/>
        </w:rPr>
        <w:t> </w:t>
      </w:r>
      <w:r>
        <w:rPr>
          <w:spacing w:val="-86"/>
        </w:rPr>
      </w:r>
      <w:r>
        <w:rPr/>
        <w:t>同部门和分（子）公司间进行共享，提高公司整体技术实力。</w:t>
      </w:r>
    </w:p>
    <w:p>
      <w:pPr>
        <w:pStyle w:val="BodyText"/>
        <w:spacing w:line="309" w:lineRule="auto" w:before="150"/>
        <w:ind w:left="253" w:right="0" w:firstLine="420"/>
        <w:jc w:val="left"/>
      </w:pPr>
      <w:r>
        <w:rPr>
          <w:rFonts w:ascii="Times New Roman" w:hAnsi="Times New Roman" w:cs="Times New Roman" w:eastAsia="Times New Roman" w:hint="default"/>
          <w:spacing w:val="-1"/>
        </w:rPr>
        <w:t>2</w:t>
      </w:r>
      <w:r>
        <w:rPr>
          <w:spacing w:val="-1"/>
        </w:rPr>
        <w:t>、进一步发挥产品战略委员会的作用。全年完成了</w:t>
      </w:r>
      <w:r>
        <w:rPr>
          <w:rFonts w:ascii="Times New Roman" w:hAnsi="Times New Roman" w:cs="Times New Roman" w:eastAsia="Times New Roman" w:hint="default"/>
          <w:spacing w:val="-1"/>
        </w:rPr>
        <w:t>70</w:t>
      </w:r>
      <w:r>
        <w:rPr>
          <w:spacing w:val="-1"/>
        </w:rPr>
        <w:t>余项重要研究议题的审议，为公司的产品研发、</w:t>
      </w:r>
      <w:r>
        <w:rPr/>
        <w:t> 产品规划及调整、产品管理等重大事项决策提供了重要依据。</w:t>
      </w:r>
    </w:p>
    <w:p>
      <w:pPr>
        <w:pStyle w:val="BodyText"/>
        <w:spacing w:line="309" w:lineRule="auto" w:before="158"/>
        <w:ind w:left="253" w:right="252" w:firstLine="420"/>
        <w:jc w:val="both"/>
      </w:pPr>
      <w:r>
        <w:rPr>
          <w:rFonts w:ascii="Times New Roman" w:hAnsi="Times New Roman" w:cs="Times New Roman" w:eastAsia="Times New Roman" w:hint="default"/>
          <w:spacing w:val="-2"/>
        </w:rPr>
        <w:t>3</w:t>
      </w:r>
      <w:r>
        <w:rPr>
          <w:spacing w:val="-2"/>
        </w:rPr>
        <w:t>、创业创新：推出了“</w:t>
      </w:r>
      <w:r>
        <w:rPr>
          <w:rFonts w:ascii="Times New Roman" w:hAnsi="Times New Roman" w:cs="Times New Roman" w:eastAsia="Times New Roman" w:hint="default"/>
          <w:spacing w:val="-2"/>
        </w:rPr>
        <w:t>A+X</w:t>
      </w:r>
      <w:r>
        <w:rPr>
          <w:spacing w:val="-2"/>
        </w:rPr>
        <w:t>”众创计划，从“对内”和“对外”两个维度推进创新创业。</w:t>
      </w:r>
      <w:r>
        <w:rPr>
          <w:rFonts w:ascii="Times New Roman" w:hAnsi="Times New Roman" w:cs="Times New Roman" w:eastAsia="Times New Roman" w:hint="default"/>
          <w:spacing w:val="-2"/>
        </w:rPr>
        <w:t>A</w:t>
      </w:r>
      <w:r>
        <w:rPr>
          <w:spacing w:val="-2"/>
        </w:rPr>
        <w:t>计划“鼓</w:t>
      </w:r>
      <w:r>
        <w:rPr/>
        <w:t> 励内部创业，人人争做</w:t>
      </w:r>
      <w:r>
        <w:rPr>
          <w:rFonts w:ascii="Times New Roman" w:hAnsi="Times New Roman" w:cs="Times New Roman" w:eastAsia="Times New Roman" w:hint="default"/>
        </w:rPr>
        <w:t>CEO</w:t>
      </w:r>
      <w:r>
        <w:rPr/>
        <w:t>”；“</w:t>
      </w:r>
      <w:r>
        <w:rPr>
          <w:rFonts w:ascii="Times New Roman" w:hAnsi="Times New Roman" w:cs="Times New Roman" w:eastAsia="Times New Roman" w:hint="default"/>
        </w:rPr>
        <w:t>X</w:t>
      </w:r>
      <w:r>
        <w:rPr/>
        <w:t>计划”通过集结外部创业团队，持续挖掘创新创业项目，促进网络空 间安全和大数据领域的创业孵化和行业发展，服务社会。</w:t>
      </w:r>
    </w:p>
    <w:p>
      <w:pPr>
        <w:pStyle w:val="BodyText"/>
        <w:spacing w:line="309" w:lineRule="auto" w:before="158"/>
        <w:ind w:left="253" w:right="213" w:firstLine="420"/>
        <w:jc w:val="left"/>
      </w:pPr>
      <w:r>
        <w:rPr>
          <w:rFonts w:ascii="Times New Roman" w:hAnsi="Times New Roman" w:cs="Times New Roman" w:eastAsia="Times New Roman" w:hint="default"/>
        </w:rPr>
        <w:t>4</w:t>
      </w:r>
      <w:r>
        <w:rPr/>
        <w:t>、人才培养：与厦门大学信息科学与技术学院签署共建“网络空间安全”一级学科战略合作协议， 共促人才培养。举办“美亚柏科”杯高校学生信息安全竞赛，鼓励和激发学生创新思维，挖掘优秀人才。</w:t>
      </w:r>
    </w:p>
    <w:p>
      <w:pPr>
        <w:pStyle w:val="BodyText"/>
        <w:spacing w:line="309" w:lineRule="auto" w:before="158"/>
        <w:ind w:left="253" w:right="212" w:firstLine="420"/>
        <w:jc w:val="left"/>
      </w:pPr>
      <w:r>
        <w:rPr>
          <w:rFonts w:ascii="Times New Roman" w:hAnsi="Times New Roman" w:cs="Times New Roman" w:eastAsia="Times New Roman" w:hint="default"/>
          <w:spacing w:val="-1"/>
        </w:rPr>
        <w:t>5</w:t>
      </w:r>
      <w:r>
        <w:rPr>
          <w:spacing w:val="-1"/>
        </w:rPr>
        <w:t>、非公党建：公司党总支升格为党委，下设</w:t>
      </w:r>
      <w:r>
        <w:rPr>
          <w:rFonts w:ascii="Times New Roman" w:hAnsi="Times New Roman" w:cs="Times New Roman" w:eastAsia="Times New Roman" w:hint="default"/>
          <w:spacing w:val="-1"/>
        </w:rPr>
        <w:t>7</w:t>
      </w:r>
      <w:r>
        <w:rPr>
          <w:spacing w:val="-1"/>
        </w:rPr>
        <w:t>个党支部；党建工作已写入公司战略，强调党建工作与</w:t>
      </w:r>
      <w:r>
        <w:rPr/>
        <w:t> 公司管理相结合，并推出了协理制度。</w:t>
      </w:r>
    </w:p>
    <w:p>
      <w:pPr>
        <w:pStyle w:val="Heading4"/>
        <w:spacing w:line="240" w:lineRule="auto" w:before="158"/>
        <w:ind w:left="676" w:right="212"/>
        <w:jc w:val="left"/>
        <w:rPr>
          <w:b w:val="0"/>
          <w:bCs w:val="0"/>
        </w:rPr>
      </w:pPr>
      <w:r>
        <w:rPr/>
        <w:t>（五）投资并购</w:t>
      </w:r>
      <w:r>
        <w:rPr>
          <w:b w:val="0"/>
          <w:bCs w:val="0"/>
        </w:rPr>
      </w:r>
    </w:p>
    <w:p>
      <w:pPr>
        <w:spacing w:line="240" w:lineRule="auto" w:before="10"/>
        <w:rPr>
          <w:rFonts w:ascii="宋体" w:hAnsi="宋体" w:cs="宋体" w:eastAsia="宋体" w:hint="default"/>
          <w:b/>
          <w:bCs/>
          <w:sz w:val="16"/>
          <w:szCs w:val="16"/>
        </w:rPr>
      </w:pPr>
    </w:p>
    <w:p>
      <w:pPr>
        <w:pStyle w:val="BodyText"/>
        <w:spacing w:line="321" w:lineRule="auto"/>
        <w:ind w:left="254" w:right="212" w:firstLine="420"/>
        <w:jc w:val="left"/>
      </w:pPr>
      <w:r>
        <w:rPr>
          <w:rFonts w:ascii="Times New Roman" w:hAnsi="Times New Roman" w:cs="Times New Roman" w:eastAsia="Times New Roman" w:hint="default"/>
        </w:rPr>
        <w:t>2015</w:t>
      </w:r>
      <w:r>
        <w:rPr/>
        <w:t>年成功投资</w:t>
      </w:r>
      <w:r>
        <w:rPr>
          <w:rFonts w:ascii="Times New Roman" w:hAnsi="Times New Roman" w:cs="Times New Roman" w:eastAsia="Times New Roman" w:hint="default"/>
        </w:rPr>
        <w:t>9</w:t>
      </w:r>
      <w:r>
        <w:rPr/>
        <w:t>个项目，进一步拓展了公司在司法机关及行政执法部门的业务范围，完善在海量视 </w:t>
      </w:r>
      <w:r>
        <w:rPr>
          <w:spacing w:val="-1"/>
        </w:rPr>
        <w:t>频研判、税务稽查、大数据分析及网络信息安全的战略布局，并通过与专业投资基金共同发起产业并购基</w:t>
      </w:r>
      <w:r>
        <w:rPr>
          <w:spacing w:val="-83"/>
        </w:rPr>
        <w:t> </w:t>
      </w:r>
      <w:r>
        <w:rPr>
          <w:spacing w:val="-83"/>
        </w:rPr>
      </w:r>
      <w:r>
        <w:rPr>
          <w:spacing w:val="-1"/>
        </w:rPr>
        <w:t>金，重点围绕网络空间安全及大数据领域进行投资，助力公司外延式发展战略实施，进一步巩固了公司在</w:t>
      </w:r>
      <w:r>
        <w:rPr>
          <w:spacing w:val="-83"/>
        </w:rPr>
        <w:t> </w:t>
      </w:r>
      <w:r>
        <w:rPr>
          <w:spacing w:val="-83"/>
        </w:rPr>
      </w:r>
      <w:r>
        <w:rPr/>
        <w:t>行业内的龙头地位，为公司网络空间安全及大数据信息化战略目标的实现奠定了坚实基础。</w:t>
      </w:r>
    </w:p>
    <w:p>
      <w:pPr>
        <w:pStyle w:val="BodyText"/>
        <w:spacing w:line="240" w:lineRule="auto" w:before="148"/>
        <w:ind w:left="674" w:right="212"/>
        <w:jc w:val="left"/>
      </w:pPr>
      <w:r>
        <w:rPr/>
        <w:t>项目情况如下：</w:t>
      </w:r>
    </w:p>
    <w:p>
      <w:pPr>
        <w:spacing w:line="240" w:lineRule="auto" w:before="7"/>
        <w:rPr>
          <w:rFonts w:ascii="宋体" w:hAnsi="宋体" w:cs="宋体" w:eastAsia="宋体"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712"/>
        <w:gridCol w:w="2977"/>
        <w:gridCol w:w="1414"/>
        <w:gridCol w:w="1134"/>
        <w:gridCol w:w="1421"/>
        <w:gridCol w:w="2269"/>
      </w:tblGrid>
      <w:tr>
        <w:trPr>
          <w:trHeight w:val="552" w:hRule="exact"/>
        </w:trPr>
        <w:tc>
          <w:tcPr>
            <w:tcW w:w="71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9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标的公司名称</w:t>
            </w:r>
          </w:p>
        </w:tc>
        <w:tc>
          <w:tcPr>
            <w:tcW w:w="141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投资类型</w:t>
            </w:r>
          </w:p>
        </w:tc>
        <w:tc>
          <w:tcPr>
            <w:tcW w:w="113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参</w:t>
            </w:r>
            <w:r>
              <w:rPr>
                <w:rFonts w:ascii="Times New Roman" w:hAnsi="Times New Roman" w:cs="Times New Roman" w:eastAsia="Times New Roman" w:hint="default"/>
                <w:sz w:val="18"/>
                <w:szCs w:val="18"/>
              </w:rPr>
              <w:t>/</w:t>
            </w:r>
            <w:r>
              <w:rPr>
                <w:rFonts w:ascii="宋体" w:hAnsi="宋体" w:cs="宋体" w:eastAsia="宋体" w:hint="default"/>
                <w:sz w:val="18"/>
                <w:szCs w:val="18"/>
              </w:rPr>
              <w:t>控股</w:t>
            </w:r>
          </w:p>
        </w:tc>
        <w:tc>
          <w:tcPr>
            <w:tcW w:w="1421"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26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投资金额（万元）</w:t>
            </w:r>
          </w:p>
        </w:tc>
      </w:tr>
    </w:tbl>
    <w:p>
      <w:pPr>
        <w:spacing w:after="0" w:line="240" w:lineRule="auto"/>
        <w:jc w:val="left"/>
        <w:rPr>
          <w:rFonts w:ascii="宋体" w:hAnsi="宋体" w:cs="宋体" w:eastAsia="宋体" w:hint="default"/>
          <w:sz w:val="18"/>
          <w:szCs w:val="18"/>
        </w:rPr>
        <w:sectPr>
          <w:pgSz w:w="11910" w:h="16840"/>
          <w:pgMar w:header="918" w:footer="1020" w:top="1160" w:bottom="1220" w:left="880" w:right="880"/>
        </w:sectPr>
      </w:pPr>
    </w:p>
    <w:p>
      <w:pPr>
        <w:spacing w:line="240" w:lineRule="auto" w:before="11"/>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712"/>
        <w:gridCol w:w="2977"/>
        <w:gridCol w:w="1414"/>
        <w:gridCol w:w="1134"/>
        <w:gridCol w:w="1421"/>
        <w:gridCol w:w="2269"/>
      </w:tblGrid>
      <w:tr>
        <w:trPr>
          <w:trHeight w:val="552" w:hRule="exact"/>
        </w:trPr>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安胜网络</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合资新设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75%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750</w:t>
            </w:r>
          </w:p>
        </w:tc>
      </w:tr>
      <w:tr>
        <w:trPr>
          <w:trHeight w:val="551" w:hRule="exact"/>
        </w:trPr>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正信世纪</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合资新设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参股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20%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400</w:t>
            </w:r>
          </w:p>
        </w:tc>
      </w:tr>
      <w:tr>
        <w:trPr>
          <w:trHeight w:val="551" w:hRule="exact"/>
        </w:trPr>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海峡国家版权交易中心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合资新设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参股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10%</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500</w:t>
            </w:r>
          </w:p>
        </w:tc>
      </w:tr>
      <w:tr>
        <w:trPr>
          <w:trHeight w:val="551" w:hRule="exact"/>
        </w:trPr>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中新赛克</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增资参股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参股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4.1%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4,898</w:t>
            </w:r>
          </w:p>
        </w:tc>
      </w:tr>
      <w:tr>
        <w:trPr>
          <w:trHeight w:val="551" w:hRule="exact"/>
        </w:trPr>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51%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6"/>
              <w:jc w:val="right"/>
              <w:rPr>
                <w:rFonts w:ascii="Times New Roman" w:hAnsi="Times New Roman" w:cs="Times New Roman" w:eastAsia="Times New Roman" w:hint="default"/>
                <w:sz w:val="18"/>
                <w:szCs w:val="18"/>
              </w:rPr>
            </w:pPr>
            <w:r>
              <w:rPr>
                <w:rFonts w:ascii="Times New Roman"/>
                <w:sz w:val="18"/>
              </w:rPr>
              <w:t>3,315</w:t>
            </w:r>
          </w:p>
        </w:tc>
      </w:tr>
      <w:tr>
        <w:trPr>
          <w:trHeight w:val="551" w:hRule="exact"/>
        </w:trPr>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6</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美亚宏数</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合资新设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55%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358</w:t>
            </w:r>
          </w:p>
        </w:tc>
      </w:tr>
      <w:tr>
        <w:trPr>
          <w:trHeight w:val="552" w:hRule="exact"/>
        </w:trPr>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美亚梧桐</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合资新设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39" w:right="0"/>
              <w:jc w:val="left"/>
              <w:rPr>
                <w:rFonts w:ascii="宋体" w:hAnsi="宋体" w:cs="宋体" w:eastAsia="宋体" w:hint="default"/>
                <w:sz w:val="18"/>
                <w:szCs w:val="18"/>
              </w:rPr>
            </w:pPr>
            <w:r>
              <w:rPr>
                <w:rFonts w:ascii="宋体" w:hAnsi="宋体" w:cs="宋体" w:eastAsia="宋体" w:hint="default"/>
                <w:sz w:val="18"/>
                <w:szCs w:val="18"/>
              </w:rPr>
              <w:t>参股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49%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49</w:t>
            </w:r>
          </w:p>
        </w:tc>
      </w:tr>
      <w:tr>
        <w:trPr>
          <w:trHeight w:val="551" w:hRule="exact"/>
        </w:trPr>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8</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新德汇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发股收购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49%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pacing w:val="-2"/>
                <w:sz w:val="18"/>
              </w:rPr>
              <w:t>26,411</w:t>
            </w:r>
          </w:p>
        </w:tc>
      </w:tr>
      <w:tr>
        <w:trPr>
          <w:trHeight w:val="551" w:hRule="exact"/>
        </w:trPr>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发股收购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39"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37"/>
              <w:jc w:val="right"/>
              <w:rPr>
                <w:rFonts w:ascii="Times New Roman" w:hAnsi="Times New Roman" w:cs="Times New Roman" w:eastAsia="Times New Roman" w:hint="default"/>
                <w:sz w:val="18"/>
                <w:szCs w:val="18"/>
              </w:rPr>
            </w:pPr>
            <w:r>
              <w:rPr>
                <w:rFonts w:ascii="Times New Roman"/>
                <w:sz w:val="18"/>
              </w:rPr>
              <w:t>54,320</w:t>
            </w:r>
          </w:p>
        </w:tc>
      </w:tr>
      <w:tr>
        <w:trPr>
          <w:trHeight w:val="899" w:hRule="exact"/>
        </w:trPr>
        <w:tc>
          <w:tcPr>
            <w:tcW w:w="765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39" w:right="0"/>
              <w:jc w:val="left"/>
              <w:rPr>
                <w:rFonts w:ascii="宋体" w:hAnsi="宋体" w:cs="宋体" w:eastAsia="宋体" w:hint="default"/>
                <w:sz w:val="18"/>
                <w:szCs w:val="18"/>
              </w:rPr>
            </w:pPr>
            <w:r>
              <w:rPr>
                <w:rFonts w:ascii="宋体" w:hAnsi="宋体" w:cs="宋体" w:eastAsia="宋体" w:hint="default"/>
                <w:sz w:val="18"/>
                <w:szCs w:val="18"/>
              </w:rPr>
              <w:t>现金支付： </w:t>
            </w:r>
            <w:r>
              <w:rPr>
                <w:rFonts w:ascii="Times New Roman" w:hAnsi="Times New Roman" w:cs="Times New Roman" w:eastAsia="Times New Roman" w:hint="default"/>
                <w:sz w:val="18"/>
                <w:szCs w:val="18"/>
              </w:rPr>
              <w:t>10,270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3"/>
              <w:ind w:left="139" w:right="0"/>
              <w:jc w:val="left"/>
              <w:rPr>
                <w:rFonts w:ascii="宋体" w:hAnsi="宋体" w:cs="宋体" w:eastAsia="宋体" w:hint="default"/>
                <w:sz w:val="18"/>
                <w:szCs w:val="18"/>
              </w:rPr>
            </w:pPr>
            <w:r>
              <w:rPr>
                <w:rFonts w:ascii="宋体" w:hAnsi="宋体" w:cs="宋体" w:eastAsia="宋体" w:hint="default"/>
                <w:sz w:val="18"/>
                <w:szCs w:val="18"/>
              </w:rPr>
              <w:t>股份支付： </w:t>
            </w:r>
            <w:r>
              <w:rPr>
                <w:rFonts w:ascii="Times New Roman" w:hAnsi="Times New Roman" w:cs="Times New Roman" w:eastAsia="Times New Roman" w:hint="default"/>
                <w:sz w:val="18"/>
                <w:szCs w:val="18"/>
              </w:rPr>
              <w:t>80,731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10"/>
        <w:rPr>
          <w:rFonts w:ascii="宋体" w:hAnsi="宋体" w:cs="宋体" w:eastAsia="宋体" w:hint="default"/>
          <w:sz w:val="7"/>
          <w:szCs w:val="7"/>
        </w:rPr>
      </w:pPr>
    </w:p>
    <w:p>
      <w:pPr>
        <w:pStyle w:val="BodyText"/>
        <w:spacing w:line="319" w:lineRule="auto" w:before="35"/>
        <w:ind w:left="253" w:right="283" w:firstLine="420"/>
        <w:jc w:val="left"/>
      </w:pPr>
      <w:r>
        <w:rPr/>
        <w:t>（</w:t>
      </w:r>
      <w:r>
        <w:rPr>
          <w:rFonts w:ascii="Times New Roman" w:hAnsi="Times New Roman" w:cs="Times New Roman" w:eastAsia="Times New Roman" w:hint="default"/>
        </w:rPr>
        <w:t>1</w:t>
      </w:r>
      <w:r>
        <w:rPr/>
        <w:t>）重大资产重组：发行股份购买江苏税软</w:t>
      </w:r>
      <w:r>
        <w:rPr>
          <w:rFonts w:ascii="Times New Roman" w:hAnsi="Times New Roman" w:cs="Times New Roman" w:eastAsia="Times New Roman" w:hint="default"/>
        </w:rPr>
        <w:t>100%</w:t>
      </w:r>
      <w:r>
        <w:rPr/>
        <w:t>股权及珠海新德汇</w:t>
      </w:r>
      <w:r>
        <w:rPr>
          <w:rFonts w:ascii="Times New Roman" w:hAnsi="Times New Roman" w:cs="Times New Roman" w:eastAsia="Times New Roman" w:hint="default"/>
        </w:rPr>
        <w:t>49%</w:t>
      </w:r>
      <w:r>
        <w:rPr/>
        <w:t>股权，交易完成后，江苏税 软和珠海新德汇成为美亚柏科的全资子公司，为公司在税务及政法行业信息化领域业务拓展打下重要基 础。</w:t>
      </w:r>
    </w:p>
    <w:p>
      <w:pPr>
        <w:pStyle w:val="BodyText"/>
        <w:spacing w:line="309" w:lineRule="auto" w:before="150"/>
        <w:ind w:left="253" w:right="318" w:firstLine="420"/>
        <w:jc w:val="left"/>
      </w:pPr>
      <w:r>
        <w:rPr/>
        <w:t>（</w:t>
      </w:r>
      <w:r>
        <w:rPr>
          <w:rFonts w:ascii="Times New Roman" w:hAnsi="Times New Roman" w:cs="Times New Roman" w:eastAsia="Times New Roman" w:hint="default"/>
        </w:rPr>
        <w:t>2</w:t>
      </w:r>
      <w:r>
        <w:rPr/>
        <w:t>）与厦门文广集团、厦门外图等合资设立海峡国家版权交易中心有限公司，全面拓展版权孵化、 版权银行、版权通道、版权保护业务。</w:t>
      </w:r>
    </w:p>
    <w:p>
      <w:pPr>
        <w:pStyle w:val="BodyText"/>
        <w:spacing w:line="309" w:lineRule="auto" w:before="158"/>
        <w:ind w:left="253" w:right="318" w:firstLine="420"/>
        <w:jc w:val="left"/>
      </w:pPr>
      <w:r>
        <w:rPr/>
        <w:t>（</w:t>
      </w:r>
      <w:r>
        <w:rPr>
          <w:rFonts w:ascii="Times New Roman" w:hAnsi="Times New Roman" w:cs="Times New Roman" w:eastAsia="Times New Roman" w:hint="default"/>
        </w:rPr>
        <w:t>3</w:t>
      </w:r>
      <w:r>
        <w:rPr/>
        <w:t>）合资设立厦门正信世纪信息科技有限公司专注于网络电子身份识别技术的研究与网络身份认证 服务的应用推广。</w:t>
      </w:r>
    </w:p>
    <w:p>
      <w:pPr>
        <w:pStyle w:val="BodyText"/>
        <w:spacing w:line="240" w:lineRule="auto" w:before="158"/>
        <w:ind w:left="673" w:right="212"/>
        <w:jc w:val="left"/>
      </w:pPr>
      <w:r>
        <w:rPr/>
        <w:t>（</w:t>
      </w:r>
      <w:r>
        <w:rPr>
          <w:rFonts w:ascii="Times New Roman" w:hAnsi="Times New Roman" w:cs="Times New Roman" w:eastAsia="Times New Roman" w:hint="default"/>
        </w:rPr>
        <w:t>4</w:t>
      </w:r>
      <w:r>
        <w:rPr/>
        <w:t>）合资设立厦门安胜网络科技有限公司提供网络安全防护和软件安全性检测服务。</w:t>
      </w:r>
    </w:p>
    <w:p>
      <w:pPr>
        <w:spacing w:line="240" w:lineRule="auto" w:before="7"/>
        <w:rPr>
          <w:rFonts w:ascii="宋体" w:hAnsi="宋体" w:cs="宋体" w:eastAsia="宋体" w:hint="default"/>
          <w:sz w:val="15"/>
          <w:szCs w:val="15"/>
        </w:rPr>
      </w:pPr>
    </w:p>
    <w:p>
      <w:pPr>
        <w:pStyle w:val="BodyText"/>
        <w:spacing w:line="240" w:lineRule="auto"/>
        <w:ind w:left="673" w:right="212"/>
        <w:jc w:val="left"/>
      </w:pPr>
      <w:r>
        <w:rPr/>
        <w:t>（</w:t>
      </w:r>
      <w:r>
        <w:rPr>
          <w:rFonts w:ascii="Times New Roman" w:hAnsi="Times New Roman" w:cs="Times New Roman" w:eastAsia="Times New Roman" w:hint="default"/>
        </w:rPr>
        <w:t>5</w:t>
      </w:r>
      <w:r>
        <w:rPr/>
        <w:t>）控股武汉大千信息技术有限公司大力拓展海量视频采集、检索、分析和研判业务。</w:t>
      </w:r>
    </w:p>
    <w:p>
      <w:pPr>
        <w:spacing w:line="240" w:lineRule="auto" w:before="7"/>
        <w:rPr>
          <w:rFonts w:ascii="宋体" w:hAnsi="宋体" w:cs="宋体" w:eastAsia="宋体" w:hint="default"/>
          <w:sz w:val="15"/>
          <w:szCs w:val="15"/>
        </w:rPr>
      </w:pPr>
    </w:p>
    <w:p>
      <w:pPr>
        <w:pStyle w:val="BodyText"/>
        <w:spacing w:line="240" w:lineRule="auto"/>
        <w:ind w:left="673" w:right="212"/>
        <w:jc w:val="left"/>
      </w:pPr>
      <w:r>
        <w:rPr/>
        <w:t>（</w:t>
      </w:r>
      <w:r>
        <w:rPr>
          <w:rFonts w:ascii="Times New Roman" w:hAnsi="Times New Roman" w:cs="Times New Roman" w:eastAsia="Times New Roman" w:hint="default"/>
        </w:rPr>
        <w:t>6</w:t>
      </w:r>
      <w:r>
        <w:rPr/>
        <w:t>）增资参股深圳市中新赛克科技股份有限公司，完善上下游产业链。</w:t>
      </w:r>
    </w:p>
    <w:p>
      <w:pPr>
        <w:spacing w:line="240" w:lineRule="auto" w:before="7"/>
        <w:rPr>
          <w:rFonts w:ascii="宋体" w:hAnsi="宋体" w:cs="宋体" w:eastAsia="宋体" w:hint="default"/>
          <w:sz w:val="15"/>
          <w:szCs w:val="15"/>
        </w:rPr>
      </w:pPr>
    </w:p>
    <w:p>
      <w:pPr>
        <w:pStyle w:val="BodyText"/>
        <w:spacing w:line="240" w:lineRule="auto"/>
        <w:ind w:left="673" w:right="212"/>
        <w:jc w:val="left"/>
      </w:pPr>
      <w:r>
        <w:rPr/>
        <w:t>（</w:t>
      </w:r>
      <w:r>
        <w:rPr>
          <w:rFonts w:ascii="Times New Roman" w:hAnsi="Times New Roman" w:cs="Times New Roman" w:eastAsia="Times New Roman" w:hint="default"/>
        </w:rPr>
        <w:t>7</w:t>
      </w:r>
      <w:r>
        <w:rPr/>
        <w:t>）合资设立控股子公司美亚宏数及孙公司国信宏数，布局政务大数据应用领域。</w:t>
      </w:r>
    </w:p>
    <w:p>
      <w:pPr>
        <w:spacing w:line="240" w:lineRule="auto" w:before="7"/>
        <w:rPr>
          <w:rFonts w:ascii="宋体" w:hAnsi="宋体" w:cs="宋体" w:eastAsia="宋体" w:hint="default"/>
          <w:sz w:val="15"/>
          <w:szCs w:val="15"/>
        </w:rPr>
      </w:pPr>
    </w:p>
    <w:p>
      <w:pPr>
        <w:pStyle w:val="BodyText"/>
        <w:spacing w:line="309" w:lineRule="auto"/>
        <w:ind w:left="254" w:right="212" w:firstLine="419"/>
        <w:jc w:val="left"/>
      </w:pPr>
      <w:r>
        <w:rPr>
          <w:spacing w:val="-1"/>
        </w:rPr>
        <w:t>（</w:t>
      </w:r>
      <w:r>
        <w:rPr>
          <w:rFonts w:ascii="Times New Roman" w:hAnsi="Times New Roman" w:cs="Times New Roman" w:eastAsia="Times New Roman" w:hint="default"/>
          <w:spacing w:val="-1"/>
        </w:rPr>
        <w:t>8</w:t>
      </w:r>
      <w:r>
        <w:rPr>
          <w:spacing w:val="-1"/>
        </w:rPr>
        <w:t>）与前海梧桐并购基金合资成立基金管理公司，共同发起</w:t>
      </w:r>
      <w:r>
        <w:rPr>
          <w:rFonts w:ascii="Times New Roman" w:hAnsi="Times New Roman" w:cs="Times New Roman" w:eastAsia="Times New Roman" w:hint="default"/>
          <w:spacing w:val="-1"/>
        </w:rPr>
        <w:t>2</w:t>
      </w:r>
      <w:r>
        <w:rPr>
          <w:spacing w:val="-1"/>
        </w:rPr>
        <w:t>亿元规模的产业并购基金，重点围绕网</w:t>
      </w:r>
      <w:r>
        <w:rPr/>
        <w:t> 络空间安全及大数据领域进行投资，助力公司外延式发展战略实施。</w:t>
      </w:r>
    </w:p>
    <w:p>
      <w:pPr>
        <w:spacing w:after="0" w:line="309" w:lineRule="auto"/>
        <w:jc w:val="left"/>
        <w:sectPr>
          <w:pgSz w:w="11910" w:h="16840"/>
          <w:pgMar w:header="918" w:footer="1020" w:top="1160" w:bottom="1220" w:left="880" w:right="880"/>
        </w:sectPr>
      </w:pPr>
    </w:p>
    <w:p>
      <w:pPr>
        <w:spacing w:line="240" w:lineRule="auto" w:before="0"/>
        <w:rPr>
          <w:rFonts w:ascii="宋体" w:hAnsi="宋体" w:cs="宋体" w:eastAsia="宋体" w:hint="default"/>
          <w:sz w:val="17"/>
          <w:szCs w:val="17"/>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0"/>
        <w:rPr>
          <w:rFonts w:ascii="宋体" w:hAnsi="宋体" w:cs="宋体" w:eastAsia="宋体" w:hint="default"/>
          <w:b/>
          <w:bCs/>
          <w:sz w:val="27"/>
          <w:szCs w:val="27"/>
        </w:rPr>
      </w:pPr>
    </w:p>
    <w:p>
      <w:pPr>
        <w:pStyle w:val="BodyText"/>
        <w:spacing w:line="319" w:lineRule="auto"/>
        <w:ind w:left="154" w:right="151" w:firstLine="420"/>
        <w:jc w:val="both"/>
      </w:pPr>
      <w:bookmarkStart w:name="1、概述" w:id="26"/>
      <w:bookmarkEnd w:id="26"/>
      <w:r>
        <w:rPr/>
      </w:r>
      <w:r>
        <w:rPr>
          <w:spacing w:val="-1"/>
        </w:rPr>
        <w:t>报告期内，公司在深耕传统市场的同时，继续加强新行业的拓展，并针对市场开拓重点，推出面向行</w:t>
      </w:r>
      <w:r>
        <w:rPr/>
        <w:t> </w:t>
      </w:r>
      <w:r>
        <w:rPr>
          <w:spacing w:val="-1"/>
        </w:rPr>
        <w:t>业用户和区县用户的产品和解决方案，保障了公司</w:t>
      </w:r>
      <w:r>
        <w:rPr>
          <w:rFonts w:ascii="Times New Roman" w:hAnsi="Times New Roman" w:cs="Times New Roman" w:eastAsia="Times New Roman" w:hint="default"/>
          <w:spacing w:val="-1"/>
        </w:rPr>
        <w:t>2015</w:t>
      </w:r>
      <w:r>
        <w:rPr>
          <w:spacing w:val="-1"/>
        </w:rPr>
        <w:t>年度营业收入稳步增长。报告期内，公司实现营业</w:t>
      </w:r>
      <w:r>
        <w:rPr>
          <w:spacing w:val="-84"/>
        </w:rPr>
        <w:t> </w:t>
      </w:r>
      <w:r>
        <w:rPr>
          <w:spacing w:val="-84"/>
        </w:rPr>
      </w:r>
      <w:r>
        <w:rPr/>
        <w:t>收入</w:t>
      </w:r>
      <w:r>
        <w:rPr>
          <w:rFonts w:ascii="Times New Roman" w:hAnsi="Times New Roman" w:cs="Times New Roman" w:eastAsia="Times New Roman" w:hint="default"/>
        </w:rPr>
        <w:t>76,316.04</w:t>
      </w:r>
      <w:r>
        <w:rPr/>
        <w:t>万元，较上年同期增长</w:t>
      </w:r>
      <w:r>
        <w:rPr>
          <w:rFonts w:ascii="Times New Roman" w:hAnsi="Times New Roman" w:cs="Times New Roman" w:eastAsia="Times New Roman" w:hint="default"/>
        </w:rPr>
        <w:t>26.54%</w:t>
      </w:r>
      <w:r>
        <w:rPr/>
        <w:t>。</w:t>
      </w:r>
    </w:p>
    <w:p>
      <w:pPr>
        <w:pStyle w:val="BodyText"/>
        <w:spacing w:line="314" w:lineRule="auto" w:before="126"/>
        <w:ind w:left="153" w:right="151" w:firstLine="420"/>
        <w:jc w:val="both"/>
      </w:pPr>
      <w:r>
        <w:rPr/>
        <w:t>报告期内，公司实现营业利润</w:t>
      </w:r>
      <w:r>
        <w:rPr>
          <w:rFonts w:ascii="Times New Roman" w:hAnsi="Times New Roman" w:cs="Times New Roman" w:eastAsia="Times New Roman" w:hint="default"/>
        </w:rPr>
        <w:t>12,876.71</w:t>
      </w:r>
      <w:r>
        <w:rPr>
          <w:rFonts w:ascii="Times New Roman" w:hAnsi="Times New Roman" w:cs="Times New Roman" w:eastAsia="Times New Roman" w:hint="default"/>
          <w:spacing w:val="47"/>
        </w:rPr>
        <w:t> </w:t>
      </w:r>
      <w:r>
        <w:rPr/>
        <w:t>万元、利润总额</w:t>
      </w:r>
      <w:r>
        <w:rPr>
          <w:rFonts w:ascii="Times New Roman" w:hAnsi="Times New Roman" w:cs="Times New Roman" w:eastAsia="Times New Roman" w:hint="default"/>
        </w:rPr>
        <w:t>17,285.01</w:t>
      </w:r>
      <w:r>
        <w:rPr/>
        <w:t>万元、归属于上市公司股东的净利 润</w:t>
      </w:r>
      <w:r>
        <w:rPr>
          <w:rFonts w:ascii="Times New Roman" w:hAnsi="Times New Roman" w:cs="Times New Roman" w:eastAsia="Times New Roman" w:hint="default"/>
        </w:rPr>
        <w:t>13,316.50</w:t>
      </w:r>
      <w:r>
        <w:rPr/>
        <w:t>万元，较上年同期分别增长</w:t>
      </w:r>
      <w:r>
        <w:rPr>
          <w:rFonts w:ascii="Times New Roman" w:hAnsi="Times New Roman" w:cs="Times New Roman" w:eastAsia="Times New Roman" w:hint="default"/>
        </w:rPr>
        <w:t>10.98%</w:t>
      </w:r>
      <w:r>
        <w:rPr/>
        <w:t>、</w:t>
      </w:r>
      <w:r>
        <w:rPr>
          <w:rFonts w:ascii="Times New Roman" w:hAnsi="Times New Roman" w:cs="Times New Roman" w:eastAsia="Times New Roman" w:hint="default"/>
        </w:rPr>
        <w:t>25.72%</w:t>
      </w:r>
      <w:r>
        <w:rPr>
          <w:rFonts w:ascii="Times New Roman" w:hAnsi="Times New Roman" w:cs="Times New Roman" w:eastAsia="Times New Roman" w:hint="default"/>
          <w:spacing w:val="41"/>
        </w:rPr>
        <w:t> </w:t>
      </w:r>
      <w:r>
        <w:rPr/>
        <w:t>、</w:t>
      </w:r>
      <w:r>
        <w:rPr>
          <w:rFonts w:ascii="Times New Roman" w:hAnsi="Times New Roman" w:cs="Times New Roman" w:eastAsia="Times New Roman" w:hint="default"/>
        </w:rPr>
        <w:t>16.20%</w:t>
      </w:r>
      <w:r>
        <w:rPr/>
        <w:t>。主要原因是公司营业收入较去年同期 </w:t>
      </w:r>
      <w:r>
        <w:rPr>
          <w:spacing w:val="-1"/>
        </w:rPr>
        <w:t>有稳定增长，且毛利率较去年同期有所上升，同时公司自产软件退税较去年同期有所上升，促进了公司业</w:t>
      </w:r>
      <w:r>
        <w:rPr>
          <w:spacing w:val="-83"/>
        </w:rPr>
        <w:t> </w:t>
      </w:r>
      <w:r>
        <w:rPr>
          <w:spacing w:val="-83"/>
        </w:rPr>
      </w:r>
      <w:r>
        <w:rPr/>
        <w:t>绩的增长。</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2、收入与成本" w:id="27"/>
      <w:bookmarkEnd w:id="27"/>
      <w:r>
        <w:rPr/>
      </w:r>
      <w:bookmarkStart w:name="（1）营业收入构成" w:id="28"/>
      <w:bookmarkEnd w:id="28"/>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5"/>
        <w:gridCol w:w="1417"/>
        <w:gridCol w:w="1557"/>
        <w:gridCol w:w="1419"/>
        <w:gridCol w:w="1413"/>
        <w:gridCol w:w="1205"/>
      </w:tblGrid>
      <w:tr>
        <w:trPr>
          <w:trHeight w:val="206" w:hRule="exact"/>
        </w:trPr>
        <w:tc>
          <w:tcPr>
            <w:tcW w:w="2555" w:type="dxa"/>
            <w:tcBorders>
              <w:top w:val="single" w:sz="4" w:space="0" w:color="000000"/>
              <w:left w:val="single" w:sz="4" w:space="0" w:color="000000"/>
              <w:bottom w:val="nil" w:sz="6" w:space="0" w:color="auto"/>
              <w:right w:val="single" w:sz="4" w:space="0" w:color="000000"/>
            </w:tcBorders>
            <w:shd w:val="clear" w:color="auto" w:fill="D4D4D4"/>
          </w:tcPr>
          <w:p>
            <w:pPr/>
          </w:p>
        </w:tc>
        <w:tc>
          <w:tcPr>
            <w:tcW w:w="297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1" w:hRule="exact"/>
        </w:trPr>
        <w:tc>
          <w:tcPr>
            <w:tcW w:w="2555" w:type="dxa"/>
            <w:vMerge w:val="restart"/>
            <w:tcBorders>
              <w:top w:val="nil" w:sz="6" w:space="0" w:color="auto"/>
              <w:left w:val="single" w:sz="4" w:space="0" w:color="000000"/>
              <w:right w:val="single" w:sz="4" w:space="0" w:color="000000"/>
            </w:tcBorders>
            <w:shd w:val="clear" w:color="auto" w:fill="D4D4D4"/>
          </w:tcPr>
          <w:p>
            <w:pPr/>
          </w:p>
        </w:tc>
        <w:tc>
          <w:tcPr>
            <w:tcW w:w="2974" w:type="dxa"/>
            <w:gridSpan w:val="2"/>
            <w:vMerge/>
            <w:tcBorders>
              <w:left w:val="single" w:sz="4" w:space="0" w:color="000000"/>
              <w:bottom w:val="single" w:sz="4" w:space="0" w:color="000000"/>
              <w:right w:val="single" w:sz="4" w:space="0" w:color="000000"/>
            </w:tcBorders>
            <w:shd w:val="clear" w:color="auto" w:fill="D4D4D4"/>
          </w:tcPr>
          <w:p>
            <w:pPr/>
          </w:p>
        </w:tc>
        <w:tc>
          <w:tcPr>
            <w:tcW w:w="2832" w:type="dxa"/>
            <w:gridSpan w:val="2"/>
            <w:vMerge/>
            <w:tcBorders>
              <w:left w:val="single" w:sz="4" w:space="0" w:color="000000"/>
              <w:bottom w:val="single" w:sz="4" w:space="0" w:color="000000"/>
              <w:right w:val="single" w:sz="4" w:space="0" w:color="000000"/>
            </w:tcBorders>
            <w:shd w:val="clear" w:color="auto" w:fill="D4D4D4"/>
          </w:tcPr>
          <w:p>
            <w:pPr/>
          </w:p>
        </w:tc>
        <w:tc>
          <w:tcPr>
            <w:tcW w:w="120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2555" w:type="dxa"/>
            <w:vMerge/>
            <w:tcBorders>
              <w:left w:val="single" w:sz="4" w:space="0" w:color="000000"/>
              <w:bottom w:val="nil" w:sz="6" w:space="0" w:color="auto"/>
              <w:right w:val="single" w:sz="4" w:space="0" w:color="000000"/>
            </w:tcBorders>
            <w:shd w:val="clear" w:color="auto" w:fill="D4D4D4"/>
          </w:tcPr>
          <w:p>
            <w:pPr/>
          </w:p>
        </w:tc>
        <w:tc>
          <w:tcPr>
            <w:tcW w:w="141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5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4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41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7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205" w:type="dxa"/>
            <w:vMerge/>
            <w:tcBorders>
              <w:left w:val="single" w:sz="4" w:space="0" w:color="000000"/>
              <w:bottom w:val="nil" w:sz="6" w:space="0" w:color="auto"/>
              <w:right w:val="single" w:sz="4" w:space="0" w:color="000000"/>
            </w:tcBorders>
            <w:shd w:val="clear" w:color="auto" w:fill="D4D4D4"/>
          </w:tcPr>
          <w:p>
            <w:pPr/>
          </w:p>
        </w:tc>
      </w:tr>
      <w:tr>
        <w:trPr>
          <w:trHeight w:val="206" w:hRule="exact"/>
        </w:trPr>
        <w:tc>
          <w:tcPr>
            <w:tcW w:w="2555"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7" w:type="dxa"/>
            <w:vMerge/>
            <w:tcBorders>
              <w:left w:val="single" w:sz="4" w:space="0" w:color="000000"/>
              <w:bottom w:val="single" w:sz="4" w:space="0" w:color="000000"/>
              <w:right w:val="single" w:sz="4" w:space="0" w:color="000000"/>
            </w:tcBorders>
            <w:shd w:val="clear" w:color="auto" w:fill="D4D4D4"/>
          </w:tcPr>
          <w:p>
            <w:pPr/>
          </w:p>
        </w:tc>
        <w:tc>
          <w:tcPr>
            <w:tcW w:w="1557" w:type="dxa"/>
            <w:vMerge/>
            <w:tcBorders>
              <w:left w:val="single" w:sz="4" w:space="0" w:color="000000"/>
              <w:bottom w:val="single" w:sz="4" w:space="0" w:color="000000"/>
              <w:right w:val="single" w:sz="4" w:space="0" w:color="000000"/>
            </w:tcBorders>
            <w:shd w:val="clear" w:color="auto" w:fill="D4D4D4"/>
          </w:tcPr>
          <w:p>
            <w:pPr/>
          </w:p>
        </w:tc>
        <w:tc>
          <w:tcPr>
            <w:tcW w:w="1419" w:type="dxa"/>
            <w:vMerge/>
            <w:tcBorders>
              <w:left w:val="single" w:sz="4" w:space="0" w:color="000000"/>
              <w:bottom w:val="single" w:sz="4" w:space="0" w:color="000000"/>
              <w:right w:val="single" w:sz="4" w:space="0" w:color="000000"/>
            </w:tcBorders>
            <w:shd w:val="clear" w:color="auto" w:fill="D4D4D4"/>
          </w:tcPr>
          <w:p>
            <w:pPr/>
          </w:p>
        </w:tc>
        <w:tc>
          <w:tcPr>
            <w:tcW w:w="1413" w:type="dxa"/>
            <w:vMerge/>
            <w:tcBorders>
              <w:left w:val="single" w:sz="4" w:space="0" w:color="000000"/>
              <w:bottom w:val="single" w:sz="4" w:space="0" w:color="000000"/>
              <w:right w:val="single" w:sz="4" w:space="0" w:color="000000"/>
            </w:tcBorders>
            <w:shd w:val="clear" w:color="auto" w:fill="D4D4D4"/>
          </w:tcPr>
          <w:p>
            <w:pPr/>
          </w:p>
        </w:tc>
        <w:tc>
          <w:tcPr>
            <w:tcW w:w="1205"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7" w:hRule="exact"/>
        </w:trPr>
        <w:tc>
          <w:tcPr>
            <w:tcW w:w="25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417"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763,160,356.75</w:t>
            </w:r>
          </w:p>
        </w:tc>
        <w:tc>
          <w:tcPr>
            <w:tcW w:w="15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419"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603,095,207.02</w:t>
            </w:r>
          </w:p>
        </w:tc>
        <w:tc>
          <w:tcPr>
            <w:tcW w:w="14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26.54%</w:t>
            </w:r>
          </w:p>
        </w:tc>
      </w:tr>
      <w:tr>
        <w:trPr>
          <w:trHeight w:val="397"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司法机关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379,995,529.19</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289,103,005.20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31.44%</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行政执法部门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37,351,729.36</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77,498,310.21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-51.80%</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330,938,391.46</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225,616,557.48</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37.41%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46.68%</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14,874,706.74</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10,877,334.13</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36.75%</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pacing w:val="11"/>
                <w:sz w:val="18"/>
                <w:szCs w:val="18"/>
              </w:rPr>
              <w:t>电子数据取证设备与大数据平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572,201,148.47</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457,299,553.61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75.83%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25.13%</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21,844,396.68</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27,014,252.64</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-19.14%</w:t>
            </w:r>
          </w:p>
        </w:tc>
      </w:tr>
      <w:tr>
        <w:trPr>
          <w:trHeight w:val="714"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pacing w:val="11"/>
                <w:sz w:val="18"/>
                <w:szCs w:val="18"/>
              </w:rPr>
              <w:t>电子数据鉴定及信息安全相关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82,800,047.67</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80,663,611.88</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13.37%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2.65%</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刑事技术产品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69,953,054.59</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31,917,231.78</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119.17%</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8,867,502.60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4,937,484.71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0.82%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79.60%</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6,881,238.74</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882,144.40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680.06%</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612,968.00</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380,928.00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0.06%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东北及华北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154,083,012.69</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0"/>
              <w:jc w:val="right"/>
              <w:rPr>
                <w:rFonts w:ascii="Times New Roman" w:hAnsi="Times New Roman" w:cs="Times New Roman" w:eastAsia="Times New Roman" w:hint="default"/>
                <w:sz w:val="20"/>
                <w:szCs w:val="20"/>
              </w:rPr>
            </w:pPr>
            <w:r>
              <w:rPr>
                <w:rFonts w:ascii="Times New Roman"/>
                <w:spacing w:val="-1"/>
                <w:sz w:val="20"/>
              </w:rPr>
              <w:t>20.19%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194,829,033.29</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32.31%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-20.91%</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60" w:bottom="1220" w:left="980" w:right="980"/>
        </w:sect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552"/>
        <w:gridCol w:w="1417"/>
        <w:gridCol w:w="1560"/>
        <w:gridCol w:w="1416"/>
        <w:gridCol w:w="1418"/>
        <w:gridCol w:w="1202"/>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华东及华南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404,586,728.22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53.01%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272,842,873.70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48.29%</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西南及西北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139,266,939.98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18.25%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85,343,045.33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63.63%</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华中及其他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65,223,675.86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0"/>
                <w:szCs w:val="20"/>
              </w:rPr>
            </w:pPr>
            <w:r>
              <w:rPr>
                <w:rFonts w:ascii="Times New Roman"/>
                <w:spacing w:val="-1"/>
                <w:sz w:val="20"/>
              </w:rPr>
              <w:t>8.55%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50,080,254.70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2</w:t>
      </w:r>
      <w:r>
        <w:rPr/>
        <w:t>）占公司营</w:t>
      </w:r>
      <w:bookmarkStart w:name="（2）占公司营业收入或营业利润10%以上的行业、产品或地区情况" w:id="30"/>
      <w:bookmarkEnd w:id="30"/>
      <w:r>
        <w:rPr/>
        <w:t>业收入或</w:t>
      </w:r>
      <w:r>
        <w:rPr/>
        <w:t>营业利润</w:t>
      </w:r>
      <w:r>
        <w:rPr>
          <w:spacing w:val="-62"/>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5"/>
        <w:gridCol w:w="1417"/>
        <w:gridCol w:w="1418"/>
        <w:gridCol w:w="991"/>
        <w:gridCol w:w="1277"/>
        <w:gridCol w:w="1276"/>
        <w:gridCol w:w="1207"/>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37" w:right="5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司法机关</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379,995,529.19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81,337,216.24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行政执法部门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37,351,729.36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6,671,453.44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10.23%</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330,938,391.46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172,601,986.03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14,874,706.74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2,719,069.35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24.16%</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
              <w:jc w:val="left"/>
              <w:rPr>
                <w:rFonts w:ascii="宋体" w:hAnsi="宋体" w:cs="宋体" w:eastAsia="宋体" w:hint="default"/>
                <w:sz w:val="18"/>
                <w:szCs w:val="18"/>
              </w:rPr>
            </w:pPr>
            <w:r>
              <w:rPr>
                <w:rFonts w:ascii="宋体" w:hAnsi="宋体" w:cs="宋体" w:eastAsia="宋体" w:hint="default"/>
                <w:spacing w:val="14"/>
                <w:sz w:val="18"/>
                <w:szCs w:val="18"/>
              </w:rPr>
              <w:t>电子数据取证设备与大 </w:t>
            </w:r>
            <w:r>
              <w:rPr>
                <w:rFonts w:ascii="宋体" w:hAnsi="宋体" w:cs="宋体" w:eastAsia="宋体" w:hint="default"/>
                <w:sz w:val="18"/>
                <w:szCs w:val="18"/>
              </w:rPr>
              <w:t>数据平台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572,201,148.47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207,809,776.83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21,844,396.68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7,932,572.71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
              <w:jc w:val="left"/>
              <w:rPr>
                <w:rFonts w:ascii="宋体" w:hAnsi="宋体" w:cs="宋体" w:eastAsia="宋体" w:hint="default"/>
                <w:sz w:val="18"/>
                <w:szCs w:val="18"/>
              </w:rPr>
            </w:pPr>
            <w:r>
              <w:rPr>
                <w:rFonts w:ascii="宋体" w:hAnsi="宋体" w:cs="宋体" w:eastAsia="宋体" w:hint="default"/>
                <w:spacing w:val="14"/>
                <w:sz w:val="18"/>
                <w:szCs w:val="18"/>
              </w:rPr>
              <w:t>电子数据鉴定及信息安 </w:t>
            </w:r>
            <w:r>
              <w:rPr>
                <w:rFonts w:ascii="宋体" w:hAnsi="宋体" w:cs="宋体" w:eastAsia="宋体" w:hint="default"/>
                <w:sz w:val="18"/>
                <w:szCs w:val="18"/>
              </w:rPr>
              <w:t>全相关服务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82,800,047.67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11,813,880.67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刑事技术产品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69,953,054.59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25,865,479.65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241.15%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工程业务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8,867,502.60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6,041,506.97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61.83%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6,881,238.74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3,368,500.03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718.17%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612,968.00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498,008.20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56.50%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东北及华北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154,083,012.69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26,399,119.77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82.87%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华东及华南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404,586,728.22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191,142,416.25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105.49%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52.76%</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西南及西北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139,266,939.98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31,906,838.19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77.09%</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华中及其他</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65,223,675.86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13,881,350.85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78.72%</w:t>
            </w:r>
          </w:p>
        </w:tc>
      </w:tr>
    </w:tbl>
    <w:p>
      <w:pPr>
        <w:spacing w:line="240" w:lineRule="auto" w:before="10"/>
        <w:rPr>
          <w:rFonts w:ascii="宋体" w:hAnsi="宋体" w:cs="宋体" w:eastAsia="宋体" w:hint="default"/>
          <w:sz w:val="7"/>
          <w:szCs w:val="7"/>
        </w:rPr>
      </w:pPr>
    </w:p>
    <w:p>
      <w:pPr>
        <w:pStyle w:val="BodyText"/>
        <w:spacing w:line="309" w:lineRule="auto" w:before="35"/>
        <w:ind w:left="153" w:right="218" w:firstLine="420"/>
        <w:jc w:val="left"/>
      </w:pPr>
      <w:r>
        <w:rPr/>
        <w:t>公司主营业务数据统计口径在报告期发生调整的情况下，公司最近</w:t>
      </w:r>
      <w:r>
        <w:rPr>
          <w:rFonts w:ascii="Times New Roman" w:hAnsi="Times New Roman" w:cs="Times New Roman" w:eastAsia="Times New Roman" w:hint="default"/>
        </w:rPr>
        <w:t>1</w:t>
      </w:r>
      <w:r>
        <w:rPr/>
        <w:t>年按报告期末口径调整后的主营 业务数据</w:t>
      </w:r>
    </w:p>
    <w:p>
      <w:pPr>
        <w:pStyle w:val="BodyText"/>
        <w:spacing w:line="240" w:lineRule="auto" w:before="158"/>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pgSz w:w="11910" w:h="16840"/>
          <w:pgMar w:header="918" w:footer="1020" w:top="1160" w:bottom="1220" w:left="980" w:right="980"/>
        </w:sect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2564"/>
        <w:gridCol w:w="1678"/>
        <w:gridCol w:w="1145"/>
        <w:gridCol w:w="1417"/>
        <w:gridCol w:w="1418"/>
        <w:gridCol w:w="1344"/>
      </w:tblGrid>
      <w:tr>
        <w:trPr>
          <w:trHeight w:val="402" w:hRule="exact"/>
        </w:trPr>
        <w:tc>
          <w:tcPr>
            <w:tcW w:w="25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4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0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64" w:type="dxa"/>
            <w:vMerge w:val="restart"/>
            <w:tcBorders>
              <w:top w:val="single" w:sz="4" w:space="0" w:color="000000"/>
              <w:left w:val="single" w:sz="4" w:space="0" w:color="000000"/>
              <w:right w:val="single" w:sz="13" w:space="0" w:color="D4D4D4"/>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1"/>
                <w:sz w:val="18"/>
                <w:szCs w:val="18"/>
              </w:rPr>
              <w:t>电子数据取证设备与大数据平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台</w:t>
            </w: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14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15,069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22.46%</w:t>
            </w:r>
          </w:p>
        </w:tc>
      </w:tr>
      <w:tr>
        <w:trPr>
          <w:trHeight w:val="402" w:hRule="exact"/>
        </w:trPr>
        <w:tc>
          <w:tcPr>
            <w:tcW w:w="2564" w:type="dxa"/>
            <w:vMerge/>
            <w:tcBorders>
              <w:left w:val="single" w:sz="4" w:space="0" w:color="000000"/>
              <w:right w:val="single" w:sz="13" w:space="0" w:color="D4D4D4"/>
            </w:tcBorders>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14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23,317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17,367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34.26%</w:t>
            </w:r>
          </w:p>
        </w:tc>
      </w:tr>
      <w:tr>
        <w:trPr>
          <w:trHeight w:val="402" w:hRule="exact"/>
        </w:trPr>
        <w:tc>
          <w:tcPr>
            <w:tcW w:w="2564" w:type="dxa"/>
            <w:vMerge/>
            <w:tcBorders>
              <w:left w:val="single" w:sz="4" w:space="0" w:color="000000"/>
              <w:bottom w:val="single" w:sz="4" w:space="0" w:color="000000"/>
              <w:right w:val="single" w:sz="13" w:space="0" w:color="D4D4D4"/>
            </w:tcBorders>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14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9,530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51.03%</w:t>
            </w:r>
          </w:p>
        </w:tc>
      </w:tr>
      <w:tr>
        <w:trPr>
          <w:trHeight w:val="402" w:hRule="exact"/>
        </w:trPr>
        <w:tc>
          <w:tcPr>
            <w:tcW w:w="2564"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14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105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-50.48%</w:t>
            </w:r>
          </w:p>
        </w:tc>
      </w:tr>
      <w:tr>
        <w:trPr>
          <w:trHeight w:val="402" w:hRule="exact"/>
        </w:trPr>
        <w:tc>
          <w:tcPr>
            <w:tcW w:w="2564" w:type="dxa"/>
            <w:vMerge/>
            <w:tcBorders>
              <w:left w:val="single" w:sz="4" w:space="0" w:color="000000"/>
              <w:right w:val="single" w:sz="13" w:space="0" w:color="D4D4D4"/>
            </w:tcBorders>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14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18"/>
                <w:szCs w:val="18"/>
              </w:rPr>
            </w:pPr>
            <w:r>
              <w:rPr>
                <w:rFonts w:ascii="Times New Roman"/>
                <w:spacing w:val="-8"/>
                <w:sz w:val="18"/>
              </w:rPr>
              <w:t>113</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17.71%</w:t>
            </w:r>
          </w:p>
        </w:tc>
      </w:tr>
      <w:tr>
        <w:trPr>
          <w:trHeight w:val="402" w:hRule="exact"/>
        </w:trPr>
        <w:tc>
          <w:tcPr>
            <w:tcW w:w="2564" w:type="dxa"/>
            <w:vMerge/>
            <w:tcBorders>
              <w:left w:val="single" w:sz="4" w:space="0" w:color="000000"/>
              <w:bottom w:val="single" w:sz="4" w:space="0" w:color="000000"/>
              <w:right w:val="single" w:sz="13" w:space="0" w:color="D4D4D4"/>
            </w:tcBorders>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14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18"/>
                <w:szCs w:val="18"/>
              </w:rPr>
            </w:pPr>
            <w:r>
              <w:rPr>
                <w:rFonts w:ascii="Times New Roman"/>
                <w:spacing w:val="-8"/>
                <w:sz w:val="18"/>
              </w:rPr>
              <w:t>115</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112.96%</w:t>
            </w:r>
          </w:p>
        </w:tc>
      </w:tr>
      <w:tr>
        <w:trPr>
          <w:trHeight w:val="402" w:hRule="exact"/>
        </w:trPr>
        <w:tc>
          <w:tcPr>
            <w:tcW w:w="2564" w:type="dxa"/>
            <w:vMerge w:val="restart"/>
            <w:tcBorders>
              <w:top w:val="single" w:sz="4" w:space="0" w:color="000000"/>
              <w:left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刑事技术产品</w:t>
            </w: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14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5,779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271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2032.47%</w:t>
            </w:r>
          </w:p>
        </w:tc>
      </w:tr>
      <w:tr>
        <w:trPr>
          <w:trHeight w:val="402" w:hRule="exact"/>
        </w:trPr>
        <w:tc>
          <w:tcPr>
            <w:tcW w:w="2564" w:type="dxa"/>
            <w:vMerge/>
            <w:tcBorders>
              <w:left w:val="single" w:sz="4" w:space="0" w:color="000000"/>
              <w:right w:val="single" w:sz="13" w:space="0" w:color="D4D4D4"/>
            </w:tcBorders>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14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6,762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355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1804.79%</w:t>
            </w:r>
          </w:p>
        </w:tc>
      </w:tr>
      <w:tr>
        <w:trPr>
          <w:trHeight w:val="403" w:hRule="exact"/>
        </w:trPr>
        <w:tc>
          <w:tcPr>
            <w:tcW w:w="2564" w:type="dxa"/>
            <w:vMerge/>
            <w:tcBorders>
              <w:left w:val="single" w:sz="4" w:space="0" w:color="000000"/>
              <w:bottom w:val="single" w:sz="4" w:space="0" w:color="000000"/>
              <w:right w:val="single" w:sz="13" w:space="0" w:color="D4D4D4"/>
            </w:tcBorders>
          </w:tcPr>
          <w:p>
            <w:pPr/>
          </w:p>
        </w:tc>
        <w:tc>
          <w:tcPr>
            <w:tcW w:w="1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14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1,099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6"/>
              <w:jc w:val="right"/>
              <w:rPr>
                <w:rFonts w:ascii="Times New Roman" w:hAnsi="Times New Roman" w:cs="Times New Roman" w:eastAsia="Times New Roman" w:hint="default"/>
                <w:sz w:val="18"/>
                <w:szCs w:val="18"/>
              </w:rPr>
            </w:pPr>
            <w:r>
              <w:rPr>
                <w:rFonts w:ascii="Times New Roman"/>
                <w:spacing w:val="-8"/>
                <w:sz w:val="18"/>
              </w:rPr>
              <w:t>116</w:t>
            </w:r>
            <w:r>
              <w:rPr>
                <w:rFonts w:ascii="Times New Roman"/>
                <w:sz w:val="18"/>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847.41%</w:t>
            </w:r>
          </w:p>
        </w:tc>
      </w:tr>
    </w:tbl>
    <w:p>
      <w:pPr>
        <w:spacing w:line="240" w:lineRule="auto" w:before="10"/>
        <w:rPr>
          <w:rFonts w:ascii="宋体" w:hAnsi="宋体" w:cs="宋体" w:eastAsia="宋体" w:hint="default"/>
          <w:sz w:val="7"/>
          <w:szCs w:val="7"/>
        </w:rPr>
      </w:pPr>
    </w:p>
    <w:p>
      <w:pPr>
        <w:pStyle w:val="BodyText"/>
        <w:spacing w:line="408" w:lineRule="auto" w:before="35"/>
        <w:ind w:right="97"/>
        <w:jc w:val="left"/>
      </w:pPr>
      <w:r>
        <w:rPr/>
        <w:t>相关数据同比发生变动</w:t>
      </w:r>
      <w:r>
        <w:rPr>
          <w:rFonts w:ascii="Times New Roman" w:hAnsi="Times New Roman" w:cs="Times New Roman" w:eastAsia="Times New Roman" w:hint="default"/>
        </w:rPr>
        <w:t>30%</w:t>
      </w:r>
      <w:r>
        <w:rPr/>
        <w:t>以上的原因说明： </w:t>
      </w:r>
      <w:r>
        <w:rPr>
          <w:spacing w:val="-1"/>
        </w:rPr>
        <w:t>电子数据取证设备与大数据平台项目销售量、生产量、库存量较去年同期分别增长，主要是由于该类</w:t>
      </w:r>
    </w:p>
    <w:p>
      <w:pPr>
        <w:pStyle w:val="BodyText"/>
        <w:spacing w:line="227" w:lineRule="exact"/>
        <w:ind w:left="154" w:right="97"/>
        <w:jc w:val="left"/>
      </w:pPr>
      <w:r>
        <w:rPr/>
        <w:t>产品业务量较去年同期增长较多所致；网络信息安全产品项目销售量较去年同期下降，而生产量及库存量</w:t>
      </w:r>
    </w:p>
    <w:p>
      <w:pPr>
        <w:pStyle w:val="BodyText"/>
        <w:spacing w:line="326" w:lineRule="auto" w:before="99"/>
        <w:ind w:left="154" w:right="103"/>
        <w:jc w:val="left"/>
      </w:pPr>
      <w:r>
        <w:rPr>
          <w:spacing w:val="-3"/>
        </w:rPr>
        <w:t>上升，主要是由于该类产品向服务转化，生产备用部分服务所需配套硬件所致。刑事技术产品项目销售量、</w:t>
      </w:r>
      <w:r>
        <w:rPr>
          <w:spacing w:val="-90"/>
        </w:rPr>
        <w:t> </w:t>
      </w:r>
      <w:r>
        <w:rPr>
          <w:spacing w:val="-90"/>
        </w:rPr>
      </w:r>
      <w:r>
        <w:rPr/>
        <w:t>生产量、库存量较去年同期分别增长较多，主要是由于该类产品去年基数较小，本期业务量较去年同期增</w:t>
      </w:r>
      <w:r>
        <w:rPr/>
        <w:t> 长较多所致。</w:t>
      </w:r>
    </w:p>
    <w:p>
      <w:pPr>
        <w:spacing w:line="240" w:lineRule="auto" w:before="6"/>
        <w:rPr>
          <w:rFonts w:ascii="宋体" w:hAnsi="宋体" w:cs="宋体" w:eastAsia="宋体" w:hint="default"/>
          <w:sz w:val="22"/>
          <w:szCs w:val="22"/>
        </w:rPr>
      </w:pPr>
    </w:p>
    <w:p>
      <w:pPr>
        <w:pStyle w:val="Heading4"/>
        <w:spacing w:line="240" w:lineRule="auto"/>
        <w:ind w:right="97"/>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620" w:lineRule="atLeast" w:before="24"/>
        <w:ind w:left="574" w:right="804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b/>
          <w:bCs/>
          <w:spacing w:val="1"/>
          <w:w w:val="99"/>
          <w:sz w:val="21"/>
          <w:szCs w:val="21"/>
        </w:rPr>
        <w:t> </w:t>
      </w:r>
      <w:r>
        <w:rPr>
          <w:rFonts w:ascii="宋体" w:hAnsi="宋体" w:cs="宋体" w:eastAsia="宋体" w:hint="default"/>
          <w:sz w:val="21"/>
          <w:szCs w:val="21"/>
        </w:rPr>
        <w:t>产品分类</w:t>
      </w:r>
    </w:p>
    <w:p>
      <w:pPr>
        <w:spacing w:line="240" w:lineRule="auto" w:before="6"/>
        <w:rPr>
          <w:rFonts w:ascii="宋体" w:hAnsi="宋体" w:cs="宋体" w:eastAsia="宋体" w:hint="default"/>
          <w:sz w:val="16"/>
          <w:szCs w:val="16"/>
        </w:rPr>
      </w:pPr>
    </w:p>
    <w:p>
      <w:pPr>
        <w:spacing w:before="0"/>
        <w:ind w:left="0" w:right="212" w:firstLine="0"/>
        <w:jc w:val="right"/>
        <w:rPr>
          <w:rFonts w:ascii="宋体" w:hAnsi="宋体" w:cs="宋体" w:eastAsia="宋体" w:hint="default"/>
          <w:sz w:val="18"/>
          <w:szCs w:val="18"/>
        </w:rPr>
      </w:pPr>
      <w:bookmarkStart w:name="（4）公司已签订的重大销售合同截至本报告期的履行情况" w:id="31"/>
      <w:bookmarkEnd w:id="31"/>
      <w:r>
        <w:rPr/>
      </w:r>
      <w:bookmarkStart w:name="（5）营业成本构成" w:id="32"/>
      <w:bookmarkEnd w:id="32"/>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94"/>
        <w:gridCol w:w="1134"/>
        <w:gridCol w:w="1417"/>
        <w:gridCol w:w="992"/>
        <w:gridCol w:w="1417"/>
        <w:gridCol w:w="992"/>
        <w:gridCol w:w="924"/>
      </w:tblGrid>
      <w:tr>
        <w:trPr>
          <w:trHeight w:val="402" w:hRule="exact"/>
        </w:trPr>
        <w:tc>
          <w:tcPr>
            <w:tcW w:w="26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产品分类</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2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2694"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310" w:right="41" w:hanging="270"/>
              <w:jc w:val="left"/>
              <w:rPr>
                <w:rFonts w:ascii="宋体" w:hAnsi="宋体" w:cs="宋体" w:eastAsia="宋体" w:hint="default"/>
                <w:sz w:val="18"/>
                <w:szCs w:val="18"/>
              </w:rPr>
            </w:pPr>
            <w:r>
              <w:rPr>
                <w:rFonts w:ascii="宋体" w:hAnsi="宋体" w:cs="宋体" w:eastAsia="宋体" w:hint="default"/>
                <w:sz w:val="18"/>
                <w:szCs w:val="18"/>
              </w:rPr>
              <w:t>占营业成本 比重</w:t>
            </w:r>
          </w:p>
        </w:tc>
        <w:tc>
          <w:tcPr>
            <w:tcW w:w="924"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1"/>
              <w:jc w:val="left"/>
              <w:rPr>
                <w:rFonts w:ascii="宋体" w:hAnsi="宋体" w:cs="宋体" w:eastAsia="宋体" w:hint="default"/>
                <w:sz w:val="18"/>
                <w:szCs w:val="18"/>
              </w:rPr>
            </w:pPr>
            <w:r>
              <w:rPr>
                <w:rFonts w:ascii="宋体" w:hAnsi="宋体" w:cs="宋体" w:eastAsia="宋体" w:hint="default"/>
                <w:spacing w:val="10"/>
                <w:sz w:val="18"/>
                <w:szCs w:val="18"/>
              </w:rPr>
              <w:t>电子数据取证设备与大数据平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205,199,535.79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180,661,796.08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98.07%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13.58%</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网络信息安全产品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7,932,572.71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10,714,443.64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100.00%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-25.96%</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91"/>
              <w:jc w:val="left"/>
              <w:rPr>
                <w:rFonts w:ascii="宋体" w:hAnsi="宋体" w:cs="宋体" w:eastAsia="宋体" w:hint="default"/>
                <w:sz w:val="18"/>
                <w:szCs w:val="18"/>
              </w:rPr>
            </w:pPr>
            <w:r>
              <w:rPr>
                <w:rFonts w:ascii="宋体" w:hAnsi="宋体" w:cs="宋体" w:eastAsia="宋体" w:hint="default"/>
                <w:spacing w:val="10"/>
                <w:sz w:val="18"/>
                <w:szCs w:val="18"/>
              </w:rPr>
              <w:t>电子数据鉴定及信息安全相关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服务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3,159,460.59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26.74%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3,129,203.78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26.67%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0.97%</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刑事技术产品收入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24,447,497.26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94.52%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7,539,687.59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99.44%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224.25%</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工程业务收入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3,388,533.74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56.09%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2,664,351.85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71.37%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27.18%</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60" w:bottom="1220" w:left="980" w:right="920"/>
        </w:sectPr>
      </w:pPr>
    </w:p>
    <w:p>
      <w:pPr>
        <w:spacing w:line="240" w:lineRule="auto" w:before="1"/>
        <w:rPr>
          <w:rFonts w:ascii="宋体" w:hAnsi="宋体" w:cs="宋体" w:eastAsia="宋体" w:hint="default"/>
          <w:sz w:val="18"/>
          <w:szCs w:val="18"/>
        </w:rPr>
      </w:pPr>
    </w:p>
    <w:p>
      <w:pPr>
        <w:pStyle w:val="Heading4"/>
        <w:spacing w:line="240" w:lineRule="auto" w:before="35"/>
        <w:ind w:right="97"/>
        <w:jc w:val="left"/>
        <w:rPr>
          <w:b w:val="0"/>
          <w:bCs w:val="0"/>
        </w:rPr>
      </w:pPr>
      <w:bookmarkStart w:name="（8）主要销售客户和主要供应商情况"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2"/>
        <w:rPr>
          <w:rFonts w:ascii="宋体" w:hAnsi="宋体" w:cs="宋体" w:eastAsia="宋体" w:hint="default"/>
          <w:b/>
          <w:bCs/>
          <w:sz w:val="26"/>
          <w:szCs w:val="26"/>
        </w:rPr>
      </w:pPr>
    </w:p>
    <w:p>
      <w:pPr>
        <w:pStyle w:val="BodyText"/>
        <w:spacing w:line="312" w:lineRule="auto"/>
        <w:ind w:left="153" w:right="97" w:firstLine="420"/>
        <w:jc w:val="left"/>
      </w:pPr>
      <w:r>
        <w:rPr>
          <w:rFonts w:ascii="Times New Roman" w:hAnsi="Times New Roman" w:cs="Times New Roman" w:eastAsia="Times New Roman" w:hint="default"/>
          <w:spacing w:val="-4"/>
        </w:rPr>
        <w:t>1</w:t>
      </w:r>
      <w:bookmarkStart w:name="（6）报告期内合并范围是否发生变动" w:id="34"/>
      <w:bookmarkEnd w:id="34"/>
      <w:r>
        <w:rPr>
          <w:rFonts w:ascii="Times New Roman" w:hAnsi="Times New Roman" w:cs="Times New Roman" w:eastAsia="Times New Roman" w:hint="default"/>
          <w:spacing w:val="-4"/>
        </w:rPr>
      </w:r>
      <w:r>
        <w:rPr>
          <w:spacing w:val="-4"/>
        </w:rPr>
        <w:t>、根据本公司</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24</w:t>
      </w:r>
      <w:r>
        <w:rPr>
          <w:spacing w:val="-4"/>
        </w:rPr>
        <w:t>日董事会决议，本公司拟以自有资金人民币</w:t>
      </w:r>
      <w:r>
        <w:rPr>
          <w:rFonts w:ascii="Times New Roman" w:hAnsi="Times New Roman" w:cs="Times New Roman" w:eastAsia="Times New Roman" w:hint="default"/>
          <w:spacing w:val="-4"/>
        </w:rPr>
        <w:t>1,000</w:t>
      </w:r>
      <w:r>
        <w:rPr>
          <w:spacing w:val="-4"/>
        </w:rPr>
        <w:t>万元对武汉大千进行增资，</w:t>
      </w:r>
      <w:r>
        <w:rPr/>
        <w:t> 其中新增注册资本</w:t>
      </w:r>
      <w:r>
        <w:rPr>
          <w:rFonts w:ascii="Times New Roman" w:hAnsi="Times New Roman" w:cs="Times New Roman" w:eastAsia="Times New Roman" w:hint="default"/>
        </w:rPr>
        <w:t>43.2727</w:t>
      </w:r>
      <w:r>
        <w:rPr/>
        <w:t>万元，余额</w:t>
      </w:r>
      <w:r>
        <w:rPr>
          <w:rFonts w:ascii="Times New Roman" w:hAnsi="Times New Roman" w:cs="Times New Roman" w:eastAsia="Times New Roman" w:hint="default"/>
        </w:rPr>
        <w:t>956.7273</w:t>
      </w:r>
      <w:r>
        <w:rPr/>
        <w:t>万元计入资本公积，获得武汉大千</w:t>
      </w:r>
      <w:r>
        <w:rPr>
          <w:rFonts w:ascii="Times New Roman" w:hAnsi="Times New Roman" w:cs="Times New Roman" w:eastAsia="Times New Roman" w:hint="default"/>
        </w:rPr>
        <w:t>15.3846%</w:t>
      </w:r>
      <w:r>
        <w:rPr/>
        <w:t>的股权；并以自 </w:t>
      </w:r>
      <w:r>
        <w:rPr>
          <w:spacing w:val="-2"/>
        </w:rPr>
        <w:t>有资金人民币</w:t>
      </w:r>
      <w:r>
        <w:rPr>
          <w:rFonts w:ascii="Times New Roman" w:hAnsi="Times New Roman" w:cs="Times New Roman" w:eastAsia="Times New Roman" w:hint="default"/>
          <w:spacing w:val="-2"/>
        </w:rPr>
        <w:t>2,315</w:t>
      </w:r>
      <w:r>
        <w:rPr>
          <w:spacing w:val="-2"/>
        </w:rPr>
        <w:t>万元受让严国建先生、杨捷女士、王彬先生和熊子松先生持有的武汉大千</w:t>
      </w:r>
      <w:r>
        <w:rPr>
          <w:rFonts w:ascii="Times New Roman" w:hAnsi="Times New Roman" w:cs="Times New Roman" w:eastAsia="Times New Roman" w:hint="default"/>
          <w:spacing w:val="-2"/>
        </w:rPr>
        <w:t>35.6154%</w:t>
      </w:r>
      <w:r>
        <w:rPr>
          <w:spacing w:val="-2"/>
        </w:rPr>
        <w:t>的股</w:t>
      </w:r>
      <w:r>
        <w:rPr>
          <w:spacing w:val="-97"/>
        </w:rPr>
        <w:t> </w:t>
      </w:r>
      <w:r>
        <w:rPr/>
        <w:t>权；增资及受让股权后本公司共获取武汉大千</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月本公司对武汉大千派驻董事</w:t>
      </w:r>
      <w:r>
        <w:rPr>
          <w:rFonts w:ascii="Times New Roman" w:hAnsi="Times New Roman" w:cs="Times New Roman" w:eastAsia="Times New Roman" w:hint="default"/>
        </w:rPr>
        <w:t>2</w:t>
      </w:r>
      <w:r>
        <w:rPr/>
        <w:t>名（武汉 </w:t>
      </w:r>
      <w:r>
        <w:rPr>
          <w:spacing w:val="-2"/>
        </w:rPr>
        <w:t>大千共有董事</w:t>
      </w:r>
      <w:r>
        <w:rPr>
          <w:rFonts w:ascii="Times New Roman" w:hAnsi="Times New Roman" w:cs="Times New Roman" w:eastAsia="Times New Roman" w:hint="default"/>
          <w:spacing w:val="-2"/>
        </w:rPr>
        <w:t>3</w:t>
      </w:r>
      <w:r>
        <w:rPr>
          <w:spacing w:val="-2"/>
        </w:rPr>
        <w:t>名），</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日按协议约定支付增资款</w:t>
      </w:r>
      <w:r>
        <w:rPr>
          <w:rFonts w:ascii="Times New Roman" w:hAnsi="Times New Roman" w:cs="Times New Roman" w:eastAsia="Times New Roman" w:hint="default"/>
          <w:spacing w:val="-2"/>
        </w:rPr>
        <w:t>1,000</w:t>
      </w:r>
      <w:r>
        <w:rPr>
          <w:spacing w:val="-2"/>
        </w:rPr>
        <w:t>万元及</w:t>
      </w:r>
      <w:r>
        <w:rPr>
          <w:rFonts w:ascii="Times New Roman" w:hAnsi="Times New Roman" w:cs="Times New Roman" w:eastAsia="Times New Roman" w:hint="default"/>
          <w:spacing w:val="-2"/>
        </w:rPr>
        <w:t>30%</w:t>
      </w:r>
      <w:r>
        <w:rPr>
          <w:spacing w:val="-2"/>
        </w:rPr>
        <w:t>股权转让款</w:t>
      </w:r>
      <w:r>
        <w:rPr>
          <w:rFonts w:ascii="Times New Roman" w:hAnsi="Times New Roman" w:cs="Times New Roman" w:eastAsia="Times New Roman" w:hint="default"/>
          <w:spacing w:val="-2"/>
        </w:rPr>
        <w:t>694.50</w:t>
      </w:r>
      <w:r>
        <w:rPr>
          <w:spacing w:val="-2"/>
        </w:rPr>
        <w:t>万元，本公司</w:t>
      </w:r>
      <w:r>
        <w:rPr>
          <w:spacing w:val="-98"/>
        </w:rPr>
        <w:t> </w:t>
      </w:r>
      <w:r>
        <w:rPr>
          <w:spacing w:val="-98"/>
        </w:rPr>
      </w:r>
      <w:r>
        <w:rPr/>
        <w:t>对武汉大千的财务和经营决策拥有控制权，享有相应的收益并承担相应的风险，故武汉大千以购买日为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日纳入公司合并财务报表范围。</w:t>
      </w:r>
    </w:p>
    <w:p>
      <w:pPr>
        <w:pStyle w:val="BodyText"/>
        <w:spacing w:line="309" w:lineRule="auto" w:before="134"/>
        <w:ind w:left="153" w:right="191" w:firstLine="42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日与厦门市聚恩信息咨询合伙企业共同投资设立厦门安胜网络科技有限公司， 公司占该合资公司的股权比例为</w:t>
      </w:r>
      <w:r>
        <w:rPr>
          <w:rFonts w:ascii="Times New Roman" w:hAnsi="Times New Roman" w:cs="Times New Roman" w:eastAsia="Times New Roman" w:hint="default"/>
        </w:rPr>
        <w:t>75%</w:t>
      </w:r>
      <w:r>
        <w:rPr/>
        <w:t>。该合资公司已于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日完成工商登记，纳入公司合并财务报 表范围。</w:t>
      </w:r>
    </w:p>
    <w:p>
      <w:pPr>
        <w:pStyle w:val="BodyText"/>
        <w:spacing w:line="309" w:lineRule="auto" w:before="158"/>
        <w:ind w:left="153" w:right="213" w:firstLine="420"/>
        <w:jc w:val="both"/>
      </w:pPr>
      <w:r>
        <w:rPr>
          <w:rFonts w:ascii="Times New Roman" w:hAnsi="Times New Roman" w:cs="Times New Roman" w:eastAsia="Times New Roman" w:hint="default"/>
          <w:spacing w:val="-1"/>
        </w:rPr>
        <w:t>3</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日，公司与嘉兴宏数信息科技合伙企业、公司副总经理高峰共同出资设立北京</w:t>
      </w:r>
      <w:r>
        <w:rPr/>
        <w:t> </w:t>
      </w:r>
      <w:r>
        <w:rPr>
          <w:spacing w:val="-2"/>
        </w:rPr>
        <w:t>美亚宏数科技有限责任公司，公司占该合资公司的股权比例为</w:t>
      </w:r>
      <w:r>
        <w:rPr>
          <w:rFonts w:ascii="Times New Roman" w:hAnsi="Times New Roman" w:cs="Times New Roman" w:eastAsia="Times New Roman" w:hint="default"/>
          <w:spacing w:val="-2"/>
        </w:rPr>
        <w:t>55%</w:t>
      </w:r>
      <w:r>
        <w:rPr>
          <w:spacing w:val="-2"/>
        </w:rPr>
        <w:t>。该合资公司于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日完成公司</w:t>
      </w:r>
      <w:r>
        <w:rPr/>
        <w:t> 登记，纳入公司合并财务报表范围。</w:t>
      </w:r>
    </w:p>
    <w:p>
      <w:pPr>
        <w:pStyle w:val="BodyText"/>
        <w:spacing w:line="309" w:lineRule="auto" w:before="158"/>
        <w:ind w:left="153" w:right="173" w:firstLine="420"/>
        <w:jc w:val="left"/>
      </w:pPr>
      <w:r>
        <w:rPr>
          <w:rFonts w:ascii="Times New Roman" w:hAnsi="Times New Roman" w:cs="Times New Roman" w:eastAsia="Times New Roman" w:hint="default"/>
          <w:spacing w:val="-1"/>
        </w:rPr>
        <w:t>4</w:t>
      </w:r>
      <w:r>
        <w:rPr>
          <w:spacing w:val="-1"/>
        </w:rPr>
        <w:t>、根据公司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月董事会决议及</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月股东会决议，本公司拟向江苏税软原股</w:t>
      </w:r>
      <w:r>
        <w:rPr/>
        <w:t> </w:t>
      </w:r>
      <w:r>
        <w:rPr>
          <w:spacing w:val="-2"/>
        </w:rPr>
        <w:t>东韦玉荣等</w:t>
      </w:r>
      <w:r>
        <w:rPr>
          <w:rFonts w:ascii="Times New Roman" w:hAnsi="Times New Roman" w:cs="Times New Roman" w:eastAsia="Times New Roman" w:hint="default"/>
          <w:spacing w:val="-2"/>
        </w:rPr>
        <w:t>16</w:t>
      </w:r>
      <w:r>
        <w:rPr>
          <w:spacing w:val="-2"/>
        </w:rPr>
        <w:t>人非公开发行股份</w:t>
      </w:r>
      <w:r>
        <w:rPr>
          <w:rFonts w:ascii="Times New Roman" w:hAnsi="Times New Roman" w:cs="Times New Roman" w:eastAsia="Times New Roman" w:hint="default"/>
          <w:spacing w:val="-2"/>
        </w:rPr>
        <w:t>29,666,848</w:t>
      </w:r>
      <w:r>
        <w:rPr>
          <w:spacing w:val="-2"/>
        </w:rPr>
        <w:t>股购买江苏税软</w:t>
      </w:r>
      <w:r>
        <w:rPr>
          <w:rFonts w:ascii="Times New Roman" w:hAnsi="Times New Roman" w:cs="Times New Roman" w:eastAsia="Times New Roman" w:hint="default"/>
          <w:spacing w:val="-2"/>
        </w:rPr>
        <w:t>100%</w:t>
      </w:r>
      <w:r>
        <w:rPr>
          <w:spacing w:val="-2"/>
        </w:rPr>
        <w:t>股权（包括江苏税软持有无锡博盾</w:t>
      </w:r>
      <w:r>
        <w:rPr>
          <w:rFonts w:ascii="Times New Roman" w:hAnsi="Times New Roman" w:cs="Times New Roman" w:eastAsia="Times New Roman" w:hint="default"/>
          <w:spacing w:val="-2"/>
        </w:rPr>
        <w:t>100%</w:t>
      </w:r>
      <w:r>
        <w:rPr>
          <w:spacing w:val="-2"/>
        </w:rPr>
        <w:t>的</w:t>
      </w:r>
      <w:r>
        <w:rPr>
          <w:spacing w:val="-62"/>
        </w:rPr>
        <w:t> </w:t>
      </w:r>
      <w:r>
        <w:rPr/>
        <w:t>股权），发行价格为定价基准日前</w:t>
      </w:r>
      <w:r>
        <w:rPr>
          <w:rFonts w:ascii="Times New Roman" w:hAnsi="Times New Roman" w:cs="Times New Roman" w:eastAsia="Times New Roman" w:hint="default"/>
        </w:rPr>
        <w:t>120</w:t>
      </w:r>
      <w:r>
        <w:rPr/>
        <w:t>个交易日本公司</w:t>
      </w:r>
      <w:r>
        <w:rPr>
          <w:rFonts w:ascii="Times New Roman" w:hAnsi="Times New Roman" w:cs="Times New Roman" w:eastAsia="Times New Roman" w:hint="default"/>
        </w:rPr>
        <w:t>A</w:t>
      </w:r>
      <w:r>
        <w:rPr/>
        <w:t>股股票交易均价的</w:t>
      </w:r>
      <w:r>
        <w:rPr>
          <w:rFonts w:ascii="Times New Roman" w:hAnsi="Times New Roman" w:cs="Times New Roman" w:eastAsia="Times New Roman" w:hint="default"/>
        </w:rPr>
        <w:t>90%</w:t>
      </w:r>
      <w:r>
        <w:rPr/>
        <w:t>，即</w:t>
      </w:r>
      <w:r>
        <w:rPr>
          <w:rFonts w:ascii="Times New Roman" w:hAnsi="Times New Roman" w:cs="Times New Roman" w:eastAsia="Times New Roman" w:hint="default"/>
        </w:rPr>
        <w:t>18.31</w:t>
      </w:r>
      <w:r>
        <w:rPr/>
        <w:t>元</w:t>
      </w:r>
      <w:r>
        <w:rPr>
          <w:rFonts w:ascii="Times New Roman" w:hAnsi="Times New Roman" w:cs="Times New Roman" w:eastAsia="Times New Roman" w:hint="default"/>
        </w:rPr>
        <w:t>/</w:t>
      </w:r>
      <w:r>
        <w:rPr/>
        <w:t>股，购买成本 为</w:t>
      </w:r>
      <w:r>
        <w:rPr>
          <w:rFonts w:ascii="Times New Roman" w:hAnsi="Times New Roman" w:cs="Times New Roman" w:eastAsia="Times New Roman" w:hint="default"/>
        </w:rPr>
        <w:t>543,199,986.88</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日，公司发行股份购买资产重组事项获得中国证监会核准通过，</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日江苏税软完成企业类型变更和股东变更相关手续，故江苏税软购买日确定为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纳入公司合并财务报表范围。</w:t>
      </w:r>
    </w:p>
    <w:p>
      <w:pPr>
        <w:spacing w:line="240" w:lineRule="auto" w:before="7"/>
        <w:rPr>
          <w:rFonts w:ascii="宋体" w:hAnsi="宋体" w:cs="宋体" w:eastAsia="宋体" w:hint="default"/>
          <w:sz w:val="23"/>
          <w:szCs w:val="23"/>
        </w:rPr>
      </w:pPr>
    </w:p>
    <w:p>
      <w:pPr>
        <w:pStyle w:val="Heading4"/>
        <w:spacing w:line="240" w:lineRule="auto"/>
        <w:ind w:right="97"/>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spacing w:line="530" w:lineRule="auto" w:before="0"/>
        <w:ind w:left="574" w:right="6354" w:hanging="420"/>
        <w:jc w:val="left"/>
        <w:rPr>
          <w:rFonts w:ascii="宋体" w:hAnsi="宋体" w:cs="宋体" w:eastAsia="宋体" w:hint="default"/>
          <w:sz w:val="21"/>
          <w:szCs w:val="21"/>
        </w:rPr>
      </w:pPr>
      <w:r>
        <w:rPr/>
        <w:pict>
          <v:shape style="position:absolute;margin-left:56.459999pt;margin-top:56.063679pt;width:479.1pt;height:40.7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7"/>
                    <w:gridCol w:w="5311"/>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93,741,117.05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12.28%</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35"/>
        <w:ind w:right="97"/>
        <w:jc w:val="left"/>
      </w:pPr>
      <w:r>
        <w:rPr/>
        <w:t>公司前</w:t>
      </w:r>
      <w:r>
        <w:rPr>
          <w:rFonts w:ascii="Times New Roman" w:hAnsi="Times New Roman" w:cs="Times New Roman" w:eastAsia="Times New Roman" w:hint="default"/>
        </w:rPr>
        <w:t>5</w:t>
      </w:r>
      <w:r>
        <w:rPr/>
        <w:t>大客户资料：</w:t>
      </w:r>
    </w:p>
    <w:p>
      <w:pPr>
        <w:spacing w:line="240" w:lineRule="auto" w:before="4"/>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779"/>
        <w:gridCol w:w="3463"/>
        <w:gridCol w:w="217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3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6" w:right="0"/>
              <w:jc w:val="left"/>
              <w:rPr>
                <w:rFonts w:ascii="宋体" w:hAnsi="宋体" w:cs="宋体" w:eastAsia="宋体" w:hint="default"/>
                <w:sz w:val="18"/>
                <w:szCs w:val="18"/>
              </w:rPr>
            </w:pPr>
            <w:bookmarkStart w:name="（7）公司报告期内业务、产品或服务发生重大变化或调整有关情况" w:id="35"/>
            <w:bookmarkEnd w:id="35"/>
            <w:r>
              <w:rPr/>
            </w: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46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27,396,757.28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46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19,607,165.78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46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16,154,599.22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60" w:bottom="1220" w:left="980" w:right="920"/>
        </w:sectPr>
      </w:pPr>
    </w:p>
    <w:p>
      <w:pPr>
        <w:spacing w:line="240" w:lineRule="auto" w:before="11"/>
        <w:rPr>
          <w:rFonts w:ascii="宋体" w:hAnsi="宋体" w:cs="宋体" w:eastAsia="宋体" w:hint="default"/>
          <w:sz w:val="21"/>
          <w:szCs w:val="21"/>
        </w:rPr>
      </w:pPr>
    </w:p>
    <w:tbl>
      <w:tblPr>
        <w:tblW w:w="0" w:type="auto"/>
        <w:jc w:val="left"/>
        <w:tblInd w:w="160" w:type="dxa"/>
        <w:tblLayout w:type="fixed"/>
        <w:tblCellMar>
          <w:top w:w="0" w:type="dxa"/>
          <w:left w:w="0" w:type="dxa"/>
          <w:bottom w:w="0" w:type="dxa"/>
          <w:right w:w="0" w:type="dxa"/>
        </w:tblCellMar>
        <w:tblLook w:val="01E0"/>
      </w:tblPr>
      <w:tblGrid>
        <w:gridCol w:w="779"/>
        <w:gridCol w:w="3463"/>
        <w:gridCol w:w="217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46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15,665,918.71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46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14,916,676.06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93,741,117.05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12.28%</w:t>
            </w:r>
          </w:p>
        </w:tc>
      </w:tr>
    </w:tbl>
    <w:p>
      <w:pPr>
        <w:spacing w:line="240" w:lineRule="auto" w:before="10"/>
        <w:rPr>
          <w:rFonts w:ascii="宋体" w:hAnsi="宋体" w:cs="宋体" w:eastAsia="宋体" w:hint="default"/>
          <w:sz w:val="7"/>
          <w:szCs w:val="7"/>
        </w:rPr>
      </w:pPr>
    </w:p>
    <w:p>
      <w:pPr>
        <w:pStyle w:val="BodyText"/>
        <w:spacing w:line="240" w:lineRule="auto" w:before="35"/>
        <w:ind w:right="97"/>
        <w:jc w:val="left"/>
      </w:pPr>
      <w:r>
        <w:rPr/>
        <w:t>公司主要供应商情况：</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63,965,925.09</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18.22%</w:t>
            </w:r>
          </w:p>
        </w:tc>
      </w:tr>
    </w:tbl>
    <w:p>
      <w:pPr>
        <w:spacing w:line="240" w:lineRule="auto" w:before="10"/>
        <w:rPr>
          <w:rFonts w:ascii="宋体" w:hAnsi="宋体" w:cs="宋体" w:eastAsia="宋体" w:hint="default"/>
          <w:sz w:val="7"/>
          <w:szCs w:val="7"/>
        </w:rPr>
      </w:pPr>
    </w:p>
    <w:p>
      <w:pPr>
        <w:pStyle w:val="BodyText"/>
        <w:spacing w:line="240" w:lineRule="auto" w:before="35"/>
        <w:ind w:right="97"/>
        <w:jc w:val="left"/>
      </w:pPr>
      <w:r>
        <w:rPr/>
        <w:t>公司前</w:t>
      </w:r>
      <w:r>
        <w:rPr>
          <w:rFonts w:ascii="Times New Roman" w:hAnsi="Times New Roman" w:cs="Times New Roman" w:eastAsia="Times New Roman" w:hint="default"/>
        </w:rPr>
        <w:t>5</w:t>
      </w:r>
      <w:r>
        <w:rPr/>
        <w:t>名供应商资料：</w:t>
      </w:r>
    </w:p>
    <w:p>
      <w:pPr>
        <w:spacing w:line="240" w:lineRule="auto" w:before="4"/>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912"/>
        <w:gridCol w:w="3329"/>
        <w:gridCol w:w="217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1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3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3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22,345,222.02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3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12,031,623.92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3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11,523,269.25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3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9,188,106.00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32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8,877,703.90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w:t>
            </w:r>
          </w:p>
        </w:tc>
        <w:tc>
          <w:tcPr>
            <w:tcW w:w="217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63,965,925.09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18.22%</w:t>
            </w:r>
          </w:p>
        </w:tc>
      </w:tr>
    </w:tbl>
    <w:p>
      <w:pPr>
        <w:spacing w:line="240" w:lineRule="auto" w:before="2"/>
        <w:rPr>
          <w:rFonts w:ascii="宋体" w:hAnsi="宋体" w:cs="宋体" w:eastAsia="宋体" w:hint="default"/>
          <w:sz w:val="19"/>
          <w:szCs w:val="19"/>
        </w:rPr>
      </w:pPr>
    </w:p>
    <w:p>
      <w:pPr>
        <w:pStyle w:val="Heading4"/>
        <w:spacing w:line="240" w:lineRule="auto" w:before="35"/>
        <w:ind w:right="97"/>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bookmarkStart w:name="3、费用" w:id="36"/>
      <w:bookmarkEnd w:id="36"/>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23"/>
        <w:gridCol w:w="1560"/>
        <w:gridCol w:w="1559"/>
        <w:gridCol w:w="1134"/>
        <w:gridCol w:w="4181"/>
      </w:tblGrid>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18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107,032,542.02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83,884,737.84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27.59%</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主要是由于公司经营规模扩大，人员人工费增加所致</w:t>
            </w:r>
          </w:p>
        </w:tc>
      </w:tr>
      <w:tr>
        <w:trPr>
          <w:trHeight w:val="161" w:hRule="exact"/>
        </w:trPr>
        <w:tc>
          <w:tcPr>
            <w:tcW w:w="11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56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235,186,115.38</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171,753,866.36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36.93%</w:t>
            </w:r>
          </w:p>
        </w:tc>
        <w:tc>
          <w:tcPr>
            <w:tcW w:w="4181"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
                <w:sz w:val="18"/>
                <w:szCs w:val="18"/>
              </w:rPr>
              <w:t>主要是由于公司经营规模扩大，人员人工费增加，固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定资产折旧、资本化摊销费用较上年度增加</w:t>
            </w:r>
          </w:p>
        </w:tc>
      </w:tr>
      <w:tr>
        <w:trPr>
          <w:trHeight w:val="392" w:hRule="exact"/>
        </w:trPr>
        <w:tc>
          <w:tcPr>
            <w:tcW w:w="112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0" w:type="dxa"/>
            <w:vMerge/>
            <w:tcBorders>
              <w:left w:val="single" w:sz="9" w:space="0" w:color="D4D4D4"/>
              <w:right w:val="single" w:sz="4" w:space="0" w:color="000000"/>
            </w:tcBorders>
          </w:tcPr>
          <w:p>
            <w:pPr/>
          </w:p>
        </w:tc>
        <w:tc>
          <w:tcPr>
            <w:tcW w:w="1559"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181" w:type="dxa"/>
            <w:vMerge/>
            <w:tcBorders>
              <w:left w:val="single" w:sz="4" w:space="0" w:color="000000"/>
              <w:right w:val="single" w:sz="4" w:space="0" w:color="000000"/>
            </w:tcBorders>
          </w:tcPr>
          <w:p>
            <w:pPr/>
          </w:p>
        </w:tc>
      </w:tr>
      <w:tr>
        <w:trPr>
          <w:trHeight w:val="161" w:hRule="exact"/>
        </w:trPr>
        <w:tc>
          <w:tcPr>
            <w:tcW w:w="1123" w:type="dxa"/>
            <w:tcBorders>
              <w:top w:val="nil" w:sz="6" w:space="0" w:color="auto"/>
              <w:left w:val="single" w:sz="4" w:space="0" w:color="000000"/>
              <w:bottom w:val="single" w:sz="4" w:space="0" w:color="000000"/>
              <w:right w:val="single" w:sz="4" w:space="0" w:color="000000"/>
            </w:tcBorders>
            <w:shd w:val="clear" w:color="auto" w:fill="D4D4D4"/>
          </w:tcPr>
          <w:p>
            <w:pPr/>
          </w:p>
        </w:tc>
        <w:tc>
          <w:tcPr>
            <w:tcW w:w="1560" w:type="dxa"/>
            <w:vMerge/>
            <w:tcBorders>
              <w:left w:val="single" w:sz="9" w:space="0" w:color="D4D4D4"/>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181" w:type="dxa"/>
            <w:vMerge/>
            <w:tcBorders>
              <w:left w:val="single" w:sz="4" w:space="0" w:color="000000"/>
              <w:bottom w:val="single" w:sz="4" w:space="0" w:color="000000"/>
              <w:right w:val="single" w:sz="4" w:space="0" w:color="000000"/>
            </w:tcBorders>
          </w:tcPr>
          <w:p>
            <w:pPr/>
          </w:p>
        </w:tc>
      </w:tr>
      <w:tr>
        <w:trPr>
          <w:trHeight w:val="402" w:hRule="exact"/>
        </w:trPr>
        <w:tc>
          <w:tcPr>
            <w:tcW w:w="11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-6,814,658.82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-7,328,182.25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主要是由于本年公司利息收入减少所致</w:t>
            </w:r>
          </w:p>
        </w:tc>
      </w:tr>
    </w:tbl>
    <w:p>
      <w:pPr>
        <w:spacing w:line="240" w:lineRule="auto" w:before="2"/>
        <w:rPr>
          <w:rFonts w:ascii="宋体" w:hAnsi="宋体" w:cs="宋体" w:eastAsia="宋体" w:hint="default"/>
          <w:sz w:val="19"/>
          <w:szCs w:val="19"/>
        </w:rPr>
      </w:pPr>
    </w:p>
    <w:p>
      <w:pPr>
        <w:pStyle w:val="Heading4"/>
        <w:spacing w:line="240" w:lineRule="auto" w:before="35"/>
        <w:ind w:right="97"/>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3" w:right="104" w:firstLine="420"/>
        <w:jc w:val="left"/>
      </w:pPr>
      <w:r>
        <w:rPr/>
        <w:t>报告期内，公司围绕电子数据取证、视频分析、互联网搜索及大数据处理等四大技术方向、紧密结</w:t>
      </w:r>
      <w:bookmarkStart w:name="4、研发投入" w:id="37"/>
      <w:bookmarkEnd w:id="37"/>
      <w:r>
        <w:rPr/>
        <w:t>合</w:t>
      </w:r>
      <w:r>
        <w:rPr/>
        <w:t> 行业用户需求开展产品和技术研发，面向市场推出了取证金刚、手机数据高级分析系统、恢复大师、计算 机审计系统、手机恢复塔、法眼视频分析系统、流动执法车系统、互联网信息采编报送系统、有害信息查 </w:t>
      </w:r>
      <w:r>
        <w:rPr>
          <w:spacing w:val="-3"/>
        </w:rPr>
        <w:t>控平台、网络安全态势管理与分析平台系统、信息安全等级保护系统等十多款新产品，并完成了取证大师、</w:t>
      </w:r>
      <w:r>
        <w:rPr>
          <w:spacing w:val="-90"/>
        </w:rPr>
        <w:t> </w:t>
      </w:r>
      <w:r>
        <w:rPr>
          <w:spacing w:val="-90"/>
        </w:rPr>
      </w:r>
      <w:r>
        <w:rPr/>
        <w:t>取证塔、手机取证一体机、执法工作云系统、网络线索分析导图系统、可视化数据智能分析系统等二十余</w:t>
      </w:r>
      <w:r>
        <w:rPr/>
        <w:t> 款重要产品的升级研发，进一步丰富了公司产品体系，提高了服务能力，保障了公司收入持续稳定增长。</w:t>
      </w:r>
    </w:p>
    <w:p>
      <w:pPr>
        <w:pStyle w:val="BodyText"/>
        <w:spacing w:line="240" w:lineRule="auto" w:before="144"/>
        <w:ind w:left="573" w:right="97"/>
        <w:jc w:val="left"/>
      </w:pPr>
      <w:r>
        <w:rPr/>
        <w:t>近三年公司研发投入金额及占营业收入的比例：</w:t>
      </w:r>
    </w:p>
    <w:p>
      <w:pPr>
        <w:spacing w:line="240" w:lineRule="auto" w:before="7"/>
        <w:rPr>
          <w:rFonts w:ascii="宋体" w:hAnsi="宋体" w:cs="宋体" w:eastAsia="宋体" w:hint="default"/>
          <w:sz w:val="15"/>
          <w:szCs w:val="15"/>
        </w:rPr>
      </w:pPr>
    </w:p>
    <w:tbl>
      <w:tblPr>
        <w:tblW w:w="0" w:type="auto"/>
        <w:jc w:val="left"/>
        <w:tblInd w:w="160" w:type="dxa"/>
        <w:tblLayout w:type="fixed"/>
        <w:tblCellMar>
          <w:top w:w="0" w:type="dxa"/>
          <w:left w:w="0" w:type="dxa"/>
          <w:bottom w:w="0" w:type="dxa"/>
          <w:right w:w="0" w:type="dxa"/>
        </w:tblCellMar>
        <w:tblLook w:val="01E0"/>
      </w:tblPr>
      <w:tblGrid>
        <w:gridCol w:w="3946"/>
        <w:gridCol w:w="1712"/>
        <w:gridCol w:w="1843"/>
        <w:gridCol w:w="2054"/>
      </w:tblGrid>
      <w:tr>
        <w:trPr>
          <w:trHeight w:val="402" w:hRule="exact"/>
        </w:trPr>
        <w:tc>
          <w:tcPr>
            <w:tcW w:w="394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9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743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695</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60" w:bottom="1220" w:left="980" w:right="920"/>
        </w:sect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969"/>
        <w:gridCol w:w="1701"/>
        <w:gridCol w:w="1843"/>
        <w:gridCol w:w="2054"/>
      </w:tblGrid>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65.58%</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68.95%</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111,352,153.42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87,837,042.55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67,377,869.00</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17.26%</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16,841,050.28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19,773,197.75</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29,725,462.99</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44.12%</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47.27%</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研发投入总额占营业收入的比重较上年发生显著变化的原因</w:t>
      </w:r>
    </w:p>
    <w:p>
      <w:pPr>
        <w:spacing w:line="240" w:lineRule="auto" w:before="10"/>
        <w:rPr>
          <w:rFonts w:ascii="宋体" w:hAnsi="宋体" w:cs="宋体" w:eastAsia="宋体" w:hint="default"/>
          <w:sz w:val="16"/>
          <w:szCs w:val="16"/>
        </w:rPr>
      </w:pPr>
    </w:p>
    <w:p>
      <w:pPr>
        <w:pStyle w:val="BodyText"/>
        <w:spacing w:line="408" w:lineRule="auto"/>
        <w:ind w:right="47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研发投入资本化率大幅变动的原因及其合理性说明</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1"/>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5、现金流" w:id="38"/>
      <w:bookmarkEnd w:id="38"/>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230"/>
        <w:gridCol w:w="1855"/>
        <w:gridCol w:w="1842"/>
        <w:gridCol w:w="1630"/>
      </w:tblGrid>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979,527,777.18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786,660,633.42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24.52%</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797,941,613.63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612,999,476.01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30.17%</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181,586,163.55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173,661,157.41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224,383,423.18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178,078,262.02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26.00%</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346,223,930.13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311,717,720.39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11.07%</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-121,840,506.95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-133,639,458.37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1,206,968.00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58.25%</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13,629,044.56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7,315,476.00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86.30%</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-11,719,044.56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-6,108,508.00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-91.85%</w:t>
            </w:r>
          </w:p>
        </w:tc>
      </w:tr>
      <w:tr>
        <w:trPr>
          <w:trHeight w:val="402" w:hRule="exact"/>
        </w:trPr>
        <w:tc>
          <w:tcPr>
            <w:tcW w:w="42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48,136,508.86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33,883,805.82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42.06%</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相关数据同比发生重大变动的主要影响因素说明：</w:t>
      </w:r>
    </w:p>
    <w:p>
      <w:pPr>
        <w:spacing w:line="240" w:lineRule="auto" w:before="10"/>
        <w:rPr>
          <w:rFonts w:ascii="宋体" w:hAnsi="宋体" w:cs="宋体" w:eastAsia="宋体" w:hint="default"/>
          <w:sz w:val="16"/>
          <w:szCs w:val="16"/>
        </w:rPr>
      </w:pPr>
    </w:p>
    <w:p>
      <w:pPr>
        <w:pStyle w:val="BodyText"/>
        <w:spacing w:line="309" w:lineRule="auto"/>
        <w:ind w:left="153" w:right="152" w:firstLine="420"/>
        <w:jc w:val="both"/>
      </w:pPr>
      <w:r>
        <w:rPr>
          <w:rFonts w:ascii="Times New Roman" w:hAnsi="Times New Roman" w:cs="Times New Roman" w:eastAsia="Times New Roman" w:hint="default"/>
        </w:rPr>
        <w:t>1</w:t>
      </w:r>
      <w:r>
        <w:rPr/>
        <w:t>、经营活动现金流入较去年同期增长</w:t>
      </w:r>
      <w:r>
        <w:rPr>
          <w:rFonts w:ascii="Times New Roman" w:hAnsi="Times New Roman" w:cs="Times New Roman" w:eastAsia="Times New Roman" w:hint="default"/>
        </w:rPr>
        <w:t>24.52%</w:t>
      </w:r>
      <w:r>
        <w:rPr/>
        <w:t>，主要是由于报告期内公司销售商品、提供劳务收到的 </w:t>
      </w:r>
      <w:r>
        <w:rPr>
          <w:spacing w:val="-1"/>
        </w:rPr>
        <w:t>现金较去年同期有所增加所致；经营活动现金流出较去年同期增长</w:t>
      </w:r>
      <w:r>
        <w:rPr>
          <w:rFonts w:ascii="Times New Roman" w:hAnsi="Times New Roman" w:cs="Times New Roman" w:eastAsia="Times New Roman" w:hint="default"/>
          <w:spacing w:val="-1"/>
        </w:rPr>
        <w:t>30.17%</w:t>
      </w:r>
      <w:r>
        <w:rPr>
          <w:spacing w:val="-1"/>
        </w:rPr>
        <w:t>，主要是由于报告期公司经营规</w:t>
      </w:r>
      <w:r>
        <w:rPr>
          <w:spacing w:val="-100"/>
        </w:rPr>
        <w:t> </w:t>
      </w:r>
      <w:r>
        <w:rPr>
          <w:spacing w:val="-100"/>
        </w:rPr>
      </w:r>
      <w:r>
        <w:rPr/>
        <w:t>模扩大采购量较去年同期增加所致。经营活动产生的现金流量净额较去年同期增长</w:t>
      </w:r>
      <w:r>
        <w:rPr>
          <w:rFonts w:ascii="Times New Roman" w:hAnsi="Times New Roman" w:cs="Times New Roman" w:eastAsia="Times New Roman" w:hint="default"/>
        </w:rPr>
        <w:t>4.56%</w:t>
      </w:r>
      <w:r>
        <w:rPr/>
        <w:t>，主要是由于报 告期内公司销售商品、提供劳务收到的现金较去年同期有所增加所致。</w:t>
      </w:r>
    </w:p>
    <w:p>
      <w:pPr>
        <w:pStyle w:val="BodyText"/>
        <w:spacing w:line="309" w:lineRule="auto" w:before="158"/>
        <w:ind w:left="153" w:right="152" w:firstLine="420"/>
        <w:jc w:val="both"/>
      </w:pPr>
      <w:r>
        <w:rPr>
          <w:rFonts w:ascii="Times New Roman" w:hAnsi="Times New Roman" w:cs="Times New Roman" w:eastAsia="Times New Roman" w:hint="default"/>
          <w:spacing w:val="-3"/>
        </w:rPr>
        <w:t>2</w:t>
      </w:r>
      <w:r>
        <w:rPr>
          <w:spacing w:val="-3"/>
        </w:rPr>
        <w:t>、投资活动现金流入较去年同期增加</w:t>
      </w:r>
      <w:r>
        <w:rPr>
          <w:rFonts w:ascii="Times New Roman" w:hAnsi="Times New Roman" w:cs="Times New Roman" w:eastAsia="Times New Roman" w:hint="default"/>
          <w:spacing w:val="-3"/>
        </w:rPr>
        <w:t>26%</w:t>
      </w:r>
      <w:r>
        <w:rPr>
          <w:spacing w:val="-3"/>
        </w:rPr>
        <w:t>，主要为累计收回到期定期存款较去年同期增加所致。投资</w:t>
      </w:r>
      <w:r>
        <w:rPr/>
        <w:t> </w:t>
      </w:r>
      <w:r>
        <w:rPr>
          <w:spacing w:val="-1"/>
        </w:rPr>
        <w:t>活动现金流出较去年同期增加</w:t>
      </w:r>
      <w:r>
        <w:rPr>
          <w:rFonts w:ascii="Times New Roman" w:hAnsi="Times New Roman" w:cs="Times New Roman" w:eastAsia="Times New Roman" w:hint="default"/>
          <w:spacing w:val="-1"/>
        </w:rPr>
        <w:t>11.07%</w:t>
      </w:r>
      <w:r>
        <w:rPr>
          <w:spacing w:val="-1"/>
        </w:rPr>
        <w:t>，主要为本年公司定期存款累计支出金额去年同期增加及对外股权投</w:t>
      </w:r>
      <w:r>
        <w:rPr>
          <w:spacing w:val="-98"/>
        </w:rPr>
        <w:t> </w:t>
      </w:r>
      <w:r>
        <w:rPr>
          <w:spacing w:val="-98"/>
        </w:rPr>
      </w:r>
      <w:r>
        <w:rPr/>
        <w:t>资增加所致。投资活动产生的现金流量净额较去年同期增加</w:t>
      </w:r>
      <w:r>
        <w:rPr>
          <w:rFonts w:ascii="Times New Roman" w:hAnsi="Times New Roman" w:cs="Times New Roman" w:eastAsia="Times New Roman" w:hint="default"/>
        </w:rPr>
        <w:t>8.83%</w:t>
      </w:r>
      <w:r>
        <w:rPr/>
        <w:t>，主要是由于报告期累计收回到期定期 存款较去年同期增加所致。</w:t>
      </w:r>
    </w:p>
    <w:p>
      <w:pPr>
        <w:spacing w:after="0" w:line="309" w:lineRule="auto"/>
        <w:jc w:val="both"/>
        <w:sectPr>
          <w:pgSz w:w="11910" w:h="16840"/>
          <w:pgMar w:header="918" w:footer="1020" w:top="1160" w:bottom="1220" w:left="980" w:right="980"/>
        </w:sectPr>
      </w:pPr>
    </w:p>
    <w:p>
      <w:pPr>
        <w:spacing w:line="240" w:lineRule="auto" w:before="5"/>
        <w:rPr>
          <w:rFonts w:ascii="宋体" w:hAnsi="宋体" w:cs="宋体" w:eastAsia="宋体" w:hint="default"/>
          <w:sz w:val="20"/>
          <w:szCs w:val="20"/>
        </w:rPr>
      </w:pPr>
    </w:p>
    <w:p>
      <w:pPr>
        <w:pStyle w:val="BodyText"/>
        <w:spacing w:line="309" w:lineRule="auto" w:before="35"/>
        <w:ind w:left="153" w:right="200" w:firstLine="420"/>
        <w:jc w:val="left"/>
      </w:pPr>
      <w:r>
        <w:rPr>
          <w:rFonts w:ascii="Times New Roman" w:hAnsi="Times New Roman" w:cs="Times New Roman" w:eastAsia="Times New Roman" w:hint="default"/>
        </w:rPr>
        <w:t>3</w:t>
      </w:r>
      <w:r>
        <w:rPr/>
        <w:t>、筹资活动现金流入较去年同期增加</w:t>
      </w:r>
      <w:r>
        <w:rPr>
          <w:rFonts w:ascii="Times New Roman" w:hAnsi="Times New Roman" w:cs="Times New Roman" w:eastAsia="Times New Roman" w:hint="default"/>
        </w:rPr>
        <w:t>58.25%</w:t>
      </w:r>
      <w:r>
        <w:rPr/>
        <w:t>，主要是由于控股子公司武汉大千纳入合并的现金增加 所致。</w:t>
      </w:r>
    </w:p>
    <w:p>
      <w:pPr>
        <w:pStyle w:val="BodyText"/>
        <w:spacing w:line="309" w:lineRule="auto" w:before="158"/>
        <w:ind w:left="153" w:right="200" w:firstLine="420"/>
        <w:jc w:val="left"/>
      </w:pPr>
      <w:r>
        <w:rPr>
          <w:rFonts w:ascii="Times New Roman" w:hAnsi="Times New Roman" w:cs="Times New Roman" w:eastAsia="Times New Roman" w:hint="default"/>
        </w:rPr>
        <w:t>4</w:t>
      </w:r>
      <w:r>
        <w:rPr/>
        <w:t>、筹资活动现金流出较去年同期增加</w:t>
      </w:r>
      <w:r>
        <w:rPr>
          <w:rFonts w:ascii="Times New Roman" w:hAnsi="Times New Roman" w:cs="Times New Roman" w:eastAsia="Times New Roman" w:hint="default"/>
        </w:rPr>
        <w:t>86.30%</w:t>
      </w:r>
      <w:r>
        <w:rPr/>
        <w:t>，主要是由于公司利润分配金额</w:t>
      </w:r>
      <w:r>
        <w:rPr>
          <w:rFonts w:ascii="Times New Roman" w:hAnsi="Times New Roman" w:cs="Times New Roman" w:eastAsia="Times New Roman" w:hint="default"/>
        </w:rPr>
        <w:t>2014</w:t>
      </w:r>
      <w:r>
        <w:rPr/>
        <w:t>年度较</w:t>
      </w:r>
      <w:r>
        <w:rPr>
          <w:rFonts w:ascii="Times New Roman" w:hAnsi="Times New Roman" w:cs="Times New Roman" w:eastAsia="Times New Roman" w:hint="default"/>
        </w:rPr>
        <w:t>2013</w:t>
      </w:r>
      <w:r>
        <w:rPr/>
        <w:t>年度增 加、子公司分配少数股东股利及支付非公开发行股份中介机构费所致。</w:t>
      </w:r>
    </w:p>
    <w:p>
      <w:pPr>
        <w:pStyle w:val="BodyText"/>
        <w:spacing w:line="309" w:lineRule="auto" w:before="158"/>
        <w:ind w:left="153" w:right="200" w:firstLine="420"/>
        <w:jc w:val="left"/>
      </w:pPr>
      <w:r>
        <w:rPr>
          <w:rFonts w:ascii="Times New Roman" w:hAnsi="Times New Roman" w:cs="Times New Roman" w:eastAsia="Times New Roman" w:hint="default"/>
        </w:rPr>
        <w:t>5</w:t>
      </w:r>
      <w:r>
        <w:rPr/>
        <w:t>、现金及现金等价物净增加额较去年同期增加</w:t>
      </w:r>
      <w:r>
        <w:rPr>
          <w:rFonts w:ascii="Times New Roman" w:hAnsi="Times New Roman" w:cs="Times New Roman" w:eastAsia="Times New Roman" w:hint="default"/>
        </w:rPr>
        <w:t>42.06%</w:t>
      </w:r>
      <w:r>
        <w:rPr/>
        <w:t>，主要是由于本年度公司收到销售款较去年同 期增所致。</w:t>
      </w:r>
    </w:p>
    <w:p>
      <w:pPr>
        <w:pStyle w:val="BodyText"/>
        <w:spacing w:line="240" w:lineRule="auto" w:before="158"/>
        <w:ind w:left="573" w:right="0"/>
        <w:jc w:val="left"/>
      </w:pPr>
      <w:r>
        <w:rPr/>
        <w:t>报告期内公司经营活动产生的现金净流量与本年度净利润存在重大差异的原因说明：</w:t>
      </w:r>
    </w:p>
    <w:p>
      <w:pPr>
        <w:spacing w:line="240" w:lineRule="auto" w:before="10"/>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三、非主营业务情况</w:t>
      </w:r>
      <w:r>
        <w:rPr>
          <w:b w:val="0"/>
          <w:bCs w:val="0"/>
        </w:rPr>
      </w:r>
    </w:p>
    <w:p>
      <w:pPr>
        <w:spacing w:line="240" w:lineRule="auto" w:before="7"/>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三、非主营业务情况" w:id="39"/>
      <w:bookmarkEnd w:id="39"/>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313"/>
        <w:gridCol w:w="1276"/>
        <w:gridCol w:w="3204"/>
        <w:gridCol w:w="2254"/>
      </w:tblGrid>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313" w:type="dxa"/>
            <w:tcBorders>
              <w:top w:val="single" w:sz="4" w:space="0" w:color="000000"/>
              <w:left w:val="single" w:sz="4" w:space="0" w:color="000000"/>
              <w:bottom w:val="nil" w:sz="6" w:space="0" w:color="auto"/>
              <w:right w:val="single" w:sz="4" w:space="0" w:color="000000"/>
            </w:tcBorders>
            <w:shd w:val="clear" w:color="auto" w:fill="D4D4D4"/>
          </w:tcPr>
          <w:p>
            <w:pPr/>
          </w:p>
        </w:tc>
        <w:tc>
          <w:tcPr>
            <w:tcW w:w="127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542" w:right="91" w:hanging="450"/>
              <w:jc w:val="left"/>
              <w:rPr>
                <w:rFonts w:ascii="宋体" w:hAnsi="宋体" w:cs="宋体" w:eastAsia="宋体" w:hint="default"/>
                <w:sz w:val="18"/>
                <w:szCs w:val="18"/>
              </w:rPr>
            </w:pPr>
            <w:r>
              <w:rPr>
                <w:rFonts w:ascii="宋体" w:hAnsi="宋体" w:cs="宋体" w:eastAsia="宋体" w:hint="default"/>
                <w:sz w:val="18"/>
                <w:szCs w:val="18"/>
              </w:rPr>
              <w:t>占利润总额比 例</w:t>
            </w:r>
          </w:p>
        </w:tc>
        <w:tc>
          <w:tcPr>
            <w:tcW w:w="3204" w:type="dxa"/>
            <w:tcBorders>
              <w:top w:val="single" w:sz="4" w:space="0" w:color="000000"/>
              <w:left w:val="single" w:sz="4" w:space="0" w:color="000000"/>
              <w:bottom w:val="nil" w:sz="6" w:space="0" w:color="auto"/>
              <w:right w:val="single" w:sz="4" w:space="0" w:color="000000"/>
            </w:tcBorders>
            <w:shd w:val="clear" w:color="auto" w:fill="D4D4D4"/>
          </w:tcPr>
          <w:p>
            <w:pPr/>
          </w:p>
        </w:tc>
        <w:tc>
          <w:tcPr>
            <w:tcW w:w="225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4D4D4"/>
          </w:tcPr>
          <w:p>
            <w:pPr/>
          </w:p>
        </w:tc>
        <w:tc>
          <w:tcPr>
            <w:tcW w:w="131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tcBorders>
              <w:left w:val="single" w:sz="4" w:space="0" w:color="000000"/>
              <w:right w:val="single" w:sz="4" w:space="0" w:color="000000"/>
            </w:tcBorders>
            <w:shd w:val="clear" w:color="auto" w:fill="D4D4D4"/>
          </w:tcPr>
          <w:p>
            <w:pPr/>
          </w:p>
        </w:tc>
        <w:tc>
          <w:tcPr>
            <w:tcW w:w="320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056"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4D4D4"/>
          </w:tcPr>
          <w:p>
            <w:pPr/>
          </w:p>
        </w:tc>
        <w:tc>
          <w:tcPr>
            <w:tcW w:w="1313" w:type="dxa"/>
            <w:tcBorders>
              <w:top w:val="nil" w:sz="6" w:space="0" w:color="auto"/>
              <w:left w:val="single" w:sz="4" w:space="0" w:color="000000"/>
              <w:bottom w:val="single" w:sz="4" w:space="0" w:color="000000"/>
              <w:right w:val="single" w:sz="4" w:space="0" w:color="000000"/>
            </w:tcBorders>
            <w:shd w:val="clear" w:color="auto" w:fill="D4D4D4"/>
          </w:tcPr>
          <w:p>
            <w:pPr/>
          </w:p>
        </w:tc>
        <w:tc>
          <w:tcPr>
            <w:tcW w:w="1276" w:type="dxa"/>
            <w:vMerge/>
            <w:tcBorders>
              <w:left w:val="single" w:sz="4" w:space="0" w:color="000000"/>
              <w:bottom w:val="single" w:sz="4" w:space="0" w:color="000000"/>
              <w:right w:val="single" w:sz="4" w:space="0" w:color="000000"/>
            </w:tcBorders>
            <w:shd w:val="clear" w:color="auto" w:fill="D4D4D4"/>
          </w:tcPr>
          <w:p>
            <w:pPr/>
          </w:p>
        </w:tc>
        <w:tc>
          <w:tcPr>
            <w:tcW w:w="3204" w:type="dxa"/>
            <w:tcBorders>
              <w:top w:val="nil" w:sz="6" w:space="0" w:color="auto"/>
              <w:left w:val="single" w:sz="4" w:space="0" w:color="000000"/>
              <w:bottom w:val="single" w:sz="4" w:space="0" w:color="000000"/>
              <w:right w:val="single" w:sz="4" w:space="0" w:color="000000"/>
            </w:tcBorders>
            <w:shd w:val="clear" w:color="auto" w:fill="D4D4D4"/>
          </w:tcPr>
          <w:p>
            <w:pPr/>
          </w:p>
        </w:tc>
        <w:tc>
          <w:tcPr>
            <w:tcW w:w="225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21" w:hRule="exact"/>
        </w:trPr>
        <w:tc>
          <w:tcPr>
            <w:tcW w:w="15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313" w:type="dxa"/>
            <w:vMerge w:val="restart"/>
            <w:tcBorders>
              <w:top w:val="single" w:sz="4" w:space="0" w:color="000000"/>
              <w:left w:val="single" w:sz="9" w:space="0" w:color="D4D4D4"/>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-5,861,412.89</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8" w:right="0"/>
              <w:jc w:val="left"/>
              <w:rPr>
                <w:rFonts w:ascii="Times New Roman" w:hAnsi="Times New Roman" w:cs="Times New Roman" w:eastAsia="Times New Roman" w:hint="default"/>
                <w:sz w:val="18"/>
                <w:szCs w:val="18"/>
              </w:rPr>
            </w:pPr>
            <w:r>
              <w:rPr>
                <w:rFonts w:ascii="Times New Roman"/>
                <w:sz w:val="18"/>
              </w:rPr>
              <w:t>-3.39%</w:t>
            </w:r>
          </w:p>
        </w:tc>
        <w:tc>
          <w:tcPr>
            <w:tcW w:w="320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公司具有重大影响参股公司亏损</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pacing w:val="2"/>
                <w:sz w:val="18"/>
                <w:szCs w:val="18"/>
              </w:rPr>
              <w:t>权益法核算的长期股权投资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收益具有可持续性</w:t>
            </w:r>
          </w:p>
        </w:tc>
      </w:tr>
      <w:tr>
        <w:trPr>
          <w:trHeight w:val="512" w:hRule="exact"/>
        </w:trPr>
        <w:tc>
          <w:tcPr>
            <w:tcW w:w="1523" w:type="dxa"/>
            <w:tcBorders>
              <w:top w:val="nil" w:sz="6" w:space="0" w:color="auto"/>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13" w:type="dxa"/>
            <w:vMerge/>
            <w:tcBorders>
              <w:left w:val="single" w:sz="9" w:space="0" w:color="D4D4D4"/>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20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317" w:hRule="exact"/>
        </w:trPr>
        <w:tc>
          <w:tcPr>
            <w:tcW w:w="15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313"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20,120,049.34</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4" w:right="0"/>
              <w:jc w:val="left"/>
              <w:rPr>
                <w:rFonts w:ascii="Times New Roman" w:hAnsi="Times New Roman" w:cs="Times New Roman" w:eastAsia="Times New Roman" w:hint="default"/>
                <w:sz w:val="18"/>
                <w:szCs w:val="18"/>
              </w:rPr>
            </w:pPr>
            <w:r>
              <w:rPr>
                <w:rFonts w:ascii="Times New Roman"/>
                <w:sz w:val="18"/>
              </w:rPr>
              <w:t>11.64%</w:t>
            </w:r>
          </w:p>
        </w:tc>
        <w:tc>
          <w:tcPr>
            <w:tcW w:w="320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6"/>
              <w:jc w:val="both"/>
              <w:rPr>
                <w:rFonts w:ascii="宋体" w:hAnsi="宋体" w:cs="宋体" w:eastAsia="宋体" w:hint="default"/>
                <w:sz w:val="18"/>
                <w:szCs w:val="18"/>
              </w:rPr>
            </w:pPr>
            <w:r>
              <w:rPr>
                <w:rFonts w:ascii="宋体" w:hAnsi="宋体" w:cs="宋体" w:eastAsia="宋体" w:hint="default"/>
                <w:spacing w:val="4"/>
                <w:sz w:val="18"/>
                <w:szCs w:val="18"/>
              </w:rPr>
              <w:t>根据会计准则及公司会计估计政策对应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收、存货和无形资产进行减值测试计提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的部分</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13" w:type="dxa"/>
            <w:vMerge/>
            <w:tcBorders>
              <w:left w:val="single" w:sz="9" w:space="0" w:color="D4D4D4"/>
              <w:right w:val="single" w:sz="4" w:space="0" w:color="000000"/>
            </w:tcBorders>
          </w:tcPr>
          <w:p>
            <w:pPr/>
          </w:p>
        </w:tc>
        <w:tc>
          <w:tcPr>
            <w:tcW w:w="1276" w:type="dxa"/>
            <w:vMerge/>
            <w:tcBorders>
              <w:left w:val="single" w:sz="4" w:space="0" w:color="000000"/>
              <w:right w:val="single" w:sz="4" w:space="0" w:color="000000"/>
            </w:tcBorders>
          </w:tcPr>
          <w:p>
            <w:pPr/>
          </w:p>
        </w:tc>
        <w:tc>
          <w:tcPr>
            <w:tcW w:w="320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23" w:type="dxa"/>
            <w:tcBorders>
              <w:top w:val="nil" w:sz="6" w:space="0" w:color="auto"/>
              <w:left w:val="single" w:sz="4" w:space="0" w:color="000000"/>
              <w:bottom w:val="single" w:sz="4" w:space="0" w:color="000000"/>
              <w:right w:val="single" w:sz="4" w:space="0" w:color="000000"/>
            </w:tcBorders>
            <w:shd w:val="clear" w:color="auto" w:fill="D4D4D4"/>
          </w:tcPr>
          <w:p>
            <w:pPr/>
          </w:p>
        </w:tc>
        <w:tc>
          <w:tcPr>
            <w:tcW w:w="1313" w:type="dxa"/>
            <w:vMerge/>
            <w:tcBorders>
              <w:left w:val="single" w:sz="9" w:space="0" w:color="D4D4D4"/>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20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4D4D4"/>
          </w:tcPr>
          <w:p>
            <w:pPr/>
          </w:p>
        </w:tc>
        <w:tc>
          <w:tcPr>
            <w:tcW w:w="1313"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44,765,202.87</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25.90%</w:t>
            </w:r>
          </w:p>
        </w:tc>
        <w:tc>
          <w:tcPr>
            <w:tcW w:w="320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主要为公司软件资产软件退税收入及政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府补助</w:t>
            </w:r>
          </w:p>
        </w:tc>
        <w:tc>
          <w:tcPr>
            <w:tcW w:w="225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软件退税具有可持续性，其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他政府补助不具有可持续性</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13" w:type="dxa"/>
            <w:vMerge/>
            <w:tcBorders>
              <w:left w:val="single" w:sz="9" w:space="0" w:color="D4D4D4"/>
              <w:right w:val="single" w:sz="4" w:space="0" w:color="000000"/>
            </w:tcBorders>
          </w:tcPr>
          <w:p>
            <w:pPr/>
          </w:p>
        </w:tc>
        <w:tc>
          <w:tcPr>
            <w:tcW w:w="1276" w:type="dxa"/>
            <w:vMerge/>
            <w:tcBorders>
              <w:left w:val="single" w:sz="4" w:space="0" w:color="000000"/>
              <w:right w:val="single" w:sz="4" w:space="0" w:color="000000"/>
            </w:tcBorders>
          </w:tcPr>
          <w:p>
            <w:pPr/>
          </w:p>
        </w:tc>
        <w:tc>
          <w:tcPr>
            <w:tcW w:w="320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4D4D4"/>
          </w:tcPr>
          <w:p>
            <w:pPr/>
          </w:p>
        </w:tc>
        <w:tc>
          <w:tcPr>
            <w:tcW w:w="1313" w:type="dxa"/>
            <w:vMerge/>
            <w:tcBorders>
              <w:left w:val="single" w:sz="9" w:space="0" w:color="D4D4D4"/>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320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1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462" w:right="0"/>
              <w:jc w:val="left"/>
              <w:rPr>
                <w:rFonts w:ascii="Times New Roman" w:hAnsi="Times New Roman" w:cs="Times New Roman" w:eastAsia="Times New Roman" w:hint="default"/>
                <w:sz w:val="18"/>
                <w:szCs w:val="18"/>
              </w:rPr>
            </w:pPr>
            <w:r>
              <w:rPr>
                <w:rFonts w:ascii="Times New Roman"/>
                <w:sz w:val="18"/>
              </w:rPr>
              <w:t>682,127.88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0.39%</w:t>
            </w:r>
          </w:p>
        </w:tc>
        <w:tc>
          <w:tcPr>
            <w:tcW w:w="3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主要为公司对外捐赠及资产清理损失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四、资产及负债状况" w:id="40"/>
      <w:bookmarkEnd w:id="40"/>
      <w:r>
        <w:rPr/>
      </w:r>
      <w:bookmarkStart w:name="1、资产构成重大变动情况" w:id="41"/>
      <w:bookmarkEnd w:id="41"/>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26"/>
        <w:gridCol w:w="901"/>
        <w:gridCol w:w="1195"/>
        <w:gridCol w:w="1063"/>
        <w:gridCol w:w="798"/>
        <w:gridCol w:w="2917"/>
      </w:tblGrid>
      <w:tr>
        <w:trPr>
          <w:trHeight w:val="385"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291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78" w:hRule="exact"/>
        </w:trPr>
        <w:tc>
          <w:tcPr>
            <w:tcW w:w="1357" w:type="dxa"/>
            <w:vMerge w:val="restart"/>
            <w:tcBorders>
              <w:top w:val="nil" w:sz="6" w:space="0" w:color="auto"/>
              <w:left w:val="single" w:sz="4" w:space="0" w:color="000000"/>
              <w:right w:val="single" w:sz="4" w:space="0" w:color="000000"/>
            </w:tcBorders>
            <w:shd w:val="clear" w:color="auto" w:fill="D4D4D4"/>
          </w:tcPr>
          <w:p>
            <w:pPr/>
          </w:p>
        </w:tc>
        <w:tc>
          <w:tcPr>
            <w:tcW w:w="1326" w:type="dxa"/>
            <w:tcBorders>
              <w:top w:val="single" w:sz="4" w:space="0" w:color="000000"/>
              <w:left w:val="single" w:sz="4" w:space="0" w:color="000000"/>
              <w:bottom w:val="nil" w:sz="6" w:space="0" w:color="auto"/>
              <w:right w:val="single" w:sz="4" w:space="0" w:color="000000"/>
            </w:tcBorders>
            <w:shd w:val="clear" w:color="auto" w:fill="D4D4D4"/>
          </w:tcPr>
          <w:p>
            <w:pPr/>
          </w:p>
        </w:tc>
        <w:tc>
          <w:tcPr>
            <w:tcW w:w="901"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68"/>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nil" w:sz="6" w:space="0" w:color="auto"/>
              <w:right w:val="single" w:sz="4" w:space="0" w:color="000000"/>
            </w:tcBorders>
            <w:shd w:val="clear" w:color="auto" w:fill="D4D4D4"/>
          </w:tcPr>
          <w:p>
            <w:pPr/>
          </w:p>
        </w:tc>
        <w:tc>
          <w:tcPr>
            <w:tcW w:w="1063"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68"/>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29"/>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4D4D4"/>
          </w:tcPr>
          <w:p>
            <w:pPr/>
          </w:p>
        </w:tc>
        <w:tc>
          <w:tcPr>
            <w:tcW w:w="13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4D4D4"/>
          </w:tcPr>
          <w:p>
            <w:pPr/>
          </w:p>
        </w:tc>
        <w:tc>
          <w:tcPr>
            <w:tcW w:w="119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4D4D4"/>
          </w:tcPr>
          <w:p>
            <w:pPr/>
          </w:p>
        </w:tc>
        <w:tc>
          <w:tcPr>
            <w:tcW w:w="798" w:type="dxa"/>
            <w:vMerge/>
            <w:tcBorders>
              <w:left w:val="single" w:sz="4" w:space="0" w:color="000000"/>
              <w:bottom w:val="nil" w:sz="6" w:space="0" w:color="auto"/>
              <w:right w:val="single" w:sz="4" w:space="0" w:color="000000"/>
            </w:tcBorders>
            <w:shd w:val="clear" w:color="auto" w:fill="D4D4D4"/>
          </w:tcPr>
          <w:p>
            <w:pPr/>
          </w:p>
        </w:tc>
        <w:tc>
          <w:tcPr>
            <w:tcW w:w="2917"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4D4D4"/>
          </w:tcPr>
          <w:p>
            <w:pPr/>
          </w:p>
        </w:tc>
        <w:tc>
          <w:tcPr>
            <w:tcW w:w="1326" w:type="dxa"/>
            <w:vMerge/>
            <w:tcBorders>
              <w:left w:val="single" w:sz="4" w:space="0" w:color="000000"/>
              <w:bottom w:val="nil" w:sz="6" w:space="0" w:color="auto"/>
              <w:right w:val="single" w:sz="4" w:space="0" w:color="000000"/>
            </w:tcBorders>
            <w:shd w:val="clear" w:color="auto" w:fill="D4D4D4"/>
          </w:tcPr>
          <w:p>
            <w:pPr/>
          </w:p>
        </w:tc>
        <w:tc>
          <w:tcPr>
            <w:tcW w:w="901" w:type="dxa"/>
            <w:vMerge/>
            <w:tcBorders>
              <w:left w:val="single" w:sz="4" w:space="0" w:color="000000"/>
              <w:right w:val="single" w:sz="4" w:space="0" w:color="000000"/>
            </w:tcBorders>
            <w:shd w:val="clear" w:color="auto" w:fill="D4D4D4"/>
          </w:tcPr>
          <w:p>
            <w:pPr/>
          </w:p>
        </w:tc>
        <w:tc>
          <w:tcPr>
            <w:tcW w:w="1195" w:type="dxa"/>
            <w:vMerge/>
            <w:tcBorders>
              <w:left w:val="single" w:sz="4" w:space="0" w:color="000000"/>
              <w:bottom w:val="nil" w:sz="6" w:space="0" w:color="auto"/>
              <w:right w:val="single" w:sz="4" w:space="0" w:color="000000"/>
            </w:tcBorders>
            <w:shd w:val="clear" w:color="auto" w:fill="D4D4D4"/>
          </w:tcPr>
          <w:p>
            <w:pPr/>
          </w:p>
        </w:tc>
        <w:tc>
          <w:tcPr>
            <w:tcW w:w="1063" w:type="dxa"/>
            <w:vMerge/>
            <w:tcBorders>
              <w:left w:val="single" w:sz="4" w:space="0" w:color="000000"/>
              <w:right w:val="single" w:sz="4" w:space="0" w:color="000000"/>
            </w:tcBorders>
            <w:shd w:val="clear" w:color="auto" w:fill="D4D4D4"/>
          </w:tcPr>
          <w:p>
            <w:pPr/>
          </w:p>
        </w:tc>
        <w:tc>
          <w:tcPr>
            <w:tcW w:w="798" w:type="dxa"/>
            <w:vMerge w:val="restart"/>
            <w:tcBorders>
              <w:top w:val="nil" w:sz="6" w:space="0" w:color="auto"/>
              <w:left w:val="single" w:sz="4" w:space="0" w:color="000000"/>
              <w:right w:val="single" w:sz="4" w:space="0" w:color="000000"/>
            </w:tcBorders>
            <w:shd w:val="clear" w:color="auto" w:fill="D4D4D4"/>
          </w:tcPr>
          <w:p>
            <w:pPr/>
          </w:p>
        </w:tc>
        <w:tc>
          <w:tcPr>
            <w:tcW w:w="2917"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4D4D4"/>
          </w:tcPr>
          <w:p>
            <w:pPr/>
          </w:p>
        </w:tc>
        <w:tc>
          <w:tcPr>
            <w:tcW w:w="1326" w:type="dxa"/>
            <w:tcBorders>
              <w:top w:val="nil" w:sz="6" w:space="0" w:color="auto"/>
              <w:left w:val="single" w:sz="4" w:space="0" w:color="000000"/>
              <w:bottom w:val="single" w:sz="4" w:space="0" w:color="000000"/>
              <w:right w:val="single" w:sz="4" w:space="0" w:color="000000"/>
            </w:tcBorders>
            <w:shd w:val="clear" w:color="auto" w:fill="D4D4D4"/>
          </w:tcPr>
          <w:p>
            <w:pPr/>
          </w:p>
        </w:tc>
        <w:tc>
          <w:tcPr>
            <w:tcW w:w="901" w:type="dxa"/>
            <w:vMerge/>
            <w:tcBorders>
              <w:left w:val="single" w:sz="4" w:space="0" w:color="000000"/>
              <w:bottom w:val="single" w:sz="4" w:space="0" w:color="000000"/>
              <w:right w:val="single" w:sz="4" w:space="0" w:color="000000"/>
            </w:tcBorders>
            <w:shd w:val="clear" w:color="auto" w:fill="D4D4D4"/>
          </w:tcPr>
          <w:p>
            <w:pPr/>
          </w:p>
        </w:tc>
        <w:tc>
          <w:tcPr>
            <w:tcW w:w="1195" w:type="dxa"/>
            <w:tcBorders>
              <w:top w:val="nil" w:sz="6" w:space="0" w:color="auto"/>
              <w:left w:val="single" w:sz="4" w:space="0" w:color="000000"/>
              <w:bottom w:val="single" w:sz="4" w:space="0" w:color="000000"/>
              <w:right w:val="single" w:sz="4" w:space="0" w:color="000000"/>
            </w:tcBorders>
            <w:shd w:val="clear" w:color="auto" w:fill="D4D4D4"/>
          </w:tcPr>
          <w:p>
            <w:pPr/>
          </w:p>
        </w:tc>
        <w:tc>
          <w:tcPr>
            <w:tcW w:w="1063"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2917" w:type="dxa"/>
            <w:vMerge/>
            <w:tcBorders>
              <w:left w:val="single" w:sz="4" w:space="0" w:color="000000"/>
              <w:bottom w:val="single" w:sz="4" w:space="0" w:color="000000"/>
              <w:right w:val="single" w:sz="4" w:space="0" w:color="000000"/>
            </w:tcBorders>
            <w:shd w:val="clear" w:color="auto" w:fill="D4D4D4"/>
          </w:tcPr>
          <w:p>
            <w:pPr/>
          </w:p>
        </w:tc>
      </w:tr>
      <w:tr>
        <w:trPr>
          <w:trHeight w:val="941" w:hRule="exact"/>
        </w:trPr>
        <w:tc>
          <w:tcPr>
            <w:tcW w:w="1357" w:type="dxa"/>
            <w:tcBorders>
              <w:top w:val="single" w:sz="4" w:space="0" w:color="000000"/>
              <w:left w:val="single" w:sz="4" w:space="0" w:color="000000"/>
              <w:bottom w:val="nil" w:sz="6" w:space="0" w:color="auto"/>
              <w:right w:val="single" w:sz="4" w:space="0" w:color="000000"/>
            </w:tcBorders>
            <w:shd w:val="clear" w:color="auto" w:fill="D4D4D4"/>
          </w:tcPr>
          <w:p>
            <w:pPr/>
          </w:p>
        </w:tc>
        <w:tc>
          <w:tcPr>
            <w:tcW w:w="1326"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597,515,534.47</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27.13%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521,675,111.47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39.69%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-12.56%</w:t>
            </w:r>
          </w:p>
        </w:tc>
        <w:tc>
          <w:tcPr>
            <w:tcW w:w="2917"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6"/>
              <w:jc w:val="both"/>
              <w:rPr>
                <w:rFonts w:ascii="宋体" w:hAnsi="宋体" w:cs="宋体" w:eastAsia="宋体" w:hint="default"/>
                <w:sz w:val="18"/>
                <w:szCs w:val="18"/>
              </w:rPr>
            </w:pPr>
            <w:r>
              <w:rPr>
                <w:rFonts w:ascii="宋体" w:hAnsi="宋体" w:cs="宋体" w:eastAsia="宋体" w:hint="default"/>
                <w:spacing w:val="11"/>
                <w:sz w:val="18"/>
                <w:szCs w:val="18"/>
              </w:rPr>
              <w:t>货币资金较年初增长主要是由于本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报告期公司营业收入增加收到货款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较上年同期增加所致；比重下降主要</w:t>
            </w:r>
            <w:r>
              <w:rPr>
                <w:rFonts w:ascii="宋体" w:hAnsi="宋体" w:cs="宋体" w:eastAsia="宋体" w:hint="default"/>
                <w:sz w:val="18"/>
                <w:szCs w:val="18"/>
              </w:rPr>
              <w:t> </w:t>
            </w:r>
            <w:r>
              <w:rPr>
                <w:rFonts w:ascii="宋体" w:hAnsi="宋体" w:cs="宋体" w:eastAsia="宋体" w:hint="default"/>
                <w:spacing w:val="11"/>
                <w:sz w:val="18"/>
                <w:szCs w:val="18"/>
              </w:rPr>
              <w:t>是由于报告期公司发行股份购买资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产事项之标的资产江苏税软</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权及新德汇</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股权过户完成，总资</w:t>
            </w:r>
            <w:r>
              <w:rPr>
                <w:rFonts w:ascii="宋体" w:hAnsi="宋体" w:cs="宋体" w:eastAsia="宋体" w:hint="default"/>
                <w:sz w:val="18"/>
                <w:szCs w:val="18"/>
              </w:rPr>
              <w:t> 产增加所致。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6" w:type="dxa"/>
            <w:vMerge/>
            <w:tcBorders>
              <w:left w:val="single" w:sz="9" w:space="0" w:color="D4D4D4"/>
              <w:right w:val="single" w:sz="4" w:space="0" w:color="000000"/>
            </w:tcBorders>
          </w:tcPr>
          <w:p>
            <w:pPr/>
          </w:p>
        </w:tc>
        <w:tc>
          <w:tcPr>
            <w:tcW w:w="901"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941" w:hRule="exact"/>
        </w:trPr>
        <w:tc>
          <w:tcPr>
            <w:tcW w:w="135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26" w:type="dxa"/>
            <w:vMerge/>
            <w:tcBorders>
              <w:left w:val="single" w:sz="9" w:space="0" w:color="D4D4D4"/>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260,284,685.54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9" w:right="0"/>
              <w:jc w:val="left"/>
              <w:rPr>
                <w:rFonts w:ascii="Times New Roman" w:hAnsi="Times New Roman" w:cs="Times New Roman" w:eastAsia="Times New Roman" w:hint="default"/>
                <w:sz w:val="18"/>
                <w:szCs w:val="18"/>
              </w:rPr>
            </w:pPr>
            <w:r>
              <w:rPr>
                <w:rFonts w:ascii="Times New Roman"/>
                <w:sz w:val="18"/>
              </w:rPr>
              <w:t>11.82%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172,468,410.78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13.12%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-1.30%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11"/>
                <w:sz w:val="18"/>
                <w:szCs w:val="18"/>
              </w:rPr>
              <w:t>应收账款较年初增长主要是由于本</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18" w:footer="1020" w:top="1160" w:bottom="1220" w:left="98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26"/>
        <w:gridCol w:w="901"/>
        <w:gridCol w:w="1195"/>
        <w:gridCol w:w="1063"/>
        <w:gridCol w:w="798"/>
        <w:gridCol w:w="2917"/>
      </w:tblGrid>
      <w:tr>
        <w:trPr>
          <w:trHeight w:val="16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2" w:right="6"/>
              <w:jc w:val="both"/>
              <w:rPr>
                <w:rFonts w:ascii="宋体" w:hAnsi="宋体" w:cs="宋体" w:eastAsia="宋体" w:hint="default"/>
                <w:sz w:val="18"/>
                <w:szCs w:val="18"/>
              </w:rPr>
            </w:pPr>
            <w:r>
              <w:rPr>
                <w:rFonts w:ascii="宋体" w:hAnsi="宋体" w:cs="宋体" w:eastAsia="宋体" w:hint="default"/>
                <w:sz w:val="18"/>
                <w:szCs w:val="18"/>
              </w:rPr>
              <w:t>报告期公司业务量增加所致；比重下 </w:t>
            </w:r>
            <w:r>
              <w:rPr>
                <w:rFonts w:ascii="宋体" w:hAnsi="宋体" w:cs="宋体" w:eastAsia="宋体" w:hint="default"/>
                <w:spacing w:val="11"/>
                <w:sz w:val="18"/>
                <w:szCs w:val="18"/>
              </w:rPr>
              <w:t>降主要是由于报告期公司发行股份</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购买资产事项之标的资产江苏税软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股权及新德汇</w:t>
            </w:r>
            <w:r>
              <w:rPr>
                <w:rFonts w:ascii="宋体" w:hAnsi="宋体" w:cs="宋体" w:eastAsia="宋体" w:hint="default"/>
                <w:spacing w:val="17"/>
                <w:sz w:val="18"/>
                <w:szCs w:val="18"/>
              </w:rPr>
              <w:t> </w:t>
            </w:r>
            <w:r>
              <w:rPr>
                <w:rFonts w:ascii="Times New Roman" w:hAnsi="Times New Roman" w:cs="Times New Roman" w:eastAsia="Times New Roman" w:hint="default"/>
                <w:spacing w:val="2"/>
                <w:sz w:val="18"/>
                <w:szCs w:val="18"/>
              </w:rPr>
              <w:t>49%</w:t>
            </w:r>
            <w:r>
              <w:rPr>
                <w:rFonts w:ascii="宋体" w:hAnsi="宋体" w:cs="宋体" w:eastAsia="宋体" w:hint="default"/>
                <w:spacing w:val="2"/>
                <w:sz w:val="18"/>
                <w:szCs w:val="18"/>
              </w:rPr>
              <w:t>股权过户完</w:t>
            </w:r>
            <w:r>
              <w:rPr>
                <w:rFonts w:ascii="宋体" w:hAnsi="宋体" w:cs="宋体" w:eastAsia="宋体" w:hint="default"/>
                <w:spacing w:val="-86"/>
                <w:sz w:val="18"/>
                <w:szCs w:val="18"/>
              </w:rPr>
              <w:t> </w:t>
            </w:r>
            <w:r>
              <w:rPr>
                <w:rFonts w:ascii="宋体" w:hAnsi="宋体" w:cs="宋体" w:eastAsia="宋体" w:hint="default"/>
                <w:sz w:val="18"/>
                <w:szCs w:val="18"/>
              </w:rPr>
              <w:t>成，总资产增加所致。</w:t>
            </w:r>
          </w:p>
        </w:tc>
      </w:tr>
      <w:tr>
        <w:trPr>
          <w:trHeight w:val="22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250,357,531.01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185,015,384.88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
              <w:jc w:val="both"/>
              <w:rPr>
                <w:rFonts w:ascii="宋体" w:hAnsi="宋体" w:cs="宋体" w:eastAsia="宋体" w:hint="default"/>
                <w:sz w:val="18"/>
                <w:szCs w:val="18"/>
              </w:rPr>
            </w:pPr>
            <w:r>
              <w:rPr>
                <w:rFonts w:ascii="宋体" w:hAnsi="宋体" w:cs="宋体" w:eastAsia="宋体" w:hint="default"/>
                <w:spacing w:val="11"/>
                <w:sz w:val="18"/>
                <w:szCs w:val="18"/>
              </w:rPr>
              <w:t>存货较年初增长主要是由于公司经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营规模扩大，备货需求和发货尚未验</w:t>
            </w:r>
            <w:r>
              <w:rPr>
                <w:rFonts w:ascii="宋体" w:hAnsi="宋体" w:cs="宋体" w:eastAsia="宋体" w:hint="default"/>
                <w:sz w:val="18"/>
                <w:szCs w:val="18"/>
              </w:rPr>
              <w:t> 收增加所致；比重下降主要是由于报 </w:t>
            </w:r>
            <w:r>
              <w:rPr>
                <w:rFonts w:ascii="宋体" w:hAnsi="宋体" w:cs="宋体" w:eastAsia="宋体" w:hint="default"/>
                <w:spacing w:val="11"/>
                <w:sz w:val="18"/>
                <w:szCs w:val="18"/>
              </w:rPr>
              <w:t>告期公司发行股份购买资产事项之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标的资产江苏税软</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股权及新德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汇</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股权过户完成，总资产增加所</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8,416,087.90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9,749,104.35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10,494,012.21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3,850,530.97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252,465,899.57</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244,151,252.04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-7.11%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6"/>
              <w:jc w:val="both"/>
              <w:rPr>
                <w:rFonts w:ascii="宋体" w:hAnsi="宋体" w:cs="宋体" w:eastAsia="宋体" w:hint="default"/>
                <w:sz w:val="18"/>
                <w:szCs w:val="18"/>
              </w:rPr>
            </w:pPr>
            <w:r>
              <w:rPr>
                <w:rFonts w:ascii="宋体" w:hAnsi="宋体" w:cs="宋体" w:eastAsia="宋体" w:hint="default"/>
                <w:spacing w:val="11"/>
                <w:sz w:val="18"/>
                <w:szCs w:val="18"/>
              </w:rPr>
              <w:t>固定资产较年初增长主要是由于本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报告期在建完工转入及购置电子及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办公设备所致；比重下降主要是由于</w:t>
            </w:r>
            <w:r>
              <w:rPr>
                <w:rFonts w:ascii="宋体" w:hAnsi="宋体" w:cs="宋体" w:eastAsia="宋体" w:hint="default"/>
                <w:sz w:val="18"/>
                <w:szCs w:val="18"/>
              </w:rPr>
              <w:t> </w:t>
            </w:r>
            <w:r>
              <w:rPr>
                <w:rFonts w:ascii="宋体" w:hAnsi="宋体" w:cs="宋体" w:eastAsia="宋体" w:hint="default"/>
                <w:spacing w:val="11"/>
                <w:sz w:val="18"/>
                <w:szCs w:val="18"/>
              </w:rPr>
              <w:t>报告期公司发行股份购买资产事项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之标的资产江苏税软</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股权及新</w:t>
            </w:r>
            <w:r>
              <w:rPr>
                <w:rFonts w:ascii="宋体" w:hAnsi="宋体" w:cs="宋体" w:eastAsia="宋体" w:hint="default"/>
                <w:spacing w:val="-88"/>
                <w:sz w:val="18"/>
                <w:szCs w:val="18"/>
              </w:rPr>
              <w:t> </w:t>
            </w:r>
            <w:r>
              <w:rPr>
                <w:rFonts w:ascii="宋体" w:hAnsi="宋体" w:cs="宋体" w:eastAsia="宋体" w:hint="default"/>
                <w:sz w:val="18"/>
                <w:szCs w:val="18"/>
              </w:rPr>
              <w:t>德汇</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股权过户完成，总资产增加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12,809,362.00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322,487.67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
              <w:jc w:val="both"/>
              <w:rPr>
                <w:rFonts w:ascii="宋体" w:hAnsi="宋体" w:cs="宋体" w:eastAsia="宋体" w:hint="default"/>
                <w:sz w:val="18"/>
                <w:szCs w:val="18"/>
              </w:rPr>
            </w:pPr>
            <w:r>
              <w:rPr>
                <w:rFonts w:ascii="宋体" w:hAnsi="宋体" w:cs="宋体" w:eastAsia="宋体" w:hint="default"/>
                <w:spacing w:val="11"/>
                <w:sz w:val="18"/>
                <w:szCs w:val="18"/>
              </w:rPr>
              <w:t>在建工程较年初增长主要是东海火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炬科技园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楼装修工程部分楼层装 </w:t>
            </w:r>
            <w:r>
              <w:rPr>
                <w:rFonts w:ascii="宋体" w:hAnsi="宋体" w:cs="宋体" w:eastAsia="宋体" w:hint="default"/>
                <w:sz w:val="18"/>
                <w:szCs w:val="18"/>
              </w:rPr>
              <w:t>修尚未完工所致。</w:t>
            </w:r>
          </w:p>
        </w:tc>
      </w:tr>
      <w:tr>
        <w:trPr>
          <w:trHeight w:val="19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42,764,970.48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753,399.38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
              <w:jc w:val="both"/>
              <w:rPr>
                <w:rFonts w:ascii="宋体" w:hAnsi="宋体" w:cs="宋体" w:eastAsia="宋体" w:hint="default"/>
                <w:sz w:val="18"/>
                <w:szCs w:val="18"/>
              </w:rPr>
            </w:pPr>
            <w:r>
              <w:rPr>
                <w:rFonts w:ascii="宋体" w:hAnsi="宋体" w:cs="宋体" w:eastAsia="宋体" w:hint="default"/>
                <w:spacing w:val="11"/>
                <w:sz w:val="18"/>
                <w:szCs w:val="18"/>
              </w:rPr>
              <w:t>其他流动资产较年初增长及比重上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升主要是由于</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）新纳入合并的江苏 税软购买理财产品所致，该理财产品 子公司已于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日赎回，</w:t>
            </w:r>
          </w:p>
          <w:p>
            <w:pPr>
              <w:pStyle w:val="TableParagraph"/>
              <w:spacing w:line="302" w:lineRule="auto" w:before="3"/>
              <w:ind w:left="22" w:right="28"/>
              <w:jc w:val="both"/>
              <w:rPr>
                <w:rFonts w:ascii="宋体" w:hAnsi="宋体" w:cs="宋体" w:eastAsia="宋体" w:hint="default"/>
                <w:sz w:val="18"/>
                <w:szCs w:val="18"/>
              </w:rPr>
            </w:pPr>
            <w:r>
              <w:rPr>
                <w:rFonts w:ascii="宋体" w:hAnsi="宋体" w:cs="宋体" w:eastAsia="宋体" w:hint="default"/>
                <w:sz w:val="18"/>
                <w:szCs w:val="18"/>
              </w:rPr>
              <w:t>并取得投资收益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45,945.21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）预</w:t>
            </w:r>
            <w:r>
              <w:rPr>
                <w:rFonts w:ascii="宋体" w:hAnsi="宋体" w:cs="宋体" w:eastAsia="宋体" w:hint="default"/>
                <w:spacing w:val="-9"/>
                <w:sz w:val="18"/>
                <w:szCs w:val="18"/>
              </w:rPr>
              <w:t> </w:t>
            </w:r>
            <w:r>
              <w:rPr>
                <w:rFonts w:ascii="宋体" w:hAnsi="宋体" w:cs="宋体" w:eastAsia="宋体" w:hint="default"/>
                <w:sz w:val="18"/>
                <w:szCs w:val="18"/>
              </w:rPr>
              <w:t>缴企业所得税款。</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7"/>
                <w:sz w:val="18"/>
                <w:szCs w:val="18"/>
              </w:rPr>
              <w:t>可供出售金融资</w:t>
            </w:r>
            <w:r>
              <w:rPr>
                <w:rFonts w:ascii="宋体" w:hAnsi="宋体" w:cs="宋体" w:eastAsia="宋体" w:hint="default"/>
                <w:sz w:val="18"/>
                <w:szCs w:val="18"/>
              </w:rPr>
              <w:t> 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61,861,350.00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
              <w:jc w:val="both"/>
              <w:rPr>
                <w:rFonts w:ascii="宋体" w:hAnsi="宋体" w:cs="宋体" w:eastAsia="宋体" w:hint="default"/>
                <w:sz w:val="18"/>
                <w:szCs w:val="18"/>
              </w:rPr>
            </w:pPr>
            <w:r>
              <w:rPr>
                <w:rFonts w:ascii="宋体" w:hAnsi="宋体" w:cs="宋体" w:eastAsia="宋体" w:hint="default"/>
                <w:spacing w:val="11"/>
                <w:sz w:val="18"/>
                <w:szCs w:val="18"/>
              </w:rPr>
              <w:t>可供出售金融资产较年初增长及比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重上升主要是由于报告期公司投资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中新赛克所致</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44,764,196.74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55,037,614.48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
              <w:jc w:val="both"/>
              <w:rPr>
                <w:rFonts w:ascii="宋体" w:hAnsi="宋体" w:cs="宋体" w:eastAsia="宋体" w:hint="default"/>
                <w:sz w:val="18"/>
                <w:szCs w:val="18"/>
              </w:rPr>
            </w:pPr>
            <w:r>
              <w:rPr>
                <w:rFonts w:ascii="宋体" w:hAnsi="宋体" w:cs="宋体" w:eastAsia="宋体" w:hint="default"/>
                <w:spacing w:val="11"/>
                <w:sz w:val="18"/>
                <w:szCs w:val="18"/>
              </w:rPr>
              <w:t>无形资产较年初增长及比重上升主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要由于本报告期公司无形资产摊销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及无形资产计提减值准备所致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565,628,678.86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43,856,030.99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
              <w:jc w:val="both"/>
              <w:rPr>
                <w:rFonts w:ascii="宋体" w:hAnsi="宋体" w:cs="宋体" w:eastAsia="宋体" w:hint="default"/>
                <w:sz w:val="18"/>
                <w:szCs w:val="18"/>
              </w:rPr>
            </w:pPr>
            <w:r>
              <w:rPr>
                <w:rFonts w:ascii="宋体" w:hAnsi="宋体" w:cs="宋体" w:eastAsia="宋体" w:hint="default"/>
                <w:spacing w:val="11"/>
                <w:sz w:val="18"/>
                <w:szCs w:val="18"/>
              </w:rPr>
              <w:t>主要由于报告期公司发行股份购买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资产事项之标的资产江苏税软</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3"/>
                <w:sz w:val="18"/>
                <w:szCs w:val="18"/>
              </w:rPr>
              <w:t> </w:t>
            </w:r>
            <w:r>
              <w:rPr>
                <w:rFonts w:ascii="宋体" w:hAnsi="宋体" w:cs="宋体" w:eastAsia="宋体" w:hint="default"/>
                <w:spacing w:val="11"/>
                <w:sz w:val="18"/>
                <w:szCs w:val="18"/>
              </w:rPr>
              <w:t>股权及通过现金增资及购买获得的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武汉大千</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51%</w:t>
            </w:r>
            <w:r>
              <w:rPr>
                <w:rFonts w:ascii="宋体" w:hAnsi="宋体" w:cs="宋体" w:eastAsia="宋体" w:hint="default"/>
                <w:spacing w:val="-3"/>
                <w:sz w:val="18"/>
                <w:szCs w:val="18"/>
              </w:rPr>
              <w:t>过户完成，商誉增加所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致。</w:t>
            </w:r>
          </w:p>
        </w:tc>
      </w:tr>
    </w:tbl>
    <w:p>
      <w:pPr>
        <w:spacing w:after="0" w:line="309" w:lineRule="auto"/>
        <w:jc w:val="both"/>
        <w:rPr>
          <w:rFonts w:ascii="宋体" w:hAnsi="宋体" w:cs="宋体" w:eastAsia="宋体" w:hint="default"/>
          <w:sz w:val="18"/>
          <w:szCs w:val="18"/>
        </w:rPr>
        <w:sectPr>
          <w:pgSz w:w="11910" w:h="16840"/>
          <w:pgMar w:header="918" w:footer="1020" w:top="1160" w:bottom="1220" w:left="980" w:right="980"/>
        </w:sectPr>
      </w:pPr>
    </w:p>
    <w:p>
      <w:pPr>
        <w:spacing w:line="240" w:lineRule="auto" w:before="7"/>
        <w:rPr>
          <w:rFonts w:ascii="Times New Roman" w:hAnsi="Times New Roman" w:cs="Times New Roman" w:eastAsia="Times New Roman" w:hint="default"/>
          <w:sz w:val="20"/>
          <w:szCs w:val="20"/>
        </w:rPr>
      </w:pPr>
      <w:r>
        <w:rPr/>
        <w:pict>
          <v:group style="position:absolute;margin-left:134.940002pt;margin-top:635.25pt;width:24.1pt;height:121.55pt;mso-position-horizontal-relative:page;mso-position-vertical-relative:page;z-index:-1178896" coordorigin="2699,12705" coordsize="482,2431">
            <v:group style="position:absolute;left:2710;top:12716;width:2;height:392" coordorigin="2710,12716" coordsize="2,392">
              <v:shape style="position:absolute;left:2710;top:12716;width:2;height:392" coordorigin="2710,12716" coordsize="0,392" path="m2710,12716l2710,13108e" filled="false" stroked="true" strokeweight="1.140pt" strokecolor="#ffffff">
                <v:path arrowok="t"/>
              </v:shape>
            </v:group>
            <v:group style="position:absolute;left:2699;top:13108;width:482;height:2028" coordorigin="2699,13108" coordsize="482,2028">
              <v:shape style="position:absolute;left:2699;top:13108;width:482;height:2028" coordorigin="2699,13108" coordsize="482,2028" path="m2699,15136l3180,15136,3180,13108,2699,13108,2699,15136xe" filled="true" fillcolor="#ffffff" stroked="false">
                <v:path arrowok="t"/>
                <v:fill type="solid"/>
              </v:shape>
            </v:group>
            <v:group style="position:absolute;left:2722;top:12716;width:436;height:392" coordorigin="2722,12716" coordsize="436,392">
              <v:shape style="position:absolute;left:2722;top:12716;width:436;height:392" coordorigin="2722,12716" coordsize="436,392" path="m2722,13108l3157,13108,3157,12716,2722,12716,2722,13108xe" filled="true" fillcolor="#ffffff" stroked="false">
                <v:path arrowok="t"/>
                <v:fill type="solid"/>
              </v:shape>
            </v:group>
            <w10:wrap type="none"/>
          </v:group>
        </w:pict>
      </w:r>
    </w:p>
    <w:p>
      <w:pPr>
        <w:pStyle w:val="Heading4"/>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6"/>
          <w:szCs w:val="26"/>
        </w:rPr>
      </w:pPr>
    </w:p>
    <w:p>
      <w:pPr>
        <w:spacing w:line="499" w:lineRule="auto" w:before="0"/>
        <w:ind w:left="154" w:right="688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bookmarkStart w:name="2、以公允价值计量的资产和负债" w:id="42"/>
      <w:bookmarkEnd w:id="42"/>
      <w:r>
        <w:rPr>
          <w:rFonts w:ascii="Times New Roman" w:hAnsi="Times New Roman" w:cs="Times New Roman" w:eastAsia="Times New Roman" w:hint="default"/>
          <w:sz w:val="21"/>
          <w:szCs w:val="21"/>
        </w:rPr>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不适用 </w:t>
      </w:r>
      <w:bookmarkStart w:name="五、投资状况分析" w:id="43"/>
      <w:bookmarkEnd w:id="43"/>
      <w:r>
        <w:rPr>
          <w:rFonts w:ascii="宋体" w:hAnsi="宋体" w:cs="宋体" w:eastAsia="宋体" w:hint="default"/>
          <w:sz w:val="21"/>
          <w:szCs w:val="21"/>
        </w:rPr>
      </w:r>
      <w:r>
        <w:rPr>
          <w:rFonts w:ascii="宋体" w:hAnsi="宋体" w:cs="宋体" w:eastAsia="宋体" w:hint="default"/>
          <w:b/>
          <w:bCs/>
          <w:sz w:val="24"/>
          <w:szCs w:val="24"/>
        </w:rPr>
        <w:t>五、投资状况分析</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8" w:right="0"/>
              <w:jc w:val="left"/>
              <w:rPr>
                <w:rFonts w:ascii="宋体" w:hAnsi="宋体" w:cs="宋体" w:eastAsia="宋体" w:hint="default"/>
                <w:sz w:val="18"/>
                <w:szCs w:val="18"/>
              </w:rPr>
            </w:pPr>
            <w:bookmarkStart w:name="1、总体情况" w:id="44"/>
            <w:bookmarkEnd w:id="44"/>
            <w:r>
              <w:rPr/>
            </w: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0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9" w:right="0"/>
              <w:jc w:val="left"/>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900,191,331.86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17,903.83%</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w:t>
      </w:r>
      <w:bookmarkStart w:name="2、报告期内获取的重大的股权投资情况" w:id="45"/>
      <w:bookmarkEnd w:id="45"/>
      <w:r>
        <w:rPr/>
        <w:t>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875"/>
        <w:gridCol w:w="491"/>
        <w:gridCol w:w="683"/>
        <w:gridCol w:w="810"/>
        <w:gridCol w:w="568"/>
        <w:gridCol w:w="566"/>
        <w:gridCol w:w="568"/>
        <w:gridCol w:w="1134"/>
        <w:gridCol w:w="566"/>
        <w:gridCol w:w="568"/>
        <w:gridCol w:w="566"/>
        <w:gridCol w:w="709"/>
        <w:gridCol w:w="775"/>
      </w:tblGrid>
      <w:tr>
        <w:trPr>
          <w:trHeight w:val="1025" w:hRule="exact"/>
        </w:trPr>
        <w:tc>
          <w:tcPr>
            <w:tcW w:w="6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8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4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6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8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7"/>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88" w:right="96" w:hanging="90"/>
              <w:jc w:val="left"/>
              <w:rPr>
                <w:rFonts w:ascii="宋体" w:hAnsi="宋体" w:cs="宋体" w:eastAsia="宋体" w:hint="default"/>
                <w:sz w:val="18"/>
                <w:szCs w:val="18"/>
              </w:rPr>
            </w:pPr>
            <w:r>
              <w:rPr>
                <w:rFonts w:ascii="宋体" w:hAnsi="宋体" w:cs="宋体" w:eastAsia="宋体" w:hint="default"/>
                <w:sz w:val="18"/>
                <w:szCs w:val="18"/>
              </w:rPr>
              <w:t>合作 方</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96"/>
              <w:jc w:val="left"/>
              <w:rPr>
                <w:rFonts w:ascii="宋体" w:hAnsi="宋体" w:cs="宋体" w:eastAsia="宋体" w:hint="default"/>
                <w:sz w:val="18"/>
                <w:szCs w:val="18"/>
              </w:rPr>
            </w:pPr>
            <w:r>
              <w:rPr>
                <w:rFonts w:ascii="宋体" w:hAnsi="宋体" w:cs="宋体" w:eastAsia="宋体" w:hint="default"/>
                <w:sz w:val="18"/>
                <w:szCs w:val="18"/>
              </w:rPr>
              <w:t>投资 期限</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99" w:right="96"/>
              <w:jc w:val="both"/>
              <w:rPr>
                <w:rFonts w:ascii="宋体" w:hAnsi="宋体" w:cs="宋体" w:eastAsia="宋体" w:hint="default"/>
                <w:sz w:val="18"/>
                <w:szCs w:val="18"/>
              </w:rPr>
            </w:pPr>
            <w:r>
              <w:rPr>
                <w:rFonts w:ascii="宋体" w:hAnsi="宋体" w:cs="宋体" w:eastAsia="宋体" w:hint="default"/>
                <w:sz w:val="18"/>
                <w:szCs w:val="18"/>
              </w:rPr>
              <w:t>本期 投资 盈亏</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80" w:right="7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1" w:right="11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962" w:hRule="exact"/>
        </w:trPr>
        <w:tc>
          <w:tcPr>
            <w:tcW w:w="68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8"/>
              <w:jc w:val="both"/>
              <w:rPr>
                <w:rFonts w:ascii="宋体" w:hAnsi="宋体" w:cs="宋体" w:eastAsia="宋体" w:hint="default"/>
                <w:sz w:val="18"/>
                <w:szCs w:val="18"/>
              </w:rPr>
            </w:pPr>
            <w:r>
              <w:rPr>
                <w:rFonts w:ascii="宋体" w:hAnsi="宋体" w:cs="宋体" w:eastAsia="宋体" w:hint="default"/>
                <w:spacing w:val="29"/>
                <w:sz w:val="18"/>
                <w:szCs w:val="18"/>
              </w:rPr>
              <w:t>江苏税</w:t>
            </w:r>
            <w:r>
              <w:rPr>
                <w:rFonts w:ascii="宋体" w:hAnsi="宋体" w:cs="宋体" w:eastAsia="宋体" w:hint="default"/>
                <w:spacing w:val="-46"/>
                <w:sz w:val="18"/>
                <w:szCs w:val="18"/>
              </w:rPr>
              <w:t> </w:t>
            </w:r>
            <w:r>
              <w:rPr>
                <w:rFonts w:ascii="宋体" w:hAnsi="宋体" w:cs="宋体" w:eastAsia="宋体" w:hint="default"/>
                <w:spacing w:val="29"/>
                <w:sz w:val="18"/>
                <w:szCs w:val="18"/>
              </w:rPr>
              <w:t>软软件</w:t>
            </w:r>
            <w:r>
              <w:rPr>
                <w:rFonts w:ascii="宋体" w:hAnsi="宋体" w:cs="宋体" w:eastAsia="宋体" w:hint="default"/>
                <w:spacing w:val="-46"/>
                <w:sz w:val="18"/>
                <w:szCs w:val="18"/>
              </w:rPr>
              <w:t> </w:t>
            </w:r>
            <w:r>
              <w:rPr>
                <w:rFonts w:ascii="宋体" w:hAnsi="宋体" w:cs="宋体" w:eastAsia="宋体" w:hint="default"/>
                <w:spacing w:val="29"/>
                <w:sz w:val="18"/>
                <w:szCs w:val="18"/>
              </w:rPr>
              <w:t>科技有</w:t>
            </w:r>
            <w:r>
              <w:rPr>
                <w:rFonts w:ascii="宋体" w:hAnsi="宋体" w:cs="宋体" w:eastAsia="宋体" w:hint="default"/>
                <w:spacing w:val="-46"/>
                <w:sz w:val="18"/>
                <w:szCs w:val="18"/>
              </w:rPr>
              <w:t> </w:t>
            </w:r>
            <w:r>
              <w:rPr>
                <w:rFonts w:ascii="宋体" w:hAnsi="宋体" w:cs="宋体" w:eastAsia="宋体" w:hint="default"/>
                <w:sz w:val="18"/>
                <w:szCs w:val="18"/>
              </w:rPr>
              <w:t>限公司</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2"/>
              <w:ind w:left="16" w:right="-9"/>
              <w:jc w:val="both"/>
              <w:rPr>
                <w:rFonts w:ascii="宋体" w:hAnsi="宋体" w:cs="宋体" w:eastAsia="宋体" w:hint="default"/>
                <w:sz w:val="18"/>
                <w:szCs w:val="18"/>
              </w:rPr>
            </w:pPr>
            <w:r>
              <w:rPr>
                <w:rFonts w:ascii="宋体" w:hAnsi="宋体" w:cs="宋体" w:eastAsia="宋体" w:hint="default"/>
                <w:sz w:val="18"/>
                <w:szCs w:val="18"/>
              </w:rPr>
              <w:t>涉</w:t>
            </w:r>
            <w:r>
              <w:rPr>
                <w:rFonts w:ascii="宋体" w:hAnsi="宋体" w:cs="宋体" w:eastAsia="宋体" w:hint="default"/>
                <w:spacing w:val="-57"/>
                <w:sz w:val="18"/>
                <w:szCs w:val="18"/>
              </w:rPr>
              <w:t> </w:t>
            </w:r>
            <w:r>
              <w:rPr>
                <w:rFonts w:ascii="宋体" w:hAnsi="宋体" w:cs="宋体" w:eastAsia="宋体" w:hint="default"/>
                <w:spacing w:val="21"/>
                <w:sz w:val="18"/>
                <w:szCs w:val="18"/>
              </w:rPr>
              <w:t>税电子</w:t>
            </w:r>
            <w:r>
              <w:rPr>
                <w:rFonts w:ascii="宋体" w:hAnsi="宋体" w:cs="宋体" w:eastAsia="宋体" w:hint="default"/>
                <w:spacing w:val="-58"/>
                <w:sz w:val="18"/>
                <w:szCs w:val="18"/>
              </w:rPr>
              <w:t> </w:t>
            </w:r>
            <w:r>
              <w:rPr>
                <w:rFonts w:ascii="宋体" w:hAnsi="宋体" w:cs="宋体" w:eastAsia="宋体" w:hint="default"/>
                <w:sz w:val="18"/>
                <w:szCs w:val="18"/>
              </w:rPr>
              <w:t>数</w:t>
            </w:r>
            <w:r>
              <w:rPr>
                <w:rFonts w:ascii="宋体" w:hAnsi="宋体" w:cs="宋体" w:eastAsia="宋体" w:hint="default"/>
                <w:spacing w:val="-57"/>
                <w:sz w:val="18"/>
                <w:szCs w:val="18"/>
              </w:rPr>
              <w:t> </w:t>
            </w:r>
            <w:r>
              <w:rPr>
                <w:rFonts w:ascii="宋体" w:hAnsi="宋体" w:cs="宋体" w:eastAsia="宋体" w:hint="default"/>
                <w:spacing w:val="21"/>
                <w:sz w:val="18"/>
                <w:szCs w:val="18"/>
              </w:rPr>
              <w:t>据分析</w:t>
            </w:r>
            <w:r>
              <w:rPr>
                <w:rFonts w:ascii="宋体" w:hAnsi="宋体" w:cs="宋体" w:eastAsia="宋体" w:hint="default"/>
                <w:spacing w:val="-58"/>
                <w:sz w:val="18"/>
                <w:szCs w:val="18"/>
              </w:rPr>
              <w:t> </w:t>
            </w:r>
            <w:r>
              <w:rPr>
                <w:rFonts w:ascii="宋体" w:hAnsi="宋体" w:cs="宋体" w:eastAsia="宋体" w:hint="default"/>
                <w:sz w:val="18"/>
                <w:szCs w:val="18"/>
              </w:rPr>
              <w:t>解</w:t>
            </w:r>
            <w:r>
              <w:rPr>
                <w:rFonts w:ascii="宋体" w:hAnsi="宋体" w:cs="宋体" w:eastAsia="宋体" w:hint="default"/>
                <w:spacing w:val="-57"/>
                <w:sz w:val="18"/>
                <w:szCs w:val="18"/>
              </w:rPr>
              <w:t> </w:t>
            </w:r>
            <w:r>
              <w:rPr>
                <w:rFonts w:ascii="宋体" w:hAnsi="宋体" w:cs="宋体" w:eastAsia="宋体" w:hint="default"/>
                <w:spacing w:val="21"/>
                <w:sz w:val="18"/>
                <w:szCs w:val="18"/>
              </w:rPr>
              <w:t>决方案</w:t>
            </w:r>
            <w:r>
              <w:rPr>
                <w:rFonts w:ascii="宋体" w:hAnsi="宋体" w:cs="宋体" w:eastAsia="宋体" w:hint="default"/>
                <w:spacing w:val="-58"/>
                <w:sz w:val="18"/>
                <w:szCs w:val="18"/>
              </w:rPr>
              <w:t> </w:t>
            </w:r>
            <w:r>
              <w:rPr>
                <w:rFonts w:ascii="宋体" w:hAnsi="宋体" w:cs="宋体" w:eastAsia="宋体" w:hint="default"/>
                <w:spacing w:val="-17"/>
                <w:sz w:val="18"/>
                <w:szCs w:val="18"/>
              </w:rPr>
              <w:t>的研究、设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sz w:val="18"/>
                <w:szCs w:val="18"/>
              </w:rPr>
              <w:t>计开发、市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场推广等</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543,199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,986.88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61"/>
                <w:sz w:val="18"/>
                <w:szCs w:val="18"/>
              </w:rPr>
              <w:t> </w:t>
            </w:r>
            <w:r>
              <w:rPr>
                <w:rFonts w:ascii="宋体" w:hAnsi="宋体" w:cs="宋体" w:eastAsia="宋体" w:hint="default"/>
                <w:sz w:val="18"/>
                <w:szCs w:val="18"/>
              </w:rPr>
              <w:t>发</w:t>
            </w:r>
            <w:r>
              <w:rPr>
                <w:rFonts w:ascii="宋体" w:hAnsi="宋体" w:cs="宋体" w:eastAsia="宋体" w:hint="default"/>
                <w:sz w:val="18"/>
                <w:szCs w:val="18"/>
              </w:rPr>
              <w:t> 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韦</w:t>
            </w:r>
            <w:r>
              <w:rPr>
                <w:rFonts w:ascii="宋体" w:hAnsi="宋体" w:cs="宋体" w:eastAsia="宋体" w:hint="default"/>
                <w:spacing w:val="61"/>
                <w:sz w:val="18"/>
                <w:szCs w:val="18"/>
              </w:rPr>
              <w:t> </w:t>
            </w:r>
            <w:r>
              <w:rPr>
                <w:rFonts w:ascii="宋体" w:hAnsi="宋体" w:cs="宋体" w:eastAsia="宋体" w:hint="default"/>
                <w:sz w:val="18"/>
                <w:szCs w:val="18"/>
              </w:rPr>
              <w:t>玉</w:t>
            </w:r>
            <w:r>
              <w:rPr>
                <w:rFonts w:ascii="宋体" w:hAnsi="宋体" w:cs="宋体" w:eastAsia="宋体" w:hint="default"/>
                <w:sz w:val="18"/>
                <w:szCs w:val="18"/>
              </w:rPr>
              <w:t> 荣等</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数据采集、电 子查账、电子 选案、电子审 理、涉税鉴证 </w:t>
            </w:r>
            <w:r>
              <w:rPr>
                <w:rFonts w:ascii="宋体" w:hAnsi="宋体" w:cs="宋体" w:eastAsia="宋体" w:hint="default"/>
                <w:spacing w:val="35"/>
                <w:sz w:val="18"/>
                <w:szCs w:val="18"/>
              </w:rPr>
              <w:t>等涉税分析</w:t>
            </w:r>
            <w:r>
              <w:rPr>
                <w:rFonts w:ascii="宋体" w:hAnsi="宋体" w:cs="宋体" w:eastAsia="宋体" w:hint="default"/>
                <w:spacing w:val="-46"/>
                <w:sz w:val="18"/>
                <w:szCs w:val="18"/>
              </w:rPr>
              <w:t> </w:t>
            </w:r>
            <w:r>
              <w:rPr>
                <w:rFonts w:ascii="宋体" w:hAnsi="宋体" w:cs="宋体" w:eastAsia="宋体" w:hint="default"/>
                <w:sz w:val="18"/>
                <w:szCs w:val="18"/>
              </w:rPr>
              <w:t>软件</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巨 潮 资 讯</w:t>
            </w:r>
            <w:r>
              <w:rPr>
                <w:rFonts w:ascii="宋体" w:hAnsi="宋体" w:cs="宋体" w:eastAsia="宋体" w:hint="default"/>
                <w:spacing w:val="88"/>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z w:val="18"/>
                <w:szCs w:val="18"/>
              </w:rPr>
            </w:r>
          </w:p>
          <w:p>
            <w:pPr>
              <w:pStyle w:val="TableParagraph"/>
              <w:spacing w:line="362" w:lineRule="auto" w:before="23"/>
              <w:ind w:left="22" w:right="100"/>
              <w:jc w:val="both"/>
              <w:rPr>
                <w:rFonts w:ascii="Times New Roman" w:hAnsi="Times New Roman" w:cs="Times New Roman" w:eastAsia="Times New Roman" w:hint="default"/>
                <w:sz w:val="18"/>
                <w:szCs w:val="18"/>
              </w:rPr>
            </w:pPr>
            <w:r>
              <w:rPr>
                <w:rFonts w:ascii="Times New Roman"/>
                <w:sz w:val="18"/>
              </w:rPr>
              <w:t>nfo.com.</w:t>
            </w:r>
            <w:r>
              <w:rPr>
                <w:rFonts w:ascii="Times New Roman"/>
                <w:w w:val="99"/>
                <w:sz w:val="18"/>
              </w:rPr>
              <w:t> </w:t>
            </w:r>
            <w:r>
              <w:rPr>
                <w:rFonts w:ascii="Times New Roman"/>
                <w:sz w:val="18"/>
              </w:rPr>
              <w:t>cn</w:t>
            </w:r>
          </w:p>
        </w:tc>
      </w:tr>
      <w:tr>
        <w:trPr>
          <w:trHeight w:val="1650" w:hRule="exact"/>
        </w:trPr>
        <w:tc>
          <w:tcPr>
            <w:tcW w:w="68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28"/>
              <w:jc w:val="both"/>
              <w:rPr>
                <w:rFonts w:ascii="宋体" w:hAnsi="宋体" w:cs="宋体" w:eastAsia="宋体" w:hint="default"/>
                <w:sz w:val="18"/>
                <w:szCs w:val="18"/>
              </w:rPr>
            </w:pPr>
            <w:r>
              <w:rPr>
                <w:rFonts w:ascii="宋体" w:hAnsi="宋体" w:cs="宋体" w:eastAsia="宋体" w:hint="default"/>
                <w:spacing w:val="29"/>
                <w:sz w:val="18"/>
                <w:szCs w:val="18"/>
              </w:rPr>
              <w:t>珠海市</w:t>
            </w:r>
            <w:r>
              <w:rPr>
                <w:rFonts w:ascii="宋体" w:hAnsi="宋体" w:cs="宋体" w:eastAsia="宋体" w:hint="default"/>
                <w:spacing w:val="-46"/>
                <w:sz w:val="18"/>
                <w:szCs w:val="18"/>
              </w:rPr>
              <w:t> </w:t>
            </w:r>
            <w:r>
              <w:rPr>
                <w:rFonts w:ascii="宋体" w:hAnsi="宋体" w:cs="宋体" w:eastAsia="宋体" w:hint="default"/>
                <w:spacing w:val="29"/>
                <w:sz w:val="18"/>
                <w:szCs w:val="18"/>
              </w:rPr>
              <w:t>新德汇</w:t>
            </w:r>
            <w:r>
              <w:rPr>
                <w:rFonts w:ascii="宋体" w:hAnsi="宋体" w:cs="宋体" w:eastAsia="宋体" w:hint="default"/>
                <w:spacing w:val="-46"/>
                <w:sz w:val="18"/>
                <w:szCs w:val="18"/>
              </w:rPr>
              <w:t> </w:t>
            </w:r>
            <w:r>
              <w:rPr>
                <w:rFonts w:ascii="宋体" w:hAnsi="宋体" w:cs="宋体" w:eastAsia="宋体" w:hint="default"/>
                <w:spacing w:val="29"/>
                <w:sz w:val="18"/>
                <w:szCs w:val="18"/>
              </w:rPr>
              <w:t>信息技</w:t>
            </w:r>
            <w:r>
              <w:rPr>
                <w:rFonts w:ascii="宋体" w:hAnsi="宋体" w:cs="宋体" w:eastAsia="宋体" w:hint="default"/>
                <w:spacing w:val="-46"/>
                <w:sz w:val="18"/>
                <w:szCs w:val="18"/>
              </w:rPr>
              <w:t> </w:t>
            </w:r>
            <w:r>
              <w:rPr>
                <w:rFonts w:ascii="宋体" w:hAnsi="宋体" w:cs="宋体" w:eastAsia="宋体" w:hint="default"/>
                <w:spacing w:val="29"/>
                <w:sz w:val="18"/>
                <w:szCs w:val="18"/>
              </w:rPr>
              <w:t>术有限</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6" w:right="-9"/>
              <w:jc w:val="both"/>
              <w:rPr>
                <w:rFonts w:ascii="宋体" w:hAnsi="宋体" w:cs="宋体" w:eastAsia="宋体" w:hint="default"/>
                <w:sz w:val="18"/>
                <w:szCs w:val="18"/>
              </w:rPr>
            </w:pPr>
            <w:r>
              <w:rPr>
                <w:rFonts w:ascii="宋体" w:hAnsi="宋体" w:cs="宋体" w:eastAsia="宋体" w:hint="default"/>
                <w:sz w:val="18"/>
                <w:szCs w:val="18"/>
              </w:rPr>
              <w:t>政</w:t>
            </w:r>
            <w:r>
              <w:rPr>
                <w:rFonts w:ascii="宋体" w:hAnsi="宋体" w:cs="宋体" w:eastAsia="宋体" w:hint="default"/>
                <w:spacing w:val="-57"/>
                <w:sz w:val="18"/>
                <w:szCs w:val="18"/>
              </w:rPr>
              <w:t> </w:t>
            </w:r>
            <w:r>
              <w:rPr>
                <w:rFonts w:ascii="宋体" w:hAnsi="宋体" w:cs="宋体" w:eastAsia="宋体" w:hint="default"/>
                <w:spacing w:val="21"/>
                <w:sz w:val="18"/>
                <w:szCs w:val="18"/>
              </w:rPr>
              <w:t>法行业</w:t>
            </w:r>
            <w:r>
              <w:rPr>
                <w:rFonts w:ascii="宋体" w:hAnsi="宋体" w:cs="宋体" w:eastAsia="宋体" w:hint="default"/>
                <w:spacing w:val="-58"/>
                <w:sz w:val="18"/>
                <w:szCs w:val="18"/>
              </w:rPr>
              <w:t> </w:t>
            </w:r>
            <w:r>
              <w:rPr>
                <w:rFonts w:ascii="宋体" w:hAnsi="宋体" w:cs="宋体" w:eastAsia="宋体" w:hint="default"/>
                <w:sz w:val="18"/>
                <w:szCs w:val="18"/>
              </w:rPr>
              <w:t>信</w:t>
            </w:r>
            <w:r>
              <w:rPr>
                <w:rFonts w:ascii="宋体" w:hAnsi="宋体" w:cs="宋体" w:eastAsia="宋体" w:hint="default"/>
                <w:spacing w:val="-57"/>
                <w:sz w:val="18"/>
                <w:szCs w:val="18"/>
              </w:rPr>
              <w:t> </w:t>
            </w:r>
            <w:r>
              <w:rPr>
                <w:rFonts w:ascii="宋体" w:hAnsi="宋体" w:cs="宋体" w:eastAsia="宋体" w:hint="default"/>
                <w:spacing w:val="21"/>
                <w:sz w:val="18"/>
                <w:szCs w:val="18"/>
              </w:rPr>
              <w:t>息化建</w:t>
            </w:r>
            <w:r>
              <w:rPr>
                <w:rFonts w:ascii="宋体" w:hAnsi="宋体" w:cs="宋体" w:eastAsia="宋体" w:hint="default"/>
                <w:spacing w:val="-58"/>
                <w:sz w:val="18"/>
                <w:szCs w:val="18"/>
              </w:rPr>
              <w:t> </w:t>
            </w:r>
            <w:r>
              <w:rPr>
                <w:rFonts w:ascii="宋体" w:hAnsi="宋体" w:cs="宋体" w:eastAsia="宋体" w:hint="default"/>
                <w:sz w:val="18"/>
                <w:szCs w:val="18"/>
              </w:rPr>
              <w:t>设</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264,109</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,994.98</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61"/>
                <w:sz w:val="18"/>
                <w:szCs w:val="18"/>
              </w:rPr>
              <w:t> </w:t>
            </w:r>
            <w:r>
              <w:rPr>
                <w:rFonts w:ascii="宋体" w:hAnsi="宋体" w:cs="宋体" w:eastAsia="宋体" w:hint="default"/>
                <w:sz w:val="18"/>
                <w:szCs w:val="18"/>
              </w:rPr>
              <w:t>发</w:t>
            </w:r>
            <w:r>
              <w:rPr>
                <w:rFonts w:ascii="宋体" w:hAnsi="宋体" w:cs="宋体" w:eastAsia="宋体" w:hint="default"/>
                <w:sz w:val="18"/>
                <w:szCs w:val="18"/>
              </w:rPr>
              <w:t> 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苏</w:t>
            </w:r>
            <w:r>
              <w:rPr>
                <w:rFonts w:ascii="宋体" w:hAnsi="宋体" w:cs="宋体" w:eastAsia="宋体" w:hint="default"/>
                <w:spacing w:val="61"/>
                <w:sz w:val="18"/>
                <w:szCs w:val="18"/>
              </w:rPr>
              <w:t> </w:t>
            </w:r>
            <w:r>
              <w:rPr>
                <w:rFonts w:ascii="宋体" w:hAnsi="宋体" w:cs="宋体" w:eastAsia="宋体" w:hint="default"/>
                <w:sz w:val="18"/>
                <w:szCs w:val="18"/>
              </w:rPr>
              <w:t>学</w:t>
            </w:r>
            <w:r>
              <w:rPr>
                <w:rFonts w:ascii="宋体" w:hAnsi="宋体" w:cs="宋体" w:eastAsia="宋体" w:hint="default"/>
                <w:sz w:val="18"/>
                <w:szCs w:val="18"/>
              </w:rPr>
              <w:t> 武等</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8"/>
              <w:jc w:val="left"/>
              <w:rPr>
                <w:rFonts w:ascii="宋体" w:hAnsi="宋体" w:cs="宋体" w:eastAsia="宋体" w:hint="default"/>
                <w:sz w:val="18"/>
                <w:szCs w:val="18"/>
              </w:rPr>
            </w:pPr>
            <w:r>
              <w:rPr>
                <w:rFonts w:ascii="宋体" w:hAnsi="宋体" w:cs="宋体" w:eastAsia="宋体" w:hint="default"/>
                <w:spacing w:val="35"/>
                <w:sz w:val="18"/>
                <w:szCs w:val="18"/>
              </w:rPr>
              <w:t>公安情报信</w:t>
            </w:r>
            <w:r>
              <w:rPr>
                <w:rFonts w:ascii="宋体" w:hAnsi="宋体" w:cs="宋体" w:eastAsia="宋体" w:hint="default"/>
                <w:spacing w:val="-46"/>
                <w:sz w:val="18"/>
                <w:szCs w:val="18"/>
              </w:rPr>
              <w:t> </w:t>
            </w:r>
            <w:r>
              <w:rPr>
                <w:rFonts w:ascii="宋体" w:hAnsi="宋体" w:cs="宋体" w:eastAsia="宋体" w:hint="default"/>
                <w:sz w:val="18"/>
                <w:szCs w:val="18"/>
              </w:rPr>
              <w:t>息分析软件</w:t>
            </w:r>
          </w:p>
        </w:tc>
        <w:tc>
          <w:tcPr>
            <w:tcW w:w="566" w:type="dxa"/>
            <w:tcBorders>
              <w:top w:val="single" w:sz="4" w:space="0" w:color="000000"/>
              <w:left w:val="single" w:sz="9" w:space="0" w:color="FFFFFF"/>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巨 潮 资 讯</w:t>
            </w:r>
            <w:r>
              <w:rPr>
                <w:rFonts w:ascii="宋体" w:hAnsi="宋体" w:cs="宋体" w:eastAsia="宋体" w:hint="default"/>
                <w:spacing w:val="88"/>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z w:val="18"/>
                <w:szCs w:val="18"/>
              </w:rPr>
            </w:r>
          </w:p>
          <w:p>
            <w:pPr>
              <w:pStyle w:val="TableParagraph"/>
              <w:spacing w:line="362" w:lineRule="auto" w:before="23"/>
              <w:ind w:left="22" w:right="100"/>
              <w:jc w:val="both"/>
              <w:rPr>
                <w:rFonts w:ascii="Times New Roman" w:hAnsi="Times New Roman" w:cs="Times New Roman" w:eastAsia="Times New Roman" w:hint="default"/>
                <w:sz w:val="18"/>
                <w:szCs w:val="18"/>
              </w:rPr>
            </w:pPr>
            <w:r>
              <w:rPr>
                <w:rFonts w:ascii="Times New Roman"/>
                <w:sz w:val="18"/>
              </w:rPr>
              <w:t>nfo.com.</w:t>
            </w:r>
            <w:r>
              <w:rPr>
                <w:rFonts w:ascii="Times New Roman"/>
                <w:w w:val="99"/>
                <w:sz w:val="18"/>
              </w:rPr>
              <w:t> </w:t>
            </w:r>
            <w:r>
              <w:rPr>
                <w:rFonts w:ascii="Times New Roman"/>
                <w:sz w:val="18"/>
              </w:rPr>
              <w:t>cn</w:t>
            </w:r>
          </w:p>
        </w:tc>
      </w:tr>
      <w:tr>
        <w:trPr>
          <w:trHeight w:val="4459" w:hRule="exact"/>
        </w:trPr>
        <w:tc>
          <w:tcPr>
            <w:tcW w:w="68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28"/>
              <w:jc w:val="both"/>
              <w:rPr>
                <w:rFonts w:ascii="宋体" w:hAnsi="宋体" w:cs="宋体" w:eastAsia="宋体" w:hint="default"/>
                <w:sz w:val="18"/>
                <w:szCs w:val="18"/>
              </w:rPr>
            </w:pPr>
            <w:r>
              <w:rPr>
                <w:rFonts w:ascii="宋体" w:hAnsi="宋体" w:cs="宋体" w:eastAsia="宋体" w:hint="default"/>
                <w:spacing w:val="29"/>
                <w:sz w:val="18"/>
                <w:szCs w:val="18"/>
              </w:rPr>
              <w:t>武汉大</w:t>
            </w:r>
            <w:r>
              <w:rPr>
                <w:rFonts w:ascii="宋体" w:hAnsi="宋体" w:cs="宋体" w:eastAsia="宋体" w:hint="default"/>
                <w:spacing w:val="-46"/>
                <w:sz w:val="18"/>
                <w:szCs w:val="18"/>
              </w:rPr>
              <w:t> </w:t>
            </w:r>
            <w:r>
              <w:rPr>
                <w:rFonts w:ascii="宋体" w:hAnsi="宋体" w:cs="宋体" w:eastAsia="宋体" w:hint="default"/>
                <w:spacing w:val="29"/>
                <w:sz w:val="18"/>
                <w:szCs w:val="18"/>
              </w:rPr>
              <w:t>千信息</w:t>
            </w:r>
            <w:r>
              <w:rPr>
                <w:rFonts w:ascii="宋体" w:hAnsi="宋体" w:cs="宋体" w:eastAsia="宋体" w:hint="default"/>
                <w:spacing w:val="-46"/>
                <w:sz w:val="18"/>
                <w:szCs w:val="18"/>
              </w:rPr>
              <w:t> </w:t>
            </w:r>
            <w:r>
              <w:rPr>
                <w:rFonts w:ascii="宋体" w:hAnsi="宋体" w:cs="宋体" w:eastAsia="宋体" w:hint="default"/>
                <w:spacing w:val="29"/>
                <w:sz w:val="18"/>
                <w:szCs w:val="18"/>
              </w:rPr>
              <w:t>技术有</w:t>
            </w:r>
            <w:r>
              <w:rPr>
                <w:rFonts w:ascii="宋体" w:hAnsi="宋体" w:cs="宋体" w:eastAsia="宋体" w:hint="default"/>
                <w:spacing w:val="-46"/>
                <w:sz w:val="18"/>
                <w:szCs w:val="18"/>
              </w:rPr>
              <w:t> </w:t>
            </w:r>
            <w:r>
              <w:rPr>
                <w:rFonts w:ascii="宋体" w:hAnsi="宋体" w:cs="宋体" w:eastAsia="宋体" w:hint="default"/>
                <w:sz w:val="18"/>
                <w:szCs w:val="18"/>
              </w:rPr>
              <w:t>限公司</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2"/>
              <w:ind w:left="16" w:right="-9"/>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57"/>
                <w:sz w:val="18"/>
                <w:szCs w:val="18"/>
              </w:rPr>
              <w:t> </w:t>
            </w:r>
            <w:r>
              <w:rPr>
                <w:rFonts w:ascii="宋体" w:hAnsi="宋体" w:cs="宋体" w:eastAsia="宋体" w:hint="default"/>
                <w:spacing w:val="21"/>
                <w:sz w:val="18"/>
                <w:szCs w:val="18"/>
              </w:rPr>
              <w:t>能视频</w:t>
            </w:r>
            <w:r>
              <w:rPr>
                <w:rFonts w:ascii="宋体" w:hAnsi="宋体" w:cs="宋体" w:eastAsia="宋体" w:hint="default"/>
                <w:spacing w:val="-58"/>
                <w:sz w:val="18"/>
                <w:szCs w:val="18"/>
              </w:rPr>
              <w:t> </w:t>
            </w:r>
            <w:r>
              <w:rPr>
                <w:rFonts w:ascii="宋体" w:hAnsi="宋体" w:cs="宋体" w:eastAsia="宋体" w:hint="default"/>
                <w:sz w:val="18"/>
                <w:szCs w:val="18"/>
              </w:rPr>
              <w:t>分</w:t>
            </w:r>
            <w:r>
              <w:rPr>
                <w:rFonts w:ascii="宋体" w:hAnsi="宋体" w:cs="宋体" w:eastAsia="宋体" w:hint="default"/>
                <w:spacing w:val="-57"/>
                <w:sz w:val="18"/>
                <w:szCs w:val="18"/>
              </w:rPr>
              <w:t> </w:t>
            </w:r>
            <w:r>
              <w:rPr>
                <w:rFonts w:ascii="宋体" w:hAnsi="宋体" w:cs="宋体" w:eastAsia="宋体" w:hint="default"/>
                <w:spacing w:val="21"/>
                <w:sz w:val="18"/>
                <w:szCs w:val="18"/>
              </w:rPr>
              <w:t>析技术</w:t>
            </w:r>
            <w:r>
              <w:rPr>
                <w:rFonts w:ascii="宋体" w:hAnsi="宋体" w:cs="宋体" w:eastAsia="宋体" w:hint="default"/>
                <w:spacing w:val="-58"/>
                <w:sz w:val="18"/>
                <w:szCs w:val="18"/>
              </w:rPr>
              <w:t> </w:t>
            </w:r>
            <w:r>
              <w:rPr>
                <w:rFonts w:ascii="宋体" w:hAnsi="宋体" w:cs="宋体" w:eastAsia="宋体" w:hint="default"/>
                <w:sz w:val="18"/>
                <w:szCs w:val="18"/>
              </w:rPr>
              <w:t>研</w:t>
            </w:r>
            <w:r>
              <w:rPr>
                <w:rFonts w:ascii="宋体" w:hAnsi="宋体" w:cs="宋体" w:eastAsia="宋体" w:hint="default"/>
                <w:spacing w:val="-57"/>
                <w:sz w:val="18"/>
                <w:szCs w:val="18"/>
              </w:rPr>
              <w:t> </w:t>
            </w:r>
            <w:r>
              <w:rPr>
                <w:rFonts w:ascii="宋体" w:hAnsi="宋体" w:cs="宋体" w:eastAsia="宋体" w:hint="default"/>
                <w:spacing w:val="21"/>
                <w:sz w:val="18"/>
                <w:szCs w:val="18"/>
              </w:rPr>
              <w:t>究以及</w:t>
            </w:r>
            <w:r>
              <w:rPr>
                <w:rFonts w:ascii="宋体" w:hAnsi="宋体" w:cs="宋体" w:eastAsia="宋体" w:hint="default"/>
                <w:spacing w:val="-58"/>
                <w:sz w:val="18"/>
                <w:szCs w:val="18"/>
              </w:rPr>
              <w:t> </w:t>
            </w:r>
            <w:r>
              <w:rPr>
                <w:rFonts w:ascii="宋体" w:hAnsi="宋体" w:cs="宋体" w:eastAsia="宋体" w:hint="default"/>
                <w:sz w:val="18"/>
                <w:szCs w:val="18"/>
              </w:rPr>
              <w:t>公</w:t>
            </w:r>
            <w:r>
              <w:rPr>
                <w:rFonts w:ascii="宋体" w:hAnsi="宋体" w:cs="宋体" w:eastAsia="宋体" w:hint="default"/>
                <w:spacing w:val="-57"/>
                <w:sz w:val="18"/>
                <w:szCs w:val="18"/>
              </w:rPr>
              <w:t> </w:t>
            </w:r>
            <w:r>
              <w:rPr>
                <w:rFonts w:ascii="宋体" w:hAnsi="宋体" w:cs="宋体" w:eastAsia="宋体" w:hint="default"/>
                <w:spacing w:val="21"/>
                <w:sz w:val="18"/>
                <w:szCs w:val="18"/>
              </w:rPr>
              <w:t>共安全</w:t>
            </w:r>
            <w:r>
              <w:rPr>
                <w:rFonts w:ascii="宋体" w:hAnsi="宋体" w:cs="宋体" w:eastAsia="宋体" w:hint="default"/>
                <w:spacing w:val="-58"/>
                <w:sz w:val="18"/>
                <w:szCs w:val="18"/>
              </w:rPr>
              <w:t> </w:t>
            </w:r>
            <w:r>
              <w:rPr>
                <w:rFonts w:ascii="宋体" w:hAnsi="宋体" w:cs="宋体" w:eastAsia="宋体" w:hint="default"/>
                <w:sz w:val="18"/>
                <w:szCs w:val="18"/>
              </w:rPr>
              <w:t>行</w:t>
            </w:r>
            <w:r>
              <w:rPr>
                <w:rFonts w:ascii="宋体" w:hAnsi="宋体" w:cs="宋体" w:eastAsia="宋体" w:hint="default"/>
                <w:spacing w:val="-57"/>
                <w:sz w:val="18"/>
                <w:szCs w:val="18"/>
              </w:rPr>
              <w:t> </w:t>
            </w:r>
            <w:r>
              <w:rPr>
                <w:rFonts w:ascii="宋体" w:hAnsi="宋体" w:cs="宋体" w:eastAsia="宋体" w:hint="default"/>
                <w:spacing w:val="21"/>
                <w:sz w:val="18"/>
                <w:szCs w:val="18"/>
              </w:rPr>
              <w:t>业的海</w:t>
            </w:r>
            <w:r>
              <w:rPr>
                <w:rFonts w:ascii="宋体" w:hAnsi="宋体" w:cs="宋体" w:eastAsia="宋体" w:hint="default"/>
                <w:spacing w:val="-58"/>
                <w:sz w:val="18"/>
                <w:szCs w:val="18"/>
              </w:rPr>
              <w:t> </w:t>
            </w:r>
            <w:r>
              <w:rPr>
                <w:rFonts w:ascii="宋体" w:hAnsi="宋体" w:cs="宋体" w:eastAsia="宋体" w:hint="default"/>
                <w:sz w:val="18"/>
                <w:szCs w:val="18"/>
              </w:rPr>
              <w:t>量</w:t>
            </w:r>
            <w:r>
              <w:rPr>
                <w:rFonts w:ascii="宋体" w:hAnsi="宋体" w:cs="宋体" w:eastAsia="宋体" w:hint="default"/>
                <w:spacing w:val="-57"/>
                <w:sz w:val="18"/>
                <w:szCs w:val="18"/>
              </w:rPr>
              <w:t> </w:t>
            </w:r>
            <w:r>
              <w:rPr>
                <w:rFonts w:ascii="宋体" w:hAnsi="宋体" w:cs="宋体" w:eastAsia="宋体" w:hint="default"/>
                <w:spacing w:val="21"/>
                <w:sz w:val="18"/>
                <w:szCs w:val="18"/>
              </w:rPr>
              <w:t>图像与</w:t>
            </w:r>
            <w:r>
              <w:rPr>
                <w:rFonts w:ascii="宋体" w:hAnsi="宋体" w:cs="宋体" w:eastAsia="宋体" w:hint="default"/>
                <w:spacing w:val="-58"/>
                <w:sz w:val="18"/>
                <w:szCs w:val="18"/>
              </w:rPr>
              <w:t> </w:t>
            </w:r>
            <w:r>
              <w:rPr>
                <w:rFonts w:ascii="宋体" w:hAnsi="宋体" w:cs="宋体" w:eastAsia="宋体" w:hint="default"/>
                <w:sz w:val="18"/>
                <w:szCs w:val="18"/>
              </w:rPr>
              <w:t>视</w:t>
            </w:r>
            <w:r>
              <w:rPr>
                <w:rFonts w:ascii="宋体" w:hAnsi="宋体" w:cs="宋体" w:eastAsia="宋体" w:hint="default"/>
                <w:spacing w:val="-57"/>
                <w:sz w:val="18"/>
                <w:szCs w:val="18"/>
              </w:rPr>
              <w:t> </w:t>
            </w:r>
            <w:r>
              <w:rPr>
                <w:rFonts w:ascii="宋体" w:hAnsi="宋体" w:cs="宋体" w:eastAsia="宋体" w:hint="default"/>
                <w:spacing w:val="21"/>
                <w:sz w:val="18"/>
                <w:szCs w:val="18"/>
              </w:rPr>
              <w:t>频的检</w:t>
            </w:r>
            <w:r>
              <w:rPr>
                <w:rFonts w:ascii="宋体" w:hAnsi="宋体" w:cs="宋体" w:eastAsia="宋体" w:hint="default"/>
                <w:spacing w:val="-58"/>
                <w:sz w:val="18"/>
                <w:szCs w:val="18"/>
              </w:rPr>
              <w:t> </w:t>
            </w:r>
            <w:r>
              <w:rPr>
                <w:rFonts w:ascii="宋体" w:hAnsi="宋体" w:cs="宋体" w:eastAsia="宋体" w:hint="default"/>
                <w:sz w:val="18"/>
                <w:szCs w:val="18"/>
              </w:rPr>
              <w:t>索、分析</w:t>
            </w:r>
            <w:r>
              <w:rPr>
                <w:rFonts w:ascii="宋体" w:hAnsi="宋体" w:cs="宋体" w:eastAsia="宋体" w:hint="default"/>
                <w:sz w:val="18"/>
                <w:szCs w:val="18"/>
              </w:rPr>
              <w:t> 研</w:t>
            </w:r>
            <w:r>
              <w:rPr>
                <w:rFonts w:ascii="宋体" w:hAnsi="宋体" w:cs="宋体" w:eastAsia="宋体" w:hint="default"/>
                <w:spacing w:val="-57"/>
                <w:sz w:val="18"/>
                <w:szCs w:val="18"/>
              </w:rPr>
              <w:t> </w:t>
            </w:r>
            <w:r>
              <w:rPr>
                <w:rFonts w:ascii="宋体" w:hAnsi="宋体" w:cs="宋体" w:eastAsia="宋体" w:hint="default"/>
                <w:spacing w:val="21"/>
                <w:sz w:val="18"/>
                <w:szCs w:val="18"/>
              </w:rPr>
              <w:t>判和侦</w:t>
            </w:r>
            <w:r>
              <w:rPr>
                <w:rFonts w:ascii="宋体" w:hAnsi="宋体" w:cs="宋体" w:eastAsia="宋体" w:hint="default"/>
                <w:spacing w:val="-58"/>
                <w:sz w:val="18"/>
                <w:szCs w:val="18"/>
              </w:rPr>
              <w:t> </w:t>
            </w:r>
            <w:r>
              <w:rPr>
                <w:rFonts w:ascii="宋体" w:hAnsi="宋体" w:cs="宋体" w:eastAsia="宋体" w:hint="default"/>
                <w:sz w:val="18"/>
                <w:szCs w:val="18"/>
              </w:rPr>
              <w:t>查</w:t>
            </w:r>
            <w:r>
              <w:rPr>
                <w:rFonts w:ascii="宋体" w:hAnsi="宋体" w:cs="宋体" w:eastAsia="宋体" w:hint="default"/>
                <w:spacing w:val="-57"/>
                <w:sz w:val="18"/>
                <w:szCs w:val="18"/>
              </w:rPr>
              <w:t> </w:t>
            </w:r>
            <w:r>
              <w:rPr>
                <w:rFonts w:ascii="宋体" w:hAnsi="宋体" w:cs="宋体" w:eastAsia="宋体" w:hint="default"/>
                <w:spacing w:val="21"/>
                <w:sz w:val="18"/>
                <w:szCs w:val="18"/>
              </w:rPr>
              <w:t>等技术</w:t>
            </w:r>
            <w:r>
              <w:rPr>
                <w:rFonts w:ascii="宋体" w:hAnsi="宋体" w:cs="宋体" w:eastAsia="宋体" w:hint="default"/>
                <w:spacing w:val="-58"/>
                <w:sz w:val="18"/>
                <w:szCs w:val="18"/>
              </w:rPr>
              <w:t> </w:t>
            </w:r>
            <w:r>
              <w:rPr>
                <w:rFonts w:ascii="宋体" w:hAnsi="宋体" w:cs="宋体" w:eastAsia="宋体" w:hint="default"/>
                <w:sz w:val="18"/>
                <w:szCs w:val="18"/>
              </w:rPr>
              <w:t>领</w:t>
            </w:r>
            <w:r>
              <w:rPr>
                <w:rFonts w:ascii="宋体" w:hAnsi="宋体" w:cs="宋体" w:eastAsia="宋体" w:hint="default"/>
                <w:spacing w:val="-57"/>
                <w:sz w:val="18"/>
                <w:szCs w:val="18"/>
              </w:rPr>
              <w:t> </w:t>
            </w:r>
            <w:r>
              <w:rPr>
                <w:rFonts w:ascii="宋体" w:hAnsi="宋体" w:cs="宋体" w:eastAsia="宋体" w:hint="default"/>
                <w:spacing w:val="21"/>
                <w:sz w:val="18"/>
                <w:szCs w:val="18"/>
              </w:rPr>
              <w:t>域的产</w:t>
            </w:r>
            <w:r>
              <w:rPr>
                <w:rFonts w:ascii="宋体" w:hAnsi="宋体" w:cs="宋体" w:eastAsia="宋体" w:hint="default"/>
                <w:spacing w:val="-58"/>
                <w:sz w:val="18"/>
                <w:szCs w:val="18"/>
              </w:rPr>
              <w:t> </w:t>
            </w:r>
            <w:r>
              <w:rPr>
                <w:rFonts w:ascii="宋体" w:hAnsi="宋体" w:cs="宋体" w:eastAsia="宋体" w:hint="default"/>
                <w:sz w:val="18"/>
                <w:szCs w:val="18"/>
              </w:rPr>
              <w:t>品</w:t>
            </w:r>
            <w:r>
              <w:rPr>
                <w:rFonts w:ascii="宋体" w:hAnsi="宋体" w:cs="宋体" w:eastAsia="宋体" w:hint="default"/>
                <w:spacing w:val="-57"/>
                <w:sz w:val="18"/>
                <w:szCs w:val="18"/>
              </w:rPr>
              <w:t> </w:t>
            </w:r>
            <w:r>
              <w:rPr>
                <w:rFonts w:ascii="宋体" w:hAnsi="宋体" w:cs="宋体" w:eastAsia="宋体" w:hint="default"/>
                <w:spacing w:val="21"/>
                <w:sz w:val="18"/>
                <w:szCs w:val="18"/>
              </w:rPr>
              <w:t>设备的</w:t>
            </w:r>
            <w:r>
              <w:rPr>
                <w:rFonts w:ascii="宋体" w:hAnsi="宋体" w:cs="宋体" w:eastAsia="宋体" w:hint="default"/>
                <w:spacing w:val="-58"/>
                <w:sz w:val="18"/>
                <w:szCs w:val="18"/>
              </w:rPr>
              <w:t> </w:t>
            </w:r>
            <w:r>
              <w:rPr>
                <w:rFonts w:ascii="宋体" w:hAnsi="宋体" w:cs="宋体" w:eastAsia="宋体" w:hint="default"/>
                <w:sz w:val="18"/>
                <w:szCs w:val="18"/>
              </w:rPr>
              <w:t>研</w:t>
            </w:r>
            <w:r>
              <w:rPr>
                <w:rFonts w:ascii="宋体" w:hAnsi="宋体" w:cs="宋体" w:eastAsia="宋体" w:hint="default"/>
                <w:spacing w:val="-57"/>
                <w:sz w:val="18"/>
                <w:szCs w:val="18"/>
              </w:rPr>
              <w:t> </w:t>
            </w:r>
            <w:r>
              <w:rPr>
                <w:rFonts w:ascii="宋体" w:hAnsi="宋体" w:cs="宋体" w:eastAsia="宋体" w:hint="default"/>
                <w:spacing w:val="21"/>
                <w:sz w:val="18"/>
                <w:szCs w:val="18"/>
              </w:rPr>
              <w:t>发和服</w:t>
            </w:r>
            <w:r>
              <w:rPr>
                <w:rFonts w:ascii="宋体" w:hAnsi="宋体" w:cs="宋体" w:eastAsia="宋体" w:hint="default"/>
                <w:spacing w:val="-58"/>
                <w:sz w:val="18"/>
                <w:szCs w:val="18"/>
              </w:rPr>
              <w:t> </w:t>
            </w:r>
            <w:r>
              <w:rPr>
                <w:rFonts w:ascii="宋体" w:hAnsi="宋体" w:cs="宋体" w:eastAsia="宋体" w:hint="default"/>
                <w:sz w:val="18"/>
                <w:szCs w:val="18"/>
              </w:rPr>
              <w:t>务</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195" w:lineRule="exact"/>
              <w:ind w:left="22"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195"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33,150,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1"/>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严</w:t>
            </w:r>
            <w:r>
              <w:rPr>
                <w:rFonts w:ascii="宋体" w:hAnsi="宋体" w:cs="宋体" w:eastAsia="宋体" w:hint="default"/>
                <w:spacing w:val="61"/>
                <w:sz w:val="18"/>
                <w:szCs w:val="18"/>
              </w:rPr>
              <w:t> </w:t>
            </w:r>
            <w:r>
              <w:rPr>
                <w:rFonts w:ascii="宋体" w:hAnsi="宋体" w:cs="宋体" w:eastAsia="宋体" w:hint="default"/>
                <w:sz w:val="18"/>
                <w:szCs w:val="18"/>
              </w:rPr>
              <w:t>国</w:t>
            </w:r>
            <w:r>
              <w:rPr>
                <w:rFonts w:ascii="宋体" w:hAnsi="宋体" w:cs="宋体" w:eastAsia="宋体" w:hint="default"/>
                <w:sz w:val="18"/>
                <w:szCs w:val="18"/>
              </w:rPr>
              <w:t> 建等</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28"/>
              <w:jc w:val="left"/>
              <w:rPr>
                <w:rFonts w:ascii="宋体" w:hAnsi="宋体" w:cs="宋体" w:eastAsia="宋体" w:hint="default"/>
                <w:sz w:val="18"/>
                <w:szCs w:val="18"/>
              </w:rPr>
            </w:pPr>
            <w:r>
              <w:rPr>
                <w:rFonts w:ascii="宋体" w:hAnsi="宋体" w:cs="宋体" w:eastAsia="宋体" w:hint="default"/>
                <w:spacing w:val="35"/>
                <w:sz w:val="18"/>
                <w:szCs w:val="18"/>
              </w:rPr>
              <w:t>视频分析检</w:t>
            </w:r>
            <w:r>
              <w:rPr>
                <w:rFonts w:ascii="宋体" w:hAnsi="宋体" w:cs="宋体" w:eastAsia="宋体" w:hint="default"/>
                <w:spacing w:val="-46"/>
                <w:sz w:val="18"/>
                <w:szCs w:val="18"/>
              </w:rPr>
              <w:t> </w:t>
            </w:r>
            <w:r>
              <w:rPr>
                <w:rFonts w:ascii="宋体" w:hAnsi="宋体" w:cs="宋体" w:eastAsia="宋体" w:hint="default"/>
                <w:sz w:val="18"/>
                <w:szCs w:val="18"/>
              </w:rPr>
              <w:t>索软件</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3,366,</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3,810,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557.74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38" w:lineRule="auto"/>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巨 潮 资 讯</w:t>
            </w:r>
            <w:r>
              <w:rPr>
                <w:rFonts w:ascii="宋体" w:hAnsi="宋体" w:cs="宋体" w:eastAsia="宋体" w:hint="default"/>
                <w:spacing w:val="88"/>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z w:val="18"/>
                <w:szCs w:val="18"/>
              </w:rPr>
            </w:r>
          </w:p>
          <w:p>
            <w:pPr>
              <w:pStyle w:val="TableParagraph"/>
              <w:spacing w:line="362" w:lineRule="auto" w:before="23"/>
              <w:ind w:left="22" w:right="100"/>
              <w:jc w:val="both"/>
              <w:rPr>
                <w:rFonts w:ascii="Times New Roman" w:hAnsi="Times New Roman" w:cs="Times New Roman" w:eastAsia="Times New Roman" w:hint="default"/>
                <w:sz w:val="18"/>
                <w:szCs w:val="18"/>
              </w:rPr>
            </w:pPr>
            <w:r>
              <w:rPr>
                <w:rFonts w:ascii="Times New Roman"/>
                <w:sz w:val="18"/>
              </w:rPr>
              <w:t>nfo.com.</w:t>
            </w:r>
            <w:r>
              <w:rPr>
                <w:rFonts w:ascii="Times New Roman"/>
                <w:w w:val="99"/>
                <w:sz w:val="18"/>
              </w:rPr>
              <w:t> </w:t>
            </w:r>
            <w:r>
              <w:rPr>
                <w:rFonts w:ascii="Times New Roman"/>
                <w:sz w:val="18"/>
              </w:rPr>
              <w:t>cn</w:t>
            </w:r>
          </w:p>
        </w:tc>
      </w:tr>
    </w:tbl>
    <w:p>
      <w:pPr>
        <w:spacing w:after="0" w:line="362" w:lineRule="auto"/>
        <w:jc w:val="both"/>
        <w:rPr>
          <w:rFonts w:ascii="Times New Roman" w:hAnsi="Times New Roman" w:cs="Times New Roman" w:eastAsia="Times New Roman" w:hint="default"/>
          <w:sz w:val="18"/>
          <w:szCs w:val="18"/>
        </w:rPr>
        <w:sectPr>
          <w:pgSz w:w="11910" w:h="16840"/>
          <w:pgMar w:header="918" w:footer="1020" w:top="1160" w:bottom="1220" w:left="980" w:right="980"/>
        </w:sect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685"/>
        <w:gridCol w:w="875"/>
        <w:gridCol w:w="491"/>
        <w:gridCol w:w="683"/>
        <w:gridCol w:w="810"/>
        <w:gridCol w:w="568"/>
        <w:gridCol w:w="566"/>
        <w:gridCol w:w="568"/>
        <w:gridCol w:w="1134"/>
        <w:gridCol w:w="566"/>
        <w:gridCol w:w="568"/>
        <w:gridCol w:w="566"/>
        <w:gridCol w:w="709"/>
        <w:gridCol w:w="775"/>
      </w:tblGrid>
      <w:tr>
        <w:trPr>
          <w:trHeight w:val="2274" w:hRule="exact"/>
        </w:trPr>
        <w:tc>
          <w:tcPr>
            <w:tcW w:w="68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28"/>
              <w:jc w:val="both"/>
              <w:rPr>
                <w:rFonts w:ascii="宋体" w:hAnsi="宋体" w:cs="宋体" w:eastAsia="宋体" w:hint="default"/>
                <w:sz w:val="18"/>
                <w:szCs w:val="18"/>
              </w:rPr>
            </w:pPr>
            <w:r>
              <w:rPr>
                <w:rFonts w:ascii="宋体" w:hAnsi="宋体" w:cs="宋体" w:eastAsia="宋体" w:hint="default"/>
                <w:spacing w:val="29"/>
                <w:sz w:val="18"/>
                <w:szCs w:val="18"/>
              </w:rPr>
              <w:t>深圳市</w:t>
            </w:r>
            <w:r>
              <w:rPr>
                <w:rFonts w:ascii="宋体" w:hAnsi="宋体" w:cs="宋体" w:eastAsia="宋体" w:hint="default"/>
                <w:spacing w:val="-46"/>
                <w:sz w:val="18"/>
                <w:szCs w:val="18"/>
              </w:rPr>
              <w:t> </w:t>
            </w:r>
            <w:r>
              <w:rPr>
                <w:rFonts w:ascii="宋体" w:hAnsi="宋体" w:cs="宋体" w:eastAsia="宋体" w:hint="default"/>
                <w:spacing w:val="29"/>
                <w:sz w:val="18"/>
                <w:szCs w:val="18"/>
              </w:rPr>
              <w:t>中新赛</w:t>
            </w:r>
            <w:r>
              <w:rPr>
                <w:rFonts w:ascii="宋体" w:hAnsi="宋体" w:cs="宋体" w:eastAsia="宋体" w:hint="default"/>
                <w:spacing w:val="-46"/>
                <w:sz w:val="18"/>
                <w:szCs w:val="18"/>
              </w:rPr>
              <w:t> </w:t>
            </w:r>
            <w:r>
              <w:rPr>
                <w:rFonts w:ascii="宋体" w:hAnsi="宋体" w:cs="宋体" w:eastAsia="宋体" w:hint="default"/>
                <w:spacing w:val="29"/>
                <w:sz w:val="18"/>
                <w:szCs w:val="18"/>
              </w:rPr>
              <w:t>克科技</w:t>
            </w:r>
            <w:r>
              <w:rPr>
                <w:rFonts w:ascii="宋体" w:hAnsi="宋体" w:cs="宋体" w:eastAsia="宋体" w:hint="default"/>
                <w:spacing w:val="-46"/>
                <w:sz w:val="18"/>
                <w:szCs w:val="18"/>
              </w:rPr>
              <w:t> </w:t>
            </w:r>
            <w:r>
              <w:rPr>
                <w:rFonts w:ascii="宋体" w:hAnsi="宋体" w:cs="宋体" w:eastAsia="宋体" w:hint="default"/>
                <w:spacing w:val="29"/>
                <w:sz w:val="18"/>
                <w:szCs w:val="18"/>
              </w:rPr>
              <w:t>股份有</w:t>
            </w:r>
            <w:r>
              <w:rPr>
                <w:rFonts w:ascii="宋体" w:hAnsi="宋体" w:cs="宋体" w:eastAsia="宋体" w:hint="default"/>
                <w:spacing w:val="-46"/>
                <w:sz w:val="18"/>
                <w:szCs w:val="18"/>
              </w:rPr>
              <w:t> </w:t>
            </w:r>
            <w:r>
              <w:rPr>
                <w:rFonts w:ascii="宋体" w:hAnsi="宋体" w:cs="宋体" w:eastAsia="宋体" w:hint="default"/>
                <w:sz w:val="18"/>
                <w:szCs w:val="18"/>
              </w:rPr>
              <w:t>限公司</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6" w:right="-9"/>
              <w:jc w:val="both"/>
              <w:rPr>
                <w:rFonts w:ascii="宋体" w:hAnsi="宋体" w:cs="宋体" w:eastAsia="宋体" w:hint="default"/>
                <w:sz w:val="18"/>
                <w:szCs w:val="18"/>
              </w:rPr>
            </w:pPr>
            <w:r>
              <w:rPr>
                <w:rFonts w:ascii="宋体" w:hAnsi="宋体" w:cs="宋体" w:eastAsia="宋体" w:hint="default"/>
                <w:sz w:val="18"/>
                <w:szCs w:val="18"/>
              </w:rPr>
              <w:t>宽</w:t>
            </w:r>
            <w:r>
              <w:rPr>
                <w:rFonts w:ascii="宋体" w:hAnsi="宋体" w:cs="宋体" w:eastAsia="宋体" w:hint="default"/>
                <w:spacing w:val="-57"/>
                <w:sz w:val="18"/>
                <w:szCs w:val="18"/>
              </w:rPr>
              <w:t> </w:t>
            </w:r>
            <w:r>
              <w:rPr>
                <w:rFonts w:ascii="宋体" w:hAnsi="宋体" w:cs="宋体" w:eastAsia="宋体" w:hint="default"/>
                <w:spacing w:val="21"/>
                <w:sz w:val="18"/>
                <w:szCs w:val="18"/>
              </w:rPr>
              <w:t>带分流</w:t>
            </w:r>
            <w:r>
              <w:rPr>
                <w:rFonts w:ascii="宋体" w:hAnsi="宋体" w:cs="宋体" w:eastAsia="宋体" w:hint="default"/>
                <w:spacing w:val="-58"/>
                <w:sz w:val="18"/>
                <w:szCs w:val="18"/>
              </w:rPr>
              <w:t> </w:t>
            </w:r>
            <w:r>
              <w:rPr>
                <w:rFonts w:ascii="宋体" w:hAnsi="宋体" w:cs="宋体" w:eastAsia="宋体" w:hint="default"/>
                <w:spacing w:val="-17"/>
                <w:sz w:val="18"/>
                <w:szCs w:val="18"/>
              </w:rPr>
              <w:t>设备、智能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w:t>
            </w:r>
            <w:r>
              <w:rPr>
                <w:rFonts w:ascii="宋体" w:hAnsi="宋体" w:cs="宋体" w:eastAsia="宋体" w:hint="default"/>
                <w:spacing w:val="-57"/>
                <w:sz w:val="18"/>
                <w:szCs w:val="18"/>
              </w:rPr>
              <w:t> </w:t>
            </w:r>
            <w:r>
              <w:rPr>
                <w:rFonts w:ascii="宋体" w:hAnsi="宋体" w:cs="宋体" w:eastAsia="宋体" w:hint="default"/>
                <w:spacing w:val="21"/>
                <w:sz w:val="18"/>
                <w:szCs w:val="18"/>
              </w:rPr>
              <w:t>卡及无</w:t>
            </w:r>
            <w:r>
              <w:rPr>
                <w:rFonts w:ascii="宋体" w:hAnsi="宋体" w:cs="宋体" w:eastAsia="宋体" w:hint="default"/>
                <w:spacing w:val="-58"/>
                <w:sz w:val="18"/>
                <w:szCs w:val="18"/>
              </w:rPr>
              <w:t> </w:t>
            </w:r>
            <w:r>
              <w:rPr>
                <w:rFonts w:ascii="宋体" w:hAnsi="宋体" w:cs="宋体" w:eastAsia="宋体" w:hint="default"/>
                <w:sz w:val="18"/>
                <w:szCs w:val="18"/>
              </w:rPr>
              <w:t>线</w:t>
            </w:r>
            <w:r>
              <w:rPr>
                <w:rFonts w:ascii="宋体" w:hAnsi="宋体" w:cs="宋体" w:eastAsia="宋体" w:hint="default"/>
                <w:spacing w:val="-57"/>
                <w:sz w:val="18"/>
                <w:szCs w:val="18"/>
              </w:rPr>
              <w:t> </w:t>
            </w:r>
            <w:r>
              <w:rPr>
                <w:rFonts w:ascii="宋体" w:hAnsi="宋体" w:cs="宋体" w:eastAsia="宋体" w:hint="default"/>
                <w:spacing w:val="21"/>
                <w:sz w:val="18"/>
                <w:szCs w:val="18"/>
              </w:rPr>
              <w:t>增值产</w:t>
            </w:r>
            <w:r>
              <w:rPr>
                <w:rFonts w:ascii="宋体" w:hAnsi="宋体" w:cs="宋体" w:eastAsia="宋体" w:hint="default"/>
                <w:spacing w:val="-58"/>
                <w:sz w:val="18"/>
                <w:szCs w:val="18"/>
              </w:rPr>
              <w:t> </w:t>
            </w:r>
            <w:r>
              <w:rPr>
                <w:rFonts w:ascii="宋体" w:hAnsi="宋体" w:cs="宋体" w:eastAsia="宋体" w:hint="default"/>
                <w:sz w:val="18"/>
                <w:szCs w:val="18"/>
              </w:rPr>
              <w:t>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48,981,</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350.00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募</w:t>
            </w:r>
            <w:r>
              <w:rPr>
                <w:rFonts w:ascii="宋体" w:hAnsi="宋体" w:cs="宋体" w:eastAsia="宋体" w:hint="default"/>
                <w:spacing w:val="61"/>
                <w:sz w:val="18"/>
                <w:szCs w:val="18"/>
              </w:rPr>
              <w:t> </w:t>
            </w:r>
            <w:r>
              <w:rPr>
                <w:rFonts w:ascii="宋体" w:hAnsi="宋体" w:cs="宋体" w:eastAsia="宋体" w:hint="default"/>
                <w:sz w:val="18"/>
                <w:szCs w:val="18"/>
              </w:rPr>
              <w:t>集</w:t>
            </w:r>
          </w:p>
          <w:p>
            <w:pPr>
              <w:pStyle w:val="TableParagraph"/>
              <w:spacing w:line="240" w:lineRule="auto" w:before="75"/>
              <w:ind w:left="23" w:right="0"/>
              <w:jc w:val="left"/>
              <w:rPr>
                <w:rFonts w:ascii="宋体" w:hAnsi="宋体" w:cs="宋体" w:eastAsia="宋体" w:hint="default"/>
                <w:sz w:val="18"/>
                <w:szCs w:val="18"/>
              </w:rPr>
            </w:pPr>
            <w:r>
              <w:rPr>
                <w:rFonts w:ascii="宋体" w:hAnsi="宋体" w:cs="宋体" w:eastAsia="宋体" w:hint="default"/>
                <w:sz w:val="18"/>
                <w:szCs w:val="18"/>
              </w:rPr>
              <w:t>及</w:t>
            </w:r>
            <w:r>
              <w:rPr>
                <w:rFonts w:ascii="宋体" w:hAnsi="宋体" w:cs="宋体" w:eastAsia="宋体" w:hint="default"/>
                <w:spacing w:val="61"/>
                <w:sz w:val="18"/>
                <w:szCs w:val="18"/>
              </w:rPr>
              <w:t> </w:t>
            </w:r>
            <w:r>
              <w:rPr>
                <w:rFonts w:ascii="宋体" w:hAnsi="宋体" w:cs="宋体" w:eastAsia="宋体" w:hint="default"/>
                <w:sz w:val="18"/>
                <w:szCs w:val="18"/>
              </w:rPr>
              <w:t>自</w:t>
            </w:r>
          </w:p>
          <w:p>
            <w:pPr>
              <w:pStyle w:val="TableParagraph"/>
              <w:spacing w:line="319" w:lineRule="auto" w:before="76"/>
              <w:ind w:left="23" w:right="2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1"/>
                <w:sz w:val="18"/>
                <w:szCs w:val="18"/>
              </w:rPr>
              <w:t> </w:t>
            </w:r>
            <w:r>
              <w:rPr>
                <w:rFonts w:ascii="宋体" w:hAnsi="宋体" w:cs="宋体" w:eastAsia="宋体" w:hint="default"/>
                <w:sz w:val="18"/>
                <w:szCs w:val="18"/>
              </w:rPr>
              <w:t>资</w:t>
            </w:r>
            <w:r>
              <w:rPr>
                <w:rFonts w:ascii="宋体" w:hAnsi="宋体" w:cs="宋体" w:eastAsia="宋体" w:hint="default"/>
                <w:sz w:val="18"/>
                <w:szCs w:val="18"/>
              </w:rPr>
              <w:t> 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2" w:right="0"/>
              <w:jc w:val="left"/>
              <w:rPr>
                <w:rFonts w:ascii="宋体" w:hAnsi="宋体" w:cs="宋体" w:eastAsia="宋体" w:hint="default"/>
                <w:sz w:val="20"/>
                <w:szCs w:val="20"/>
              </w:rPr>
            </w:pPr>
            <w:r>
              <w:rPr>
                <w:rFonts w:ascii="宋体" w:hAnsi="宋体" w:cs="宋体" w:eastAsia="宋体" w:hint="default"/>
                <w:sz w:val="20"/>
                <w:szCs w:val="20"/>
              </w:rPr>
              <w:t>深</w:t>
            </w:r>
            <w:r>
              <w:rPr>
                <w:rFonts w:ascii="宋体" w:hAnsi="宋体" w:cs="宋体" w:eastAsia="宋体" w:hint="default"/>
                <w:spacing w:val="10"/>
                <w:sz w:val="20"/>
                <w:szCs w:val="20"/>
              </w:rPr>
              <w:t> </w:t>
            </w:r>
            <w:r>
              <w:rPr>
                <w:rFonts w:ascii="宋体" w:hAnsi="宋体" w:cs="宋体" w:eastAsia="宋体" w:hint="default"/>
                <w:sz w:val="20"/>
                <w:szCs w:val="20"/>
              </w:rPr>
              <w:t>圳</w:t>
            </w:r>
          </w:p>
          <w:p>
            <w:pPr>
              <w:pStyle w:val="TableParagraph"/>
              <w:spacing w:line="240" w:lineRule="auto" w:before="49"/>
              <w:ind w:left="22" w:right="0"/>
              <w:jc w:val="left"/>
              <w:rPr>
                <w:rFonts w:ascii="宋体" w:hAnsi="宋体" w:cs="宋体" w:eastAsia="宋体" w:hint="default"/>
                <w:sz w:val="20"/>
                <w:szCs w:val="20"/>
              </w:rPr>
            </w:pPr>
            <w:r>
              <w:rPr>
                <w:rFonts w:ascii="宋体" w:hAnsi="宋体" w:cs="宋体" w:eastAsia="宋体" w:hint="default"/>
                <w:sz w:val="20"/>
                <w:szCs w:val="20"/>
              </w:rPr>
              <w:t>市</w:t>
            </w:r>
            <w:r>
              <w:rPr>
                <w:rFonts w:ascii="宋体" w:hAnsi="宋体" w:cs="宋体" w:eastAsia="宋体" w:hint="default"/>
                <w:spacing w:val="10"/>
                <w:sz w:val="20"/>
                <w:szCs w:val="20"/>
              </w:rPr>
              <w:t> </w:t>
            </w:r>
            <w:r>
              <w:rPr>
                <w:rFonts w:ascii="宋体" w:hAnsi="宋体" w:cs="宋体" w:eastAsia="宋体" w:hint="default"/>
                <w:sz w:val="20"/>
                <w:szCs w:val="20"/>
              </w:rPr>
              <w:t>创</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新</w:t>
            </w:r>
            <w:r>
              <w:rPr>
                <w:rFonts w:ascii="宋体" w:hAnsi="宋体" w:cs="宋体" w:eastAsia="宋体" w:hint="default"/>
                <w:spacing w:val="10"/>
                <w:sz w:val="20"/>
                <w:szCs w:val="20"/>
              </w:rPr>
              <w:t> </w:t>
            </w:r>
            <w:r>
              <w:rPr>
                <w:rFonts w:ascii="宋体" w:hAnsi="宋体" w:cs="宋体" w:eastAsia="宋体" w:hint="default"/>
                <w:sz w:val="20"/>
                <w:szCs w:val="20"/>
              </w:rPr>
              <w:t>投</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资</w:t>
            </w:r>
            <w:r>
              <w:rPr>
                <w:rFonts w:ascii="宋体" w:hAnsi="宋体" w:cs="宋体" w:eastAsia="宋体" w:hint="default"/>
                <w:spacing w:val="10"/>
                <w:sz w:val="20"/>
                <w:szCs w:val="20"/>
              </w:rPr>
              <w:t> </w:t>
            </w:r>
            <w:r>
              <w:rPr>
                <w:rFonts w:ascii="宋体" w:hAnsi="宋体" w:cs="宋体" w:eastAsia="宋体" w:hint="default"/>
                <w:sz w:val="20"/>
                <w:szCs w:val="20"/>
              </w:rPr>
              <w:t>集</w:t>
            </w:r>
          </w:p>
          <w:p>
            <w:pPr>
              <w:pStyle w:val="TableParagraph"/>
              <w:spacing w:line="240" w:lineRule="auto" w:before="50"/>
              <w:ind w:left="22" w:right="0"/>
              <w:jc w:val="left"/>
              <w:rPr>
                <w:rFonts w:ascii="宋体" w:hAnsi="宋体" w:cs="宋体" w:eastAsia="宋体" w:hint="default"/>
                <w:sz w:val="20"/>
                <w:szCs w:val="20"/>
              </w:rPr>
            </w:pPr>
            <w:r>
              <w:rPr>
                <w:rFonts w:ascii="宋体" w:hAnsi="宋体" w:cs="宋体" w:eastAsia="宋体" w:hint="default"/>
                <w:sz w:val="20"/>
                <w:szCs w:val="20"/>
              </w:rPr>
              <w:t>团</w:t>
            </w:r>
            <w:r>
              <w:rPr>
                <w:rFonts w:ascii="宋体" w:hAnsi="宋体" w:cs="宋体" w:eastAsia="宋体" w:hint="default"/>
                <w:spacing w:val="10"/>
                <w:sz w:val="20"/>
                <w:szCs w:val="20"/>
              </w:rPr>
              <w:t> </w:t>
            </w:r>
            <w:r>
              <w:rPr>
                <w:rFonts w:ascii="宋体" w:hAnsi="宋体" w:cs="宋体" w:eastAsia="宋体" w:hint="default"/>
                <w:sz w:val="20"/>
                <w:szCs w:val="20"/>
              </w:rPr>
              <w:t>有</w:t>
            </w:r>
          </w:p>
          <w:p>
            <w:pPr>
              <w:pStyle w:val="TableParagraph"/>
              <w:spacing w:line="288" w:lineRule="auto" w:before="50"/>
              <w:ind w:left="22" w:right="20"/>
              <w:jc w:val="left"/>
              <w:rPr>
                <w:rFonts w:ascii="宋体" w:hAnsi="宋体" w:cs="宋体" w:eastAsia="宋体" w:hint="default"/>
                <w:sz w:val="20"/>
                <w:szCs w:val="20"/>
              </w:rPr>
            </w:pPr>
            <w:r>
              <w:rPr>
                <w:rFonts w:ascii="宋体" w:hAnsi="宋体" w:cs="宋体" w:eastAsia="宋体" w:hint="default"/>
                <w:sz w:val="20"/>
                <w:szCs w:val="20"/>
              </w:rPr>
              <w:t>限</w:t>
            </w:r>
            <w:r>
              <w:rPr>
                <w:rFonts w:ascii="宋体" w:hAnsi="宋体" w:cs="宋体" w:eastAsia="宋体" w:hint="default"/>
                <w:spacing w:val="10"/>
                <w:sz w:val="20"/>
                <w:szCs w:val="20"/>
              </w:rPr>
              <w:t> </w:t>
            </w:r>
            <w:r>
              <w:rPr>
                <w:rFonts w:ascii="宋体" w:hAnsi="宋体" w:cs="宋体" w:eastAsia="宋体" w:hint="default"/>
                <w:sz w:val="20"/>
                <w:szCs w:val="20"/>
              </w:rPr>
              <w:t>公</w:t>
            </w:r>
            <w:r>
              <w:rPr>
                <w:rFonts w:ascii="宋体" w:hAnsi="宋体" w:cs="宋体" w:eastAsia="宋体" w:hint="default"/>
                <w:w w:val="100"/>
                <w:sz w:val="20"/>
                <w:szCs w:val="20"/>
              </w:rPr>
              <w:t> </w:t>
            </w:r>
            <w:r>
              <w:rPr>
                <w:rFonts w:ascii="宋体" w:hAnsi="宋体" w:cs="宋体" w:eastAsia="宋体" w:hint="default"/>
                <w:sz w:val="20"/>
                <w:szCs w:val="20"/>
              </w:rPr>
              <w:t>司等</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8"/>
              <w:jc w:val="both"/>
              <w:rPr>
                <w:rFonts w:ascii="宋体" w:hAnsi="宋体" w:cs="宋体" w:eastAsia="宋体" w:hint="default"/>
                <w:sz w:val="18"/>
                <w:szCs w:val="18"/>
              </w:rPr>
            </w:pPr>
            <w:r>
              <w:rPr>
                <w:rFonts w:ascii="宋体" w:hAnsi="宋体" w:cs="宋体" w:eastAsia="宋体" w:hint="default"/>
                <w:spacing w:val="35"/>
                <w:sz w:val="18"/>
                <w:szCs w:val="18"/>
              </w:rPr>
              <w:t>宽带分流设</w:t>
            </w:r>
            <w:r>
              <w:rPr>
                <w:rFonts w:ascii="宋体" w:hAnsi="宋体" w:cs="宋体" w:eastAsia="宋体" w:hint="default"/>
                <w:spacing w:val="-46"/>
                <w:sz w:val="18"/>
                <w:szCs w:val="18"/>
              </w:rPr>
              <w:t> </w:t>
            </w:r>
            <w:r>
              <w:rPr>
                <w:rFonts w:ascii="宋体" w:hAnsi="宋体" w:cs="宋体" w:eastAsia="宋体" w:hint="default"/>
                <w:sz w:val="18"/>
                <w:szCs w:val="18"/>
              </w:rPr>
              <w:t>备、智能网卡</w:t>
            </w:r>
            <w:r>
              <w:rPr>
                <w:rFonts w:ascii="宋体" w:hAnsi="宋体" w:cs="宋体" w:eastAsia="宋体" w:hint="default"/>
                <w:sz w:val="18"/>
                <w:szCs w:val="18"/>
              </w:rPr>
              <w:t> </w:t>
            </w:r>
            <w:r>
              <w:rPr>
                <w:rFonts w:ascii="宋体" w:hAnsi="宋体" w:cs="宋体" w:eastAsia="宋体" w:hint="default"/>
                <w:spacing w:val="35"/>
                <w:sz w:val="18"/>
                <w:szCs w:val="18"/>
              </w:rPr>
              <w:t>及无线增值</w:t>
            </w:r>
            <w:r>
              <w:rPr>
                <w:rFonts w:ascii="宋体" w:hAnsi="宋体" w:cs="宋体" w:eastAsia="宋体" w:hint="default"/>
                <w:spacing w:val="-46"/>
                <w:sz w:val="18"/>
                <w:szCs w:val="18"/>
              </w:rPr>
              <w:t> </w:t>
            </w:r>
            <w:r>
              <w:rPr>
                <w:rFonts w:ascii="宋体" w:hAnsi="宋体" w:cs="宋体" w:eastAsia="宋体" w:hint="default"/>
                <w:sz w:val="18"/>
                <w:szCs w:val="18"/>
              </w:rPr>
              <w:t>产品</w:t>
            </w:r>
          </w:p>
        </w:tc>
        <w:tc>
          <w:tcPr>
            <w:tcW w:w="566" w:type="dxa"/>
            <w:tcBorders>
              <w:top w:val="single" w:sz="4" w:space="0" w:color="000000"/>
              <w:left w:val="single" w:sz="9" w:space="0" w:color="FFFFFF"/>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9"/>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巨 潮 资 讯</w:t>
            </w:r>
            <w:r>
              <w:rPr>
                <w:rFonts w:ascii="宋体" w:hAnsi="宋体" w:cs="宋体" w:eastAsia="宋体" w:hint="default"/>
                <w:spacing w:val="88"/>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z w:val="18"/>
                <w:szCs w:val="18"/>
              </w:rPr>
            </w:r>
          </w:p>
          <w:p>
            <w:pPr>
              <w:pStyle w:val="TableParagraph"/>
              <w:spacing w:line="362" w:lineRule="auto" w:before="23"/>
              <w:ind w:left="22" w:right="100"/>
              <w:jc w:val="both"/>
              <w:rPr>
                <w:rFonts w:ascii="Times New Roman" w:hAnsi="Times New Roman" w:cs="Times New Roman" w:eastAsia="Times New Roman" w:hint="default"/>
                <w:sz w:val="18"/>
                <w:szCs w:val="18"/>
              </w:rPr>
            </w:pPr>
            <w:r>
              <w:rPr>
                <w:rFonts w:ascii="Times New Roman"/>
                <w:sz w:val="18"/>
              </w:rPr>
              <w:t>nfo.com. cn</w:t>
            </w:r>
          </w:p>
        </w:tc>
      </w:tr>
      <w:tr>
        <w:trPr>
          <w:trHeight w:val="2898" w:hRule="exact"/>
        </w:trPr>
        <w:tc>
          <w:tcPr>
            <w:tcW w:w="68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28"/>
              <w:jc w:val="both"/>
              <w:rPr>
                <w:rFonts w:ascii="宋体" w:hAnsi="宋体" w:cs="宋体" w:eastAsia="宋体" w:hint="default"/>
                <w:sz w:val="18"/>
                <w:szCs w:val="18"/>
              </w:rPr>
            </w:pPr>
            <w:r>
              <w:rPr>
                <w:rFonts w:ascii="宋体" w:hAnsi="宋体" w:cs="宋体" w:eastAsia="宋体" w:hint="default"/>
                <w:spacing w:val="29"/>
                <w:sz w:val="18"/>
                <w:szCs w:val="18"/>
              </w:rPr>
              <w:t>厦门安</w:t>
            </w:r>
            <w:r>
              <w:rPr>
                <w:rFonts w:ascii="宋体" w:hAnsi="宋体" w:cs="宋体" w:eastAsia="宋体" w:hint="default"/>
                <w:spacing w:val="-46"/>
                <w:sz w:val="18"/>
                <w:szCs w:val="18"/>
              </w:rPr>
              <w:t> </w:t>
            </w:r>
            <w:r>
              <w:rPr>
                <w:rFonts w:ascii="宋体" w:hAnsi="宋体" w:cs="宋体" w:eastAsia="宋体" w:hint="default"/>
                <w:spacing w:val="29"/>
                <w:sz w:val="18"/>
                <w:szCs w:val="18"/>
              </w:rPr>
              <w:t>胜网络</w:t>
            </w:r>
            <w:r>
              <w:rPr>
                <w:rFonts w:ascii="宋体" w:hAnsi="宋体" w:cs="宋体" w:eastAsia="宋体" w:hint="default"/>
                <w:spacing w:val="-46"/>
                <w:sz w:val="18"/>
                <w:szCs w:val="18"/>
              </w:rPr>
              <w:t> </w:t>
            </w:r>
            <w:r>
              <w:rPr>
                <w:rFonts w:ascii="宋体" w:hAnsi="宋体" w:cs="宋体" w:eastAsia="宋体" w:hint="default"/>
                <w:spacing w:val="29"/>
                <w:sz w:val="18"/>
                <w:szCs w:val="18"/>
              </w:rPr>
              <w:t>科技有</w:t>
            </w:r>
            <w:r>
              <w:rPr>
                <w:rFonts w:ascii="宋体" w:hAnsi="宋体" w:cs="宋体" w:eastAsia="宋体" w:hint="default"/>
                <w:spacing w:val="-46"/>
                <w:sz w:val="18"/>
                <w:szCs w:val="18"/>
              </w:rPr>
              <w:t> </w:t>
            </w:r>
            <w:r>
              <w:rPr>
                <w:rFonts w:ascii="宋体" w:hAnsi="宋体" w:cs="宋体" w:eastAsia="宋体" w:hint="default"/>
                <w:sz w:val="18"/>
                <w:szCs w:val="18"/>
              </w:rPr>
              <w:t>限公司</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 w:right="-9"/>
              <w:jc w:val="both"/>
              <w:rPr>
                <w:rFonts w:ascii="宋体" w:hAnsi="宋体" w:cs="宋体" w:eastAsia="宋体" w:hint="default"/>
                <w:sz w:val="18"/>
                <w:szCs w:val="18"/>
              </w:rPr>
            </w:pPr>
            <w:r>
              <w:rPr>
                <w:rFonts w:ascii="宋体" w:hAnsi="宋体" w:cs="宋体" w:eastAsia="宋体" w:hint="default"/>
                <w:sz w:val="18"/>
                <w:szCs w:val="18"/>
              </w:rPr>
              <w:t>提</w:t>
            </w:r>
            <w:r>
              <w:rPr>
                <w:rFonts w:ascii="宋体" w:hAnsi="宋体" w:cs="宋体" w:eastAsia="宋体" w:hint="default"/>
                <w:spacing w:val="-57"/>
                <w:sz w:val="18"/>
                <w:szCs w:val="18"/>
              </w:rPr>
              <w:t> </w:t>
            </w:r>
            <w:r>
              <w:rPr>
                <w:rFonts w:ascii="宋体" w:hAnsi="宋体" w:cs="宋体" w:eastAsia="宋体" w:hint="default"/>
                <w:spacing w:val="21"/>
                <w:sz w:val="18"/>
                <w:szCs w:val="18"/>
              </w:rPr>
              <w:t>供网络</w:t>
            </w:r>
            <w:r>
              <w:rPr>
                <w:rFonts w:ascii="宋体" w:hAnsi="宋体" w:cs="宋体" w:eastAsia="宋体" w:hint="default"/>
                <w:spacing w:val="-58"/>
                <w:sz w:val="18"/>
                <w:szCs w:val="18"/>
              </w:rPr>
              <w:t> </w:t>
            </w:r>
            <w:r>
              <w:rPr>
                <w:rFonts w:ascii="宋体" w:hAnsi="宋体" w:cs="宋体" w:eastAsia="宋体" w:hint="default"/>
                <w:sz w:val="18"/>
                <w:szCs w:val="18"/>
              </w:rPr>
              <w:t>安</w:t>
            </w:r>
            <w:r>
              <w:rPr>
                <w:rFonts w:ascii="宋体" w:hAnsi="宋体" w:cs="宋体" w:eastAsia="宋体" w:hint="default"/>
                <w:spacing w:val="-57"/>
                <w:sz w:val="18"/>
                <w:szCs w:val="18"/>
              </w:rPr>
              <w:t> </w:t>
            </w:r>
            <w:r>
              <w:rPr>
                <w:rFonts w:ascii="宋体" w:hAnsi="宋体" w:cs="宋体" w:eastAsia="宋体" w:hint="default"/>
                <w:spacing w:val="21"/>
                <w:sz w:val="18"/>
                <w:szCs w:val="18"/>
              </w:rPr>
              <w:t>全防护</w:t>
            </w:r>
            <w:r>
              <w:rPr>
                <w:rFonts w:ascii="宋体" w:hAnsi="宋体" w:cs="宋体" w:eastAsia="宋体" w:hint="default"/>
                <w:spacing w:val="-58"/>
                <w:sz w:val="18"/>
                <w:szCs w:val="18"/>
              </w:rPr>
              <w:t> </w:t>
            </w:r>
            <w:r>
              <w:rPr>
                <w:rFonts w:ascii="宋体" w:hAnsi="宋体" w:cs="宋体" w:eastAsia="宋体" w:hint="default"/>
                <w:sz w:val="18"/>
                <w:szCs w:val="18"/>
              </w:rPr>
              <w:t>和</w:t>
            </w:r>
            <w:r>
              <w:rPr>
                <w:rFonts w:ascii="宋体" w:hAnsi="宋体" w:cs="宋体" w:eastAsia="宋体" w:hint="default"/>
                <w:spacing w:val="-57"/>
                <w:sz w:val="18"/>
                <w:szCs w:val="18"/>
              </w:rPr>
              <w:t> </w:t>
            </w:r>
            <w:r>
              <w:rPr>
                <w:rFonts w:ascii="宋体" w:hAnsi="宋体" w:cs="宋体" w:eastAsia="宋体" w:hint="default"/>
                <w:spacing w:val="21"/>
                <w:sz w:val="18"/>
                <w:szCs w:val="18"/>
              </w:rPr>
              <w:t>软件安</w:t>
            </w:r>
            <w:r>
              <w:rPr>
                <w:rFonts w:ascii="宋体" w:hAnsi="宋体" w:cs="宋体" w:eastAsia="宋体" w:hint="default"/>
                <w:spacing w:val="-58"/>
                <w:sz w:val="18"/>
                <w:szCs w:val="18"/>
              </w:rPr>
              <w:t> </w:t>
            </w:r>
            <w:r>
              <w:rPr>
                <w:rFonts w:ascii="宋体" w:hAnsi="宋体" w:cs="宋体" w:eastAsia="宋体" w:hint="default"/>
                <w:sz w:val="18"/>
                <w:szCs w:val="18"/>
              </w:rPr>
              <w:t>全</w:t>
            </w:r>
            <w:r>
              <w:rPr>
                <w:rFonts w:ascii="宋体" w:hAnsi="宋体" w:cs="宋体" w:eastAsia="宋体" w:hint="default"/>
                <w:spacing w:val="-57"/>
                <w:sz w:val="18"/>
                <w:szCs w:val="18"/>
              </w:rPr>
              <w:t> </w:t>
            </w:r>
            <w:r>
              <w:rPr>
                <w:rFonts w:ascii="宋体" w:hAnsi="宋体" w:cs="宋体" w:eastAsia="宋体" w:hint="default"/>
                <w:spacing w:val="21"/>
                <w:sz w:val="18"/>
                <w:szCs w:val="18"/>
              </w:rPr>
              <w:t>性检测</w:t>
            </w:r>
            <w:r>
              <w:rPr>
                <w:rFonts w:ascii="宋体" w:hAnsi="宋体" w:cs="宋体" w:eastAsia="宋体" w:hint="default"/>
                <w:spacing w:val="-58"/>
                <w:sz w:val="18"/>
                <w:szCs w:val="18"/>
              </w:rPr>
              <w:t> </w:t>
            </w:r>
            <w:r>
              <w:rPr>
                <w:rFonts w:ascii="宋体" w:hAnsi="宋体" w:cs="宋体" w:eastAsia="宋体" w:hint="default"/>
                <w:sz w:val="18"/>
                <w:szCs w:val="18"/>
              </w:rPr>
              <w:t>服务</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1"/>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61"/>
                <w:sz w:val="18"/>
                <w:szCs w:val="18"/>
              </w:rPr>
              <w:t> </w:t>
            </w:r>
            <w:r>
              <w:rPr>
                <w:rFonts w:ascii="宋体" w:hAnsi="宋体" w:cs="宋体" w:eastAsia="宋体" w:hint="default"/>
                <w:sz w:val="18"/>
                <w:szCs w:val="18"/>
              </w:rPr>
              <w:t>门</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市</w:t>
            </w:r>
            <w:r>
              <w:rPr>
                <w:rFonts w:ascii="宋体" w:hAnsi="宋体" w:cs="宋体" w:eastAsia="宋体" w:hint="default"/>
                <w:spacing w:val="61"/>
                <w:sz w:val="18"/>
                <w:szCs w:val="18"/>
              </w:rPr>
              <w:t> </w:t>
            </w:r>
            <w:r>
              <w:rPr>
                <w:rFonts w:ascii="宋体" w:hAnsi="宋体" w:cs="宋体" w:eastAsia="宋体" w:hint="default"/>
                <w:sz w:val="18"/>
                <w:szCs w:val="18"/>
              </w:rPr>
              <w:t>聚</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恩</w:t>
            </w:r>
            <w:r>
              <w:rPr>
                <w:rFonts w:ascii="宋体" w:hAnsi="宋体" w:cs="宋体" w:eastAsia="宋体" w:hint="default"/>
                <w:spacing w:val="61"/>
                <w:sz w:val="18"/>
                <w:szCs w:val="18"/>
              </w:rPr>
              <w:t> </w:t>
            </w:r>
            <w:r>
              <w:rPr>
                <w:rFonts w:ascii="宋体" w:hAnsi="宋体" w:cs="宋体" w:eastAsia="宋体" w:hint="default"/>
                <w:sz w:val="18"/>
                <w:szCs w:val="18"/>
              </w:rPr>
              <w:t>信</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息</w:t>
            </w:r>
            <w:r>
              <w:rPr>
                <w:rFonts w:ascii="宋体" w:hAnsi="宋体" w:cs="宋体" w:eastAsia="宋体" w:hint="default"/>
                <w:spacing w:val="61"/>
                <w:sz w:val="18"/>
                <w:szCs w:val="18"/>
              </w:rPr>
              <w:t> </w:t>
            </w:r>
            <w:r>
              <w:rPr>
                <w:rFonts w:ascii="宋体" w:hAnsi="宋体" w:cs="宋体" w:eastAsia="宋体" w:hint="default"/>
                <w:sz w:val="18"/>
                <w:szCs w:val="18"/>
              </w:rPr>
              <w:t>咨</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询</w:t>
            </w:r>
            <w:r>
              <w:rPr>
                <w:rFonts w:ascii="宋体" w:hAnsi="宋体" w:cs="宋体" w:eastAsia="宋体" w:hint="default"/>
                <w:spacing w:val="61"/>
                <w:sz w:val="18"/>
                <w:szCs w:val="18"/>
              </w:rPr>
              <w:t> </w:t>
            </w:r>
            <w:r>
              <w:rPr>
                <w:rFonts w:ascii="宋体" w:hAnsi="宋体" w:cs="宋体" w:eastAsia="宋体" w:hint="default"/>
                <w:sz w:val="18"/>
                <w:szCs w:val="18"/>
              </w:rPr>
              <w:t>合</w:t>
            </w:r>
          </w:p>
          <w:p>
            <w:pPr>
              <w:pStyle w:val="TableParagraph"/>
              <w:spacing w:line="319" w:lineRule="auto" w:before="76"/>
              <w:ind w:left="22" w:right="20"/>
              <w:jc w:val="both"/>
              <w:rPr>
                <w:rFonts w:ascii="宋体" w:hAnsi="宋体" w:cs="宋体" w:eastAsia="宋体" w:hint="default"/>
                <w:sz w:val="18"/>
                <w:szCs w:val="18"/>
              </w:rPr>
            </w:pPr>
            <w:r>
              <w:rPr>
                <w:rFonts w:ascii="宋体" w:hAnsi="宋体" w:cs="宋体" w:eastAsia="宋体" w:hint="default"/>
                <w:sz w:val="18"/>
                <w:szCs w:val="18"/>
              </w:rPr>
              <w:t>伙</w:t>
            </w:r>
            <w:r>
              <w:rPr>
                <w:rFonts w:ascii="宋体" w:hAnsi="宋体" w:cs="宋体" w:eastAsia="宋体" w:hint="default"/>
                <w:spacing w:val="61"/>
                <w:sz w:val="18"/>
                <w:szCs w:val="18"/>
              </w:rPr>
              <w:t> </w:t>
            </w:r>
            <w:r>
              <w:rPr>
                <w:rFonts w:ascii="宋体" w:hAnsi="宋体" w:cs="宋体" w:eastAsia="宋体" w:hint="default"/>
                <w:sz w:val="18"/>
                <w:szCs w:val="18"/>
              </w:rPr>
              <w:t>企</w:t>
            </w:r>
            <w:r>
              <w:rPr>
                <w:rFonts w:ascii="宋体" w:hAnsi="宋体" w:cs="宋体" w:eastAsia="宋体" w:hint="default"/>
                <w:sz w:val="18"/>
                <w:szCs w:val="18"/>
              </w:rPr>
              <w:t> </w:t>
            </w:r>
            <w:r>
              <w:rPr>
                <w:rFonts w:ascii="宋体" w:hAnsi="宋体" w:cs="宋体" w:eastAsia="宋体" w:hint="default"/>
                <w:spacing w:val="-29"/>
                <w:sz w:val="18"/>
                <w:szCs w:val="18"/>
              </w:rPr>
              <w:t>业（有</w:t>
            </w:r>
            <w:r>
              <w:rPr>
                <w:rFonts w:ascii="宋体" w:hAnsi="宋体" w:cs="宋体" w:eastAsia="宋体" w:hint="default"/>
                <w:spacing w:val="-29"/>
                <w:sz w:val="18"/>
                <w:szCs w:val="18"/>
              </w:rPr>
              <w:t> </w:t>
            </w:r>
            <w:r>
              <w:rPr>
                <w:rFonts w:ascii="宋体" w:hAnsi="宋体" w:cs="宋体" w:eastAsia="宋体" w:hint="default"/>
                <w:sz w:val="18"/>
                <w:szCs w:val="18"/>
              </w:rPr>
              <w:t>限</w:t>
            </w:r>
            <w:r>
              <w:rPr>
                <w:rFonts w:ascii="宋体" w:hAnsi="宋体" w:cs="宋体" w:eastAsia="宋体" w:hint="default"/>
                <w:spacing w:val="61"/>
                <w:sz w:val="18"/>
                <w:szCs w:val="18"/>
              </w:rPr>
              <w:t> </w:t>
            </w:r>
            <w:r>
              <w:rPr>
                <w:rFonts w:ascii="宋体" w:hAnsi="宋体" w:cs="宋体" w:eastAsia="宋体" w:hint="default"/>
                <w:sz w:val="18"/>
                <w:szCs w:val="18"/>
              </w:rPr>
              <w:t>合</w:t>
            </w:r>
            <w:r>
              <w:rPr>
                <w:rFonts w:ascii="宋体" w:hAnsi="宋体" w:cs="宋体" w:eastAsia="宋体" w:hint="default"/>
                <w:sz w:val="18"/>
                <w:szCs w:val="18"/>
              </w:rPr>
              <w:t> 伙）</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3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28"/>
              <w:jc w:val="both"/>
              <w:rPr>
                <w:rFonts w:ascii="宋体" w:hAnsi="宋体" w:cs="宋体" w:eastAsia="宋体" w:hint="default"/>
                <w:sz w:val="18"/>
                <w:szCs w:val="18"/>
              </w:rPr>
            </w:pPr>
            <w:r>
              <w:rPr>
                <w:rFonts w:ascii="宋体" w:hAnsi="宋体" w:cs="宋体" w:eastAsia="宋体" w:hint="default"/>
                <w:spacing w:val="35"/>
                <w:sz w:val="18"/>
                <w:szCs w:val="18"/>
              </w:rPr>
              <w:t>提供网络安</w:t>
            </w:r>
            <w:r>
              <w:rPr>
                <w:rFonts w:ascii="宋体" w:hAnsi="宋体" w:cs="宋体" w:eastAsia="宋体" w:hint="default"/>
                <w:spacing w:val="-46"/>
                <w:sz w:val="18"/>
                <w:szCs w:val="18"/>
              </w:rPr>
              <w:t> </w:t>
            </w:r>
            <w:r>
              <w:rPr>
                <w:rFonts w:ascii="宋体" w:hAnsi="宋体" w:cs="宋体" w:eastAsia="宋体" w:hint="default"/>
                <w:spacing w:val="35"/>
                <w:sz w:val="18"/>
                <w:szCs w:val="18"/>
              </w:rPr>
              <w:t>全防护和软</w:t>
            </w:r>
            <w:r>
              <w:rPr>
                <w:rFonts w:ascii="宋体" w:hAnsi="宋体" w:cs="宋体" w:eastAsia="宋体" w:hint="default"/>
                <w:spacing w:val="-46"/>
                <w:sz w:val="18"/>
                <w:szCs w:val="18"/>
              </w:rPr>
              <w:t> </w:t>
            </w:r>
            <w:r>
              <w:rPr>
                <w:rFonts w:ascii="宋体" w:hAnsi="宋体" w:cs="宋体" w:eastAsia="宋体" w:hint="default"/>
                <w:spacing w:val="35"/>
                <w:sz w:val="18"/>
                <w:szCs w:val="18"/>
              </w:rPr>
              <w:t>件安全性检</w:t>
            </w:r>
            <w:r>
              <w:rPr>
                <w:rFonts w:ascii="宋体" w:hAnsi="宋体" w:cs="宋体" w:eastAsia="宋体" w:hint="default"/>
                <w:spacing w:val="-46"/>
                <w:sz w:val="18"/>
                <w:szCs w:val="18"/>
              </w:rPr>
              <w:t> </w:t>
            </w:r>
            <w:r>
              <w:rPr>
                <w:rFonts w:ascii="宋体" w:hAnsi="宋体" w:cs="宋体" w:eastAsia="宋体" w:hint="default"/>
                <w:sz w:val="18"/>
                <w:szCs w:val="18"/>
              </w:rPr>
              <w:t>测服务</w:t>
            </w:r>
          </w:p>
        </w:tc>
        <w:tc>
          <w:tcPr>
            <w:tcW w:w="566" w:type="dxa"/>
            <w:tcBorders>
              <w:top w:val="single" w:sz="4" w:space="0" w:color="000000"/>
              <w:left w:val="single" w:sz="9" w:space="0" w:color="FFFFFF"/>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747,16</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8.13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巨 潮 资 讯</w:t>
            </w:r>
            <w:r>
              <w:rPr>
                <w:rFonts w:ascii="宋体" w:hAnsi="宋体" w:cs="宋体" w:eastAsia="宋体" w:hint="default"/>
                <w:spacing w:val="88"/>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z w:val="18"/>
                <w:szCs w:val="18"/>
              </w:rPr>
            </w:r>
          </w:p>
          <w:p>
            <w:pPr>
              <w:pStyle w:val="TableParagraph"/>
              <w:spacing w:line="362" w:lineRule="auto" w:before="23"/>
              <w:ind w:left="22" w:right="100"/>
              <w:jc w:val="both"/>
              <w:rPr>
                <w:rFonts w:ascii="Times New Roman" w:hAnsi="Times New Roman" w:cs="Times New Roman" w:eastAsia="Times New Roman" w:hint="default"/>
                <w:sz w:val="18"/>
                <w:szCs w:val="18"/>
              </w:rPr>
            </w:pPr>
            <w:r>
              <w:rPr>
                <w:rFonts w:ascii="Times New Roman"/>
                <w:sz w:val="18"/>
              </w:rPr>
              <w:t>nfo.com.</w:t>
            </w:r>
            <w:r>
              <w:rPr>
                <w:rFonts w:ascii="Times New Roman"/>
                <w:w w:val="99"/>
                <w:sz w:val="18"/>
              </w:rPr>
              <w:t> </w:t>
            </w:r>
            <w:r>
              <w:rPr>
                <w:rFonts w:ascii="Times New Roman"/>
                <w:sz w:val="18"/>
              </w:rPr>
              <w:t>cn</w:t>
            </w:r>
          </w:p>
        </w:tc>
      </w:tr>
      <w:tr>
        <w:trPr>
          <w:trHeight w:val="1650" w:hRule="exact"/>
        </w:trPr>
        <w:tc>
          <w:tcPr>
            <w:tcW w:w="68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2"/>
              <w:ind w:left="22" w:right="-28"/>
              <w:jc w:val="both"/>
              <w:rPr>
                <w:rFonts w:ascii="宋体" w:hAnsi="宋体" w:cs="宋体" w:eastAsia="宋体" w:hint="default"/>
                <w:sz w:val="18"/>
                <w:szCs w:val="18"/>
              </w:rPr>
            </w:pPr>
            <w:r>
              <w:rPr>
                <w:rFonts w:ascii="宋体" w:hAnsi="宋体" w:cs="宋体" w:eastAsia="宋体" w:hint="default"/>
                <w:spacing w:val="29"/>
                <w:sz w:val="18"/>
                <w:szCs w:val="18"/>
              </w:rPr>
              <w:t>厦门正</w:t>
            </w:r>
            <w:r>
              <w:rPr>
                <w:rFonts w:ascii="宋体" w:hAnsi="宋体" w:cs="宋体" w:eastAsia="宋体" w:hint="default"/>
                <w:spacing w:val="-46"/>
                <w:sz w:val="18"/>
                <w:szCs w:val="18"/>
              </w:rPr>
              <w:t> </w:t>
            </w:r>
            <w:r>
              <w:rPr>
                <w:rFonts w:ascii="宋体" w:hAnsi="宋体" w:cs="宋体" w:eastAsia="宋体" w:hint="default"/>
                <w:spacing w:val="29"/>
                <w:sz w:val="18"/>
                <w:szCs w:val="18"/>
              </w:rPr>
              <w:t>信世纪</w:t>
            </w:r>
            <w:r>
              <w:rPr>
                <w:rFonts w:ascii="宋体" w:hAnsi="宋体" w:cs="宋体" w:eastAsia="宋体" w:hint="default"/>
                <w:spacing w:val="-46"/>
                <w:sz w:val="18"/>
                <w:szCs w:val="18"/>
              </w:rPr>
              <w:t> </w:t>
            </w:r>
            <w:r>
              <w:rPr>
                <w:rFonts w:ascii="宋体" w:hAnsi="宋体" w:cs="宋体" w:eastAsia="宋体" w:hint="default"/>
                <w:spacing w:val="29"/>
                <w:sz w:val="18"/>
                <w:szCs w:val="18"/>
              </w:rPr>
              <w:t>信息科</w:t>
            </w:r>
            <w:r>
              <w:rPr>
                <w:rFonts w:ascii="宋体" w:hAnsi="宋体" w:cs="宋体" w:eastAsia="宋体" w:hint="default"/>
                <w:spacing w:val="-46"/>
                <w:sz w:val="18"/>
                <w:szCs w:val="18"/>
              </w:rPr>
              <w:t> </w:t>
            </w:r>
            <w:r>
              <w:rPr>
                <w:rFonts w:ascii="宋体" w:hAnsi="宋体" w:cs="宋体" w:eastAsia="宋体" w:hint="default"/>
                <w:spacing w:val="29"/>
                <w:sz w:val="18"/>
                <w:szCs w:val="18"/>
              </w:rPr>
              <w:t>技有限</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6" w:right="-9"/>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57"/>
                <w:sz w:val="18"/>
                <w:szCs w:val="18"/>
              </w:rPr>
              <w:t> </w:t>
            </w:r>
            <w:r>
              <w:rPr>
                <w:rFonts w:ascii="宋体" w:hAnsi="宋体" w:cs="宋体" w:eastAsia="宋体" w:hint="default"/>
                <w:spacing w:val="21"/>
                <w:sz w:val="18"/>
                <w:szCs w:val="18"/>
              </w:rPr>
              <w:t>络身份</w:t>
            </w:r>
            <w:r>
              <w:rPr>
                <w:rFonts w:ascii="宋体" w:hAnsi="宋体" w:cs="宋体" w:eastAsia="宋体" w:hint="default"/>
                <w:spacing w:val="-58"/>
                <w:sz w:val="18"/>
                <w:szCs w:val="18"/>
              </w:rPr>
              <w:t> </w:t>
            </w:r>
            <w:r>
              <w:rPr>
                <w:rFonts w:ascii="宋体" w:hAnsi="宋体" w:cs="宋体" w:eastAsia="宋体" w:hint="default"/>
                <w:sz w:val="18"/>
                <w:szCs w:val="18"/>
              </w:rPr>
              <w:t>认证</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1"/>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黄</w:t>
            </w:r>
            <w:r>
              <w:rPr>
                <w:rFonts w:ascii="宋体" w:hAnsi="宋体" w:cs="宋体" w:eastAsia="宋体" w:hint="default"/>
                <w:spacing w:val="61"/>
                <w:sz w:val="18"/>
                <w:szCs w:val="18"/>
              </w:rPr>
              <w:t> </w:t>
            </w:r>
            <w:r>
              <w:rPr>
                <w:rFonts w:ascii="宋体" w:hAnsi="宋体" w:cs="宋体" w:eastAsia="宋体" w:hint="default"/>
                <w:sz w:val="18"/>
                <w:szCs w:val="18"/>
              </w:rPr>
              <w:t>峥</w:t>
            </w:r>
            <w:r>
              <w:rPr>
                <w:rFonts w:ascii="宋体" w:hAnsi="宋体" w:cs="宋体" w:eastAsia="宋体" w:hint="default"/>
                <w:sz w:val="18"/>
                <w:szCs w:val="18"/>
              </w:rPr>
              <w:t> 等</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8"/>
              <w:jc w:val="left"/>
              <w:rPr>
                <w:rFonts w:ascii="宋体" w:hAnsi="宋体" w:cs="宋体" w:eastAsia="宋体" w:hint="default"/>
                <w:sz w:val="18"/>
                <w:szCs w:val="18"/>
              </w:rPr>
            </w:pPr>
            <w:r>
              <w:rPr>
                <w:rFonts w:ascii="宋体" w:hAnsi="宋体" w:cs="宋体" w:eastAsia="宋体" w:hint="default"/>
                <w:spacing w:val="35"/>
                <w:sz w:val="18"/>
                <w:szCs w:val="18"/>
              </w:rPr>
              <w:t>网络身份认</w:t>
            </w:r>
            <w:r>
              <w:rPr>
                <w:rFonts w:ascii="宋体" w:hAnsi="宋体" w:cs="宋体" w:eastAsia="宋体" w:hint="default"/>
                <w:spacing w:val="-46"/>
                <w:sz w:val="18"/>
                <w:szCs w:val="18"/>
              </w:rPr>
              <w:t> </w:t>
            </w:r>
            <w:r>
              <w:rPr>
                <w:rFonts w:ascii="宋体" w:hAnsi="宋体" w:cs="宋体" w:eastAsia="宋体" w:hint="default"/>
                <w:sz w:val="18"/>
                <w:szCs w:val="18"/>
              </w:rPr>
              <w:t>证</w:t>
            </w:r>
          </w:p>
        </w:tc>
        <w:tc>
          <w:tcPr>
            <w:tcW w:w="566" w:type="dxa"/>
            <w:tcBorders>
              <w:top w:val="single" w:sz="4" w:space="0" w:color="000000"/>
              <w:left w:val="single" w:sz="9" w:space="0" w:color="FFFFFF"/>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-38,23</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6.43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2"/>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巨 潮 资 讯</w:t>
            </w:r>
            <w:r>
              <w:rPr>
                <w:rFonts w:ascii="宋体" w:hAnsi="宋体" w:cs="宋体" w:eastAsia="宋体" w:hint="default"/>
                <w:spacing w:val="88"/>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www.cni</w:t>
            </w:r>
          </w:p>
          <w:p>
            <w:pPr>
              <w:pStyle w:val="TableParagraph"/>
              <w:spacing w:line="362" w:lineRule="auto" w:before="23"/>
              <w:ind w:left="22" w:right="100"/>
              <w:jc w:val="both"/>
              <w:rPr>
                <w:rFonts w:ascii="Times New Roman" w:hAnsi="Times New Roman" w:cs="Times New Roman" w:eastAsia="Times New Roman" w:hint="default"/>
                <w:sz w:val="18"/>
                <w:szCs w:val="18"/>
              </w:rPr>
            </w:pPr>
            <w:r>
              <w:rPr>
                <w:rFonts w:ascii="Times New Roman"/>
                <w:sz w:val="18"/>
              </w:rPr>
              <w:t>nfo.com.</w:t>
            </w:r>
            <w:r>
              <w:rPr>
                <w:rFonts w:ascii="Times New Roman"/>
                <w:w w:val="99"/>
                <w:sz w:val="18"/>
              </w:rPr>
              <w:t> </w:t>
            </w:r>
            <w:r>
              <w:rPr>
                <w:rFonts w:ascii="Times New Roman"/>
                <w:sz w:val="18"/>
              </w:rPr>
              <w:t>cn</w:t>
            </w:r>
          </w:p>
        </w:tc>
      </w:tr>
      <w:tr>
        <w:trPr>
          <w:trHeight w:val="2627" w:hRule="exact"/>
        </w:trPr>
        <w:tc>
          <w:tcPr>
            <w:tcW w:w="68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19" w:lineRule="auto"/>
              <w:ind w:left="22" w:right="-28"/>
              <w:jc w:val="both"/>
              <w:rPr>
                <w:rFonts w:ascii="宋体" w:hAnsi="宋体" w:cs="宋体" w:eastAsia="宋体" w:hint="default"/>
                <w:sz w:val="18"/>
                <w:szCs w:val="18"/>
              </w:rPr>
            </w:pPr>
            <w:r>
              <w:rPr>
                <w:rFonts w:ascii="宋体" w:hAnsi="宋体" w:cs="宋体" w:eastAsia="宋体" w:hint="default"/>
                <w:spacing w:val="29"/>
                <w:sz w:val="18"/>
                <w:szCs w:val="18"/>
              </w:rPr>
              <w:t>海峡国</w:t>
            </w:r>
            <w:r>
              <w:rPr>
                <w:rFonts w:ascii="宋体" w:hAnsi="宋体" w:cs="宋体" w:eastAsia="宋体" w:hint="default"/>
                <w:spacing w:val="-46"/>
                <w:sz w:val="18"/>
                <w:szCs w:val="18"/>
              </w:rPr>
              <w:t> </w:t>
            </w:r>
            <w:r>
              <w:rPr>
                <w:rFonts w:ascii="宋体" w:hAnsi="宋体" w:cs="宋体" w:eastAsia="宋体" w:hint="default"/>
                <w:spacing w:val="29"/>
                <w:sz w:val="18"/>
                <w:szCs w:val="18"/>
              </w:rPr>
              <w:t>家版权</w:t>
            </w:r>
            <w:r>
              <w:rPr>
                <w:rFonts w:ascii="宋体" w:hAnsi="宋体" w:cs="宋体" w:eastAsia="宋体" w:hint="default"/>
                <w:spacing w:val="-46"/>
                <w:sz w:val="18"/>
                <w:szCs w:val="18"/>
              </w:rPr>
              <w:t> </w:t>
            </w:r>
            <w:r>
              <w:rPr>
                <w:rFonts w:ascii="宋体" w:hAnsi="宋体" w:cs="宋体" w:eastAsia="宋体" w:hint="default"/>
                <w:spacing w:val="29"/>
                <w:sz w:val="18"/>
                <w:szCs w:val="18"/>
              </w:rPr>
              <w:t>交易中</w:t>
            </w:r>
            <w:r>
              <w:rPr>
                <w:rFonts w:ascii="宋体" w:hAnsi="宋体" w:cs="宋体" w:eastAsia="宋体" w:hint="default"/>
                <w:spacing w:val="-46"/>
                <w:sz w:val="18"/>
                <w:szCs w:val="18"/>
              </w:rPr>
              <w:t> </w:t>
            </w:r>
            <w:r>
              <w:rPr>
                <w:rFonts w:ascii="宋体" w:hAnsi="宋体" w:cs="宋体" w:eastAsia="宋体" w:hint="default"/>
                <w:spacing w:val="29"/>
                <w:sz w:val="18"/>
                <w:szCs w:val="18"/>
              </w:rPr>
              <w:t>心有限</w:t>
            </w:r>
            <w:r>
              <w:rPr>
                <w:rFonts w:ascii="宋体" w:hAnsi="宋体" w:cs="宋体" w:eastAsia="宋体" w:hint="default"/>
                <w:spacing w:val="-46"/>
                <w:sz w:val="18"/>
                <w:szCs w:val="18"/>
              </w:rPr>
              <w:t> </w:t>
            </w:r>
            <w:r>
              <w:rPr>
                <w:rFonts w:ascii="宋体" w:hAnsi="宋体" w:cs="宋体" w:eastAsia="宋体" w:hint="default"/>
                <w:sz w:val="18"/>
                <w:szCs w:val="18"/>
              </w:rPr>
              <w:t>公司</w:t>
            </w:r>
          </w:p>
        </w:tc>
        <w:tc>
          <w:tcPr>
            <w:tcW w:w="875"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版权交易</w:t>
            </w:r>
          </w:p>
        </w:tc>
        <w:tc>
          <w:tcPr>
            <w:tcW w:w="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6"/>
              <w:ind w:left="224" w:right="0"/>
              <w:jc w:val="center"/>
              <w:rPr>
                <w:rFonts w:ascii="Times New Roman" w:hAnsi="Times New Roman" w:cs="Times New Roman" w:eastAsia="Times New Roman" w:hint="default"/>
                <w:sz w:val="18"/>
                <w:szCs w:val="18"/>
              </w:rPr>
            </w:pPr>
            <w:r>
              <w:rPr>
                <w:rFonts w:ascii="Times New Roman"/>
                <w:sz w:val="18"/>
              </w:rPr>
              <w:t>00.00</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3"/>
                <w:szCs w:val="23"/>
              </w:rPr>
            </w:pPr>
          </w:p>
          <w:p>
            <w:pPr>
              <w:pStyle w:val="TableParagraph"/>
              <w:spacing w:line="319" w:lineRule="auto"/>
              <w:ind w:left="23" w:right="2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61"/>
                <w:sz w:val="18"/>
                <w:szCs w:val="18"/>
              </w:rPr>
              <w:t> </w:t>
            </w:r>
            <w:r>
              <w:rPr>
                <w:rFonts w:ascii="宋体" w:hAnsi="宋体" w:cs="宋体" w:eastAsia="宋体" w:hint="default"/>
                <w:sz w:val="18"/>
                <w:szCs w:val="18"/>
              </w:rPr>
              <w:t>有</w:t>
            </w:r>
            <w:r>
              <w:rPr>
                <w:rFonts w:ascii="宋体" w:hAnsi="宋体" w:cs="宋体" w:eastAsia="宋体" w:hint="default"/>
                <w:sz w:val="18"/>
                <w:szCs w:val="18"/>
              </w:rPr>
              <w:t> 资金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w:t>
            </w:r>
            <w:r>
              <w:rPr>
                <w:rFonts w:ascii="宋体" w:hAnsi="宋体" w:cs="宋体" w:eastAsia="宋体" w:hint="default"/>
                <w:spacing w:val="61"/>
                <w:sz w:val="18"/>
                <w:szCs w:val="18"/>
              </w:rPr>
              <w:t> </w:t>
            </w:r>
            <w:r>
              <w:rPr>
                <w:rFonts w:ascii="宋体" w:hAnsi="宋体" w:cs="宋体" w:eastAsia="宋体" w:hint="default"/>
                <w:sz w:val="18"/>
                <w:szCs w:val="18"/>
              </w:rPr>
              <w:t>门</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61"/>
                <w:sz w:val="18"/>
                <w:szCs w:val="18"/>
              </w:rPr>
              <w:t> </w:t>
            </w:r>
            <w:r>
              <w:rPr>
                <w:rFonts w:ascii="宋体" w:hAnsi="宋体" w:cs="宋体" w:eastAsia="宋体" w:hint="default"/>
                <w:sz w:val="18"/>
                <w:szCs w:val="18"/>
              </w:rPr>
              <w:t>广</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传</w:t>
            </w:r>
            <w:r>
              <w:rPr>
                <w:rFonts w:ascii="宋体" w:hAnsi="宋体" w:cs="宋体" w:eastAsia="宋体" w:hint="default"/>
                <w:spacing w:val="61"/>
                <w:sz w:val="18"/>
                <w:szCs w:val="18"/>
              </w:rPr>
              <w:t> </w:t>
            </w:r>
            <w:r>
              <w:rPr>
                <w:rFonts w:ascii="宋体" w:hAnsi="宋体" w:cs="宋体" w:eastAsia="宋体" w:hint="default"/>
                <w:sz w:val="18"/>
                <w:szCs w:val="18"/>
              </w:rPr>
              <w:t>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集</w:t>
            </w:r>
            <w:r>
              <w:rPr>
                <w:rFonts w:ascii="宋体" w:hAnsi="宋体" w:cs="宋体" w:eastAsia="宋体" w:hint="default"/>
                <w:spacing w:val="61"/>
                <w:sz w:val="18"/>
                <w:szCs w:val="18"/>
              </w:rPr>
              <w:t> </w:t>
            </w:r>
            <w:r>
              <w:rPr>
                <w:rFonts w:ascii="宋体" w:hAnsi="宋体" w:cs="宋体" w:eastAsia="宋体" w:hint="default"/>
                <w:sz w:val="18"/>
                <w:szCs w:val="18"/>
              </w:rPr>
              <w:t>团</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1"/>
                <w:sz w:val="18"/>
                <w:szCs w:val="18"/>
              </w:rPr>
              <w:t> </w:t>
            </w:r>
            <w:r>
              <w:rPr>
                <w:rFonts w:ascii="宋体" w:hAnsi="宋体" w:cs="宋体" w:eastAsia="宋体" w:hint="default"/>
                <w:sz w:val="18"/>
                <w:szCs w:val="18"/>
              </w:rPr>
              <w:t>限</w:t>
            </w:r>
          </w:p>
          <w:p>
            <w:pPr>
              <w:pStyle w:val="TableParagraph"/>
              <w:spacing w:line="319"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公</w:t>
            </w:r>
            <w:r>
              <w:rPr>
                <w:rFonts w:ascii="宋体" w:hAnsi="宋体" w:cs="宋体" w:eastAsia="宋体" w:hint="default"/>
                <w:spacing w:val="61"/>
                <w:sz w:val="18"/>
                <w:szCs w:val="18"/>
              </w:rPr>
              <w:t> </w:t>
            </w:r>
            <w:r>
              <w:rPr>
                <w:rFonts w:ascii="宋体" w:hAnsi="宋体" w:cs="宋体" w:eastAsia="宋体" w:hint="default"/>
                <w:sz w:val="18"/>
                <w:szCs w:val="18"/>
              </w:rPr>
              <w:t>司</w:t>
            </w:r>
            <w:r>
              <w:rPr>
                <w:rFonts w:ascii="宋体" w:hAnsi="宋体" w:cs="宋体" w:eastAsia="宋体" w:hint="default"/>
                <w:sz w:val="18"/>
                <w:szCs w:val="18"/>
              </w:rPr>
              <w:t> 等</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版权交易</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338" w:lineRule="auto"/>
              <w:ind w:left="22"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巨 潮 资 讯</w:t>
            </w:r>
            <w:r>
              <w:rPr>
                <w:rFonts w:ascii="宋体" w:hAnsi="宋体" w:cs="宋体" w:eastAsia="宋体" w:hint="default"/>
                <w:spacing w:val="88"/>
                <w:sz w:val="18"/>
                <w:szCs w:val="18"/>
              </w:rPr>
              <w:t> </w:t>
            </w:r>
            <w:r>
              <w:rPr>
                <w:rFonts w:ascii="宋体" w:hAnsi="宋体" w:cs="宋体" w:eastAsia="宋体" w:hint="default"/>
                <w:sz w:val="18"/>
                <w:szCs w:val="18"/>
              </w:rPr>
              <w:t>网</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www.cni</w:t>
            </w:r>
            <w:r>
              <w:rPr>
                <w:rFonts w:ascii="Times New Roman" w:hAnsi="Times New Roman" w:cs="Times New Roman" w:eastAsia="Times New Roman" w:hint="default"/>
                <w:sz w:val="18"/>
                <w:szCs w:val="18"/>
              </w:rPr>
            </w:r>
          </w:p>
          <w:p>
            <w:pPr>
              <w:pStyle w:val="TableParagraph"/>
              <w:spacing w:line="362" w:lineRule="auto" w:before="23"/>
              <w:ind w:left="22" w:right="100"/>
              <w:jc w:val="both"/>
              <w:rPr>
                <w:rFonts w:ascii="Times New Roman" w:hAnsi="Times New Roman" w:cs="Times New Roman" w:eastAsia="Times New Roman" w:hint="default"/>
                <w:sz w:val="18"/>
                <w:szCs w:val="18"/>
              </w:rPr>
            </w:pPr>
            <w:r>
              <w:rPr>
                <w:rFonts w:ascii="Times New Roman"/>
                <w:sz w:val="18"/>
              </w:rPr>
              <w:t>nfo.com.</w:t>
            </w:r>
            <w:r>
              <w:rPr>
                <w:rFonts w:ascii="Times New Roman"/>
                <w:w w:val="99"/>
                <w:sz w:val="18"/>
              </w:rPr>
              <w:t> </w:t>
            </w:r>
            <w:r>
              <w:rPr>
                <w:rFonts w:ascii="Times New Roman"/>
                <w:sz w:val="18"/>
              </w:rPr>
              <w:t>cn</w:t>
            </w:r>
          </w:p>
        </w:tc>
      </w:tr>
      <w:tr>
        <w:trPr>
          <w:trHeight w:val="714" w:hRule="exact"/>
        </w:trPr>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5"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900,191</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,331.86</w:t>
            </w:r>
          </w:p>
        </w:tc>
        <w:tc>
          <w:tcPr>
            <w:tcW w:w="81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3,366,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489.44</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240" w:lineRule="auto" w:before="35"/>
        <w:ind w:left="154" w:right="0"/>
        <w:jc w:val="left"/>
      </w:pPr>
      <w:r>
        <w:rPr/>
        <w:t>注：</w:t>
      </w:r>
    </w:p>
    <w:p>
      <w:pPr>
        <w:spacing w:line="240" w:lineRule="auto" w:before="10"/>
        <w:rPr>
          <w:rFonts w:ascii="宋体" w:hAnsi="宋体" w:cs="宋体" w:eastAsia="宋体" w:hint="default"/>
          <w:sz w:val="16"/>
          <w:szCs w:val="16"/>
        </w:rPr>
      </w:pPr>
    </w:p>
    <w:p>
      <w:pPr>
        <w:pStyle w:val="BodyText"/>
        <w:spacing w:line="240" w:lineRule="auto"/>
        <w:ind w:left="154" w:right="0"/>
        <w:jc w:val="left"/>
      </w:pPr>
      <w:r>
        <w:rPr>
          <w:rFonts w:ascii="Times New Roman" w:hAnsi="Times New Roman" w:cs="Times New Roman" w:eastAsia="Times New Roman" w:hint="default"/>
        </w:rPr>
        <w:t>1</w:t>
      </w:r>
      <w:r>
        <w:rPr/>
        <w:t>、上表投资金额为截止报告期末已实际完成金额。</w:t>
      </w:r>
    </w:p>
    <w:p>
      <w:pPr>
        <w:spacing w:line="240" w:lineRule="auto" w:before="7"/>
        <w:rPr>
          <w:rFonts w:ascii="宋体" w:hAnsi="宋体" w:cs="宋体" w:eastAsia="宋体" w:hint="default"/>
          <w:sz w:val="15"/>
          <w:szCs w:val="15"/>
        </w:rPr>
      </w:pPr>
    </w:p>
    <w:p>
      <w:pPr>
        <w:pStyle w:val="BodyText"/>
        <w:spacing w:line="309" w:lineRule="auto"/>
        <w:ind w:left="153" w:right="21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日，本公司发行股份购买资产重组事项获得中国证监会核准通过，</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日江苏 税软及珠海新德汇完成企业类型变更和股东变更相关手续，故江苏税软购买日确定为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rFonts w:ascii="Times New Roman" w:hAnsi="Times New Roman" w:cs="Times New Roman" w:eastAsia="Times New Roman" w:hint="default"/>
        </w:rPr>
        <w:t>2015</w:t>
      </w:r>
      <w:r>
        <w:rPr/>
        <w:t>年两家公司对应的股权本期收益尚未纳入公司合并报表。</w:t>
      </w:r>
    </w:p>
    <w:p>
      <w:pPr>
        <w:pStyle w:val="BodyText"/>
        <w:spacing w:line="309" w:lineRule="auto" w:before="136"/>
        <w:ind w:left="153" w:right="148"/>
        <w:jc w:val="left"/>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月本公司对武汉大千派驻董事</w:t>
      </w:r>
      <w:r>
        <w:rPr>
          <w:rFonts w:ascii="Times New Roman" w:hAnsi="Times New Roman" w:cs="Times New Roman" w:eastAsia="Times New Roman" w:hint="default"/>
          <w:spacing w:val="-1"/>
        </w:rPr>
        <w:t>2</w:t>
      </w:r>
      <w:r>
        <w:rPr>
          <w:spacing w:val="-1"/>
        </w:rPr>
        <w:t>名（武汉大千共有董事</w:t>
      </w:r>
      <w:r>
        <w:rPr>
          <w:rFonts w:ascii="Times New Roman" w:hAnsi="Times New Roman" w:cs="Times New Roman" w:eastAsia="Times New Roman" w:hint="default"/>
          <w:spacing w:val="-1"/>
        </w:rPr>
        <w:t>3</w:t>
      </w:r>
      <w:r>
        <w:rPr>
          <w:spacing w:val="-1"/>
        </w:rPr>
        <w:t>名），</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w:t>
      </w:r>
      <w:r>
        <w:rPr>
          <w:spacing w:val="-1"/>
        </w:rPr>
        <w:t>日按协议约定支付增</w:t>
      </w:r>
      <w:r>
        <w:rPr>
          <w:spacing w:val="-89"/>
        </w:rPr>
        <w:t> </w:t>
      </w:r>
      <w:r>
        <w:rPr>
          <w:spacing w:val="-89"/>
        </w:rPr>
      </w:r>
      <w:r>
        <w:rPr/>
        <w:t>资款</w:t>
      </w:r>
      <w:r>
        <w:rPr>
          <w:rFonts w:ascii="Times New Roman" w:hAnsi="Times New Roman" w:cs="Times New Roman" w:eastAsia="Times New Roman" w:hint="default"/>
        </w:rPr>
        <w:t>1,000</w:t>
      </w:r>
      <w:r>
        <w:rPr/>
        <w:t>万元及</w:t>
      </w:r>
      <w:r>
        <w:rPr>
          <w:rFonts w:ascii="Times New Roman" w:hAnsi="Times New Roman" w:cs="Times New Roman" w:eastAsia="Times New Roman" w:hint="default"/>
        </w:rPr>
        <w:t>30%</w:t>
      </w:r>
      <w:r>
        <w:rPr/>
        <w:t>股权转让款</w:t>
      </w:r>
      <w:r>
        <w:rPr>
          <w:rFonts w:ascii="Times New Roman" w:hAnsi="Times New Roman" w:cs="Times New Roman" w:eastAsia="Times New Roman" w:hint="default"/>
        </w:rPr>
        <w:t>694.50</w:t>
      </w:r>
      <w:r>
        <w:rPr/>
        <w:t>万元，本公司对武汉大千的财务和经营决策拥有控制权，享有相应</w:t>
      </w:r>
    </w:p>
    <w:p>
      <w:pPr>
        <w:spacing w:after="0" w:line="309" w:lineRule="auto"/>
        <w:jc w:val="left"/>
        <w:sectPr>
          <w:pgSz w:w="11910" w:h="16840"/>
          <w:pgMar w:header="918" w:footer="1020" w:top="1160" w:bottom="1220" w:left="980" w:right="980"/>
        </w:sectPr>
      </w:pPr>
    </w:p>
    <w:p>
      <w:pPr>
        <w:spacing w:line="240" w:lineRule="auto" w:before="5"/>
        <w:rPr>
          <w:rFonts w:ascii="宋体" w:hAnsi="宋体" w:cs="宋体" w:eastAsia="宋体" w:hint="default"/>
          <w:sz w:val="20"/>
          <w:szCs w:val="20"/>
        </w:rPr>
      </w:pPr>
    </w:p>
    <w:p>
      <w:pPr>
        <w:pStyle w:val="BodyText"/>
        <w:spacing w:line="240" w:lineRule="auto" w:before="35"/>
        <w:ind w:left="154" w:right="0"/>
        <w:jc w:val="left"/>
      </w:pPr>
      <w:bookmarkStart w:name="（2）募集资金承诺项目情况" w:id="46"/>
      <w:bookmarkEnd w:id="46"/>
      <w:r>
        <w:rPr/>
      </w:r>
      <w:r>
        <w:rPr/>
        <w:t>的收益并承担相应的风险，故武汉大千购买日确定为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日。武汉大千对应的股权本期收益期间为</w:t>
      </w:r>
    </w:p>
    <w:p>
      <w:pPr>
        <w:pStyle w:val="BodyText"/>
        <w:spacing w:line="240" w:lineRule="auto" w:before="83"/>
        <w:ind w:left="15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7-12</w:t>
      </w:r>
      <w:r>
        <w:rPr/>
        <w:t>月。</w:t>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3</w:t>
      </w:r>
      <w:r>
        <w:rPr/>
        <w:t>、报告期</w:t>
      </w:r>
      <w:bookmarkStart w:name="3、报告期内正在进行的重大的非股权投资情况" w:id="47"/>
      <w:bookmarkEnd w:id="47"/>
      <w:r>
        <w:rPr/>
        <w:t>内</w:t>
      </w:r>
      <w:r>
        <w:rPr/>
        <w:t>正在进行的重大的非股权投资情况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34" w:right="7326"/>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4</w:t>
      </w:r>
      <w:r>
        <w:rPr/>
        <w:t>、以公允价值计量的金融</w:t>
      </w:r>
      <w:bookmarkStart w:name="4、以公允价值计量的金融资产" w:id="48"/>
      <w:bookmarkEnd w:id="48"/>
      <w:r>
        <w:rPr/>
        <w:t>资产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34" w:right="7326"/>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5、募集资金使用情况" w:id="49"/>
      <w:bookmarkEnd w:id="49"/>
      <w:r>
        <w:rPr/>
      </w:r>
      <w:bookmarkStart w:name="（1）募集资金总体使用情况" w:id="50"/>
      <w:bookmarkEnd w:id="50"/>
      <w:r>
        <w:rPr/>
      </w: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09"/>
        <w:gridCol w:w="709"/>
        <w:gridCol w:w="850"/>
        <w:gridCol w:w="709"/>
        <w:gridCol w:w="851"/>
        <w:gridCol w:w="850"/>
        <w:gridCol w:w="852"/>
        <w:gridCol w:w="850"/>
        <w:gridCol w:w="851"/>
        <w:gridCol w:w="1702"/>
        <w:gridCol w:w="632"/>
      </w:tblGrid>
      <w:tr>
        <w:trPr>
          <w:trHeight w:val="1338" w:hRule="exact"/>
        </w:trPr>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9" w:right="78"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0" w:right="59"/>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9" w:right="59"/>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84" w:right="35" w:hanging="450"/>
              <w:jc w:val="left"/>
              <w:rPr>
                <w:rFonts w:ascii="宋体" w:hAnsi="宋体" w:cs="宋体" w:eastAsia="宋体" w:hint="default"/>
                <w:sz w:val="18"/>
                <w:szCs w:val="18"/>
              </w:rPr>
            </w:pPr>
            <w:r>
              <w:rPr>
                <w:rFonts w:ascii="宋体" w:hAnsi="宋体" w:cs="宋体" w:eastAsia="宋体" w:hint="default"/>
                <w:sz w:val="18"/>
                <w:szCs w:val="18"/>
              </w:rPr>
              <w:t>尚未使用募集资金用 途及去向</w:t>
            </w:r>
          </w:p>
        </w:tc>
        <w:tc>
          <w:tcPr>
            <w:tcW w:w="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40" w:right="41"/>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321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09"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22" w:right="-39"/>
              <w:jc w:val="left"/>
              <w:rPr>
                <w:rFonts w:ascii="宋体" w:hAnsi="宋体" w:cs="宋体" w:eastAsia="宋体" w:hint="default"/>
                <w:sz w:val="18"/>
                <w:szCs w:val="18"/>
              </w:rPr>
            </w:pPr>
            <w:r>
              <w:rPr>
                <w:rFonts w:ascii="宋体" w:hAnsi="宋体" w:cs="宋体" w:eastAsia="宋体" w:hint="default"/>
                <w:spacing w:val="37"/>
                <w:sz w:val="18"/>
                <w:szCs w:val="18"/>
              </w:rPr>
              <w:t>公开发</w:t>
            </w:r>
            <w:r>
              <w:rPr>
                <w:rFonts w:ascii="宋体" w:hAnsi="宋体" w:cs="宋体" w:eastAsia="宋体" w:hint="default"/>
                <w:spacing w:val="-34"/>
                <w:sz w:val="18"/>
                <w:szCs w:val="18"/>
              </w:rPr>
              <w:t> </w:t>
            </w:r>
            <w:r>
              <w:rPr>
                <w:rFonts w:ascii="宋体" w:hAnsi="宋体" w:cs="宋体" w:eastAsia="宋体" w:hint="default"/>
                <w:sz w:val="18"/>
                <w:szCs w:val="18"/>
              </w:rPr>
              <w:t>行股份</w:t>
            </w:r>
          </w:p>
        </w:tc>
        <w:tc>
          <w:tcPr>
            <w:tcW w:w="850" w:type="dxa"/>
            <w:tcBorders>
              <w:top w:val="single" w:sz="4" w:space="0" w:color="000000"/>
              <w:left w:val="single" w:sz="9" w:space="0" w:color="FFFFFF"/>
              <w:bottom w:val="single" w:sz="4" w:space="0" w:color="000000"/>
              <w:right w:val="single" w:sz="4" w:space="0" w:color="000000"/>
            </w:tcBorders>
          </w:tcPr>
          <w:p>
            <w:pPr>
              <w:pStyle w:val="TableParagraph"/>
              <w:spacing w:line="1404" w:lineRule="exact"/>
              <w:ind w:left="-7" w:right="-50"/>
              <w:jc w:val="left"/>
              <w:rPr>
                <w:rFonts w:ascii="宋体" w:hAnsi="宋体" w:cs="宋体" w:eastAsia="宋体" w:hint="default"/>
                <w:sz w:val="20"/>
                <w:szCs w:val="20"/>
              </w:rPr>
            </w:pPr>
            <w:r>
              <w:rPr>
                <w:rFonts w:ascii="宋体" w:hAnsi="宋体" w:cs="宋体" w:eastAsia="宋体" w:hint="default"/>
                <w:position w:val="-27"/>
                <w:sz w:val="20"/>
                <w:szCs w:val="20"/>
              </w:rPr>
              <w:pict>
                <v:group style="width:42pt;height:70.2pt;mso-position-horizontal-relative:char;mso-position-vertical-relative:line" coordorigin="0,0" coordsize="840,1404">
                  <v:group style="position:absolute;left:0;top:0;width:840;height:1404" coordorigin="0,0" coordsize="840,1404">
                    <v:shape style="position:absolute;left:0;top:0;width:840;height:1404" coordorigin="0,0" coordsize="840,1404" path="m0,1404l840,1404,840,0,0,0,0,1404xe" filled="true" fillcolor="#ffffff" stroked="false">
                      <v:path arrowok="t"/>
                      <v:fill type="solid"/>
                    </v:shape>
                  </v:group>
                </v:group>
              </w:pict>
            </w:r>
            <w:r>
              <w:rPr>
                <w:rFonts w:ascii="宋体" w:hAnsi="宋体" w:cs="宋体" w:eastAsia="宋体" w:hint="default"/>
                <w:position w:val="-27"/>
                <w:sz w:val="20"/>
                <w:szCs w:val="20"/>
              </w:rPr>
            </w:r>
          </w:p>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50,140.6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2,492.42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49,155.26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both"/>
              <w:rPr>
                <w:rFonts w:ascii="宋体" w:hAnsi="宋体" w:cs="宋体" w:eastAsia="宋体" w:hint="default"/>
                <w:sz w:val="18"/>
                <w:szCs w:val="18"/>
              </w:rPr>
            </w:pPr>
            <w:r>
              <w:rPr>
                <w:rFonts w:ascii="宋体" w:hAnsi="宋体" w:cs="宋体" w:eastAsia="宋体" w:hint="default"/>
                <w:spacing w:val="2"/>
                <w:sz w:val="18"/>
                <w:szCs w:val="18"/>
              </w:rPr>
              <w:t>尚未使用的募集资金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存储于专户中。主要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用于支付的研发大楼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相关税费及根据《投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资协议》约定公司将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在珠海市新德汇信息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8"/>
                <w:sz w:val="18"/>
                <w:szCs w:val="18"/>
              </w:rPr>
              <w:t>技术有</w:t>
            </w:r>
            <w:r>
              <w:rPr>
                <w:rFonts w:ascii="宋体" w:hAnsi="宋体" w:cs="宋体" w:eastAsia="宋体" w:hint="default"/>
                <w:spacing w:val="-59"/>
                <w:sz w:val="18"/>
                <w:szCs w:val="18"/>
              </w:rPr>
              <w:t> </w:t>
            </w:r>
            <w:r>
              <w:rPr>
                <w:rFonts w:ascii="宋体" w:hAnsi="宋体" w:cs="宋体" w:eastAsia="宋体" w:hint="default"/>
                <w:spacing w:val="14"/>
                <w:sz w:val="18"/>
                <w:szCs w:val="18"/>
              </w:rPr>
              <w:t>限公</w:t>
            </w:r>
            <w:r>
              <w:rPr>
                <w:rFonts w:ascii="宋体" w:hAnsi="宋体" w:cs="宋体" w:eastAsia="宋体" w:hint="default"/>
                <w:spacing w:val="-59"/>
                <w:sz w:val="18"/>
                <w:szCs w:val="18"/>
              </w:rPr>
              <w:t> </w:t>
            </w:r>
            <w:r>
              <w:rPr>
                <w:rFonts w:ascii="宋体" w:hAnsi="宋体" w:cs="宋体" w:eastAsia="宋体" w:hint="default"/>
                <w:spacing w:val="18"/>
                <w:sz w:val="18"/>
                <w:szCs w:val="18"/>
              </w:rPr>
              <w:t>司达到</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年业绩承诺条件 </w:t>
            </w:r>
            <w:r>
              <w:rPr>
                <w:rFonts w:ascii="宋体" w:hAnsi="宋体" w:cs="宋体" w:eastAsia="宋体" w:hint="default"/>
                <w:spacing w:val="2"/>
                <w:sz w:val="18"/>
                <w:szCs w:val="18"/>
              </w:rPr>
              <w:t>后支付该笔股权转让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款给苏学武先生。</w:t>
            </w:r>
          </w:p>
        </w:tc>
        <w:tc>
          <w:tcPr>
            <w:tcW w:w="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50,140.6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2,492.42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49,155.26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985.34</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632" w:type="dxa"/>
            <w:tcBorders>
              <w:top w:val="single" w:sz="4" w:space="0" w:color="000000"/>
              <w:left w:val="single" w:sz="13" w:space="0" w:color="D4D4D4"/>
              <w:bottom w:val="single" w:sz="4" w:space="0" w:color="000000"/>
              <w:right w:val="single" w:sz="4" w:space="0" w:color="000000"/>
            </w:tcBorders>
          </w:tcPr>
          <w:p>
            <w:pP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4"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日，公司募集资金累计直接投入募投项目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49,155.26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万元，尚未使用的金额为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985.34</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万元，尚未使用</w:t>
            </w:r>
            <w:r>
              <w:rPr>
                <w:rFonts w:ascii="宋体" w:hAnsi="宋体" w:cs="宋体" w:eastAsia="宋体" w:hint="default"/>
                <w:sz w:val="18"/>
                <w:szCs w:val="18"/>
              </w:rPr>
              <w:t> 的募集资金存储于专户中。</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709"/>
        <w:gridCol w:w="850"/>
        <w:gridCol w:w="847"/>
        <w:gridCol w:w="715"/>
        <w:gridCol w:w="720"/>
        <w:gridCol w:w="836"/>
        <w:gridCol w:w="992"/>
        <w:gridCol w:w="566"/>
        <w:gridCol w:w="709"/>
        <w:gridCol w:w="484"/>
        <w:gridCol w:w="703"/>
      </w:tblGrid>
      <w:tr>
        <w:trPr>
          <w:trHeight w:val="1338"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63" w:right="73" w:hanging="90"/>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1"/>
              <w:ind w:left="49" w:right="4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 w:right="42"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8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85"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24" w:lineRule="auto" w:before="51"/>
              <w:ind w:left="52"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0" w:right="41"/>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1"/>
              <w:ind w:left="98" w:right="96"/>
              <w:jc w:val="both"/>
              <w:rPr>
                <w:rFonts w:ascii="宋体" w:hAnsi="宋体" w:cs="宋体" w:eastAsia="宋体" w:hint="default"/>
                <w:sz w:val="18"/>
                <w:szCs w:val="18"/>
              </w:rPr>
            </w:pPr>
            <w:r>
              <w:rPr>
                <w:rFonts w:ascii="宋体" w:hAnsi="宋体" w:cs="宋体" w:eastAsia="宋体" w:hint="default"/>
                <w:sz w:val="18"/>
                <w:szCs w:val="18"/>
              </w:rPr>
              <w:t>本报 告期 实现 的效</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1"/>
              <w:ind w:left="79" w:right="78"/>
              <w:jc w:val="both"/>
              <w:rPr>
                <w:rFonts w:ascii="宋体" w:hAnsi="宋体" w:cs="宋体" w:eastAsia="宋体" w:hint="default"/>
                <w:sz w:val="18"/>
                <w:szCs w:val="18"/>
              </w:rPr>
            </w:pPr>
            <w:r>
              <w:rPr>
                <w:rFonts w:ascii="宋体" w:hAnsi="宋体" w:cs="宋体" w:eastAsia="宋体" w:hint="default"/>
                <w:sz w:val="18"/>
                <w:szCs w:val="18"/>
              </w:rPr>
              <w:t>截止报 告期末 累计实 现的效</w:t>
            </w:r>
          </w:p>
        </w:tc>
        <w:tc>
          <w:tcPr>
            <w:tcW w:w="4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56" w:right="55"/>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0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1"/>
              <w:ind w:left="82" w:right="68"/>
              <w:jc w:val="both"/>
              <w:rPr>
                <w:rFonts w:ascii="宋体" w:hAnsi="宋体" w:cs="宋体" w:eastAsia="宋体" w:hint="default"/>
                <w:sz w:val="18"/>
                <w:szCs w:val="18"/>
              </w:rPr>
            </w:pPr>
            <w:r>
              <w:rPr>
                <w:rFonts w:ascii="宋体" w:hAnsi="宋体" w:cs="宋体" w:eastAsia="宋体" w:hint="default"/>
                <w:sz w:val="18"/>
                <w:szCs w:val="18"/>
              </w:rPr>
              <w:t>项目可 行性是 否发生 重大变</w:t>
            </w:r>
          </w:p>
        </w:tc>
      </w:tr>
    </w:tbl>
    <w:p>
      <w:pPr>
        <w:spacing w:after="0" w:line="316" w:lineRule="auto"/>
        <w:jc w:val="both"/>
        <w:rPr>
          <w:rFonts w:ascii="宋体" w:hAnsi="宋体" w:cs="宋体" w:eastAsia="宋体" w:hint="default"/>
          <w:sz w:val="18"/>
          <w:szCs w:val="18"/>
        </w:rPr>
        <w:sectPr>
          <w:pgSz w:w="11910" w:h="16840"/>
          <w:pgMar w:header="918" w:footer="1020" w:top="1160" w:bottom="1220" w:left="980" w:right="980"/>
        </w:sectPr>
      </w:pPr>
    </w:p>
    <w:p>
      <w:pPr>
        <w:spacing w:line="240" w:lineRule="auto" w:before="0"/>
        <w:rPr>
          <w:rFonts w:ascii="宋体" w:hAnsi="宋体" w:cs="宋体" w:eastAsia="宋体" w:hint="default"/>
          <w:sz w:val="20"/>
          <w:szCs w:val="20"/>
        </w:rPr>
      </w:pPr>
      <w:r>
        <w:rPr/>
        <w:pict>
          <v:shape style="position:absolute;margin-left:56.459999pt;margin-top:72.329987pt;width:478.8pt;height:685.9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8"/>
                    <w:gridCol w:w="142"/>
                    <w:gridCol w:w="568"/>
                    <w:gridCol w:w="850"/>
                    <w:gridCol w:w="850"/>
                    <w:gridCol w:w="716"/>
                    <w:gridCol w:w="717"/>
                    <w:gridCol w:w="127"/>
                    <w:gridCol w:w="709"/>
                    <w:gridCol w:w="992"/>
                    <w:gridCol w:w="566"/>
                    <w:gridCol w:w="709"/>
                    <w:gridCol w:w="486"/>
                    <w:gridCol w:w="711"/>
                  </w:tblGrid>
                  <w:tr>
                    <w:trPr>
                      <w:trHeight w:val="362"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09"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1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17"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36" w:type="dxa"/>
                        <w:gridSpan w:val="2"/>
                        <w:tcBorders>
                          <w:top w:val="single" w:sz="4" w:space="0" w:color="000000"/>
                          <w:left w:val="single" w:sz="4" w:space="0" w:color="000000"/>
                          <w:bottom w:val="single" w:sz="4" w:space="0" w:color="000000"/>
                          <w:right w:val="single" w:sz="4" w:space="0" w:color="000000"/>
                        </w:tcBorders>
                        <w:shd w:val="clear" w:color="auto" w:fill="D4D4D4"/>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益</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486"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71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1"/>
                          <w:jc w:val="center"/>
                          <w:rPr>
                            <w:rFonts w:ascii="宋体" w:hAnsi="宋体" w:cs="宋体" w:eastAsia="宋体" w:hint="default"/>
                            <w:sz w:val="18"/>
                            <w:szCs w:val="18"/>
                          </w:rPr>
                        </w:pPr>
                        <w:r>
                          <w:rPr>
                            <w:rFonts w:ascii="宋体" w:hAnsi="宋体" w:cs="宋体" w:eastAsia="宋体" w:hint="default"/>
                            <w:sz w:val="18"/>
                            <w:szCs w:val="18"/>
                          </w:rPr>
                          <w:t>化</w:t>
                        </w:r>
                      </w:p>
                    </w:tc>
                  </w:tr>
                  <w:tr>
                    <w:trPr>
                      <w:trHeight w:val="402" w:hRule="exact"/>
                    </w:trPr>
                    <w:tc>
                      <w:tcPr>
                        <w:tcW w:w="9562" w:type="dxa"/>
                        <w:gridSpan w:val="1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4"/>
                            <w:sz w:val="18"/>
                            <w:szCs w:val="18"/>
                          </w:rPr>
                          <w:t>电子数据取证产</w:t>
                        </w:r>
                        <w:r>
                          <w:rPr>
                            <w:rFonts w:ascii="宋体" w:hAnsi="宋体" w:cs="宋体" w:eastAsia="宋体" w:hint="default"/>
                            <w:sz w:val="18"/>
                            <w:szCs w:val="18"/>
                          </w:rPr>
                          <w:t> 品项目</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6,993.29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6,939.62</w:t>
                        </w:r>
                      </w:p>
                    </w:tc>
                    <w:tc>
                      <w:tcPr>
                        <w:tcW w:w="716" w:type="dxa"/>
                        <w:tcBorders>
                          <w:top w:val="single" w:sz="4" w:space="0" w:color="000000"/>
                          <w:left w:val="single" w:sz="4" w:space="0" w:color="000000"/>
                          <w:bottom w:val="single" w:sz="4" w:space="0" w:color="000000"/>
                          <w:right w:val="single" w:sz="4" w:space="0" w:color="000000"/>
                        </w:tcBorders>
                      </w:tcPr>
                      <w:p>
                        <w:pP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6,939.62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8,064.</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19,835.1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4"/>
                            <w:sz w:val="18"/>
                            <w:szCs w:val="18"/>
                          </w:rPr>
                          <w:t>网络信息安全产</w:t>
                        </w:r>
                        <w:r>
                          <w:rPr>
                            <w:rFonts w:ascii="宋体" w:hAnsi="宋体" w:cs="宋体" w:eastAsia="宋体" w:hint="default"/>
                            <w:sz w:val="18"/>
                            <w:szCs w:val="18"/>
                          </w:rPr>
                          <w:t> 品项目</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6,291.62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6,258.75</w:t>
                        </w:r>
                      </w:p>
                    </w:tc>
                    <w:tc>
                      <w:tcPr>
                        <w:tcW w:w="716" w:type="dxa"/>
                        <w:tcBorders>
                          <w:top w:val="single" w:sz="4" w:space="0" w:color="000000"/>
                          <w:left w:val="single" w:sz="4" w:space="0" w:color="000000"/>
                          <w:bottom w:val="single" w:sz="4" w:space="0" w:color="000000"/>
                          <w:right w:val="single" w:sz="4" w:space="0" w:color="000000"/>
                        </w:tcBorders>
                      </w:tcPr>
                      <w:p>
                        <w:pP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6,258.75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516.71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3,632.14</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14"/>
                            <w:sz w:val="18"/>
                            <w:szCs w:val="18"/>
                          </w:rPr>
                          <w:t>电子数据鉴定及</w:t>
                        </w:r>
                        <w:r>
                          <w:rPr>
                            <w:rFonts w:ascii="宋体" w:hAnsi="宋体" w:cs="宋体" w:eastAsia="宋体" w:hint="default"/>
                            <w:sz w:val="18"/>
                            <w:szCs w:val="18"/>
                          </w:rPr>
                          <w:t> </w:t>
                        </w:r>
                        <w:r>
                          <w:rPr>
                            <w:rFonts w:ascii="宋体" w:hAnsi="宋体" w:cs="宋体" w:eastAsia="宋体" w:hint="default"/>
                            <w:spacing w:val="14"/>
                            <w:sz w:val="18"/>
                            <w:szCs w:val="18"/>
                          </w:rPr>
                          <w:t>知识产权保护服</w:t>
                        </w:r>
                        <w:r>
                          <w:rPr>
                            <w:rFonts w:ascii="宋体" w:hAnsi="宋体" w:cs="宋体" w:eastAsia="宋体" w:hint="default"/>
                            <w:sz w:val="18"/>
                            <w:szCs w:val="18"/>
                          </w:rPr>
                          <w:t> 务等项目</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3,459.95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3,399.43</w:t>
                        </w:r>
                      </w:p>
                    </w:tc>
                    <w:tc>
                      <w:tcPr>
                        <w:tcW w:w="716" w:type="dxa"/>
                        <w:tcBorders>
                          <w:top w:val="single" w:sz="4" w:space="0" w:color="000000"/>
                          <w:left w:val="single" w:sz="4" w:space="0" w:color="000000"/>
                          <w:bottom w:val="single" w:sz="4" w:space="0" w:color="000000"/>
                          <w:right w:val="single" w:sz="4" w:space="0" w:color="000000"/>
                        </w:tcBorders>
                      </w:tcPr>
                      <w:p>
                        <w:pP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3,399.43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2,274.</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7,742.93</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4"/>
                            <w:sz w:val="18"/>
                            <w:szCs w:val="18"/>
                          </w:rPr>
                          <w:t>节余募集资金永</w:t>
                        </w:r>
                        <w:r>
                          <w:rPr>
                            <w:rFonts w:ascii="宋体" w:hAnsi="宋体" w:cs="宋体" w:eastAsia="宋体" w:hint="default"/>
                            <w:sz w:val="18"/>
                            <w:szCs w:val="18"/>
                          </w:rPr>
                          <w:t> 久补充流动资金</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86.54</w:t>
                        </w:r>
                      </w:p>
                    </w:tc>
                    <w:tc>
                      <w:tcPr>
                        <w:tcW w:w="716" w:type="dxa"/>
                        <w:tcBorders>
                          <w:top w:val="single" w:sz="4" w:space="0" w:color="000000"/>
                          <w:left w:val="single" w:sz="4" w:space="0" w:color="000000"/>
                          <w:bottom w:val="single" w:sz="4" w:space="0" w:color="000000"/>
                          <w:right w:val="single" w:sz="4" w:space="0" w:color="000000"/>
                        </w:tcBorders>
                      </w:tcPr>
                      <w:p>
                        <w:pP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86.54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4"/>
                            <w:sz w:val="18"/>
                            <w:szCs w:val="18"/>
                          </w:rPr>
                          <w:t>承诺投资项目小</w:t>
                        </w:r>
                        <w:r>
                          <w:rPr>
                            <w:rFonts w:ascii="宋体" w:hAnsi="宋体" w:cs="宋体" w:eastAsia="宋体" w:hint="default"/>
                            <w:sz w:val="18"/>
                            <w:szCs w:val="18"/>
                          </w:rPr>
                          <w:t> 计</w:t>
                        </w:r>
                      </w:p>
                    </w:tc>
                    <w:tc>
                      <w:tcPr>
                        <w:tcW w:w="709"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16,744.86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16,684.34</w:t>
                        </w:r>
                      </w:p>
                    </w:tc>
                    <w:tc>
                      <w:tcPr>
                        <w:tcW w:w="716" w:type="dxa"/>
                        <w:vMerge w:val="restart"/>
                        <w:tcBorders>
                          <w:top w:val="single" w:sz="4" w:space="0" w:color="000000"/>
                          <w:left w:val="single" w:sz="4" w:space="0" w:color="000000"/>
                          <w:right w:val="single" w:sz="4" w:space="0" w:color="000000"/>
                        </w:tcBorders>
                      </w:tcPr>
                      <w:p>
                        <w:pPr/>
                      </w:p>
                    </w:tc>
                    <w:tc>
                      <w:tcPr>
                        <w:tcW w:w="844" w:type="dxa"/>
                        <w:gridSpan w:val="2"/>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16,684.34</w:t>
                        </w: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c>
                      <w:tcPr>
                        <w:tcW w:w="992"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vMerge w:val="restart"/>
                        <w:tcBorders>
                          <w:top w:val="single" w:sz="4" w:space="0" w:color="000000"/>
                          <w:left w:val="single" w:sz="10" w:space="0" w:color="D4D4D4"/>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10,855</w:t>
                        </w:r>
                      </w:p>
                      <w:p>
                        <w:pPr>
                          <w:pStyle w:val="TableParagraph"/>
                          <w:spacing w:line="240" w:lineRule="auto" w:before="106"/>
                          <w:ind w:left="302" w:right="0"/>
                          <w:jc w:val="left"/>
                          <w:rPr>
                            <w:rFonts w:ascii="Times New Roman" w:hAnsi="Times New Roman" w:cs="Times New Roman" w:eastAsia="Times New Roman" w:hint="default"/>
                            <w:sz w:val="18"/>
                            <w:szCs w:val="18"/>
                          </w:rPr>
                        </w:pPr>
                        <w:r>
                          <w:rPr>
                            <w:rFonts w:ascii="Times New Roman"/>
                            <w:sz w:val="18"/>
                          </w:rPr>
                          <w:t>.89</w:t>
                        </w:r>
                      </w:p>
                    </w:tc>
                    <w:tc>
                      <w:tcPr>
                        <w:tcW w:w="709" w:type="dxa"/>
                        <w:vMerge w:val="restart"/>
                        <w:tcBorders>
                          <w:top w:val="single" w:sz="4" w:space="0" w:color="000000"/>
                          <w:left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31,210.1</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8</w:t>
                        </w:r>
                      </w:p>
                    </w:tc>
                    <w:tc>
                      <w:tcPr>
                        <w:tcW w:w="486" w:type="dxa"/>
                        <w:tcBorders>
                          <w:top w:val="single" w:sz="4" w:space="0" w:color="000000"/>
                          <w:left w:val="single" w:sz="4" w:space="0" w:color="000000"/>
                          <w:bottom w:val="nil" w:sz="6" w:space="0" w:color="auto"/>
                          <w:right w:val="single" w:sz="4" w:space="0" w:color="000000"/>
                        </w:tcBorders>
                        <w:shd w:val="clear" w:color="auto" w:fill="D4D4D4"/>
                      </w:tcPr>
                      <w:p>
                        <w:pPr/>
                      </w:p>
                    </w:tc>
                    <w:tc>
                      <w:tcPr>
                        <w:tcW w:w="71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418" w:type="dxa"/>
                        <w:vMerge/>
                        <w:tcBorders>
                          <w:left w:val="single" w:sz="4" w:space="0" w:color="000000"/>
                          <w:right w:val="single" w:sz="4" w:space="0" w:color="000000"/>
                        </w:tcBorders>
                        <w:shd w:val="clear" w:color="auto" w:fill="D4D4D4"/>
                      </w:tcPr>
                      <w:p>
                        <w:pPr/>
                      </w:p>
                    </w:tc>
                    <w:tc>
                      <w:tcPr>
                        <w:tcW w:w="709"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850" w:type="dxa"/>
                        <w:vMerge/>
                        <w:tcBorders>
                          <w:left w:val="single" w:sz="9" w:space="0" w:color="D4D4D4"/>
                          <w:right w:val="single" w:sz="4" w:space="0" w:color="000000"/>
                        </w:tcBorders>
                      </w:tcPr>
                      <w:p>
                        <w:pPr/>
                      </w:p>
                    </w:tc>
                    <w:tc>
                      <w:tcPr>
                        <w:tcW w:w="850"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844" w:type="dxa"/>
                        <w:gridSpan w:val="2"/>
                        <w:vMerge/>
                        <w:tcBorders>
                          <w:left w:val="single" w:sz="4" w:space="0" w:color="000000"/>
                          <w:right w:val="single" w:sz="9" w:space="0" w:color="D4D4D4"/>
                        </w:tcBorders>
                      </w:tcPr>
                      <w:p>
                        <w:pP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9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566" w:type="dxa"/>
                        <w:vMerge/>
                        <w:tcBorders>
                          <w:left w:val="single" w:sz="10" w:space="0" w:color="D4D4D4"/>
                          <w:right w:val="single" w:sz="4" w:space="0" w:color="000000"/>
                        </w:tcBorders>
                      </w:tcPr>
                      <w:p>
                        <w:pPr/>
                      </w:p>
                    </w:tc>
                    <w:tc>
                      <w:tcPr>
                        <w:tcW w:w="709" w:type="dxa"/>
                        <w:vMerge/>
                        <w:tcBorders>
                          <w:left w:val="single" w:sz="4" w:space="0" w:color="000000"/>
                          <w:right w:val="single" w:sz="9" w:space="0" w:color="D4D4D4"/>
                        </w:tcBorders>
                      </w:tcPr>
                      <w:p>
                        <w:pPr/>
                      </w:p>
                    </w:tc>
                    <w:tc>
                      <w:tcPr>
                        <w:tcW w:w="4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709"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vMerge/>
                        <w:tcBorders>
                          <w:left w:val="single" w:sz="9"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844" w:type="dxa"/>
                        <w:gridSpan w:val="2"/>
                        <w:vMerge/>
                        <w:tcBorders>
                          <w:left w:val="single" w:sz="4" w:space="0" w:color="000000"/>
                          <w:bottom w:val="single" w:sz="4" w:space="0" w:color="000000"/>
                          <w:right w:val="single" w:sz="9" w:space="0" w:color="D4D4D4"/>
                        </w:tcBorders>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c>
                      <w:tcPr>
                        <w:tcW w:w="992"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vMerge/>
                        <w:tcBorders>
                          <w:left w:val="single" w:sz="10" w:space="0" w:color="D4D4D4"/>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9" w:space="0" w:color="D4D4D4"/>
                        </w:tcBorders>
                      </w:tcPr>
                      <w:p>
                        <w:pPr/>
                      </w:p>
                    </w:tc>
                    <w:tc>
                      <w:tcPr>
                        <w:tcW w:w="486" w:type="dxa"/>
                        <w:tcBorders>
                          <w:top w:val="nil" w:sz="6" w:space="0" w:color="auto"/>
                          <w:left w:val="single" w:sz="4" w:space="0" w:color="000000"/>
                          <w:bottom w:val="single" w:sz="4" w:space="0" w:color="000000"/>
                          <w:right w:val="single" w:sz="4" w:space="0" w:color="000000"/>
                        </w:tcBorders>
                        <w:shd w:val="clear" w:color="auto" w:fill="D4D4D4"/>
                      </w:tcPr>
                      <w:p>
                        <w:pPr/>
                      </w:p>
                    </w:tc>
                    <w:tc>
                      <w:tcPr>
                        <w:tcW w:w="711"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97" w:hRule="exact"/>
                    </w:trPr>
                    <w:tc>
                      <w:tcPr>
                        <w:tcW w:w="9562" w:type="dxa"/>
                        <w:gridSpan w:val="1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追加投资建设超算</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中心（云计算）项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3,012.49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2,762.76</w:t>
                        </w:r>
                      </w:p>
                    </w:tc>
                    <w:tc>
                      <w:tcPr>
                        <w:tcW w:w="716" w:type="dxa"/>
                        <w:tcBorders>
                          <w:top w:val="single" w:sz="4" w:space="0" w:color="000000"/>
                          <w:left w:val="single" w:sz="4" w:space="0" w:color="000000"/>
                          <w:bottom w:val="single" w:sz="4" w:space="0" w:color="000000"/>
                          <w:right w:val="single" w:sz="4" w:space="0" w:color="000000"/>
                        </w:tcBorders>
                      </w:tcPr>
                      <w:p>
                        <w:pP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2,762.76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8"/>
                            <w:sz w:val="18"/>
                            <w:szCs w:val="18"/>
                          </w:rPr>
                          <w:t>电子数据公证云项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目</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1,363.15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1,302.08</w:t>
                        </w:r>
                      </w:p>
                    </w:tc>
                    <w:tc>
                      <w:tcPr>
                        <w:tcW w:w="716" w:type="dxa"/>
                        <w:tcBorders>
                          <w:top w:val="single" w:sz="4" w:space="0" w:color="000000"/>
                          <w:left w:val="single" w:sz="4" w:space="0" w:color="000000"/>
                          <w:bottom w:val="single" w:sz="4" w:space="0" w:color="000000"/>
                          <w:right w:val="single" w:sz="4" w:space="0" w:color="000000"/>
                        </w:tcBorders>
                      </w:tcPr>
                      <w:p>
                        <w:pP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1,302.08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-364.87</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购买研发大楼</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16,468.61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16,468.61</w:t>
                        </w:r>
                      </w:p>
                    </w:tc>
                    <w:tc>
                      <w:tcPr>
                        <w:tcW w:w="716" w:type="dxa"/>
                        <w:tcBorders>
                          <w:top w:val="single" w:sz="4" w:space="0" w:color="000000"/>
                          <w:left w:val="single" w:sz="4" w:space="0" w:color="000000"/>
                          <w:bottom w:val="single" w:sz="4" w:space="0" w:color="000000"/>
                          <w:right w:val="single" w:sz="4" w:space="0" w:color="000000"/>
                        </w:tcBorders>
                      </w:tcPr>
                      <w:p>
                        <w:pP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15,968.75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8"/>
                            <w:sz w:val="18"/>
                            <w:szCs w:val="18"/>
                          </w:rPr>
                          <w:t>收购新德汇公司股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5,854.8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5,854.8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485.48</w:t>
                        </w: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5,369.32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1,712.</w:t>
                        </w:r>
                      </w:p>
                      <w:p>
                        <w:pPr>
                          <w:pStyle w:val="TableParagraph"/>
                          <w:spacing w:line="240" w:lineRule="auto" w:before="106"/>
                          <w:ind w:left="353" w:right="0"/>
                          <w:jc w:val="left"/>
                          <w:rPr>
                            <w:rFonts w:ascii="Times New Roman" w:hAnsi="Times New Roman" w:cs="Times New Roman" w:eastAsia="Times New Roman" w:hint="default"/>
                            <w:sz w:val="18"/>
                            <w:szCs w:val="18"/>
                          </w:rPr>
                        </w:pPr>
                        <w:r>
                          <w:rPr>
                            <w:rFonts w:ascii="Times New Roman"/>
                            <w:sz w:val="18"/>
                          </w:rPr>
                          <w:t>19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3,070.68</w:t>
                        </w:r>
                      </w:p>
                    </w:tc>
                    <w:tc>
                      <w:tcPr>
                        <w:tcW w:w="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电子数据公证云项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目节余募集资金永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久补充流动资金</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61.07</w:t>
                        </w:r>
                      </w:p>
                    </w:tc>
                    <w:tc>
                      <w:tcPr>
                        <w:tcW w:w="716" w:type="dxa"/>
                        <w:tcBorders>
                          <w:top w:val="single" w:sz="4" w:space="0" w:color="000000"/>
                          <w:left w:val="single" w:sz="4" w:space="0" w:color="000000"/>
                          <w:bottom w:val="single" w:sz="4" w:space="0" w:color="000000"/>
                          <w:right w:val="single" w:sz="4" w:space="0" w:color="000000"/>
                        </w:tcBorders>
                      </w:tcPr>
                      <w:p>
                        <w:pP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61.07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对深圳市中新赛克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科技股份有限公司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进行增资</w:t>
                        </w: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2,006.94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2,006.94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2,006.94</w:t>
                        </w:r>
                      </w:p>
                    </w:tc>
                    <w:tc>
                      <w:tcPr>
                        <w:tcW w:w="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2,006.94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8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56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8"/>
                            <w:sz w:val="18"/>
                            <w:szCs w:val="18"/>
                          </w:rPr>
                          <w:t>补充流动资金（如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有）</w:t>
                        </w:r>
                      </w:p>
                    </w:tc>
                    <w:tc>
                      <w:tcPr>
                        <w:tcW w:w="568"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5,000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9" w:right="0"/>
                          <w:jc w:val="left"/>
                          <w:rPr>
                            <w:rFonts w:ascii="Times New Roman" w:hAnsi="Times New Roman" w:cs="Times New Roman" w:eastAsia="Times New Roman" w:hint="default"/>
                            <w:sz w:val="18"/>
                            <w:szCs w:val="18"/>
                          </w:rPr>
                        </w:pPr>
                        <w:r>
                          <w:rPr>
                            <w:rFonts w:ascii="Times New Roman"/>
                            <w:sz w:val="18"/>
                          </w:rPr>
                          <w:t>5,000</w:t>
                        </w:r>
                      </w:p>
                    </w:tc>
                    <w:tc>
                      <w:tcPr>
                        <w:tcW w:w="716" w:type="dxa"/>
                        <w:vMerge w:val="restart"/>
                        <w:tcBorders>
                          <w:top w:val="single" w:sz="4" w:space="0" w:color="000000"/>
                          <w:left w:val="single" w:sz="4" w:space="0" w:color="000000"/>
                          <w:right w:val="single" w:sz="4" w:space="0" w:color="000000"/>
                        </w:tcBorders>
                      </w:tcPr>
                      <w:p>
                        <w:pPr/>
                      </w:p>
                    </w:tc>
                    <w:tc>
                      <w:tcPr>
                        <w:tcW w:w="844"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5,000</w:t>
                        </w:r>
                      </w:p>
                    </w:tc>
                    <w:tc>
                      <w:tcPr>
                        <w:tcW w:w="709" w:type="dxa"/>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tcBorders>
                          <w:top w:val="single" w:sz="4" w:space="0" w:color="000000"/>
                          <w:left w:val="single" w:sz="4" w:space="0" w:color="000000"/>
                          <w:bottom w:val="nil" w:sz="6" w:space="0" w:color="auto"/>
                          <w:right w:val="single" w:sz="4" w:space="0" w:color="000000"/>
                        </w:tcBorders>
                        <w:shd w:val="clear" w:color="auto" w:fill="D4D4D4"/>
                      </w:tcPr>
                      <w:p>
                        <w:pP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c>
                      <w:tcPr>
                        <w:tcW w:w="486" w:type="dxa"/>
                        <w:tcBorders>
                          <w:top w:val="single" w:sz="4" w:space="0" w:color="000000"/>
                          <w:left w:val="single" w:sz="4" w:space="0" w:color="000000"/>
                          <w:bottom w:val="nil" w:sz="6" w:space="0" w:color="auto"/>
                          <w:right w:val="single" w:sz="4" w:space="0" w:color="000000"/>
                        </w:tcBorders>
                        <w:shd w:val="clear" w:color="auto" w:fill="D4D4D4"/>
                      </w:tcPr>
                      <w:p>
                        <w:pPr/>
                      </w:p>
                    </w:tc>
                    <w:tc>
                      <w:tcPr>
                        <w:tcW w:w="71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60" w:type="dxa"/>
                        <w:gridSpan w:val="2"/>
                        <w:vMerge/>
                        <w:tcBorders>
                          <w:left w:val="single" w:sz="4" w:space="0" w:color="000000"/>
                          <w:right w:val="single" w:sz="4" w:space="0" w:color="000000"/>
                        </w:tcBorders>
                        <w:shd w:val="clear" w:color="auto" w:fill="D4D4D4"/>
                      </w:tcPr>
                      <w:p>
                        <w:pPr/>
                      </w:p>
                    </w:tc>
                    <w:tc>
                      <w:tcPr>
                        <w:tcW w:w="5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850" w:type="dxa"/>
                        <w:vMerge/>
                        <w:tcBorders>
                          <w:left w:val="single" w:sz="9" w:space="0" w:color="D4D4D4"/>
                          <w:right w:val="single" w:sz="4" w:space="0" w:color="000000"/>
                        </w:tcBorders>
                      </w:tcPr>
                      <w:p>
                        <w:pPr/>
                      </w:p>
                    </w:tc>
                    <w:tc>
                      <w:tcPr>
                        <w:tcW w:w="850"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844" w:type="dxa"/>
                        <w:gridSpan w:val="2"/>
                        <w:vMerge/>
                        <w:tcBorders>
                          <w:left w:val="single" w:sz="4" w:space="0" w:color="000000"/>
                          <w:right w:val="single" w:sz="4" w:space="0" w:color="000000"/>
                        </w:tcBorders>
                      </w:tcPr>
                      <w:p>
                        <w:pPr/>
                      </w:p>
                    </w:tc>
                    <w:tc>
                      <w:tcPr>
                        <w:tcW w:w="709" w:type="dxa"/>
                        <w:vMerge/>
                        <w:tcBorders>
                          <w:left w:val="single" w:sz="4" w:space="0" w:color="000000"/>
                          <w:right w:val="single" w:sz="9" w:space="0" w:color="D4D4D4"/>
                        </w:tcBorders>
                      </w:tcPr>
                      <w:p>
                        <w:pPr/>
                      </w:p>
                    </w:tc>
                    <w:tc>
                      <w:tcPr>
                        <w:tcW w:w="9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4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560" w:type="dxa"/>
                        <w:gridSpan w:val="2"/>
                        <w:vMerge/>
                        <w:tcBorders>
                          <w:left w:val="single" w:sz="4" w:space="0" w:color="000000"/>
                          <w:bottom w:val="single" w:sz="4" w:space="0" w:color="000000"/>
                          <w:right w:val="single" w:sz="4" w:space="0" w:color="000000"/>
                        </w:tcBorders>
                        <w:shd w:val="clear" w:color="auto" w:fill="D4D4D4"/>
                      </w:tcPr>
                      <w:p>
                        <w:pPr/>
                      </w:p>
                    </w:tc>
                    <w:tc>
                      <w:tcPr>
                        <w:tcW w:w="568"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vMerge/>
                        <w:tcBorders>
                          <w:left w:val="single" w:sz="9"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844" w:type="dxa"/>
                        <w:gridSpan w:val="2"/>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9" w:space="0" w:color="D4D4D4"/>
                        </w:tcBorders>
                      </w:tcPr>
                      <w:p>
                        <w:pPr/>
                      </w:p>
                    </w:tc>
                    <w:tc>
                      <w:tcPr>
                        <w:tcW w:w="992"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tcBorders>
                          <w:top w:val="nil" w:sz="6" w:space="0" w:color="auto"/>
                          <w:left w:val="single" w:sz="4" w:space="0" w:color="000000"/>
                          <w:bottom w:val="single" w:sz="4" w:space="0" w:color="000000"/>
                          <w:right w:val="single" w:sz="4" w:space="0" w:color="000000"/>
                        </w:tcBorders>
                        <w:shd w:val="clear" w:color="auto" w:fill="D4D4D4"/>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c>
                      <w:tcPr>
                        <w:tcW w:w="486" w:type="dxa"/>
                        <w:tcBorders>
                          <w:top w:val="nil" w:sz="6" w:space="0" w:color="auto"/>
                          <w:left w:val="single" w:sz="4" w:space="0" w:color="000000"/>
                          <w:bottom w:val="single" w:sz="4" w:space="0" w:color="000000"/>
                          <w:right w:val="single" w:sz="4" w:space="0" w:color="000000"/>
                        </w:tcBorders>
                        <w:shd w:val="clear" w:color="auto" w:fill="D4D4D4"/>
                      </w:tcPr>
                      <w:p>
                        <w:pPr/>
                      </w:p>
                    </w:tc>
                    <w:tc>
                      <w:tcPr>
                        <w:tcW w:w="711"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56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568"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33,705.99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33,456.26</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2,492.42</w:t>
                        </w:r>
                      </w:p>
                    </w:tc>
                    <w:tc>
                      <w:tcPr>
                        <w:tcW w:w="844" w:type="dxa"/>
                        <w:gridSpan w:val="2"/>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32,470.92</w:t>
                        </w: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c>
                      <w:tcPr>
                        <w:tcW w:w="992"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vMerge w:val="restart"/>
                        <w:tcBorders>
                          <w:top w:val="single" w:sz="4" w:space="0" w:color="000000"/>
                          <w:left w:val="single" w:sz="10" w:space="0" w:color="D4D4D4"/>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1,563.</w:t>
                        </w:r>
                      </w:p>
                      <w:p>
                        <w:pPr>
                          <w:pStyle w:val="TableParagraph"/>
                          <w:spacing w:line="240" w:lineRule="auto" w:before="106"/>
                          <w:ind w:left="346" w:right="0"/>
                          <w:jc w:val="left"/>
                          <w:rPr>
                            <w:rFonts w:ascii="Times New Roman" w:hAnsi="Times New Roman" w:cs="Times New Roman" w:eastAsia="Times New Roman" w:hint="default"/>
                            <w:sz w:val="18"/>
                            <w:szCs w:val="18"/>
                          </w:rPr>
                        </w:pPr>
                        <w:r>
                          <w:rPr>
                            <w:rFonts w:ascii="Times New Roman"/>
                            <w:sz w:val="18"/>
                          </w:rPr>
                          <w:t>92</w:t>
                        </w:r>
                      </w:p>
                    </w:tc>
                    <w:tc>
                      <w:tcPr>
                        <w:tcW w:w="709" w:type="dxa"/>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2,705.81</w:t>
                        </w:r>
                      </w:p>
                    </w:tc>
                    <w:tc>
                      <w:tcPr>
                        <w:tcW w:w="486" w:type="dxa"/>
                        <w:tcBorders>
                          <w:top w:val="single" w:sz="4" w:space="0" w:color="000000"/>
                          <w:left w:val="single" w:sz="4" w:space="0" w:color="000000"/>
                          <w:bottom w:val="nil" w:sz="6" w:space="0" w:color="auto"/>
                          <w:right w:val="single" w:sz="4" w:space="0" w:color="000000"/>
                        </w:tcBorders>
                        <w:shd w:val="clear" w:color="auto" w:fill="D4D4D4"/>
                      </w:tcPr>
                      <w:p>
                        <w:pPr/>
                      </w:p>
                    </w:tc>
                    <w:tc>
                      <w:tcPr>
                        <w:tcW w:w="71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60"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5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850" w:type="dxa"/>
                        <w:vMerge/>
                        <w:tcBorders>
                          <w:left w:val="single" w:sz="9" w:space="0" w:color="D4D4D4"/>
                          <w:right w:val="single" w:sz="4" w:space="0" w:color="000000"/>
                        </w:tcBorders>
                      </w:tcPr>
                      <w:p>
                        <w:pPr/>
                      </w:p>
                    </w:tc>
                    <w:tc>
                      <w:tcPr>
                        <w:tcW w:w="850"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844" w:type="dxa"/>
                        <w:gridSpan w:val="2"/>
                        <w:vMerge/>
                        <w:tcBorders>
                          <w:left w:val="single" w:sz="4" w:space="0" w:color="000000"/>
                          <w:right w:val="single" w:sz="9" w:space="0" w:color="D4D4D4"/>
                        </w:tcBorders>
                      </w:tcPr>
                      <w:p>
                        <w:pP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566" w:type="dxa"/>
                        <w:vMerge/>
                        <w:tcBorders>
                          <w:left w:val="single" w:sz="10" w:space="0" w:color="D4D4D4"/>
                          <w:right w:val="single" w:sz="4" w:space="0" w:color="000000"/>
                        </w:tcBorders>
                      </w:tcPr>
                      <w:p>
                        <w:pPr/>
                      </w:p>
                    </w:tc>
                    <w:tc>
                      <w:tcPr>
                        <w:tcW w:w="709" w:type="dxa"/>
                        <w:vMerge/>
                        <w:tcBorders>
                          <w:left w:val="single" w:sz="4" w:space="0" w:color="000000"/>
                          <w:right w:val="single" w:sz="9" w:space="0" w:color="D4D4D4"/>
                        </w:tcBorders>
                      </w:tcPr>
                      <w:p>
                        <w:pPr/>
                      </w:p>
                    </w:tc>
                    <w:tc>
                      <w:tcPr>
                        <w:tcW w:w="4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56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568"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vMerge/>
                        <w:tcBorders>
                          <w:left w:val="single" w:sz="9"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844" w:type="dxa"/>
                        <w:gridSpan w:val="2"/>
                        <w:vMerge/>
                        <w:tcBorders>
                          <w:left w:val="single" w:sz="4" w:space="0" w:color="000000"/>
                          <w:bottom w:val="single" w:sz="4" w:space="0" w:color="000000"/>
                          <w:right w:val="single" w:sz="9" w:space="0" w:color="D4D4D4"/>
                        </w:tcBorders>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c>
                      <w:tcPr>
                        <w:tcW w:w="992"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vMerge/>
                        <w:tcBorders>
                          <w:left w:val="single" w:sz="10" w:space="0" w:color="D4D4D4"/>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9" w:space="0" w:color="D4D4D4"/>
                        </w:tcBorders>
                      </w:tcPr>
                      <w:p>
                        <w:pPr/>
                      </w:p>
                    </w:tc>
                    <w:tc>
                      <w:tcPr>
                        <w:tcW w:w="486" w:type="dxa"/>
                        <w:tcBorders>
                          <w:top w:val="nil" w:sz="6" w:space="0" w:color="auto"/>
                          <w:left w:val="single" w:sz="4" w:space="0" w:color="000000"/>
                          <w:bottom w:val="single" w:sz="4" w:space="0" w:color="000000"/>
                          <w:right w:val="single" w:sz="4" w:space="0" w:color="000000"/>
                        </w:tcBorders>
                        <w:shd w:val="clear" w:color="auto" w:fill="D4D4D4"/>
                      </w:tcPr>
                      <w:p>
                        <w:pPr/>
                      </w:p>
                    </w:tc>
                    <w:tc>
                      <w:tcPr>
                        <w:tcW w:w="711"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61" w:hRule="exact"/>
                    </w:trPr>
                    <w:tc>
                      <w:tcPr>
                        <w:tcW w:w="1560"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568" w:type="dxa"/>
                        <w:tcBorders>
                          <w:top w:val="single" w:sz="4" w:space="0" w:color="000000"/>
                          <w:left w:val="single" w:sz="4" w:space="0" w:color="000000"/>
                          <w:bottom w:val="nil" w:sz="6" w:space="0" w:color="auto"/>
                          <w:right w:val="single" w:sz="4" w:space="0" w:color="000000"/>
                        </w:tcBorders>
                        <w:shd w:val="clear" w:color="auto" w:fill="D4D4D4"/>
                      </w:tcPr>
                      <w:p>
                        <w:pPr/>
                      </w:p>
                    </w:tc>
                    <w:tc>
                      <w:tcPr>
                        <w:tcW w:w="850" w:type="dxa"/>
                        <w:vMerge w:val="restart"/>
                        <w:tcBorders>
                          <w:top w:val="single" w:sz="4" w:space="0" w:color="000000"/>
                          <w:left w:val="single" w:sz="9" w:space="0" w:color="D4D4D4"/>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50,450.85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50,140.6</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2,492.42</w:t>
                        </w:r>
                      </w:p>
                    </w:tc>
                    <w:tc>
                      <w:tcPr>
                        <w:tcW w:w="844" w:type="dxa"/>
                        <w:gridSpan w:val="2"/>
                        <w:vMerge w:val="restart"/>
                        <w:tcBorders>
                          <w:top w:val="single" w:sz="4" w:space="0" w:color="000000"/>
                          <w:left w:val="single" w:sz="4" w:space="0" w:color="000000"/>
                          <w:right w:val="single" w:sz="9" w:space="0" w:color="D4D4D4"/>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49,155.26</w:t>
                        </w:r>
                      </w:p>
                    </w:tc>
                    <w:tc>
                      <w:tcPr>
                        <w:tcW w:w="709" w:type="dxa"/>
                        <w:tcBorders>
                          <w:top w:val="single" w:sz="4" w:space="0" w:color="000000"/>
                          <w:left w:val="single" w:sz="4" w:space="0" w:color="000000"/>
                          <w:bottom w:val="nil" w:sz="6" w:space="0" w:color="auto"/>
                          <w:right w:val="single" w:sz="4" w:space="0" w:color="000000"/>
                        </w:tcBorders>
                        <w:shd w:val="clear" w:color="auto" w:fill="D4D4D4"/>
                      </w:tcPr>
                      <w:p>
                        <w:pPr/>
                      </w:p>
                    </w:tc>
                    <w:tc>
                      <w:tcPr>
                        <w:tcW w:w="992" w:type="dxa"/>
                        <w:tcBorders>
                          <w:top w:val="single" w:sz="4" w:space="0" w:color="000000"/>
                          <w:left w:val="single" w:sz="4" w:space="0" w:color="000000"/>
                          <w:bottom w:val="nil" w:sz="6" w:space="0" w:color="auto"/>
                          <w:right w:val="single" w:sz="4" w:space="0" w:color="000000"/>
                        </w:tcBorders>
                        <w:shd w:val="clear" w:color="auto" w:fill="D4D4D4"/>
                      </w:tcPr>
                      <w:p>
                        <w:pPr/>
                      </w:p>
                    </w:tc>
                    <w:tc>
                      <w:tcPr>
                        <w:tcW w:w="566" w:type="dxa"/>
                        <w:vMerge w:val="restart"/>
                        <w:tcBorders>
                          <w:top w:val="single" w:sz="4" w:space="0" w:color="000000"/>
                          <w:left w:val="single" w:sz="10" w:space="0" w:color="D4D4D4"/>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12,419</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.81</w:t>
                        </w:r>
                      </w:p>
                    </w:tc>
                    <w:tc>
                      <w:tcPr>
                        <w:tcW w:w="709" w:type="dxa"/>
                        <w:vMerge w:val="restart"/>
                        <w:tcBorders>
                          <w:top w:val="single" w:sz="4" w:space="0" w:color="000000"/>
                          <w:left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33,915.9</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9</w:t>
                        </w:r>
                      </w:p>
                    </w:tc>
                    <w:tc>
                      <w:tcPr>
                        <w:tcW w:w="486" w:type="dxa"/>
                        <w:tcBorders>
                          <w:top w:val="single" w:sz="4" w:space="0" w:color="000000"/>
                          <w:left w:val="single" w:sz="4" w:space="0" w:color="000000"/>
                          <w:bottom w:val="nil" w:sz="6" w:space="0" w:color="auto"/>
                          <w:right w:val="single" w:sz="4" w:space="0" w:color="000000"/>
                        </w:tcBorders>
                        <w:shd w:val="clear" w:color="auto" w:fill="D4D4D4"/>
                      </w:tcPr>
                      <w:p>
                        <w:pPr/>
                      </w:p>
                    </w:tc>
                    <w:tc>
                      <w:tcPr>
                        <w:tcW w:w="711"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392" w:hRule="exact"/>
                    </w:trPr>
                    <w:tc>
                      <w:tcPr>
                        <w:tcW w:w="1560" w:type="dxa"/>
                        <w:gridSpan w:val="2"/>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6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850" w:type="dxa"/>
                        <w:vMerge/>
                        <w:tcBorders>
                          <w:left w:val="single" w:sz="9" w:space="0" w:color="D4D4D4"/>
                          <w:right w:val="single" w:sz="4" w:space="0" w:color="000000"/>
                        </w:tcBorders>
                      </w:tcPr>
                      <w:p>
                        <w:pPr/>
                      </w:p>
                    </w:tc>
                    <w:tc>
                      <w:tcPr>
                        <w:tcW w:w="850"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844" w:type="dxa"/>
                        <w:gridSpan w:val="2"/>
                        <w:vMerge/>
                        <w:tcBorders>
                          <w:left w:val="single" w:sz="4" w:space="0" w:color="000000"/>
                          <w:right w:val="single" w:sz="9" w:space="0" w:color="D4D4D4"/>
                        </w:tcBorders>
                      </w:tcPr>
                      <w:p>
                        <w:pPr/>
                      </w:p>
                    </w:tc>
                    <w:tc>
                      <w:tcPr>
                        <w:tcW w:w="70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566" w:type="dxa"/>
                        <w:vMerge/>
                        <w:tcBorders>
                          <w:left w:val="single" w:sz="10" w:space="0" w:color="D4D4D4"/>
                          <w:right w:val="single" w:sz="4" w:space="0" w:color="000000"/>
                        </w:tcBorders>
                      </w:tcPr>
                      <w:p>
                        <w:pPr/>
                      </w:p>
                    </w:tc>
                    <w:tc>
                      <w:tcPr>
                        <w:tcW w:w="709" w:type="dxa"/>
                        <w:vMerge/>
                        <w:tcBorders>
                          <w:left w:val="single" w:sz="4" w:space="0" w:color="000000"/>
                          <w:right w:val="single" w:sz="9" w:space="0" w:color="D4D4D4"/>
                        </w:tcBorders>
                      </w:tcPr>
                      <w:p>
                        <w:pPr/>
                      </w:p>
                    </w:tc>
                    <w:tc>
                      <w:tcPr>
                        <w:tcW w:w="48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56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568" w:type="dxa"/>
                        <w:tcBorders>
                          <w:top w:val="nil" w:sz="6" w:space="0" w:color="auto"/>
                          <w:left w:val="single" w:sz="4" w:space="0" w:color="000000"/>
                          <w:bottom w:val="single" w:sz="4" w:space="0" w:color="000000"/>
                          <w:right w:val="single" w:sz="4" w:space="0" w:color="000000"/>
                        </w:tcBorders>
                        <w:shd w:val="clear" w:color="auto" w:fill="D4D4D4"/>
                      </w:tcPr>
                      <w:p>
                        <w:pPr/>
                      </w:p>
                    </w:tc>
                    <w:tc>
                      <w:tcPr>
                        <w:tcW w:w="850" w:type="dxa"/>
                        <w:vMerge/>
                        <w:tcBorders>
                          <w:left w:val="single" w:sz="9"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844" w:type="dxa"/>
                        <w:gridSpan w:val="2"/>
                        <w:vMerge/>
                        <w:tcBorders>
                          <w:left w:val="single" w:sz="4" w:space="0" w:color="000000"/>
                          <w:bottom w:val="single" w:sz="4" w:space="0" w:color="000000"/>
                          <w:right w:val="single" w:sz="9" w:space="0" w:color="D4D4D4"/>
                        </w:tcBorders>
                      </w:tcPr>
                      <w:p>
                        <w:pPr/>
                      </w:p>
                    </w:tc>
                    <w:tc>
                      <w:tcPr>
                        <w:tcW w:w="709" w:type="dxa"/>
                        <w:tcBorders>
                          <w:top w:val="nil" w:sz="6" w:space="0" w:color="auto"/>
                          <w:left w:val="single" w:sz="4" w:space="0" w:color="000000"/>
                          <w:bottom w:val="single" w:sz="4" w:space="0" w:color="000000"/>
                          <w:right w:val="single" w:sz="4" w:space="0" w:color="000000"/>
                        </w:tcBorders>
                        <w:shd w:val="clear" w:color="auto" w:fill="D4D4D4"/>
                      </w:tcPr>
                      <w:p>
                        <w:pPr/>
                      </w:p>
                    </w:tc>
                    <w:tc>
                      <w:tcPr>
                        <w:tcW w:w="992" w:type="dxa"/>
                        <w:tcBorders>
                          <w:top w:val="nil" w:sz="6" w:space="0" w:color="auto"/>
                          <w:left w:val="single" w:sz="4" w:space="0" w:color="000000"/>
                          <w:bottom w:val="single" w:sz="4" w:space="0" w:color="000000"/>
                          <w:right w:val="single" w:sz="4" w:space="0" w:color="000000"/>
                        </w:tcBorders>
                        <w:shd w:val="clear" w:color="auto" w:fill="D4D4D4"/>
                      </w:tcPr>
                      <w:p>
                        <w:pPr/>
                      </w:p>
                    </w:tc>
                    <w:tc>
                      <w:tcPr>
                        <w:tcW w:w="566" w:type="dxa"/>
                        <w:vMerge/>
                        <w:tcBorders>
                          <w:left w:val="single" w:sz="10" w:space="0" w:color="D4D4D4"/>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9" w:space="0" w:color="D4D4D4"/>
                        </w:tcBorders>
                      </w:tcPr>
                      <w:p>
                        <w:pPr/>
                      </w:p>
                    </w:tc>
                    <w:tc>
                      <w:tcPr>
                        <w:tcW w:w="486" w:type="dxa"/>
                        <w:tcBorders>
                          <w:top w:val="nil" w:sz="6" w:space="0" w:color="auto"/>
                          <w:left w:val="single" w:sz="4" w:space="0" w:color="000000"/>
                          <w:bottom w:val="single" w:sz="4" w:space="0" w:color="000000"/>
                          <w:right w:val="single" w:sz="4" w:space="0" w:color="000000"/>
                        </w:tcBorders>
                        <w:shd w:val="clear" w:color="auto" w:fill="D4D4D4"/>
                      </w:tcPr>
                      <w:p>
                        <w:pPr/>
                      </w:p>
                    </w:tc>
                    <w:tc>
                      <w:tcPr>
                        <w:tcW w:w="711"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142" w:hRule="exact"/>
                    </w:trPr>
                    <w:tc>
                      <w:tcPr>
                        <w:tcW w:w="1560" w:type="dxa"/>
                        <w:gridSpan w:val="2"/>
                        <w:tcBorders>
                          <w:top w:val="single" w:sz="4" w:space="0" w:color="000000"/>
                          <w:left w:val="single" w:sz="4" w:space="0" w:color="000000"/>
                          <w:bottom w:val="nil" w:sz="6" w:space="0" w:color="auto"/>
                          <w:right w:val="single" w:sz="13" w:space="0" w:color="FFFFFF"/>
                        </w:tcBorders>
                        <w:shd w:val="clear" w:color="auto" w:fill="D4D4D4"/>
                      </w:tcPr>
                      <w:p>
                        <w:pPr/>
                      </w:p>
                    </w:tc>
                    <w:tc>
                      <w:tcPr>
                        <w:tcW w:w="568" w:type="dxa"/>
                        <w:tcBorders>
                          <w:top w:val="single" w:sz="4" w:space="0" w:color="000000"/>
                          <w:left w:val="single" w:sz="13" w:space="0" w:color="FFFFFF"/>
                          <w:bottom w:val="nil" w:sz="6" w:space="0" w:color="auto"/>
                          <w:right w:val="nil" w:sz="6" w:space="0" w:color="auto"/>
                        </w:tcBorders>
                      </w:tcPr>
                      <w:p>
                        <w:pPr/>
                      </w:p>
                    </w:tc>
                    <w:tc>
                      <w:tcPr>
                        <w:tcW w:w="850" w:type="dxa"/>
                        <w:tcBorders>
                          <w:top w:val="single" w:sz="6" w:space="0" w:color="auto"/>
                          <w:left w:val="single" w:sz="6" w:space="0" w:color="auto"/>
                          <w:bottom w:val="single" w:sz="6" w:space="0" w:color="auto"/>
                          <w:right w:val="single" w:sz="6" w:space="0" w:color="auto"/>
                        </w:tcBorders>
                      </w:tcPr>
                      <w:p>
                        <w:pPr/>
                      </w:p>
                    </w:tc>
                    <w:tc>
                      <w:tcPr>
                        <w:tcW w:w="850" w:type="dxa"/>
                        <w:tcBorders>
                          <w:top w:val="single" w:sz="6" w:space="0" w:color="auto"/>
                          <w:left w:val="single" w:sz="6" w:space="0" w:color="auto"/>
                          <w:bottom w:val="single" w:sz="6" w:space="0" w:color="auto"/>
                          <w:right w:val="single" w:sz="6" w:space="0" w:color="auto"/>
                        </w:tcBorders>
                      </w:tcPr>
                      <w:p>
                        <w:pPr/>
                      </w:p>
                    </w:tc>
                    <w:tc>
                      <w:tcPr>
                        <w:tcW w:w="716" w:type="dxa"/>
                        <w:tcBorders>
                          <w:top w:val="single" w:sz="6" w:space="0" w:color="auto"/>
                          <w:left w:val="single" w:sz="6" w:space="0" w:color="auto"/>
                          <w:bottom w:val="single" w:sz="6" w:space="0" w:color="auto"/>
                          <w:right w:val="single" w:sz="6" w:space="0" w:color="auto"/>
                        </w:tcBorders>
                      </w:tcPr>
                      <w:p>
                        <w:pPr/>
                      </w:p>
                    </w:tc>
                    <w:tc>
                      <w:tcPr>
                        <w:tcW w:w="717" w:type="dxa"/>
                        <w:tcBorders>
                          <w:top w:val="single" w:sz="6" w:space="0" w:color="auto"/>
                          <w:left w:val="single" w:sz="6" w:space="0" w:color="auto"/>
                          <w:bottom w:val="single" w:sz="6" w:space="0" w:color="auto"/>
                          <w:right w:val="single" w:sz="6" w:space="0" w:color="auto"/>
                        </w:tcBorders>
                      </w:tcPr>
                      <w:p>
                        <w:pPr/>
                      </w:p>
                    </w:tc>
                    <w:tc>
                      <w:tcPr>
                        <w:tcW w:w="127" w:type="dxa"/>
                        <w:tcBorders>
                          <w:top w:val="single" w:sz="6" w:space="0" w:color="auto"/>
                          <w:left w:val="single" w:sz="6" w:space="0" w:color="auto"/>
                          <w:bottom w:val="single" w:sz="6" w:space="0" w:color="auto"/>
                          <w:right w:val="single" w:sz="6" w:space="0" w:color="auto"/>
                        </w:tcBorders>
                      </w:tcPr>
                      <w:p>
                        <w:pPr/>
                      </w:p>
                    </w:tc>
                    <w:tc>
                      <w:tcPr>
                        <w:tcW w:w="709" w:type="dxa"/>
                        <w:tcBorders>
                          <w:top w:val="single" w:sz="6" w:space="0" w:color="auto"/>
                          <w:left w:val="single" w:sz="6" w:space="0" w:color="auto"/>
                          <w:bottom w:val="single" w:sz="6" w:space="0" w:color="auto"/>
                          <w:right w:val="single" w:sz="6" w:space="0" w:color="auto"/>
                        </w:tcBorders>
                      </w:tcPr>
                      <w:p>
                        <w:pPr/>
                      </w:p>
                    </w:tc>
                    <w:tc>
                      <w:tcPr>
                        <w:tcW w:w="992" w:type="dxa"/>
                        <w:tcBorders>
                          <w:top w:val="single" w:sz="6" w:space="0" w:color="auto"/>
                          <w:left w:val="single" w:sz="6" w:space="0" w:color="auto"/>
                          <w:bottom w:val="single" w:sz="6" w:space="0" w:color="auto"/>
                          <w:right w:val="single" w:sz="6" w:space="0" w:color="auto"/>
                        </w:tcBorders>
                      </w:tcPr>
                      <w:p>
                        <w:pPr/>
                      </w:p>
                    </w:tc>
                    <w:tc>
                      <w:tcPr>
                        <w:tcW w:w="566" w:type="dxa"/>
                        <w:tcBorders>
                          <w:top w:val="single" w:sz="6" w:space="0" w:color="auto"/>
                          <w:left w:val="single" w:sz="6" w:space="0" w:color="auto"/>
                          <w:bottom w:val="single" w:sz="6" w:space="0" w:color="auto"/>
                          <w:right w:val="single" w:sz="6" w:space="0" w:color="auto"/>
                        </w:tcBorders>
                      </w:tcPr>
                      <w:p>
                        <w:pPr/>
                      </w:p>
                    </w:tc>
                    <w:tc>
                      <w:tcPr>
                        <w:tcW w:w="709" w:type="dxa"/>
                        <w:tcBorders>
                          <w:top w:val="single" w:sz="6" w:space="0" w:color="auto"/>
                          <w:left w:val="single" w:sz="6" w:space="0" w:color="auto"/>
                          <w:bottom w:val="single" w:sz="6" w:space="0" w:color="auto"/>
                          <w:right w:val="single" w:sz="6" w:space="0" w:color="auto"/>
                        </w:tcBorders>
                      </w:tcPr>
                      <w:p>
                        <w:pPr/>
                      </w:p>
                    </w:tc>
                    <w:tc>
                      <w:tcPr>
                        <w:tcW w:w="486" w:type="dxa"/>
                        <w:tcBorders>
                          <w:top w:val="single" w:sz="6" w:space="0" w:color="auto"/>
                          <w:left w:val="single" w:sz="6" w:space="0" w:color="auto"/>
                          <w:bottom w:val="single" w:sz="6" w:space="0" w:color="auto"/>
                          <w:right w:val="single" w:sz="6" w:space="0" w:color="auto"/>
                        </w:tcBorders>
                      </w:tcPr>
                      <w:p>
                        <w:pPr/>
                      </w:p>
                    </w:tc>
                    <w:tc>
                      <w:tcPr>
                        <w:tcW w:w="711" w:type="dxa"/>
                        <w:tcBorders>
                          <w:top w:val="single" w:sz="6" w:space="0" w:color="auto"/>
                          <w:left w:val="single" w:sz="6" w:space="0" w:color="auto"/>
                          <w:bottom w:val="single" w:sz="6" w:space="0" w:color="auto"/>
                          <w:right w:val="single" w:sz="6" w:space="0" w:color="auto"/>
                        </w:tcBorders>
                      </w:tcPr>
                      <w:p>
                        <w:pPr/>
                      </w:p>
                    </w:tc>
                  </w:tr>
                  <w:tr>
                    <w:trPr>
                      <w:trHeight w:val="1015" w:hRule="exact"/>
                    </w:trPr>
                    <w:tc>
                      <w:tcPr>
                        <w:tcW w:w="1560" w:type="dxa"/>
                        <w:gridSpan w:val="2"/>
                        <w:tcBorders>
                          <w:top w:val="nil" w:sz="6" w:space="0" w:color="auto"/>
                          <w:left w:val="single" w:sz="4" w:space="0" w:color="000000"/>
                          <w:bottom w:val="nil" w:sz="6" w:space="0" w:color="auto"/>
                          <w:right w:val="single" w:sz="13" w:space="0" w:color="FFFFFF"/>
                        </w:tcBorders>
                        <w:shd w:val="clear" w:color="auto" w:fill="D4D4D4"/>
                      </w:tcPr>
                      <w:p>
                        <w:pPr>
                          <w:pStyle w:val="TableParagraph"/>
                          <w:spacing w:line="316" w:lineRule="auto" w:before="51"/>
                          <w:ind w:left="22" w:right="0"/>
                          <w:jc w:val="both"/>
                          <w:rPr>
                            <w:rFonts w:ascii="宋体" w:hAnsi="宋体" w:cs="宋体" w:eastAsia="宋体" w:hint="default"/>
                            <w:sz w:val="18"/>
                            <w:szCs w:val="18"/>
                          </w:rPr>
                        </w:pPr>
                        <w:r>
                          <w:rPr>
                            <w:rFonts w:ascii="宋体" w:hAnsi="宋体" w:cs="宋体" w:eastAsia="宋体" w:hint="default"/>
                            <w:spacing w:val="8"/>
                            <w:sz w:val="18"/>
                            <w:szCs w:val="18"/>
                          </w:rPr>
                          <w:t>未达到计划进度或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预计收益的情况和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原因（分具体项目</w:t>
                        </w:r>
                      </w:p>
                    </w:tc>
                    <w:tc>
                      <w:tcPr>
                        <w:tcW w:w="568" w:type="dxa"/>
                        <w:tcBorders>
                          <w:top w:val="nil" w:sz="6" w:space="0" w:color="auto"/>
                          <w:left w:val="single" w:sz="9" w:space="0" w:color="FFFFFF"/>
                          <w:bottom w:val="nil" w:sz="6" w:space="0" w:color="auto"/>
                          <w:right w:val="nil" w:sz="6" w:space="0" w:color="auto"/>
                        </w:tcBorders>
                      </w:tcPr>
                      <w:p>
                        <w:pPr>
                          <w:pStyle w:val="TableParagraph"/>
                          <w:spacing w:line="164" w:lineRule="exact"/>
                          <w:ind w:left="16" w:right="-69"/>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）网</w:t>
                        </w:r>
                      </w:p>
                      <w:p>
                        <w:pPr>
                          <w:pStyle w:val="TableParagraph"/>
                          <w:spacing w:line="300" w:lineRule="atLeast" w:before="12"/>
                          <w:ind w:left="16"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概念 产品销</w:t>
                        </w:r>
                      </w:p>
                      <w:p>
                        <w:pPr>
                          <w:pStyle w:val="TableParagraph"/>
                          <w:spacing w:line="107"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4" w:lineRule="exact"/>
                          <w:ind w:left="16" w:right="-4"/>
                          <w:jc w:val="left"/>
                          <w:rPr>
                            <w:rFonts w:ascii="宋体" w:hAnsi="宋体" w:cs="宋体" w:eastAsia="宋体" w:hint="default"/>
                            <w:sz w:val="18"/>
                            <w:szCs w:val="18"/>
                          </w:rPr>
                        </w:pPr>
                        <w:r>
                          <w:rPr>
                            <w:rFonts w:ascii="宋体" w:hAnsi="宋体" w:cs="宋体" w:eastAsia="宋体" w:hint="default"/>
                            <w:sz w:val="18"/>
                            <w:szCs w:val="18"/>
                          </w:rPr>
                          <w:t>前虽有</w:t>
                        </w:r>
                      </w:p>
                    </w:tc>
                    <w:tc>
                      <w:tcPr>
                        <w:tcW w:w="850" w:type="dxa"/>
                        <w:tcBorders>
                          <w:top w:val="single" w:sz="6" w:space="0" w:color="auto"/>
                          <w:left w:val="single" w:sz="6" w:space="0" w:color="auto"/>
                          <w:bottom w:val="single" w:sz="6" w:space="0" w:color="auto"/>
                          <w:right w:val="single" w:sz="6" w:space="0" w:color="auto"/>
                        </w:tcBorders>
                      </w:tcPr>
                      <w:p>
                        <w:pPr/>
                      </w:p>
                    </w:tc>
                    <w:tc>
                      <w:tcPr>
                        <w:tcW w:w="850" w:type="dxa"/>
                        <w:tcBorders>
                          <w:top w:val="single" w:sz="6" w:space="0" w:color="auto"/>
                          <w:left w:val="single" w:sz="6" w:space="0" w:color="auto"/>
                          <w:bottom w:val="single" w:sz="6" w:space="0" w:color="auto"/>
                          <w:right w:val="single" w:sz="6" w:space="0" w:color="auto"/>
                        </w:tcBorders>
                      </w:tcPr>
                      <w:p>
                        <w:pPr/>
                      </w:p>
                    </w:tc>
                    <w:tc>
                      <w:tcPr>
                        <w:tcW w:w="716" w:type="dxa"/>
                        <w:tcBorders>
                          <w:top w:val="single" w:sz="6" w:space="0" w:color="auto"/>
                          <w:left w:val="single" w:sz="6" w:space="0" w:color="auto"/>
                          <w:bottom w:val="single" w:sz="6" w:space="0" w:color="auto"/>
                          <w:right w:val="single" w:sz="6" w:space="0" w:color="auto"/>
                        </w:tcBorders>
                      </w:tcPr>
                      <w:p>
                        <w:pPr/>
                      </w:p>
                    </w:tc>
                    <w:tc>
                      <w:tcPr>
                        <w:tcW w:w="717" w:type="dxa"/>
                        <w:tcBorders>
                          <w:top w:val="single" w:sz="6" w:space="0" w:color="auto"/>
                          <w:left w:val="single" w:sz="6" w:space="0" w:color="auto"/>
                          <w:bottom w:val="single" w:sz="6" w:space="0" w:color="auto"/>
                          <w:right w:val="single" w:sz="6" w:space="0" w:color="auto"/>
                        </w:tcBorders>
                      </w:tcPr>
                      <w:p>
                        <w:pPr/>
                      </w:p>
                    </w:tc>
                    <w:tc>
                      <w:tcPr>
                        <w:tcW w:w="127" w:type="dxa"/>
                        <w:tcBorders>
                          <w:top w:val="single" w:sz="6" w:space="0" w:color="auto"/>
                          <w:left w:val="single" w:sz="6" w:space="0" w:color="auto"/>
                          <w:bottom w:val="single" w:sz="6" w:space="0" w:color="auto"/>
                          <w:right w:val="single" w:sz="6" w:space="0" w:color="auto"/>
                        </w:tcBorders>
                      </w:tcPr>
                      <w:p>
                        <w:pPr/>
                      </w:p>
                    </w:tc>
                    <w:tc>
                      <w:tcPr>
                        <w:tcW w:w="709" w:type="dxa"/>
                        <w:tcBorders>
                          <w:top w:val="single" w:sz="6" w:space="0" w:color="auto"/>
                          <w:left w:val="single" w:sz="6" w:space="0" w:color="auto"/>
                          <w:bottom w:val="single" w:sz="6" w:space="0" w:color="auto"/>
                          <w:right w:val="single" w:sz="6" w:space="0" w:color="auto"/>
                        </w:tcBorders>
                      </w:tcPr>
                      <w:p>
                        <w:pPr/>
                      </w:p>
                    </w:tc>
                    <w:tc>
                      <w:tcPr>
                        <w:tcW w:w="992" w:type="dxa"/>
                        <w:tcBorders>
                          <w:top w:val="single" w:sz="6" w:space="0" w:color="auto"/>
                          <w:left w:val="single" w:sz="6" w:space="0" w:color="auto"/>
                          <w:bottom w:val="single" w:sz="6" w:space="0" w:color="auto"/>
                          <w:right w:val="single" w:sz="6" w:space="0" w:color="auto"/>
                        </w:tcBorders>
                      </w:tcPr>
                      <w:p>
                        <w:pPr/>
                      </w:p>
                    </w:tc>
                    <w:tc>
                      <w:tcPr>
                        <w:tcW w:w="566" w:type="dxa"/>
                        <w:tcBorders>
                          <w:top w:val="single" w:sz="6" w:space="0" w:color="auto"/>
                          <w:left w:val="single" w:sz="6" w:space="0" w:color="auto"/>
                          <w:bottom w:val="single" w:sz="6" w:space="0" w:color="auto"/>
                          <w:right w:val="single" w:sz="6" w:space="0" w:color="auto"/>
                        </w:tcBorders>
                      </w:tcPr>
                      <w:p>
                        <w:pPr/>
                      </w:p>
                    </w:tc>
                    <w:tc>
                      <w:tcPr>
                        <w:tcW w:w="709" w:type="dxa"/>
                        <w:tcBorders>
                          <w:top w:val="single" w:sz="6" w:space="0" w:color="auto"/>
                          <w:left w:val="single" w:sz="6" w:space="0" w:color="auto"/>
                          <w:bottom w:val="single" w:sz="6" w:space="0" w:color="auto"/>
                          <w:right w:val="single" w:sz="6" w:space="0" w:color="auto"/>
                        </w:tcBorders>
                      </w:tcPr>
                      <w:p>
                        <w:pPr/>
                      </w:p>
                    </w:tc>
                    <w:tc>
                      <w:tcPr>
                        <w:tcW w:w="486" w:type="dxa"/>
                        <w:tcBorders>
                          <w:top w:val="single" w:sz="6" w:space="0" w:color="auto"/>
                          <w:left w:val="single" w:sz="6" w:space="0" w:color="auto"/>
                          <w:bottom w:val="single" w:sz="6" w:space="0" w:color="auto"/>
                          <w:right w:val="single" w:sz="6" w:space="0" w:color="auto"/>
                        </w:tcBorders>
                      </w:tcPr>
                      <w:p>
                        <w:pPr/>
                      </w:p>
                    </w:tc>
                    <w:tc>
                      <w:tcPr>
                        <w:tcW w:w="711" w:type="dxa"/>
                        <w:tcBorders>
                          <w:top w:val="single" w:sz="6" w:space="0" w:color="auto"/>
                          <w:left w:val="single" w:sz="6" w:space="0" w:color="auto"/>
                          <w:bottom w:val="single" w:sz="6" w:space="0" w:color="auto"/>
                          <w:right w:val="single" w:sz="6" w:space="0" w:color="auto"/>
                        </w:tcBorders>
                      </w:tcPr>
                      <w:p>
                        <w:pPr/>
                      </w:p>
                    </w:tc>
                  </w:tr>
                  <w:tr>
                    <w:trPr>
                      <w:trHeight w:val="142" w:hRule="exact"/>
                    </w:trPr>
                    <w:tc>
                      <w:tcPr>
                        <w:tcW w:w="1560" w:type="dxa"/>
                        <w:gridSpan w:val="2"/>
                        <w:tcBorders>
                          <w:top w:val="nil" w:sz="6" w:space="0" w:color="auto"/>
                          <w:left w:val="single" w:sz="4" w:space="0" w:color="000000"/>
                          <w:bottom w:val="single" w:sz="4" w:space="0" w:color="000000"/>
                          <w:right w:val="single" w:sz="13" w:space="0" w:color="FFFFFF"/>
                        </w:tcBorders>
                        <w:shd w:val="clear" w:color="auto" w:fill="D4D4D4"/>
                      </w:tcPr>
                      <w:p>
                        <w:pPr/>
                      </w:p>
                    </w:tc>
                    <w:tc>
                      <w:tcPr>
                        <w:tcW w:w="8002" w:type="dxa"/>
                        <w:gridSpan w:val="12"/>
                        <w:tcBorders>
                          <w:top w:val="nil" w:sz="6" w:space="0" w:color="auto"/>
                          <w:left w:val="single" w:sz="13" w:space="0" w:color="FFFFFF"/>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316" w:lineRule="auto" w:before="0"/>
        <w:ind w:left="2203" w:right="247" w:firstLine="146"/>
        <w:jc w:val="left"/>
        <w:rPr>
          <w:rFonts w:ascii="宋体" w:hAnsi="宋体" w:cs="宋体" w:eastAsia="宋体" w:hint="default"/>
          <w:sz w:val="18"/>
          <w:szCs w:val="18"/>
        </w:rPr>
      </w:pPr>
      <w:r>
        <w:rPr>
          <w:rFonts w:ascii="宋体" w:hAnsi="宋体" w:cs="宋体" w:eastAsia="宋体" w:hint="default"/>
          <w:spacing w:val="-2"/>
          <w:sz w:val="18"/>
          <w:szCs w:val="18"/>
        </w:rPr>
        <w:t>络信息安全产品项目效益未达到预期主要原因是：随着互联网的发展，特别是大数据和互联网</w:t>
      </w:r>
      <w:r>
        <w:rPr>
          <w:rFonts w:ascii="宋体" w:hAnsi="宋体" w:cs="宋体" w:eastAsia="宋体" w:hint="default"/>
          <w:sz w:val="18"/>
          <w:szCs w:val="18"/>
        </w:rPr>
        <w:t> </w:t>
      </w:r>
      <w:r>
        <w:rPr>
          <w:rFonts w:ascii="宋体" w:hAnsi="宋体" w:cs="宋体" w:eastAsia="宋体" w:hint="default"/>
          <w:spacing w:val="-2"/>
          <w:sz w:val="18"/>
          <w:szCs w:val="18"/>
        </w:rPr>
        <w:t>的提出，政府部门也逐渐地开始接受向社会购买服务产品。公司网络信息安全产品项目由单一的</w:t>
      </w:r>
    </w:p>
    <w:p>
      <w:pPr>
        <w:spacing w:line="624" w:lineRule="exact"/>
        <w:ind w:left="1741"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397.35pt;height:31.2pt;mso-position-horizontal-relative:char;mso-position-vertical-relative:line" coordorigin="0,0" coordsize="7947,624">
            <v:group style="position:absolute;left:0;top:0;width:7947;height:312" coordorigin="0,0" coordsize="7947,312">
              <v:shape style="position:absolute;left:0;top:0;width:7947;height:312" coordorigin="0,0" coordsize="7947,312" path="m0,312l7946,312,7946,0,0,0,0,312xe" filled="true" fillcolor="#ffffff" stroked="false">
                <v:path arrowok="t"/>
                <v:fill type="solid"/>
              </v:shape>
            </v:group>
            <v:group style="position:absolute;left:0;top:312;width:7947;height:312" coordorigin="0,312" coordsize="7947,312">
              <v:shape style="position:absolute;left:0;top:312;width:7947;height:312" coordorigin="0,312" coordsize="7947,312" path="m0,624l7946,624,7946,312,0,312,0,624xe" filled="true" fillcolor="#ffffff" stroked="false">
                <v:path arrowok="t"/>
                <v:fill type="solid"/>
              </v:shape>
              <v:shape style="position:absolute;left:0;top:0;width:7947;height:624" type="#_x0000_t202" filled="false" stroked="false">
                <v:textbox inset="0,0,0,0">
                  <w:txbxContent>
                    <w:p>
                      <w:pPr>
                        <w:spacing w:line="300" w:lineRule="auto" w:before="10"/>
                        <w:ind w:left="542" w:right="-3" w:firstLine="1"/>
                        <w:jc w:val="left"/>
                        <w:rPr>
                          <w:rFonts w:ascii="宋体" w:hAnsi="宋体" w:cs="宋体" w:eastAsia="宋体" w:hint="default"/>
                          <w:sz w:val="18"/>
                          <w:szCs w:val="18"/>
                        </w:rPr>
                      </w:pPr>
                      <w:r>
                        <w:rPr>
                          <w:rFonts w:ascii="宋体" w:hAnsi="宋体" w:cs="宋体" w:eastAsia="宋体" w:hint="default"/>
                          <w:sz w:val="18"/>
                          <w:szCs w:val="18"/>
                        </w:rPr>
                        <w:t>售向</w:t>
                      </w:r>
                      <w:r>
                        <w:rPr>
                          <w:rFonts w:ascii="Times New Roman" w:hAnsi="Times New Roman" w:cs="Times New Roman" w:eastAsia="Times New Roman" w:hint="default"/>
                          <w:sz w:val="18"/>
                          <w:szCs w:val="18"/>
                        </w:rPr>
                        <w:t>“</w:t>
                      </w:r>
                      <w:r>
                        <w:rPr>
                          <w:rFonts w:ascii="宋体" w:hAnsi="宋体" w:cs="宋体" w:eastAsia="宋体" w:hint="default"/>
                          <w:sz w:val="18"/>
                          <w:szCs w:val="18"/>
                        </w:rPr>
                        <w:t>小产品、大服务</w:t>
                      </w:r>
                      <w:r>
                        <w:rPr>
                          <w:rFonts w:ascii="Times New Roman" w:hAnsi="Times New Roman" w:cs="Times New Roman" w:eastAsia="Times New Roman" w:hint="default"/>
                          <w:sz w:val="18"/>
                          <w:szCs w:val="18"/>
                        </w:rPr>
                        <w:t>”</w:t>
                      </w:r>
                      <w:r>
                        <w:rPr>
                          <w:rFonts w:ascii="宋体" w:hAnsi="宋体" w:cs="宋体" w:eastAsia="宋体" w:hint="default"/>
                          <w:sz w:val="18"/>
                          <w:szCs w:val="18"/>
                        </w:rPr>
                        <w:t>的战略方向推进，研发和销售从过去的产品形态向互联网服务转变，目</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客户开始逐渐转向购买服务，但数据服务和互联网信息服务都尚处在市场培育阶段，市场对新</w:t>
                      </w:r>
                    </w:p>
                  </w:txbxContent>
                </v:textbox>
                <w10:wrap type="none"/>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918" w:footer="1020" w:top="1160" w:bottom="1220" w:left="980" w:right="980"/>
        </w:sectPr>
      </w:pPr>
    </w:p>
    <w:p>
      <w:pPr>
        <w:spacing w:line="240" w:lineRule="auto" w:before="0"/>
        <w:rPr>
          <w:rFonts w:ascii="宋体" w:hAnsi="宋体" w:cs="宋体" w:eastAsia="宋体" w:hint="default"/>
          <w:sz w:val="20"/>
          <w:szCs w:val="20"/>
        </w:rPr>
      </w:pPr>
      <w:r>
        <w:rPr/>
        <w:pict>
          <v:shape style="position:absolute;margin-left:56.459999pt;margin-top:72.299980pt;width:478.8pt;height:687.6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002"/>
                  </w:tblGrid>
                  <w:tr>
                    <w:trPr>
                      <w:trHeight w:val="4106"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9"/>
                          <w:jc w:val="left"/>
                          <w:rPr>
                            <w:rFonts w:ascii="宋体" w:hAnsi="宋体" w:cs="宋体" w:eastAsia="宋体" w:hint="default"/>
                            <w:sz w:val="18"/>
                            <w:szCs w:val="18"/>
                          </w:rPr>
                        </w:pPr>
                        <w:r>
                          <w:rPr>
                            <w:rFonts w:ascii="宋体" w:hAnsi="宋体" w:cs="宋体" w:eastAsia="宋体" w:hint="default"/>
                            <w:sz w:val="18"/>
                            <w:szCs w:val="18"/>
                          </w:rPr>
                          <w:t>生的商业形式和服务模式的认可需要一定的适应过程，在短期内尚未能实现规模效益，</w:t>
                        </w:r>
                        <w:r>
                          <w:rPr>
                            <w:rFonts w:ascii="宋体" w:hAnsi="宋体" w:cs="宋体" w:eastAsia="宋体" w:hint="default"/>
                            <w:spacing w:val="-59"/>
                            <w:sz w:val="18"/>
                            <w:szCs w:val="18"/>
                          </w:rPr>
                          <w:t> </w:t>
                        </w:r>
                        <w:r>
                          <w:rPr>
                            <w:rFonts w:ascii="宋体" w:hAnsi="宋体" w:cs="宋体" w:eastAsia="宋体" w:hint="default"/>
                            <w:sz w:val="18"/>
                            <w:szCs w:val="18"/>
                          </w:rPr>
                          <w:t>因此短期内将</w:t>
                        </w:r>
                        <w:r>
                          <w:rPr>
                            <w:rFonts w:ascii="宋体" w:hAnsi="宋体" w:cs="宋体" w:eastAsia="宋体" w:hint="default"/>
                            <w:sz w:val="18"/>
                            <w:szCs w:val="18"/>
                          </w:rPr>
                          <w:t> </w:t>
                        </w:r>
                        <w:r>
                          <w:rPr>
                            <w:rFonts w:ascii="宋体" w:hAnsi="宋体" w:cs="宋体" w:eastAsia="宋体" w:hint="default"/>
                            <w:spacing w:val="-5"/>
                            <w:sz w:val="18"/>
                            <w:szCs w:val="18"/>
                          </w:rPr>
                          <w:t>对公司的网络信息安全产品项目收益造成一定的影响。（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）超募</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公证云项目效益未达到预期主要原因 是：首先，从产品定位上说，存证云作为一项创新服务模式，从前期的电子数据取证、存证到后期的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出证，具有较长的服务周期，获得收益的周期较长。其次，从市场环境分析，存证云长期以来的客户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群体主要是个人用户，在互联网产品普遍免费甚至烧钱补贴的市场大环境下，个人用户付费意识有待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培养，形成规模经济效益需要时日。再次，从市场推广上说，电子数据取证、存证、出证的一站式服</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务属于市场细分领域，尚处于市场培育初期，社会公众对证据防范意识较为薄弱，要不断持续的投入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市场推广和宣传，才能让用户完成意识上认知到使用行为习惯的养成这一较为漫长的过程，这个过程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需要长期持续坚持才能慢慢展现成效。自上线不久，存证云已经开始持续为阿里巴巴、亚马逊、法院</w:t>
                        </w:r>
                        <w:r>
                          <w:rPr>
                            <w:rFonts w:ascii="宋体" w:hAnsi="宋体" w:cs="宋体" w:eastAsia="宋体" w:hint="default"/>
                            <w:sz w:val="18"/>
                            <w:szCs w:val="18"/>
                          </w:rPr>
                          <w:t> 质检等机构提供存证服务，已形成稳定合作关系。近一年随着产品方向和用户侧重的调整，更多的行</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业应用和企业、专业型用户也开始涌现，互联网交易平台和金融类网站也纷纷开始对接存证服务。下</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一阶段，存证云将依托存证能力开放平台和专业版，面向企事业单位及行业用户提供更加完善的存证</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产品及解决方案，充分挖掘市场需求，进一步提高盈利水平。</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8"/>
                            <w:sz w:val="18"/>
                            <w:szCs w:val="18"/>
                          </w:rPr>
                          <w:t>项目可行性发生重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大变化的情况说明</w:t>
                        </w: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874"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22" w:right="11"/>
                          <w:jc w:val="both"/>
                          <w:rPr>
                            <w:rFonts w:ascii="宋体" w:hAnsi="宋体" w:cs="宋体" w:eastAsia="宋体" w:hint="default"/>
                            <w:sz w:val="18"/>
                            <w:szCs w:val="18"/>
                          </w:rPr>
                        </w:pPr>
                        <w:r>
                          <w:rPr>
                            <w:rFonts w:ascii="宋体" w:hAnsi="宋体" w:cs="宋体" w:eastAsia="宋体" w:hint="default"/>
                            <w:spacing w:val="8"/>
                            <w:sz w:val="18"/>
                            <w:szCs w:val="18"/>
                          </w:rPr>
                          <w:t>超募资金的金额、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用途及使用进展情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况</w:t>
                        </w: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r>
                          <w:rPr>
                            <w:rFonts w:ascii="宋体" w:hAnsi="宋体" w:cs="宋体" w:eastAsia="宋体" w:hint="default"/>
                            <w:spacing w:val="-57"/>
                            <w:sz w:val="18"/>
                            <w:szCs w:val="18"/>
                          </w:rPr>
                          <w:t> </w:t>
                        </w:r>
                        <w:r>
                          <w:rPr>
                            <w:rFonts w:ascii="宋体" w:hAnsi="宋体" w:cs="宋体" w:eastAsia="宋体" w:hint="default"/>
                            <w:sz w:val="18"/>
                            <w:szCs w:val="18"/>
                          </w:rPr>
                          <w:t>为合理利用好超募资金，公司制定了超募资金使用计划：①使</w:t>
                        </w:r>
                        <w:r>
                          <w:rPr>
                            <w:rFonts w:ascii="宋体" w:hAnsi="宋体" w:cs="宋体" w:eastAsia="宋体" w:hint="default"/>
                            <w:sz w:val="18"/>
                            <w:szCs w:val="18"/>
                          </w:rPr>
                          <w:t> 用超募资金人民币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1,363.15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万元投资建设电子数据公证云项目；②使用超募资金人民币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3,012.49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pacing w:val="-3"/>
                            <w:sz w:val="18"/>
                            <w:szCs w:val="18"/>
                          </w:rPr>
                          <w:t>追加投资建设超算中心（云计算中心）项目；③使用超募资金人民币 </w:t>
                        </w:r>
                        <w:r>
                          <w:rPr>
                            <w:rFonts w:ascii="Times New Roman" w:hAnsi="Times New Roman" w:cs="Times New Roman" w:eastAsia="Times New Roman" w:hint="default"/>
                            <w:sz w:val="18"/>
                            <w:szCs w:val="18"/>
                          </w:rPr>
                          <w:t>16,468.61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万元购买大楼用于建设</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pacing w:val="-2"/>
                            <w:sz w:val="18"/>
                            <w:szCs w:val="18"/>
                          </w:rPr>
                          <w:t>研发生产中心项目，该项目经公司</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pacing w:val="-2"/>
                            <w:sz w:val="18"/>
                            <w:szCs w:val="18"/>
                          </w:rPr>
                          <w:t>年度股东大会审议通过，目前大楼已交房。④永久性补充流动</w:t>
                        </w:r>
                      </w:p>
                      <w:p>
                        <w:pPr>
                          <w:pStyle w:val="TableParagraph"/>
                          <w:spacing w:line="304" w:lineRule="auto" w:before="63"/>
                          <w:ind w:left="22"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万元，该议案经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年度股东大会审议通过后实施，目前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万元超募资金已补充为流动 资金。⑤使用超募资金人民币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5854.8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万元，收购珠海新德汇公司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股权，该项目已完成工商变更登 记手续。二、</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日公司召开第二届董事会第二十二次（临时）会议</w:t>
                        </w:r>
                        <w:r>
                          <w:rPr>
                            <w:rFonts w:ascii="宋体" w:hAnsi="宋体" w:cs="宋体" w:eastAsia="宋体" w:hint="default"/>
                            <w:spacing w:val="-6"/>
                            <w:sz w:val="18"/>
                            <w:szCs w:val="18"/>
                          </w:rPr>
                          <w:t> </w:t>
                        </w:r>
                        <w:r>
                          <w:rPr>
                            <w:rFonts w:ascii="宋体" w:hAnsi="宋体" w:cs="宋体" w:eastAsia="宋体" w:hint="default"/>
                            <w:sz w:val="18"/>
                            <w:szCs w:val="18"/>
                          </w:rPr>
                          <w:t>审议通过《关于对深</w:t>
                        </w:r>
                        <w:r>
                          <w:rPr>
                            <w:rFonts w:ascii="宋体" w:hAnsi="宋体" w:cs="宋体" w:eastAsia="宋体" w:hint="default"/>
                            <w:sz w:val="18"/>
                            <w:szCs w:val="18"/>
                          </w:rPr>
                          <w:t> 圳市中新赛克科技股份有限公司进行增资的议案》公司使用剩余超募资金及利息，部分自有资金合计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Times New Roman" w:hAnsi="Times New Roman" w:cs="Times New Roman" w:eastAsia="Times New Roman" w:hint="default"/>
                            <w:sz w:val="18"/>
                            <w:szCs w:val="18"/>
                          </w:rPr>
                          <w:t>4,898.135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万元对中新赛克进行溢价增资，增资完成后，公司持有中新赛克</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4.1%</w:t>
                        </w:r>
                        <w:r>
                          <w:rPr>
                            <w:rFonts w:ascii="宋体" w:hAnsi="宋体" w:cs="宋体" w:eastAsia="宋体" w:hint="default"/>
                            <w:sz w:val="18"/>
                            <w:szCs w:val="18"/>
                          </w:rPr>
                          <w:t>股权。截止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p>
                      <w:p>
                        <w:pPr>
                          <w:pStyle w:val="TableParagraph"/>
                          <w:spacing w:line="302" w:lineRule="auto" w:before="9"/>
                          <w:ind w:left="22"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日公司已使用超募资金及利息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4072.283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万元（其中利息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2065.34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万元）及自有资金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825.852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元支 付中新赛克增资款。</w:t>
                        </w:r>
                      </w:p>
                    </w:tc>
                  </w:tr>
                  <w:tr>
                    <w:trPr>
                      <w:trHeight w:val="1206"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pacing w:val="8"/>
                            <w:sz w:val="18"/>
                            <w:szCs w:val="18"/>
                          </w:rPr>
                          <w:t>募集资金投资项目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实施地点变更情况</w:t>
                        </w: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206"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7"/>
                            <w:sz w:val="18"/>
                            <w:szCs w:val="18"/>
                          </w:rPr>
                          <w:t>募集资金投资项目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实施方式调整情况</w:t>
                        </w: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0"/>
                          <w:ind w:left="22" w:right="11"/>
                          <w:jc w:val="both"/>
                          <w:rPr>
                            <w:rFonts w:ascii="宋体" w:hAnsi="宋体" w:cs="宋体" w:eastAsia="宋体" w:hint="default"/>
                            <w:sz w:val="18"/>
                            <w:szCs w:val="18"/>
                          </w:rPr>
                        </w:pPr>
                        <w:r>
                          <w:rPr>
                            <w:rFonts w:ascii="宋体" w:hAnsi="宋体" w:cs="宋体" w:eastAsia="宋体" w:hint="default"/>
                            <w:spacing w:val="8"/>
                            <w:sz w:val="18"/>
                            <w:szCs w:val="18"/>
                          </w:rPr>
                          <w:t>募集资金投资项目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先期投入及置换情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况</w:t>
                        </w: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34" w:hRule="exact"/>
                    </w:trPr>
                    <w:tc>
                      <w:tcPr>
                        <w:tcW w:w="1560" w:type="dxa"/>
                        <w:vMerge/>
                        <w:tcBorders>
                          <w:left w:val="single" w:sz="4" w:space="0" w:color="000000"/>
                          <w:bottom w:val="single" w:sz="4" w:space="0" w:color="000000"/>
                          <w:right w:val="single" w:sz="4" w:space="0" w:color="000000"/>
                        </w:tcBorders>
                        <w:shd w:val="clear" w:color="auto" w:fill="D4D4D4"/>
                      </w:tcPr>
                      <w:p>
                        <w:pP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
                          <w:jc w:val="both"/>
                          <w:rPr>
                            <w:rFonts w:ascii="宋体" w:hAnsi="宋体" w:cs="宋体" w:eastAsia="宋体" w:hint="default"/>
                            <w:sz w:val="18"/>
                            <w:szCs w:val="18"/>
                          </w:rPr>
                        </w:pPr>
                        <w:r>
                          <w:rPr>
                            <w:rFonts w:ascii="宋体" w:hAnsi="宋体" w:cs="宋体" w:eastAsia="宋体" w:hint="default"/>
                            <w:sz w:val="18"/>
                            <w:szCs w:val="18"/>
                          </w:rPr>
                          <w:t>在首次公开发行股票募集资金到位之前，为保障募集资金投资项目的顺利进行，公司已使用自筹资金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投入部分募集资金投资项目的前期建设。截至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日止，公司以自筹资金预先投入募投项</w:t>
                        </w:r>
                      </w:p>
                      <w:p>
                        <w:pPr>
                          <w:pStyle w:val="TableParagraph"/>
                          <w:spacing w:line="300" w:lineRule="auto"/>
                          <w:ind w:left="22" w:right="19" w:hanging="1"/>
                          <w:jc w:val="both"/>
                          <w:rPr>
                            <w:rFonts w:ascii="宋体" w:hAnsi="宋体" w:cs="宋体" w:eastAsia="宋体" w:hint="default"/>
                            <w:sz w:val="18"/>
                            <w:szCs w:val="18"/>
                          </w:rPr>
                        </w:pPr>
                        <w:r>
                          <w:rPr>
                            <w:rFonts w:ascii="宋体" w:hAnsi="宋体" w:cs="宋体" w:eastAsia="宋体" w:hint="default"/>
                            <w:sz w:val="18"/>
                            <w:szCs w:val="18"/>
                          </w:rPr>
                          <w:t>目累计金额为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64,759,485.59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元，其中向中国工商银行股份有限公司厦门东区支行借款</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761.00</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万元，其</w:t>
                        </w:r>
                        <w:r>
                          <w:rPr>
                            <w:rFonts w:ascii="宋体" w:hAnsi="宋体" w:cs="宋体" w:eastAsia="宋体" w:hint="default"/>
                            <w:sz w:val="18"/>
                            <w:szCs w:val="18"/>
                          </w:rPr>
                          <w:t> 余为公司自有资金。为提高资金利用率，降低财务成本，公司第一届董事会第十二次会议审议通过了</w:t>
                        </w:r>
                      </w:p>
                      <w:p>
                        <w:pPr>
                          <w:pStyle w:val="TableParagraph"/>
                          <w:spacing w:line="309" w:lineRule="auto" w:before="31"/>
                          <w:ind w:left="22" w:right="12"/>
                          <w:jc w:val="both"/>
                          <w:rPr>
                            <w:rFonts w:ascii="宋体" w:hAnsi="宋体" w:cs="宋体" w:eastAsia="宋体" w:hint="default"/>
                            <w:sz w:val="18"/>
                            <w:szCs w:val="18"/>
                          </w:rPr>
                        </w:pPr>
                        <w:r>
                          <w:rPr>
                            <w:rFonts w:ascii="宋体" w:hAnsi="宋体" w:cs="宋体" w:eastAsia="宋体" w:hint="default"/>
                            <w:spacing w:val="8"/>
                            <w:sz w:val="18"/>
                            <w:szCs w:val="18"/>
                          </w:rPr>
                          <w:t>《关于使用募集资金置换公司预先已投入募集资金投资项目的自筹资金》的议案，拟置换人民币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Times New Roman" w:hAnsi="Times New Roman" w:cs="Times New Roman" w:eastAsia="Times New Roman" w:hint="default"/>
                            <w:sz w:val="18"/>
                            <w:szCs w:val="18"/>
                          </w:rPr>
                          <w:t>64,759,485.59</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元。天健正信会计师事务所有限公司对公司前期以自筹资金投入募集资金投资项目的情 </w:t>
                        </w:r>
                        <w:r>
                          <w:rPr>
                            <w:rFonts w:ascii="宋体" w:hAnsi="宋体" w:cs="宋体" w:eastAsia="宋体" w:hint="default"/>
                            <w:spacing w:val="-2"/>
                            <w:sz w:val="18"/>
                            <w:szCs w:val="18"/>
                          </w:rPr>
                          <w:t>况进行了专项审核，并出具了天健正信审（</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）专字第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020621 </w:t>
                        </w:r>
                        <w:r>
                          <w:rPr>
                            <w:rFonts w:ascii="宋体" w:hAnsi="宋体" w:cs="宋体" w:eastAsia="宋体" w:hint="default"/>
                            <w:spacing w:val="-1"/>
                            <w:sz w:val="18"/>
                            <w:szCs w:val="18"/>
                          </w:rPr>
                          <w:t>号《关于厦门市美亚柏科信息股份有</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0"/>
        <w:ind w:left="0" w:right="16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918" w:footer="1020" w:top="1160" w:bottom="122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167" w:firstLine="0"/>
        <w:jc w:val="right"/>
        <w:rPr>
          <w:rFonts w:ascii="宋体" w:hAnsi="宋体" w:cs="宋体" w:eastAsia="宋体" w:hint="default"/>
          <w:sz w:val="18"/>
          <w:szCs w:val="18"/>
        </w:rPr>
      </w:pPr>
      <w:r>
        <w:rPr/>
        <w:pict>
          <v:shape style="position:absolute;margin-left:56.459999pt;margin-top:-158.288284pt;width:478.8pt;height:540.3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8002"/>
                  </w:tblGrid>
                  <w:tr>
                    <w:trPr>
                      <w:trHeight w:val="1610"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9"/>
                          <w:jc w:val="both"/>
                          <w:rPr>
                            <w:rFonts w:ascii="宋体" w:hAnsi="宋体" w:cs="宋体" w:eastAsia="宋体" w:hint="default"/>
                            <w:sz w:val="18"/>
                            <w:szCs w:val="18"/>
                          </w:rPr>
                        </w:pPr>
                        <w:r>
                          <w:rPr>
                            <w:rFonts w:ascii="宋体" w:hAnsi="宋体" w:cs="宋体" w:eastAsia="宋体" w:hint="default"/>
                            <w:spacing w:val="-4"/>
                            <w:sz w:val="18"/>
                            <w:szCs w:val="18"/>
                          </w:rPr>
                          <w:t>限公司以自筹资金预先投入募投项目的鉴证报告》。监事会和独立董事发表了同意意见，履行了必要的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审批程序。保荐机构国信证券股份有限公司进行了核查，对公司本次以募集资金置换预先已投入募集</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资金投资项目的自筹资金事项发表无异议核查意见。以上事项公司已于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日在深圳证券</w:t>
                        </w:r>
                      </w:p>
                      <w:p>
                        <w:pPr>
                          <w:pStyle w:val="TableParagraph"/>
                          <w:spacing w:line="248" w:lineRule="exact"/>
                          <w:ind w:left="22" w:right="0"/>
                          <w:jc w:val="both"/>
                          <w:rPr>
                            <w:rFonts w:ascii="宋体" w:hAnsi="宋体" w:cs="宋体" w:eastAsia="宋体" w:hint="default"/>
                            <w:sz w:val="18"/>
                            <w:szCs w:val="18"/>
                          </w:rPr>
                        </w:pPr>
                        <w:r>
                          <w:rPr>
                            <w:rFonts w:ascii="宋体" w:hAnsi="宋体" w:cs="宋体" w:eastAsia="宋体" w:hint="default"/>
                            <w:spacing w:val="-3"/>
                            <w:sz w:val="18"/>
                            <w:szCs w:val="18"/>
                          </w:rPr>
                          <w:t>交易所进行公告。截止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日，公司已办理完募集资金置换手续。除此之外，截至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日，公司没有发生使用募集资金置换先期投入的情况。</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用闲置募集资金暂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时补充流动资金情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况</w:t>
                        </w: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420"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8"/>
                          <w:ind w:left="22" w:right="11"/>
                          <w:jc w:val="both"/>
                          <w:rPr>
                            <w:rFonts w:ascii="宋体" w:hAnsi="宋体" w:cs="宋体" w:eastAsia="宋体" w:hint="default"/>
                            <w:sz w:val="18"/>
                            <w:szCs w:val="18"/>
                          </w:rPr>
                        </w:pPr>
                        <w:r>
                          <w:rPr>
                            <w:rFonts w:ascii="宋体" w:hAnsi="宋体" w:cs="宋体" w:eastAsia="宋体" w:hint="default"/>
                            <w:spacing w:val="8"/>
                            <w:sz w:val="18"/>
                            <w:szCs w:val="18"/>
                          </w:rPr>
                          <w:t>项目实施出现募集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资金结余的金额及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原因</w:t>
                        </w: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日电子数据取证产品项目、网络信息安全产品项目，超募资金投资电子数据公证</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云项目均已达到预定可使用状态公司对上述三个项目实施结项</w:t>
                        </w:r>
                        <w:r>
                          <w:rPr>
                            <w:rFonts w:ascii="宋体" w:hAnsi="宋体" w:cs="宋体" w:eastAsia="宋体" w:hint="default"/>
                            <w:spacing w:val="-90"/>
                            <w:sz w:val="18"/>
                            <w:szCs w:val="18"/>
                          </w:rPr>
                          <w:t>；</w:t>
                        </w:r>
                        <w:r>
                          <w:rPr>
                            <w:rFonts w:ascii="宋体" w:hAnsi="宋体" w:cs="宋体" w:eastAsia="宋体" w:hint="default"/>
                            <w:sz w:val="18"/>
                            <w:szCs w:val="18"/>
                          </w:rPr>
                          <w:t>三个项目承诺投资总额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14648.06</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万元</w:t>
                        </w:r>
                        <w:r>
                          <w:rPr>
                            <w:rFonts w:ascii="宋体" w:hAnsi="宋体" w:cs="宋体" w:eastAsia="宋体" w:hint="default"/>
                            <w:sz w:val="18"/>
                            <w:szCs w:val="18"/>
                          </w:rPr>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项目累计投入资金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14500.45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万元，结余募集资金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147.61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万元（不含利息收入</w:t>
                        </w:r>
                        <w:r>
                          <w:rPr>
                            <w:rFonts w:ascii="宋体" w:hAnsi="宋体" w:cs="宋体" w:eastAsia="宋体" w:hint="default"/>
                            <w:spacing w:val="-90"/>
                            <w:sz w:val="18"/>
                            <w:szCs w:val="18"/>
                          </w:rPr>
                          <w:t>）</w:t>
                        </w:r>
                        <w:r>
                          <w:rPr>
                            <w:rFonts w:ascii="宋体" w:hAnsi="宋体" w:cs="宋体" w:eastAsia="宋体" w:hint="default"/>
                            <w:sz w:val="18"/>
                            <w:szCs w:val="18"/>
                          </w:rPr>
                          <w:t>，其中：电子数据取证</w:t>
                        </w:r>
                      </w:p>
                      <w:p>
                        <w:pPr>
                          <w:pStyle w:val="TableParagraph"/>
                          <w:spacing w:line="307" w:lineRule="auto" w:before="63"/>
                          <w:ind w:left="22" w:right="20"/>
                          <w:jc w:val="both"/>
                          <w:rPr>
                            <w:rFonts w:ascii="宋体" w:hAnsi="宋体" w:cs="宋体" w:eastAsia="宋体" w:hint="default"/>
                            <w:sz w:val="18"/>
                            <w:szCs w:val="18"/>
                          </w:rPr>
                        </w:pPr>
                        <w:r>
                          <w:rPr>
                            <w:rFonts w:ascii="宋体" w:hAnsi="宋体" w:cs="宋体" w:eastAsia="宋体" w:hint="default"/>
                            <w:sz w:val="18"/>
                            <w:szCs w:val="18"/>
                          </w:rPr>
                          <w:t>产品项目节余资金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53.67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万元；网络信息安全产品项目结余资金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32.87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万元；电子数据公证云项目节余</w:t>
                        </w:r>
                        <w:r>
                          <w:rPr>
                            <w:rFonts w:ascii="宋体" w:hAnsi="宋体" w:cs="宋体" w:eastAsia="宋体" w:hint="default"/>
                            <w:sz w:val="18"/>
                            <w:szCs w:val="18"/>
                          </w:rPr>
                          <w:t> 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万元；结余金额占承诺投资募集资金的</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1.01%</w:t>
                        </w:r>
                        <w:r>
                          <w:rPr>
                            <w:rFonts w:ascii="宋体" w:hAnsi="宋体" w:cs="宋体" w:eastAsia="宋体" w:hint="default"/>
                            <w:spacing w:val="-3"/>
                            <w:sz w:val="18"/>
                            <w:szCs w:val="18"/>
                          </w:rPr>
                          <w:t>，不存在重大差异。上述三个项目募集资金结</w:t>
                        </w:r>
                        <w:r>
                          <w:rPr>
                            <w:rFonts w:ascii="宋体" w:hAnsi="宋体" w:cs="宋体" w:eastAsia="宋体" w:hint="default"/>
                            <w:sz w:val="18"/>
                            <w:szCs w:val="18"/>
                          </w:rPr>
                          <w:t> 余主要原因为公司充分结合自身的技术优势、经验及现有的设备配置，在资源充分利用的前提下，对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项目环节进行优化，减少了部分设备采购。截止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日公司已办理完上述三个项目结余资</w:t>
                        </w:r>
                      </w:p>
                      <w:p>
                        <w:pPr>
                          <w:pStyle w:val="TableParagraph"/>
                          <w:spacing w:line="309" w:lineRule="auto" w:before="7"/>
                          <w:ind w:left="22" w:right="20"/>
                          <w:jc w:val="both"/>
                          <w:rPr>
                            <w:rFonts w:ascii="宋体" w:hAnsi="宋体" w:cs="宋体" w:eastAsia="宋体" w:hint="default"/>
                            <w:sz w:val="18"/>
                            <w:szCs w:val="18"/>
                          </w:rPr>
                        </w:pPr>
                        <w:r>
                          <w:rPr>
                            <w:rFonts w:ascii="宋体" w:hAnsi="宋体" w:cs="宋体" w:eastAsia="宋体" w:hint="default"/>
                            <w:sz w:val="18"/>
                            <w:szCs w:val="18"/>
                          </w:rPr>
                          <w:t>金及利息永久补充公司流动资金，并注销相关募集资金专项账户手续。截止</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日电子数 据鉴定及互联网知识产权保护等服务项目、超募资金追加投资超算中心（云计算）项目已达预定可使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用状态，公司拟对这两个项目实施结项，两个项目承诺投资总额 </w:t>
                        </w:r>
                        <w:r>
                          <w:rPr>
                            <w:rFonts w:ascii="Times New Roman" w:hAnsi="Times New Roman" w:cs="Times New Roman" w:eastAsia="Times New Roman" w:hint="default"/>
                            <w:sz w:val="18"/>
                            <w:szCs w:val="18"/>
                          </w:rPr>
                          <w:t>6,472.44 </w:t>
                        </w:r>
                        <w:r>
                          <w:rPr>
                            <w:rFonts w:ascii="Times New Roman" w:hAnsi="Times New Roman" w:cs="Times New Roman" w:eastAsia="Times New Roman" w:hint="default"/>
                            <w:spacing w:val="16"/>
                            <w:sz w:val="18"/>
                            <w:szCs w:val="18"/>
                          </w:rPr>
                          <w:t> </w:t>
                        </w:r>
                        <w:r>
                          <w:rPr>
                            <w:rFonts w:ascii="宋体" w:hAnsi="宋体" w:cs="宋体" w:eastAsia="宋体" w:hint="default"/>
                            <w:spacing w:val="2"/>
                            <w:sz w:val="18"/>
                            <w:szCs w:val="18"/>
                          </w:rPr>
                          <w:t>万元，项目累计投入资金</w:t>
                        </w:r>
                      </w:p>
                      <w:p>
                        <w:pPr>
                          <w:pStyle w:val="TableParagraph"/>
                          <w:spacing w:line="314" w:lineRule="auto" w:before="5"/>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6,162.21 </w:t>
                        </w:r>
                        <w:r>
                          <w:rPr>
                            <w:rFonts w:ascii="宋体" w:hAnsi="宋体" w:cs="宋体" w:eastAsia="宋体" w:hint="default"/>
                            <w:sz w:val="18"/>
                            <w:szCs w:val="18"/>
                          </w:rPr>
                          <w:t>万元，结余募集资金 </w:t>
                        </w:r>
                        <w:r>
                          <w:rPr>
                            <w:rFonts w:ascii="Times New Roman" w:hAnsi="Times New Roman" w:cs="Times New Roman" w:eastAsia="Times New Roman" w:hint="default"/>
                            <w:sz w:val="18"/>
                            <w:szCs w:val="18"/>
                          </w:rPr>
                          <w:t>310.25 </w:t>
                        </w:r>
                        <w:r>
                          <w:rPr>
                            <w:rFonts w:ascii="宋体" w:hAnsi="宋体" w:cs="宋体" w:eastAsia="宋体" w:hint="default"/>
                            <w:sz w:val="18"/>
                            <w:szCs w:val="18"/>
                          </w:rPr>
                          <w:t>万元，结余金额占承诺投资募集资金的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4.79%</w:t>
                        </w:r>
                        <w:r>
                          <w:rPr>
                            <w:rFonts w:ascii="宋体" w:hAnsi="宋体" w:cs="宋体" w:eastAsia="宋体" w:hint="default"/>
                            <w:sz w:val="18"/>
                            <w:szCs w:val="18"/>
                          </w:rPr>
                          <w:t>，实际投入金额与 计划投入金额不存在重大差异电子数据鉴定及互联网知识产权保护等服务项目结余金额占承诺投资募</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集资金的</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98.25%</w:t>
                        </w:r>
                        <w:r>
                          <w:rPr>
                            <w:rFonts w:ascii="宋体" w:hAnsi="宋体" w:cs="宋体" w:eastAsia="宋体" w:hint="default"/>
                            <w:sz w:val="18"/>
                            <w:szCs w:val="18"/>
                          </w:rPr>
                          <w:t>不存在重大差异。结余主要原因是由于公司充分结合自身的技术优势，经验及现有的 设备配置，在资源充分利用的前提下，对项目环节进行优化，减少了部分设备采购。超募资金追加投</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资超算中心（云计算）项目结余主要原因是由于北方机房是固有机房，合作单位在线路接入方面无法</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实现我们的要求，公司通过技术发展以及产品的架构优化，在厦门主机房内实现相关目标，缩小了北</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方机房的投入。公司对项目建设前期和过程严格控制，加上自主建设节省了资金投入，结余了项目预</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备费。公司第二届董事会第二十次会议决议同意将上述两个项目结余募集资金及利息，转入超募资金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0"/>
                            <w:sz w:val="18"/>
                            <w:szCs w:val="18"/>
                          </w:rPr>
                          <w:t>账户管理。截止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日公司已办理完上述两个项目结余资金及利息转入超募资金账户管理</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1"/>
                          <w:jc w:val="left"/>
                          <w:rPr>
                            <w:rFonts w:ascii="宋体" w:hAnsi="宋体" w:cs="宋体" w:eastAsia="宋体" w:hint="default"/>
                            <w:sz w:val="18"/>
                            <w:szCs w:val="18"/>
                          </w:rPr>
                        </w:pPr>
                        <w:r>
                          <w:rPr>
                            <w:rFonts w:ascii="宋体" w:hAnsi="宋体" w:cs="宋体" w:eastAsia="宋体" w:hint="default"/>
                            <w:spacing w:val="8"/>
                            <w:sz w:val="18"/>
                            <w:szCs w:val="18"/>
                          </w:rPr>
                          <w:t>尚未使用的募集资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金用途及去向</w:t>
                        </w: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存储于募集资金专户中，将用于以下两方面：①已列入使用计划，但尚未支付的研发大楼相关税费；</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②已列入使用计划，根据《投资协议》约定将用于支付苏学武先生股权转让款。</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募集资金使用及披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露中存在的问题或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其他情况</w:t>
                        </w:r>
                      </w:p>
                    </w:tc>
                    <w:tc>
                      <w:tcPr>
                        <w:tcW w:w="8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bookmarkStart w:name="（3）募集资金变更项目情况" w:id="51"/>
      <w:bookmarkEnd w:id="51"/>
      <w:r>
        <w:rPr/>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44"/>
        <w:ind w:left="0" w:right="167"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53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公司报告期不存在募集资金变更项目情况。</w:t>
      </w:r>
    </w:p>
    <w:p>
      <w:pPr>
        <w:spacing w:after="0" w:line="408" w:lineRule="auto"/>
        <w:jc w:val="left"/>
        <w:sectPr>
          <w:pgSz w:w="11910" w:h="16840"/>
          <w:pgMar w:header="918" w:footer="1020" w:top="1160" w:bottom="1220" w:left="980" w:right="980"/>
        </w:sectPr>
      </w:pPr>
    </w:p>
    <w:p>
      <w:pPr>
        <w:spacing w:line="240" w:lineRule="auto" w:before="0"/>
        <w:rPr>
          <w:rFonts w:ascii="宋体" w:hAnsi="宋体" w:cs="宋体" w:eastAsia="宋体" w:hint="default"/>
          <w:sz w:val="17"/>
          <w:szCs w:val="17"/>
        </w:rPr>
      </w:pPr>
    </w:p>
    <w:p>
      <w:pPr>
        <w:pStyle w:val="Heading2"/>
        <w:spacing w:line="240" w:lineRule="auto" w:before="26"/>
        <w:ind w:right="0"/>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bookmarkStart w:name="1、出售重大资产情况" w:id="53"/>
      <w:bookmarkEnd w:id="53"/>
      <w:r>
        <w:rPr>
          <w:rFonts w:ascii="Times New Roman" w:hAnsi="Times New Roman" w:cs="Times New Roman" w:eastAsia="Times New Roman" w:hint="default"/>
        </w:rPr>
      </w:r>
      <w:r>
        <w:rPr/>
        <w:t>、出售重大资产情况</w:t>
      </w:r>
      <w:r>
        <w:rPr>
          <w:b w:val="0"/>
          <w:bCs w:val="0"/>
        </w:rPr>
      </w:r>
    </w:p>
    <w:p>
      <w:pPr>
        <w:spacing w:line="240" w:lineRule="auto" w:before="0"/>
        <w:rPr>
          <w:rFonts w:ascii="宋体" w:hAnsi="宋体" w:cs="宋体" w:eastAsia="宋体" w:hint="default"/>
          <w:b/>
          <w:bCs/>
          <w:sz w:val="27"/>
          <w:szCs w:val="27"/>
        </w:rPr>
      </w:pPr>
    </w:p>
    <w:p>
      <w:pPr>
        <w:pStyle w:val="BodyText"/>
        <w:spacing w:line="408" w:lineRule="auto"/>
        <w:ind w:right="6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公司报告期未出售重大资产。</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02"/>
        <w:gridCol w:w="674"/>
        <w:gridCol w:w="509"/>
        <w:gridCol w:w="568"/>
        <w:gridCol w:w="850"/>
        <w:gridCol w:w="775"/>
        <w:gridCol w:w="785"/>
        <w:gridCol w:w="708"/>
        <w:gridCol w:w="533"/>
        <w:gridCol w:w="886"/>
        <w:gridCol w:w="709"/>
        <w:gridCol w:w="708"/>
        <w:gridCol w:w="566"/>
        <w:gridCol w:w="497"/>
      </w:tblGrid>
      <w:tr>
        <w:trPr>
          <w:trHeight w:val="3522" w:hRule="exact"/>
        </w:trPr>
        <w:tc>
          <w:tcPr>
            <w:tcW w:w="8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6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152" w:right="60"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5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158" w:right="68"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9" w:lineRule="auto" w:before="19"/>
              <w:ind w:left="98" w:right="97"/>
              <w:jc w:val="left"/>
              <w:rPr>
                <w:rFonts w:ascii="宋体" w:hAnsi="宋体" w:cs="宋体" w:eastAsia="宋体" w:hint="default"/>
                <w:sz w:val="18"/>
                <w:szCs w:val="18"/>
              </w:rPr>
            </w:pPr>
            <w:r>
              <w:rPr>
                <w:rFonts w:ascii="宋体" w:hAnsi="宋体" w:cs="宋体" w:eastAsia="宋体" w:hint="default"/>
                <w:sz w:val="18"/>
                <w:szCs w:val="18"/>
              </w:rPr>
              <w:t>（万 元）</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60" w:right="59"/>
              <w:jc w:val="center"/>
              <w:rPr>
                <w:rFonts w:ascii="宋体" w:hAnsi="宋体" w:cs="宋体" w:eastAsia="宋体" w:hint="default"/>
                <w:sz w:val="18"/>
                <w:szCs w:val="18"/>
              </w:rPr>
            </w:pPr>
            <w:bookmarkStart w:name="2、出售重大股权情况" w:id="54"/>
            <w:bookmarkEnd w:id="54"/>
            <w:r>
              <w:rPr/>
            </w:r>
            <w:r>
              <w:rPr>
                <w:rFonts w:ascii="宋体" w:hAnsi="宋体" w:cs="宋体" w:eastAsia="宋体" w:hint="default"/>
                <w:sz w:val="18"/>
                <w:szCs w:val="18"/>
              </w:rPr>
              <w:t>本期初起 至出售日 该资产为 上市公司 贡献的净 利润（万 元）</w:t>
            </w:r>
          </w:p>
        </w:tc>
        <w:tc>
          <w:tcPr>
            <w:tcW w:w="77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1"/>
              <w:ind w:left="111" w:right="113"/>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7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6" w:right="26"/>
              <w:jc w:val="both"/>
              <w:rPr>
                <w:rFonts w:ascii="宋体" w:hAnsi="宋体" w:cs="宋体" w:eastAsia="宋体" w:hint="default"/>
                <w:sz w:val="18"/>
                <w:szCs w:val="18"/>
              </w:rPr>
            </w:pPr>
            <w:r>
              <w:rPr>
                <w:rFonts w:ascii="宋体" w:hAnsi="宋体" w:cs="宋体" w:eastAsia="宋体" w:hint="default"/>
                <w:sz w:val="18"/>
                <w:szCs w:val="18"/>
              </w:rPr>
              <w:t>资产出售 为上市公 司贡献的 净利润占 净利润总 额的比例</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1"/>
              <w:ind w:left="77" w:right="78"/>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53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6" w:lineRule="auto"/>
              <w:ind w:left="81" w:right="79"/>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22" w:right="21" w:hanging="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5"/>
                <w:sz w:val="18"/>
                <w:szCs w:val="18"/>
              </w:rPr>
              <w:t>关系（适用</w:t>
            </w:r>
            <w:r>
              <w:rPr>
                <w:rFonts w:ascii="宋体" w:hAnsi="宋体" w:cs="宋体" w:eastAsia="宋体" w:hint="default"/>
                <w:sz w:val="18"/>
                <w:szCs w:val="18"/>
              </w:rPr>
              <w:t> 关联交易 情形）</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79" w:right="78"/>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45" w:hanging="70"/>
              <w:jc w:val="center"/>
              <w:rPr>
                <w:rFonts w:ascii="宋体" w:hAnsi="宋体" w:cs="宋体" w:eastAsia="宋体" w:hint="default"/>
                <w:sz w:val="18"/>
                <w:szCs w:val="18"/>
              </w:rPr>
            </w:pPr>
            <w:r>
              <w:rPr>
                <w:rFonts w:ascii="宋体" w:hAnsi="宋体" w:cs="宋体" w:eastAsia="宋体" w:hint="default"/>
                <w:sz w:val="18"/>
                <w:szCs w:val="18"/>
              </w:rPr>
              <w:t>是否按 计划如 期实施， 如未按 计划如 期实施， 应当说 明原因 及公司 已采取 的措施</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4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63" w:right="61"/>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5082"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厦门市锐 享信息咨 询合伙企 业</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服云</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55"/>
              <w:ind w:left="22"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3-31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-76.97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为 满 足 引 入 投 资 方 的 要 求 及 更 好 地 激 励 团 队，加快 厦 门 服 云 业 务 的 独 立 运 营 推 广，实现 更 好 的 社 会 效 益 和 经 济效益</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70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16" w:lineRule="auto"/>
              <w:ind w:left="22" w:right="-41"/>
              <w:jc w:val="both"/>
              <w:rPr>
                <w:rFonts w:ascii="宋体" w:hAnsi="宋体" w:cs="宋体" w:eastAsia="宋体" w:hint="default"/>
                <w:sz w:val="18"/>
                <w:szCs w:val="18"/>
              </w:rPr>
            </w:pPr>
            <w:r>
              <w:rPr>
                <w:rFonts w:ascii="宋体" w:hAnsi="宋体" w:cs="宋体" w:eastAsia="宋体" w:hint="default"/>
                <w:spacing w:val="37"/>
                <w:sz w:val="18"/>
                <w:szCs w:val="18"/>
              </w:rPr>
              <w:t>采用净</w:t>
            </w:r>
            <w:r>
              <w:rPr>
                <w:rFonts w:ascii="宋体" w:hAnsi="宋体" w:cs="宋体" w:eastAsia="宋体" w:hint="default"/>
                <w:spacing w:val="-34"/>
                <w:sz w:val="18"/>
                <w:szCs w:val="18"/>
              </w:rPr>
              <w:t> </w:t>
            </w:r>
            <w:r>
              <w:rPr>
                <w:rFonts w:ascii="宋体" w:hAnsi="宋体" w:cs="宋体" w:eastAsia="宋体" w:hint="default"/>
                <w:spacing w:val="37"/>
                <w:sz w:val="18"/>
                <w:szCs w:val="18"/>
              </w:rPr>
              <w:t>资产定</w:t>
            </w:r>
            <w:r>
              <w:rPr>
                <w:rFonts w:ascii="宋体" w:hAnsi="宋体" w:cs="宋体" w:eastAsia="宋体" w:hint="default"/>
                <w:spacing w:val="-34"/>
                <w:sz w:val="18"/>
                <w:szCs w:val="18"/>
              </w:rPr>
              <w:t> </w:t>
            </w:r>
            <w:r>
              <w:rPr>
                <w:rFonts w:ascii="宋体" w:hAnsi="宋体" w:cs="宋体" w:eastAsia="宋体" w:hint="default"/>
                <w:sz w:val="18"/>
                <w:szCs w:val="18"/>
              </w:rPr>
              <w:t>价</w:t>
            </w:r>
          </w:p>
        </w:tc>
        <w:tc>
          <w:tcPr>
            <w:tcW w:w="533" w:type="dxa"/>
            <w:tcBorders>
              <w:top w:val="single" w:sz="4" w:space="0" w:color="000000"/>
              <w:left w:val="single" w:sz="9" w:space="0" w:color="FFFFFF"/>
              <w:bottom w:val="single" w:sz="4" w:space="0" w:color="000000"/>
              <w:right w:val="single" w:sz="4" w:space="0" w:color="000000"/>
            </w:tcBorders>
          </w:tcPr>
          <w:p>
            <w:pPr>
              <w:pStyle w:val="TableParagraph"/>
              <w:spacing w:line="2340" w:lineRule="exact"/>
              <w:ind w:left="-7" w:right="-51"/>
              <w:jc w:val="left"/>
              <w:rPr>
                <w:rFonts w:ascii="宋体" w:hAnsi="宋体" w:cs="宋体" w:eastAsia="宋体" w:hint="default"/>
                <w:sz w:val="20"/>
                <w:szCs w:val="20"/>
              </w:rPr>
            </w:pPr>
            <w:r>
              <w:rPr>
                <w:rFonts w:ascii="宋体" w:hAnsi="宋体" w:cs="宋体" w:eastAsia="宋体" w:hint="default"/>
                <w:position w:val="-46"/>
                <w:sz w:val="20"/>
                <w:szCs w:val="20"/>
              </w:rPr>
              <w:pict>
                <v:group style="width:26.2pt;height:117pt;mso-position-horizontal-relative:char;mso-position-vertical-relative:line" coordorigin="0,0" coordsize="524,2340">
                  <v:group style="position:absolute;left:0;top:0;width:524;height:2340" coordorigin="0,0" coordsize="524,2340">
                    <v:shape style="position:absolute;left:0;top:0;width:524;height:2340" coordorigin="0,0" coordsize="524,2340" path="m0,2340l523,2340,523,0,0,0,0,2340xe" filled="true" fillcolor="#ffffff" stroked="false">
                      <v:path arrowok="t"/>
                      <v:fill type="solid"/>
                    </v:shape>
                  </v:group>
                </v:group>
              </w:pict>
            </w:r>
            <w:r>
              <w:rPr>
                <w:rFonts w:ascii="宋体" w:hAnsi="宋体" w:cs="宋体" w:eastAsia="宋体" w:hint="default"/>
                <w:position w:val="-46"/>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6" w:lineRule="auto"/>
              <w:ind w:left="22" w:right="-11"/>
              <w:jc w:val="both"/>
              <w:rPr>
                <w:rFonts w:ascii="宋体" w:hAnsi="宋体" w:cs="宋体" w:eastAsia="宋体" w:hint="default"/>
                <w:sz w:val="18"/>
                <w:szCs w:val="18"/>
              </w:rPr>
            </w:pPr>
            <w:r>
              <w:rPr>
                <w:rFonts w:ascii="宋体" w:hAnsi="宋体" w:cs="宋体" w:eastAsia="宋体" w:hint="default"/>
                <w:spacing w:val="27"/>
                <w:sz w:val="18"/>
                <w:szCs w:val="18"/>
              </w:rPr>
              <w:t>因团队合</w:t>
            </w:r>
            <w:r>
              <w:rPr>
                <w:rFonts w:ascii="宋体" w:hAnsi="宋体" w:cs="宋体" w:eastAsia="宋体" w:hint="default"/>
                <w:spacing w:val="-54"/>
                <w:sz w:val="18"/>
                <w:szCs w:val="18"/>
              </w:rPr>
              <w:t> </w:t>
            </w:r>
            <w:r>
              <w:rPr>
                <w:rFonts w:ascii="宋体" w:hAnsi="宋体" w:cs="宋体" w:eastAsia="宋体" w:hint="default"/>
                <w:spacing w:val="27"/>
                <w:sz w:val="18"/>
                <w:szCs w:val="18"/>
              </w:rPr>
              <w:t>伙企业合</w:t>
            </w:r>
            <w:r>
              <w:rPr>
                <w:rFonts w:ascii="宋体" w:hAnsi="宋体" w:cs="宋体" w:eastAsia="宋体" w:hint="default"/>
                <w:spacing w:val="-54"/>
                <w:sz w:val="18"/>
                <w:szCs w:val="18"/>
              </w:rPr>
              <w:t> </w:t>
            </w:r>
            <w:r>
              <w:rPr>
                <w:rFonts w:ascii="宋体" w:hAnsi="宋体" w:cs="宋体" w:eastAsia="宋体" w:hint="default"/>
                <w:spacing w:val="27"/>
                <w:sz w:val="18"/>
                <w:szCs w:val="18"/>
              </w:rPr>
              <w:t>伙人涉及</w:t>
            </w:r>
            <w:r>
              <w:rPr>
                <w:rFonts w:ascii="宋体" w:hAnsi="宋体" w:cs="宋体" w:eastAsia="宋体" w:hint="default"/>
                <w:spacing w:val="-54"/>
                <w:sz w:val="18"/>
                <w:szCs w:val="18"/>
              </w:rPr>
              <w:t> </w:t>
            </w:r>
            <w:r>
              <w:rPr>
                <w:rFonts w:ascii="宋体" w:hAnsi="宋体" w:cs="宋体" w:eastAsia="宋体" w:hint="default"/>
                <w:spacing w:val="27"/>
                <w:sz w:val="18"/>
                <w:szCs w:val="18"/>
              </w:rPr>
              <w:t>公司高管</w:t>
            </w:r>
            <w:r>
              <w:rPr>
                <w:rFonts w:ascii="宋体" w:hAnsi="宋体" w:cs="宋体" w:eastAsia="宋体" w:hint="default"/>
                <w:spacing w:val="-54"/>
                <w:sz w:val="18"/>
                <w:szCs w:val="18"/>
              </w:rPr>
              <w:t> </w:t>
            </w:r>
            <w:r>
              <w:rPr>
                <w:rFonts w:ascii="宋体" w:hAnsi="宋体" w:cs="宋体" w:eastAsia="宋体" w:hint="default"/>
                <w:spacing w:val="-15"/>
                <w:sz w:val="18"/>
                <w:szCs w:val="18"/>
              </w:rPr>
              <w:t>栾江霞、吴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鸿伟，故本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7"/>
                <w:sz w:val="18"/>
                <w:szCs w:val="18"/>
              </w:rPr>
              <w:t>次股权转</w:t>
            </w:r>
            <w:r>
              <w:rPr>
                <w:rFonts w:ascii="宋体" w:hAnsi="宋体" w:cs="宋体" w:eastAsia="宋体" w:hint="default"/>
                <w:spacing w:val="-54"/>
                <w:sz w:val="18"/>
                <w:szCs w:val="18"/>
              </w:rPr>
              <w:t> </w:t>
            </w:r>
            <w:r>
              <w:rPr>
                <w:rFonts w:ascii="宋体" w:hAnsi="宋体" w:cs="宋体" w:eastAsia="宋体" w:hint="default"/>
                <w:spacing w:val="27"/>
                <w:sz w:val="18"/>
                <w:szCs w:val="18"/>
              </w:rPr>
              <w:t>让事项构</w:t>
            </w:r>
            <w:r>
              <w:rPr>
                <w:rFonts w:ascii="宋体" w:hAnsi="宋体" w:cs="宋体" w:eastAsia="宋体" w:hint="default"/>
                <w:spacing w:val="-54"/>
                <w:sz w:val="18"/>
                <w:szCs w:val="18"/>
              </w:rPr>
              <w:t> </w:t>
            </w:r>
            <w:r>
              <w:rPr>
                <w:rFonts w:ascii="宋体" w:hAnsi="宋体" w:cs="宋体" w:eastAsia="宋体" w:hint="default"/>
                <w:spacing w:val="27"/>
                <w:sz w:val="18"/>
                <w:szCs w:val="18"/>
              </w:rPr>
              <w:t>成关联交</w:t>
            </w:r>
            <w:r>
              <w:rPr>
                <w:rFonts w:ascii="宋体" w:hAnsi="宋体" w:cs="宋体" w:eastAsia="宋体" w:hint="default"/>
                <w:spacing w:val="-54"/>
                <w:sz w:val="18"/>
                <w:szCs w:val="18"/>
              </w:rPr>
              <w:t> </w:t>
            </w:r>
            <w:r>
              <w:rPr>
                <w:rFonts w:ascii="宋体" w:hAnsi="宋体" w:cs="宋体" w:eastAsia="宋体" w:hint="default"/>
                <w:sz w:val="18"/>
                <w:szCs w:val="18"/>
              </w:rPr>
              <w:t>易。</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left="10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1"/>
                <w:szCs w:val="21"/>
              </w:rPr>
            </w:pPr>
          </w:p>
          <w:p>
            <w:pPr>
              <w:pStyle w:val="TableParagraph"/>
              <w:spacing w:line="316" w:lineRule="auto"/>
              <w:ind w:left="22" w:right="40"/>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2" w:right="40"/>
              <w:jc w:val="left"/>
              <w:rPr>
                <w:rFonts w:ascii="Times New Roman" w:hAnsi="Times New Roman" w:cs="Times New Roman" w:eastAsia="Times New Roman" w:hint="default"/>
                <w:sz w:val="18"/>
                <w:szCs w:val="18"/>
              </w:rPr>
            </w:pPr>
            <w:hyperlink r:id="rId15">
              <w:r>
                <w:rPr>
                  <w:rFonts w:ascii="Times New Roman"/>
                  <w:spacing w:val="-4"/>
                  <w:sz w:val="18"/>
                </w:rPr>
                <w:t>www.</w:t>
              </w:r>
            </w:hyperlink>
            <w:r>
              <w:rPr>
                <w:rFonts w:ascii="Times New Roman"/>
                <w:sz w:val="18"/>
              </w:rPr>
              <w:t> cninf o.co m.cn</w:t>
            </w:r>
          </w:p>
        </w:tc>
      </w:tr>
      <w:tr>
        <w:trPr>
          <w:trHeight w:val="2274" w:hRule="exact"/>
        </w:trPr>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7"/>
              <w:jc w:val="both"/>
              <w:rPr>
                <w:rFonts w:ascii="宋体" w:hAnsi="宋体" w:cs="宋体" w:eastAsia="宋体" w:hint="default"/>
                <w:sz w:val="18"/>
                <w:szCs w:val="18"/>
              </w:rPr>
            </w:pPr>
            <w:r>
              <w:rPr>
                <w:rFonts w:ascii="宋体" w:hAnsi="宋体" w:cs="宋体" w:eastAsia="宋体" w:hint="default"/>
                <w:sz w:val="18"/>
                <w:szCs w:val="18"/>
              </w:rPr>
              <w:t>厦门佰翔 海丝盛业 国际文化 艺术发展 有限公司</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海峡国 家版权 交易中 心有限 公司 </w:t>
            </w:r>
            <w:r>
              <w:rPr>
                <w:rFonts w:ascii="Times New Roman" w:hAnsi="Times New Roman" w:cs="Times New Roman" w:eastAsia="Times New Roman" w:hint="default"/>
                <w:sz w:val="18"/>
                <w:szCs w:val="18"/>
              </w:rPr>
              <w:t>10%</w:t>
            </w:r>
            <w:r>
              <w:rPr>
                <w:rFonts w:ascii="宋体" w:hAnsi="宋体" w:cs="宋体" w:eastAsia="宋体" w:hint="default"/>
                <w:sz w:val="18"/>
                <w:szCs w:val="18"/>
              </w:rPr>
              <w:t>股</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4-20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both"/>
              <w:rPr>
                <w:rFonts w:ascii="宋体" w:hAnsi="宋体" w:cs="宋体" w:eastAsia="宋体" w:hint="default"/>
                <w:sz w:val="18"/>
                <w:szCs w:val="18"/>
              </w:rPr>
            </w:pPr>
            <w:r>
              <w:rPr>
                <w:rFonts w:ascii="宋体" w:hAnsi="宋体" w:cs="宋体" w:eastAsia="宋体" w:hint="default"/>
                <w:sz w:val="18"/>
                <w:szCs w:val="18"/>
              </w:rPr>
              <w:t>本 次 转 让 的 股 权 为 公 司 尚 未 完 成 出 资 的 认 缴份额，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316" w:lineRule="auto"/>
              <w:ind w:left="22" w:right="-41"/>
              <w:jc w:val="both"/>
              <w:rPr>
                <w:rFonts w:ascii="宋体" w:hAnsi="宋体" w:cs="宋体" w:eastAsia="宋体" w:hint="default"/>
                <w:sz w:val="18"/>
                <w:szCs w:val="18"/>
              </w:rPr>
            </w:pPr>
            <w:r>
              <w:rPr>
                <w:rFonts w:ascii="宋体" w:hAnsi="宋体" w:cs="宋体" w:eastAsia="宋体" w:hint="default"/>
                <w:spacing w:val="37"/>
                <w:sz w:val="18"/>
                <w:szCs w:val="18"/>
              </w:rPr>
              <w:t>公司尚</w:t>
            </w:r>
            <w:r>
              <w:rPr>
                <w:rFonts w:ascii="宋体" w:hAnsi="宋体" w:cs="宋体" w:eastAsia="宋体" w:hint="default"/>
                <w:spacing w:val="-34"/>
                <w:sz w:val="18"/>
                <w:szCs w:val="18"/>
              </w:rPr>
              <w:t> </w:t>
            </w:r>
            <w:r>
              <w:rPr>
                <w:rFonts w:ascii="宋体" w:hAnsi="宋体" w:cs="宋体" w:eastAsia="宋体" w:hint="default"/>
                <w:sz w:val="18"/>
                <w:szCs w:val="18"/>
              </w:rPr>
              <w:t>未</w:t>
            </w:r>
            <w:r>
              <w:rPr>
                <w:rFonts w:ascii="宋体" w:hAnsi="宋体" w:cs="宋体" w:eastAsia="宋体" w:hint="default"/>
                <w:spacing w:val="-34"/>
                <w:sz w:val="18"/>
                <w:szCs w:val="18"/>
              </w:rPr>
              <w:t> </w:t>
            </w:r>
            <w:r>
              <w:rPr>
                <w:rFonts w:ascii="宋体" w:hAnsi="宋体" w:cs="宋体" w:eastAsia="宋体" w:hint="default"/>
                <w:spacing w:val="28"/>
                <w:sz w:val="18"/>
                <w:szCs w:val="18"/>
              </w:rPr>
              <w:t>完成</w:t>
            </w:r>
            <w:r>
              <w:rPr>
                <w:rFonts w:ascii="宋体" w:hAnsi="宋体" w:cs="宋体" w:eastAsia="宋体" w:hint="default"/>
                <w:spacing w:val="-34"/>
                <w:sz w:val="18"/>
                <w:szCs w:val="18"/>
              </w:rPr>
              <w:t> </w:t>
            </w:r>
            <w:r>
              <w:rPr>
                <w:rFonts w:ascii="宋体" w:hAnsi="宋体" w:cs="宋体" w:eastAsia="宋体" w:hint="default"/>
                <w:sz w:val="18"/>
                <w:szCs w:val="18"/>
              </w:rPr>
              <w:t>出资</w:t>
            </w:r>
          </w:p>
        </w:tc>
        <w:tc>
          <w:tcPr>
            <w:tcW w:w="533" w:type="dxa"/>
            <w:tcBorders>
              <w:top w:val="single" w:sz="4" w:space="0" w:color="000000"/>
              <w:left w:val="single" w:sz="9" w:space="0" w:color="FFFFFF"/>
              <w:bottom w:val="single" w:sz="4" w:space="0" w:color="000000"/>
              <w:right w:val="single" w:sz="4" w:space="0" w:color="000000"/>
            </w:tcBorders>
          </w:tcPr>
          <w:p>
            <w:pPr>
              <w:pStyle w:val="TableParagraph"/>
              <w:spacing w:line="936" w:lineRule="exact"/>
              <w:ind w:left="-7" w:right="-51"/>
              <w:jc w:val="left"/>
              <w:rPr>
                <w:rFonts w:ascii="宋体" w:hAnsi="宋体" w:cs="宋体" w:eastAsia="宋体" w:hint="default"/>
                <w:sz w:val="20"/>
                <w:szCs w:val="20"/>
              </w:rPr>
            </w:pPr>
            <w:r>
              <w:rPr>
                <w:rFonts w:ascii="宋体" w:hAnsi="宋体" w:cs="宋体" w:eastAsia="宋体" w:hint="default"/>
                <w:position w:val="-18"/>
                <w:sz w:val="20"/>
                <w:szCs w:val="20"/>
              </w:rPr>
              <w:pict>
                <v:group style="width:26.2pt;height:46.8pt;mso-position-horizontal-relative:char;mso-position-vertical-relative:line" coordorigin="0,0" coordsize="524,936">
                  <v:group style="position:absolute;left:0;top:0;width:524;height:936" coordorigin="0,0" coordsize="524,936">
                    <v:shape style="position:absolute;left:0;top:0;width:524;height:936" coordorigin="0,0" coordsize="524,936" path="m0,936l523,936,523,0,0,0,0,936xe" filled="true" fillcolor="#ffffff" stroked="false">
                      <v:path arrowok="t"/>
                      <v:fill type="solid"/>
                    </v:shape>
                  </v:group>
                </v:group>
              </w:pict>
            </w:r>
            <w:r>
              <w:rPr>
                <w:rFonts w:ascii="宋体" w:hAnsi="宋体" w:cs="宋体" w:eastAsia="宋体" w:hint="default"/>
                <w:position w:val="-18"/>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331"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0"/>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2" w:right="40"/>
              <w:jc w:val="left"/>
              <w:rPr>
                <w:rFonts w:ascii="Times New Roman" w:hAnsi="Times New Roman" w:cs="Times New Roman" w:eastAsia="Times New Roman" w:hint="default"/>
                <w:sz w:val="18"/>
                <w:szCs w:val="18"/>
              </w:rPr>
            </w:pPr>
            <w:hyperlink r:id="rId15">
              <w:r>
                <w:rPr>
                  <w:rFonts w:ascii="Times New Roman"/>
                  <w:spacing w:val="-4"/>
                  <w:sz w:val="18"/>
                </w:rPr>
                <w:t>www.</w:t>
              </w:r>
            </w:hyperlink>
            <w:r>
              <w:rPr>
                <w:rFonts w:ascii="Times New Roman"/>
                <w:sz w:val="18"/>
              </w:rPr>
              <w:t> cninf o.co m.cn</w:t>
            </w:r>
          </w:p>
        </w:tc>
      </w:tr>
    </w:tbl>
    <w:p>
      <w:pPr>
        <w:spacing w:after="0" w:line="362" w:lineRule="auto"/>
        <w:jc w:val="left"/>
        <w:rPr>
          <w:rFonts w:ascii="Times New Roman" w:hAnsi="Times New Roman" w:cs="Times New Roman" w:eastAsia="Times New Roman" w:hint="default"/>
          <w:sz w:val="18"/>
          <w:szCs w:val="18"/>
        </w:rPr>
        <w:sectPr>
          <w:pgSz w:w="11910" w:h="16840"/>
          <w:pgMar w:header="918" w:footer="1020" w:top="1160" w:bottom="1220" w:left="980" w:right="980"/>
        </w:sectPr>
      </w:pPr>
    </w:p>
    <w:p>
      <w:pPr>
        <w:spacing w:line="240" w:lineRule="auto" w:before="11"/>
        <w:rPr>
          <w:rFonts w:ascii="宋体" w:hAnsi="宋体" w:cs="宋体" w:eastAsia="宋体" w:hint="default"/>
          <w:b/>
          <w:bCs/>
          <w:sz w:val="21"/>
          <w:szCs w:val="21"/>
        </w:rPr>
      </w:pPr>
    </w:p>
    <w:tbl>
      <w:tblPr>
        <w:tblW w:w="0" w:type="auto"/>
        <w:jc w:val="left"/>
        <w:tblInd w:w="209" w:type="dxa"/>
        <w:tblLayout w:type="fixed"/>
        <w:tblCellMar>
          <w:top w:w="0" w:type="dxa"/>
          <w:left w:w="0" w:type="dxa"/>
          <w:bottom w:w="0" w:type="dxa"/>
          <w:right w:w="0" w:type="dxa"/>
        </w:tblCellMar>
        <w:tblLook w:val="01E0"/>
      </w:tblPr>
      <w:tblGrid>
        <w:gridCol w:w="802"/>
        <w:gridCol w:w="674"/>
        <w:gridCol w:w="509"/>
        <w:gridCol w:w="568"/>
        <w:gridCol w:w="850"/>
        <w:gridCol w:w="775"/>
        <w:gridCol w:w="785"/>
        <w:gridCol w:w="708"/>
        <w:gridCol w:w="533"/>
        <w:gridCol w:w="886"/>
        <w:gridCol w:w="709"/>
        <w:gridCol w:w="708"/>
        <w:gridCol w:w="566"/>
        <w:gridCol w:w="497"/>
      </w:tblGrid>
      <w:tr>
        <w:trPr>
          <w:trHeight w:val="318" w:hRule="exact"/>
        </w:trPr>
        <w:tc>
          <w:tcPr>
            <w:tcW w:w="802"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509" w:type="dxa"/>
            <w:vMerge w:val="restart"/>
            <w:tcBorders>
              <w:top w:val="single" w:sz="4" w:space="0" w:color="000000"/>
              <w:left w:val="single" w:sz="4" w:space="0" w:color="000000"/>
              <w:right w:val="single" w:sz="4" w:space="0" w:color="000000"/>
            </w:tcBorders>
          </w:tcPr>
          <w:p>
            <w:pPr/>
          </w:p>
        </w:tc>
        <w:tc>
          <w:tcPr>
            <w:tcW w:w="568"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 次 股</w:t>
            </w:r>
          </w:p>
        </w:tc>
        <w:tc>
          <w:tcPr>
            <w:tcW w:w="785"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709"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97" w:type="dxa"/>
            <w:vMerge w:val="restart"/>
            <w:tcBorders>
              <w:top w:val="single" w:sz="4" w:space="0" w:color="000000"/>
              <w:left w:val="single" w:sz="4" w:space="0" w:color="000000"/>
              <w:right w:val="single" w:sz="4" w:space="0" w:color="000000"/>
            </w:tcBorders>
          </w:tcPr>
          <w:p>
            <w:pPr/>
          </w:p>
        </w:tc>
      </w:tr>
      <w:tr>
        <w:trPr>
          <w:trHeight w:val="312" w:hRule="exact"/>
        </w:trPr>
        <w:tc>
          <w:tcPr>
            <w:tcW w:w="80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 转 让</w:t>
            </w:r>
          </w:p>
        </w:tc>
        <w:tc>
          <w:tcPr>
            <w:tcW w:w="78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r>
      <w:tr>
        <w:trPr>
          <w:trHeight w:val="312" w:hRule="exact"/>
        </w:trPr>
        <w:tc>
          <w:tcPr>
            <w:tcW w:w="80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 公 司</w:t>
            </w:r>
          </w:p>
        </w:tc>
        <w:tc>
          <w:tcPr>
            <w:tcW w:w="78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r>
      <w:tr>
        <w:trPr>
          <w:trHeight w:val="312" w:hRule="exact"/>
        </w:trPr>
        <w:tc>
          <w:tcPr>
            <w:tcW w:w="80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现金流、</w:t>
            </w:r>
          </w:p>
        </w:tc>
        <w:tc>
          <w:tcPr>
            <w:tcW w:w="78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r>
      <w:tr>
        <w:trPr>
          <w:trHeight w:val="312" w:hRule="exact"/>
        </w:trPr>
        <w:tc>
          <w:tcPr>
            <w:tcW w:w="80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 续 经</w:t>
            </w:r>
          </w:p>
        </w:tc>
        <w:tc>
          <w:tcPr>
            <w:tcW w:w="78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r>
      <w:tr>
        <w:trPr>
          <w:trHeight w:val="312" w:hRule="exact"/>
        </w:trPr>
        <w:tc>
          <w:tcPr>
            <w:tcW w:w="80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 能 力</w:t>
            </w:r>
          </w:p>
        </w:tc>
        <w:tc>
          <w:tcPr>
            <w:tcW w:w="78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r>
      <w:tr>
        <w:trPr>
          <w:trHeight w:val="312" w:hRule="exact"/>
        </w:trPr>
        <w:tc>
          <w:tcPr>
            <w:tcW w:w="80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 资 产</w:t>
            </w:r>
          </w:p>
        </w:tc>
        <w:tc>
          <w:tcPr>
            <w:tcW w:w="78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r>
      <w:tr>
        <w:trPr>
          <w:trHeight w:val="312" w:hRule="exact"/>
        </w:trPr>
        <w:tc>
          <w:tcPr>
            <w:tcW w:w="80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状 况 不</w:t>
            </w:r>
          </w:p>
        </w:tc>
        <w:tc>
          <w:tcPr>
            <w:tcW w:w="78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r>
      <w:tr>
        <w:trPr>
          <w:trHeight w:val="312" w:hRule="exact"/>
        </w:trPr>
        <w:tc>
          <w:tcPr>
            <w:tcW w:w="80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 产 生</w:t>
            </w:r>
          </w:p>
        </w:tc>
        <w:tc>
          <w:tcPr>
            <w:tcW w:w="78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r>
      <w:tr>
        <w:trPr>
          <w:trHeight w:val="313" w:hRule="exact"/>
        </w:trPr>
        <w:tc>
          <w:tcPr>
            <w:tcW w:w="802"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50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显 著 影</w:t>
            </w:r>
          </w:p>
        </w:tc>
        <w:tc>
          <w:tcPr>
            <w:tcW w:w="785"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97" w:type="dxa"/>
            <w:vMerge/>
            <w:tcBorders>
              <w:left w:val="single" w:sz="4" w:space="0" w:color="000000"/>
              <w:right w:val="single" w:sz="4" w:space="0" w:color="000000"/>
            </w:tcBorders>
          </w:tcPr>
          <w:p>
            <w:pPr/>
          </w:p>
        </w:tc>
      </w:tr>
      <w:tr>
        <w:trPr>
          <w:trHeight w:val="356" w:hRule="exact"/>
        </w:trPr>
        <w:tc>
          <w:tcPr>
            <w:tcW w:w="802"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509"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响。</w:t>
            </w:r>
          </w:p>
        </w:tc>
        <w:tc>
          <w:tcPr>
            <w:tcW w:w="785"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9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left="214" w:right="97"/>
        <w:jc w:val="left"/>
        <w:rPr>
          <w:b w:val="0"/>
          <w:bCs w:val="0"/>
        </w:rPr>
      </w:pPr>
      <w:r>
        <w:rPr/>
        <w:t>七、主要控股参股公司分析</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634" w:right="97"/>
        <w:jc w:val="left"/>
      </w:pPr>
      <w:r>
        <w:rPr/>
        <w:t>主要子公司及参股公司情况：</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bookmarkStart w:name="七、主要控股参股公司分析" w:id="55"/>
      <w:bookmarkEnd w:id="55"/>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1054"/>
        <w:gridCol w:w="790"/>
        <w:gridCol w:w="1276"/>
        <w:gridCol w:w="1222"/>
        <w:gridCol w:w="1045"/>
        <w:gridCol w:w="1045"/>
        <w:gridCol w:w="1045"/>
        <w:gridCol w:w="1045"/>
        <w:gridCol w:w="1046"/>
      </w:tblGrid>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8" w:right="119" w:hanging="180"/>
              <w:jc w:val="left"/>
              <w:rPr>
                <w:rFonts w:ascii="宋体" w:hAnsi="宋体" w:cs="宋体" w:eastAsia="宋体" w:hint="default"/>
                <w:sz w:val="18"/>
                <w:szCs w:val="18"/>
              </w:rPr>
            </w:pPr>
            <w:r>
              <w:rPr>
                <w:rFonts w:ascii="宋体" w:hAnsi="宋体" w:cs="宋体" w:eastAsia="宋体" w:hint="default"/>
                <w:sz w:val="18"/>
                <w:szCs w:val="18"/>
              </w:rPr>
              <w:t>公司类 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厦门市美</w:t>
            </w:r>
            <w:r>
              <w:rPr>
                <w:rFonts w:ascii="宋体" w:hAnsi="宋体" w:cs="宋体" w:eastAsia="宋体" w:hint="default"/>
                <w:spacing w:val="-51"/>
                <w:sz w:val="18"/>
                <w:szCs w:val="18"/>
              </w:rPr>
              <w:t> </w:t>
            </w:r>
            <w:r>
              <w:rPr>
                <w:rFonts w:ascii="宋体" w:hAnsi="宋体" w:cs="宋体" w:eastAsia="宋体" w:hint="default"/>
                <w:spacing w:val="29"/>
                <w:sz w:val="18"/>
                <w:szCs w:val="18"/>
              </w:rPr>
              <w:t>亚柏科信</w:t>
            </w:r>
            <w:r>
              <w:rPr>
                <w:rFonts w:ascii="宋体" w:hAnsi="宋体" w:cs="宋体" w:eastAsia="宋体" w:hint="default"/>
                <w:spacing w:val="-51"/>
                <w:sz w:val="18"/>
                <w:szCs w:val="18"/>
              </w:rPr>
              <w:t> </w:t>
            </w:r>
            <w:r>
              <w:rPr>
                <w:rFonts w:ascii="宋体" w:hAnsi="宋体" w:cs="宋体" w:eastAsia="宋体" w:hint="default"/>
                <w:spacing w:val="29"/>
                <w:sz w:val="18"/>
                <w:szCs w:val="18"/>
              </w:rPr>
              <w:t>息安全研</w:t>
            </w:r>
            <w:r>
              <w:rPr>
                <w:rFonts w:ascii="宋体" w:hAnsi="宋体" w:cs="宋体" w:eastAsia="宋体" w:hint="default"/>
                <w:spacing w:val="-51"/>
                <w:sz w:val="18"/>
                <w:szCs w:val="18"/>
              </w:rPr>
              <w:t> </w:t>
            </w:r>
            <w:r>
              <w:rPr>
                <w:rFonts w:ascii="宋体" w:hAnsi="宋体" w:cs="宋体" w:eastAsia="宋体" w:hint="default"/>
                <w:spacing w:val="29"/>
                <w:sz w:val="18"/>
                <w:szCs w:val="18"/>
              </w:rPr>
              <w:t>究所有限</w:t>
            </w:r>
            <w:r>
              <w:rPr>
                <w:rFonts w:ascii="宋体" w:hAnsi="宋体" w:cs="宋体" w:eastAsia="宋体" w:hint="default"/>
                <w:spacing w:val="-51"/>
                <w:sz w:val="18"/>
                <w:szCs w:val="18"/>
              </w:rPr>
              <w:t> </w:t>
            </w:r>
            <w:r>
              <w:rPr>
                <w:rFonts w:ascii="宋体" w:hAnsi="宋体" w:cs="宋体" w:eastAsia="宋体" w:hint="default"/>
                <w:sz w:val="18"/>
                <w:szCs w:val="18"/>
              </w:rPr>
              <w:t>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pacing w:val="31"/>
                <w:sz w:val="18"/>
                <w:szCs w:val="18"/>
              </w:rPr>
              <w:t>电子数据鉴</w:t>
            </w:r>
            <w:r>
              <w:rPr>
                <w:rFonts w:ascii="宋体" w:hAnsi="宋体" w:cs="宋体" w:eastAsia="宋体" w:hint="default"/>
                <w:spacing w:val="-51"/>
                <w:sz w:val="18"/>
                <w:szCs w:val="18"/>
              </w:rPr>
              <w:t> </w:t>
            </w:r>
            <w:r>
              <w:rPr>
                <w:rFonts w:ascii="宋体" w:hAnsi="宋体" w:cs="宋体" w:eastAsia="宋体" w:hint="default"/>
                <w:spacing w:val="-4"/>
                <w:sz w:val="18"/>
                <w:szCs w:val="18"/>
              </w:rPr>
              <w:t>定技术、服务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流程、标准的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研究</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17,777,245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11,664,221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6,736,277.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371,934.16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417,193.61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珠海市新</w:t>
            </w:r>
            <w:r>
              <w:rPr>
                <w:rFonts w:ascii="宋体" w:hAnsi="宋体" w:cs="宋体" w:eastAsia="宋体" w:hint="default"/>
                <w:spacing w:val="-51"/>
                <w:sz w:val="18"/>
                <w:szCs w:val="18"/>
              </w:rPr>
              <w:t> </w:t>
            </w:r>
            <w:r>
              <w:rPr>
                <w:rFonts w:ascii="宋体" w:hAnsi="宋体" w:cs="宋体" w:eastAsia="宋体" w:hint="default"/>
                <w:spacing w:val="29"/>
                <w:sz w:val="18"/>
                <w:szCs w:val="18"/>
              </w:rPr>
              <w:t>德汇信息</w:t>
            </w:r>
            <w:r>
              <w:rPr>
                <w:rFonts w:ascii="宋体" w:hAnsi="宋体" w:cs="宋体" w:eastAsia="宋体" w:hint="default"/>
                <w:spacing w:val="-51"/>
                <w:sz w:val="18"/>
                <w:szCs w:val="18"/>
              </w:rPr>
              <w:t> </w:t>
            </w:r>
            <w:r>
              <w:rPr>
                <w:rFonts w:ascii="宋体" w:hAnsi="宋体" w:cs="宋体" w:eastAsia="宋体" w:hint="default"/>
                <w:spacing w:val="29"/>
                <w:sz w:val="18"/>
                <w:szCs w:val="18"/>
              </w:rPr>
              <w:t>技术有限</w:t>
            </w:r>
            <w:r>
              <w:rPr>
                <w:rFonts w:ascii="宋体" w:hAnsi="宋体" w:cs="宋体" w:eastAsia="宋体" w:hint="default"/>
                <w:spacing w:val="-51"/>
                <w:sz w:val="18"/>
                <w:szCs w:val="18"/>
              </w:rPr>
              <w:t> </w:t>
            </w:r>
            <w:r>
              <w:rPr>
                <w:rFonts w:ascii="宋体" w:hAnsi="宋体" w:cs="宋体" w:eastAsia="宋体" w:hint="default"/>
                <w:sz w:val="18"/>
                <w:szCs w:val="18"/>
              </w:rPr>
              <w:t>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pacing w:val="31"/>
                <w:sz w:val="18"/>
                <w:szCs w:val="18"/>
              </w:rPr>
              <w:t>公安信息技</w:t>
            </w:r>
            <w:r>
              <w:rPr>
                <w:rFonts w:ascii="宋体" w:hAnsi="宋体" w:cs="宋体" w:eastAsia="宋体" w:hint="default"/>
                <w:spacing w:val="-51"/>
                <w:sz w:val="18"/>
                <w:szCs w:val="18"/>
              </w:rPr>
              <w:t> </w:t>
            </w:r>
            <w:r>
              <w:rPr>
                <w:rFonts w:ascii="宋体" w:hAnsi="宋体" w:cs="宋体" w:eastAsia="宋体" w:hint="default"/>
                <w:spacing w:val="31"/>
                <w:sz w:val="18"/>
                <w:szCs w:val="18"/>
              </w:rPr>
              <w:t>术及应用软</w:t>
            </w:r>
            <w:r>
              <w:rPr>
                <w:rFonts w:ascii="宋体" w:hAnsi="宋体" w:cs="宋体" w:eastAsia="宋体" w:hint="default"/>
                <w:spacing w:val="-51"/>
                <w:sz w:val="18"/>
                <w:szCs w:val="18"/>
              </w:rPr>
              <w:t> </w:t>
            </w:r>
            <w:r>
              <w:rPr>
                <w:rFonts w:ascii="宋体" w:hAnsi="宋体" w:cs="宋体" w:eastAsia="宋体" w:hint="default"/>
                <w:sz w:val="18"/>
                <w:szCs w:val="18"/>
              </w:rPr>
              <w:t>件的研发</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158,769,14</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6.30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79,560,347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133,919,32</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6.09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35,293,266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.13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33,572,343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厦门服云</w:t>
            </w:r>
            <w:r>
              <w:rPr>
                <w:rFonts w:ascii="宋体" w:hAnsi="宋体" w:cs="宋体" w:eastAsia="宋体" w:hint="default"/>
                <w:spacing w:val="-51"/>
                <w:sz w:val="18"/>
                <w:szCs w:val="18"/>
              </w:rPr>
              <w:t> </w:t>
            </w:r>
            <w:r>
              <w:rPr>
                <w:rFonts w:ascii="宋体" w:hAnsi="宋体" w:cs="宋体" w:eastAsia="宋体" w:hint="default"/>
                <w:spacing w:val="29"/>
                <w:sz w:val="18"/>
                <w:szCs w:val="18"/>
              </w:rPr>
              <w:t>信息科技</w:t>
            </w:r>
            <w:r>
              <w:rPr>
                <w:rFonts w:ascii="宋体" w:hAnsi="宋体" w:cs="宋体" w:eastAsia="宋体" w:hint="default"/>
                <w:spacing w:val="-51"/>
                <w:sz w:val="18"/>
                <w:szCs w:val="18"/>
              </w:rPr>
              <w:t> </w:t>
            </w:r>
            <w:r>
              <w:rPr>
                <w:rFonts w:ascii="宋体" w:hAnsi="宋体" w:cs="宋体" w:eastAsia="宋体" w:hint="default"/>
                <w:sz w:val="18"/>
                <w:szCs w:val="18"/>
              </w:rPr>
              <w:t>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84"/>
              <w:jc w:val="left"/>
              <w:rPr>
                <w:rFonts w:ascii="宋体" w:hAnsi="宋体" w:cs="宋体" w:eastAsia="宋体" w:hint="default"/>
                <w:sz w:val="18"/>
                <w:szCs w:val="18"/>
              </w:rPr>
            </w:pPr>
            <w:r>
              <w:rPr>
                <w:rFonts w:ascii="宋体" w:hAnsi="宋体" w:cs="宋体" w:eastAsia="宋体" w:hint="default"/>
                <w:spacing w:val="10"/>
                <w:sz w:val="18"/>
                <w:szCs w:val="18"/>
              </w:rPr>
              <w:t>参股公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z w:val="18"/>
                <w:szCs w:val="18"/>
              </w:rPr>
              <w:t>服务器安全、 </w:t>
            </w:r>
            <w:r>
              <w:rPr>
                <w:rFonts w:ascii="宋体" w:hAnsi="宋体" w:cs="宋体" w:eastAsia="宋体" w:hint="default"/>
                <w:spacing w:val="31"/>
                <w:sz w:val="18"/>
                <w:szCs w:val="18"/>
              </w:rPr>
              <w:t>网站安全产</w:t>
            </w:r>
            <w:r>
              <w:rPr>
                <w:rFonts w:ascii="宋体" w:hAnsi="宋体" w:cs="宋体" w:eastAsia="宋体" w:hint="default"/>
                <w:spacing w:val="-51"/>
                <w:sz w:val="18"/>
                <w:szCs w:val="18"/>
              </w:rPr>
              <w:t> </w:t>
            </w:r>
            <w:r>
              <w:rPr>
                <w:rFonts w:ascii="宋体" w:hAnsi="宋体" w:cs="宋体" w:eastAsia="宋体" w:hint="default"/>
                <w:spacing w:val="-4"/>
                <w:sz w:val="18"/>
                <w:szCs w:val="18"/>
              </w:rPr>
              <w:t>品研发、服务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推广</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12,862,500.0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25,025,109</w:t>
            </w:r>
          </w:p>
          <w:p>
            <w:pPr>
              <w:pStyle w:val="TableParagraph"/>
              <w:spacing w:line="240" w:lineRule="auto" w:before="105"/>
              <w:ind w:right="107"/>
              <w:jc w:val="righ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22,575,503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3,401,638.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left"/>
              <w:rPr>
                <w:rFonts w:ascii="Times New Roman" w:hAnsi="Times New Roman" w:cs="Times New Roman" w:eastAsia="Times New Roman" w:hint="default"/>
                <w:sz w:val="18"/>
                <w:szCs w:val="18"/>
              </w:rPr>
            </w:pPr>
            <w:r>
              <w:rPr>
                <w:rFonts w:ascii="Times New Roman"/>
                <w:sz w:val="18"/>
              </w:rPr>
              <w:t>-13,661,52</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6.82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3" w:right="0"/>
              <w:jc w:val="left"/>
              <w:rPr>
                <w:rFonts w:ascii="Times New Roman" w:hAnsi="Times New Roman" w:cs="Times New Roman" w:eastAsia="Times New Roman" w:hint="default"/>
                <w:sz w:val="18"/>
                <w:szCs w:val="18"/>
              </w:rPr>
            </w:pPr>
            <w:r>
              <w:rPr>
                <w:rFonts w:ascii="Times New Roman"/>
                <w:sz w:val="18"/>
              </w:rPr>
              <w:t>-13,384,15</w:t>
            </w:r>
          </w:p>
          <w:p>
            <w:pPr>
              <w:pStyle w:val="TableParagraph"/>
              <w:spacing w:line="240" w:lineRule="auto" w:before="105"/>
              <w:ind w:left="619" w:right="0"/>
              <w:jc w:val="left"/>
              <w:rPr>
                <w:rFonts w:ascii="Times New Roman" w:hAnsi="Times New Roman" w:cs="Times New Roman" w:eastAsia="Times New Roman" w:hint="default"/>
                <w:sz w:val="18"/>
                <w:szCs w:val="18"/>
              </w:rPr>
            </w:pPr>
            <w:r>
              <w:rPr>
                <w:rFonts w:ascii="Times New Roman"/>
                <w:sz w:val="18"/>
              </w:rPr>
              <w:t>3.39</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厦门美亚</w:t>
            </w:r>
            <w:r>
              <w:rPr>
                <w:rFonts w:ascii="宋体" w:hAnsi="宋体" w:cs="宋体" w:eastAsia="宋体" w:hint="default"/>
                <w:spacing w:val="-51"/>
                <w:sz w:val="18"/>
                <w:szCs w:val="18"/>
              </w:rPr>
              <w:t> </w:t>
            </w:r>
            <w:r>
              <w:rPr>
                <w:rFonts w:ascii="宋体" w:hAnsi="宋体" w:cs="宋体" w:eastAsia="宋体" w:hint="default"/>
                <w:spacing w:val="29"/>
                <w:sz w:val="18"/>
                <w:szCs w:val="18"/>
              </w:rPr>
              <w:t>中敏电子</w:t>
            </w:r>
            <w:r>
              <w:rPr>
                <w:rFonts w:ascii="宋体" w:hAnsi="宋体" w:cs="宋体" w:eastAsia="宋体" w:hint="default"/>
                <w:spacing w:val="-51"/>
                <w:sz w:val="18"/>
                <w:szCs w:val="18"/>
              </w:rPr>
              <w:t> </w:t>
            </w:r>
            <w:r>
              <w:rPr>
                <w:rFonts w:ascii="宋体" w:hAnsi="宋体" w:cs="宋体" w:eastAsia="宋体" w:hint="default"/>
                <w:spacing w:val="29"/>
                <w:sz w:val="18"/>
                <w:szCs w:val="18"/>
              </w:rPr>
              <w:t>科技有限</w:t>
            </w:r>
            <w:r>
              <w:rPr>
                <w:rFonts w:ascii="宋体" w:hAnsi="宋体" w:cs="宋体" w:eastAsia="宋体" w:hint="default"/>
                <w:spacing w:val="-51"/>
                <w:sz w:val="18"/>
                <w:szCs w:val="18"/>
              </w:rPr>
              <w:t> </w:t>
            </w:r>
            <w:r>
              <w:rPr>
                <w:rFonts w:ascii="宋体" w:hAnsi="宋体" w:cs="宋体" w:eastAsia="宋体" w:hint="default"/>
                <w:sz w:val="18"/>
                <w:szCs w:val="18"/>
              </w:rPr>
              <w:t>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pacing w:val="-4"/>
                <w:sz w:val="18"/>
                <w:szCs w:val="18"/>
              </w:rPr>
              <w:t>电子产品、电</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子元器件的</w:t>
            </w:r>
            <w:r>
              <w:rPr>
                <w:rFonts w:ascii="宋体" w:hAnsi="宋体" w:cs="宋体" w:eastAsia="宋体" w:hint="default"/>
                <w:spacing w:val="-51"/>
                <w:sz w:val="18"/>
                <w:szCs w:val="18"/>
              </w:rPr>
              <w:t> </w:t>
            </w:r>
            <w:r>
              <w:rPr>
                <w:rFonts w:ascii="宋体" w:hAnsi="宋体" w:cs="宋体" w:eastAsia="宋体" w:hint="default"/>
                <w:spacing w:val="-4"/>
                <w:sz w:val="18"/>
                <w:szCs w:val="18"/>
              </w:rPr>
              <w:t>研发、生产和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销售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6,600,000.00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59,098,708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23,735,060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152,813,05</w:t>
            </w:r>
          </w:p>
          <w:p>
            <w:pPr>
              <w:pStyle w:val="TableParagraph"/>
              <w:spacing w:line="240" w:lineRule="auto" w:before="105"/>
              <w:ind w:left="618" w:right="0"/>
              <w:jc w:val="left"/>
              <w:rPr>
                <w:rFonts w:ascii="Times New Roman" w:hAnsi="Times New Roman" w:cs="Times New Roman" w:eastAsia="Times New Roman" w:hint="default"/>
                <w:sz w:val="18"/>
                <w:szCs w:val="18"/>
              </w:rPr>
            </w:pPr>
            <w:r>
              <w:rPr>
                <w:rFonts w:ascii="Times New Roman"/>
                <w:sz w:val="18"/>
              </w:rPr>
              <w:t>8.25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10,080,187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8,895,512.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48</w:t>
            </w:r>
          </w:p>
        </w:tc>
      </w:tr>
      <w:tr>
        <w:trPr>
          <w:trHeight w:val="22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香港鼎永</w:t>
            </w:r>
            <w:r>
              <w:rPr>
                <w:rFonts w:ascii="宋体" w:hAnsi="宋体" w:cs="宋体" w:eastAsia="宋体" w:hint="default"/>
                <w:spacing w:val="-51"/>
                <w:sz w:val="18"/>
                <w:szCs w:val="18"/>
              </w:rPr>
              <w:t> </w:t>
            </w:r>
            <w:r>
              <w:rPr>
                <w:rFonts w:ascii="宋体" w:hAnsi="宋体" w:cs="宋体" w:eastAsia="宋体" w:hint="default"/>
                <w:spacing w:val="29"/>
                <w:sz w:val="18"/>
                <w:szCs w:val="18"/>
              </w:rPr>
              <w:t>泰克科技</w:t>
            </w:r>
            <w:r>
              <w:rPr>
                <w:rFonts w:ascii="宋体" w:hAnsi="宋体" w:cs="宋体" w:eastAsia="宋体" w:hint="default"/>
                <w:spacing w:val="-51"/>
                <w:sz w:val="18"/>
                <w:szCs w:val="18"/>
              </w:rPr>
              <w:t> </w:t>
            </w:r>
            <w:r>
              <w:rPr>
                <w:rFonts w:ascii="宋体" w:hAnsi="宋体" w:cs="宋体" w:eastAsia="宋体" w:hint="default"/>
                <w:sz w:val="18"/>
                <w:szCs w:val="18"/>
              </w:rPr>
              <w:t>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62"/>
              <w:jc w:val="both"/>
              <w:rPr>
                <w:rFonts w:ascii="宋体" w:hAnsi="宋体" w:cs="宋体" w:eastAsia="宋体" w:hint="default"/>
                <w:sz w:val="18"/>
                <w:szCs w:val="18"/>
              </w:rPr>
            </w:pPr>
            <w:r>
              <w:rPr>
                <w:rFonts w:ascii="宋体" w:hAnsi="宋体" w:cs="宋体" w:eastAsia="宋体" w:hint="default"/>
                <w:spacing w:val="-10"/>
                <w:sz w:val="18"/>
                <w:szCs w:val="18"/>
              </w:rPr>
              <w:t>文检</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视听、光</w:t>
            </w:r>
            <w:r>
              <w:rPr>
                <w:rFonts w:ascii="宋体" w:hAnsi="宋体" w:cs="宋体" w:eastAsia="宋体" w:hint="default"/>
                <w:sz w:val="18"/>
                <w:szCs w:val="18"/>
              </w:rPr>
              <w:t> </w:t>
            </w:r>
            <w:r>
              <w:rPr>
                <w:rFonts w:ascii="宋体" w:hAnsi="宋体" w:cs="宋体" w:eastAsia="宋体" w:hint="default"/>
                <w:spacing w:val="31"/>
                <w:sz w:val="18"/>
                <w:szCs w:val="18"/>
              </w:rPr>
              <w:t>学检测、理</w:t>
            </w:r>
            <w:r>
              <w:rPr>
                <w:rFonts w:ascii="宋体" w:hAnsi="宋体" w:cs="宋体" w:eastAsia="宋体" w:hint="default"/>
                <w:spacing w:val="-51"/>
                <w:sz w:val="18"/>
                <w:szCs w:val="18"/>
              </w:rPr>
              <w:t> </w:t>
            </w:r>
            <w:r>
              <w:rPr>
                <w:rFonts w:ascii="宋体" w:hAnsi="宋体" w:cs="宋体" w:eastAsia="宋体" w:hint="default"/>
                <w:spacing w:val="31"/>
                <w:sz w:val="18"/>
                <w:szCs w:val="18"/>
              </w:rPr>
              <w:t>化、痕迹物</w:t>
            </w:r>
            <w:r>
              <w:rPr>
                <w:rFonts w:ascii="宋体" w:hAnsi="宋体" w:cs="宋体" w:eastAsia="宋体" w:hint="default"/>
                <w:spacing w:val="-51"/>
                <w:sz w:val="18"/>
                <w:szCs w:val="18"/>
              </w:rPr>
              <w:t> </w:t>
            </w:r>
            <w:r>
              <w:rPr>
                <w:rFonts w:ascii="宋体" w:hAnsi="宋体" w:cs="宋体" w:eastAsia="宋体" w:hint="default"/>
                <w:spacing w:val="31"/>
                <w:sz w:val="18"/>
                <w:szCs w:val="18"/>
              </w:rPr>
              <w:t>证、法医病</w:t>
            </w:r>
            <w:r>
              <w:rPr>
                <w:rFonts w:ascii="宋体" w:hAnsi="宋体" w:cs="宋体" w:eastAsia="宋体" w:hint="default"/>
                <w:spacing w:val="-51"/>
                <w:sz w:val="18"/>
                <w:szCs w:val="18"/>
              </w:rPr>
              <w:t> </w:t>
            </w:r>
            <w:r>
              <w:rPr>
                <w:rFonts w:ascii="宋体" w:hAnsi="宋体" w:cs="宋体" w:eastAsia="宋体" w:hint="default"/>
                <w:spacing w:val="8"/>
                <w:sz w:val="18"/>
                <w:szCs w:val="18"/>
              </w:rPr>
              <w:t>理、</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DNA</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检 </w:t>
            </w:r>
            <w:r>
              <w:rPr>
                <w:rFonts w:ascii="宋体" w:hAnsi="宋体" w:cs="宋体" w:eastAsia="宋体" w:hint="default"/>
                <w:spacing w:val="31"/>
                <w:sz w:val="18"/>
                <w:szCs w:val="18"/>
              </w:rPr>
              <w:t>测等警用装</w:t>
            </w:r>
            <w:r>
              <w:rPr>
                <w:rFonts w:ascii="宋体" w:hAnsi="宋体" w:cs="宋体" w:eastAsia="宋体" w:hint="default"/>
                <w:spacing w:val="-51"/>
                <w:sz w:val="18"/>
                <w:szCs w:val="18"/>
              </w:rPr>
              <w:t> </w:t>
            </w:r>
            <w:r>
              <w:rPr>
                <w:rFonts w:ascii="宋体" w:hAnsi="宋体" w:cs="宋体" w:eastAsia="宋体" w:hint="default"/>
                <w:spacing w:val="31"/>
                <w:sz w:val="18"/>
                <w:szCs w:val="18"/>
              </w:rPr>
              <w:t>备的进出口</w:t>
            </w:r>
            <w:r>
              <w:rPr>
                <w:rFonts w:ascii="宋体" w:hAnsi="宋体" w:cs="宋体" w:eastAsia="宋体" w:hint="default"/>
                <w:spacing w:val="-51"/>
                <w:sz w:val="18"/>
                <w:szCs w:val="18"/>
              </w:rPr>
              <w:t> </w:t>
            </w:r>
            <w:r>
              <w:rPr>
                <w:rFonts w:ascii="宋体" w:hAnsi="宋体" w:cs="宋体" w:eastAsia="宋体" w:hint="default"/>
                <w:sz w:val="18"/>
                <w:szCs w:val="18"/>
              </w:rPr>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2,924,603.</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1,626,096.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2,584,988.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left"/>
              <w:rPr>
                <w:rFonts w:ascii="Times New Roman" w:hAnsi="Times New Roman" w:cs="Times New Roman" w:eastAsia="Times New Roman" w:hint="default"/>
                <w:sz w:val="18"/>
                <w:szCs w:val="18"/>
              </w:rPr>
            </w:pPr>
            <w:r>
              <w:rPr>
                <w:rFonts w:ascii="Times New Roman"/>
                <w:sz w:val="18"/>
              </w:rPr>
              <w:t>-254790.82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-254790.82</w:t>
            </w:r>
          </w:p>
        </w:tc>
      </w:tr>
    </w:tbl>
    <w:p>
      <w:pPr>
        <w:spacing w:after="0" w:line="240" w:lineRule="auto"/>
        <w:jc w:val="center"/>
        <w:rPr>
          <w:rFonts w:ascii="Times New Roman" w:hAnsi="Times New Roman" w:cs="Times New Roman" w:eastAsia="Times New Roman" w:hint="default"/>
          <w:sz w:val="18"/>
          <w:szCs w:val="18"/>
        </w:rPr>
        <w:sectPr>
          <w:pgSz w:w="11910" w:h="16840"/>
          <w:pgMar w:header="918" w:footer="1020" w:top="1160" w:bottom="1220" w:left="92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054"/>
        <w:gridCol w:w="790"/>
        <w:gridCol w:w="1276"/>
        <w:gridCol w:w="1222"/>
        <w:gridCol w:w="1045"/>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122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江苏税软</w:t>
            </w:r>
            <w:r>
              <w:rPr>
                <w:rFonts w:ascii="宋体" w:hAnsi="宋体" w:cs="宋体" w:eastAsia="宋体" w:hint="default"/>
                <w:spacing w:val="-51"/>
                <w:sz w:val="18"/>
                <w:szCs w:val="18"/>
              </w:rPr>
              <w:t> </w:t>
            </w:r>
            <w:r>
              <w:rPr>
                <w:rFonts w:ascii="宋体" w:hAnsi="宋体" w:cs="宋体" w:eastAsia="宋体" w:hint="default"/>
                <w:spacing w:val="29"/>
                <w:sz w:val="18"/>
                <w:szCs w:val="18"/>
              </w:rPr>
              <w:t>软件科技</w:t>
            </w:r>
            <w:r>
              <w:rPr>
                <w:rFonts w:ascii="宋体" w:hAnsi="宋体" w:cs="宋体" w:eastAsia="宋体" w:hint="default"/>
                <w:spacing w:val="-51"/>
                <w:sz w:val="18"/>
                <w:szCs w:val="18"/>
              </w:rPr>
              <w:t> </w:t>
            </w:r>
            <w:r>
              <w:rPr>
                <w:rFonts w:ascii="宋体" w:hAnsi="宋体" w:cs="宋体" w:eastAsia="宋体" w:hint="default"/>
                <w:sz w:val="18"/>
                <w:szCs w:val="18"/>
              </w:rPr>
              <w:t>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2"/>
              <w:jc w:val="both"/>
              <w:rPr>
                <w:rFonts w:ascii="宋体" w:hAnsi="宋体" w:cs="宋体" w:eastAsia="宋体" w:hint="default"/>
                <w:sz w:val="18"/>
                <w:szCs w:val="18"/>
              </w:rPr>
            </w:pPr>
            <w:r>
              <w:rPr>
                <w:rFonts w:ascii="宋体" w:hAnsi="宋体" w:cs="宋体" w:eastAsia="宋体" w:hint="default"/>
                <w:spacing w:val="31"/>
                <w:sz w:val="18"/>
                <w:szCs w:val="18"/>
              </w:rPr>
              <w:t>涉税电子数</w:t>
            </w:r>
            <w:r>
              <w:rPr>
                <w:rFonts w:ascii="宋体" w:hAnsi="宋体" w:cs="宋体" w:eastAsia="宋体" w:hint="default"/>
                <w:spacing w:val="-51"/>
                <w:sz w:val="18"/>
                <w:szCs w:val="18"/>
              </w:rPr>
              <w:t> </w:t>
            </w:r>
            <w:r>
              <w:rPr>
                <w:rFonts w:ascii="宋体" w:hAnsi="宋体" w:cs="宋体" w:eastAsia="宋体" w:hint="default"/>
                <w:spacing w:val="31"/>
                <w:sz w:val="18"/>
                <w:szCs w:val="18"/>
              </w:rPr>
              <w:t>据分析解决</w:t>
            </w:r>
            <w:r>
              <w:rPr>
                <w:rFonts w:ascii="宋体" w:hAnsi="宋体" w:cs="宋体" w:eastAsia="宋体" w:hint="default"/>
                <w:spacing w:val="-51"/>
                <w:sz w:val="18"/>
                <w:szCs w:val="18"/>
              </w:rPr>
              <w:t> </w:t>
            </w:r>
            <w:r>
              <w:rPr>
                <w:rFonts w:ascii="宋体" w:hAnsi="宋体" w:cs="宋体" w:eastAsia="宋体" w:hint="default"/>
                <w:sz w:val="18"/>
                <w:szCs w:val="18"/>
              </w:rPr>
              <w:t>方案的研究、</w:t>
            </w:r>
            <w:r>
              <w:rPr>
                <w:rFonts w:ascii="宋体" w:hAnsi="宋体" w:cs="宋体" w:eastAsia="宋体" w:hint="default"/>
                <w:sz w:val="18"/>
                <w:szCs w:val="18"/>
              </w:rPr>
              <w:t> </w:t>
            </w:r>
            <w:r>
              <w:rPr>
                <w:rFonts w:ascii="宋体" w:hAnsi="宋体" w:cs="宋体" w:eastAsia="宋体" w:hint="default"/>
                <w:spacing w:val="-4"/>
                <w:sz w:val="18"/>
                <w:szCs w:val="18"/>
              </w:rPr>
              <w:t>设计开发、市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场推广等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56,970,964</w:t>
            </w:r>
          </w:p>
          <w:p>
            <w:pPr>
              <w:pStyle w:val="TableParagraph"/>
              <w:spacing w:line="240" w:lineRule="auto" w:before="106"/>
              <w:ind w:right="98"/>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44,853,803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64,753,963</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27,257,558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.03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29,559,840</w:t>
            </w:r>
          </w:p>
          <w:p>
            <w:pPr>
              <w:pStyle w:val="TableParagraph"/>
              <w:spacing w:line="240" w:lineRule="auto" w:before="106"/>
              <w:ind w:right="108"/>
              <w:jc w:val="righ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武汉大千</w:t>
            </w:r>
            <w:r>
              <w:rPr>
                <w:rFonts w:ascii="宋体" w:hAnsi="宋体" w:cs="宋体" w:eastAsia="宋体" w:hint="default"/>
                <w:spacing w:val="-51"/>
                <w:sz w:val="18"/>
                <w:szCs w:val="18"/>
              </w:rPr>
              <w:t> </w:t>
            </w:r>
            <w:r>
              <w:rPr>
                <w:rFonts w:ascii="宋体" w:hAnsi="宋体" w:cs="宋体" w:eastAsia="宋体" w:hint="default"/>
                <w:spacing w:val="29"/>
                <w:sz w:val="18"/>
                <w:szCs w:val="18"/>
              </w:rPr>
              <w:t>信息技术</w:t>
            </w:r>
            <w:r>
              <w:rPr>
                <w:rFonts w:ascii="宋体" w:hAnsi="宋体" w:cs="宋体" w:eastAsia="宋体" w:hint="default"/>
                <w:spacing w:val="-51"/>
                <w:sz w:val="18"/>
                <w:szCs w:val="18"/>
              </w:rPr>
              <w:t> </w:t>
            </w:r>
            <w:r>
              <w:rPr>
                <w:rFonts w:ascii="宋体" w:hAnsi="宋体" w:cs="宋体" w:eastAsia="宋体" w:hint="default"/>
                <w:sz w:val="18"/>
                <w:szCs w:val="18"/>
              </w:rPr>
              <w:t>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pacing w:val="31"/>
                <w:sz w:val="18"/>
                <w:szCs w:val="18"/>
              </w:rPr>
              <w:t>智能视频分</w:t>
            </w:r>
            <w:r>
              <w:rPr>
                <w:rFonts w:ascii="宋体" w:hAnsi="宋体" w:cs="宋体" w:eastAsia="宋体" w:hint="default"/>
                <w:spacing w:val="-51"/>
                <w:sz w:val="18"/>
                <w:szCs w:val="18"/>
              </w:rPr>
              <w:t> </w:t>
            </w:r>
            <w:r>
              <w:rPr>
                <w:rFonts w:ascii="宋体" w:hAnsi="宋体" w:cs="宋体" w:eastAsia="宋体" w:hint="default"/>
                <w:spacing w:val="31"/>
                <w:sz w:val="18"/>
                <w:szCs w:val="18"/>
              </w:rPr>
              <w:t>析技术研究</w:t>
            </w:r>
            <w:r>
              <w:rPr>
                <w:rFonts w:ascii="宋体" w:hAnsi="宋体" w:cs="宋体" w:eastAsia="宋体" w:hint="default"/>
                <w:spacing w:val="-51"/>
                <w:sz w:val="18"/>
                <w:szCs w:val="18"/>
              </w:rPr>
              <w:t> </w:t>
            </w:r>
            <w:r>
              <w:rPr>
                <w:rFonts w:ascii="宋体" w:hAnsi="宋体" w:cs="宋体" w:eastAsia="宋体" w:hint="default"/>
                <w:spacing w:val="31"/>
                <w:sz w:val="18"/>
                <w:szCs w:val="18"/>
              </w:rPr>
              <w:t>以及公共安</w:t>
            </w:r>
            <w:r>
              <w:rPr>
                <w:rFonts w:ascii="宋体" w:hAnsi="宋体" w:cs="宋体" w:eastAsia="宋体" w:hint="default"/>
                <w:spacing w:val="-51"/>
                <w:sz w:val="18"/>
                <w:szCs w:val="18"/>
              </w:rPr>
              <w:t> </w:t>
            </w:r>
            <w:r>
              <w:rPr>
                <w:rFonts w:ascii="宋体" w:hAnsi="宋体" w:cs="宋体" w:eastAsia="宋体" w:hint="default"/>
                <w:spacing w:val="31"/>
                <w:sz w:val="18"/>
                <w:szCs w:val="18"/>
              </w:rPr>
              <w:t>全行业的海</w:t>
            </w:r>
            <w:r>
              <w:rPr>
                <w:rFonts w:ascii="宋体" w:hAnsi="宋体" w:cs="宋体" w:eastAsia="宋体" w:hint="default"/>
                <w:spacing w:val="-51"/>
                <w:sz w:val="18"/>
                <w:szCs w:val="18"/>
              </w:rPr>
              <w:t> </w:t>
            </w:r>
            <w:r>
              <w:rPr>
                <w:rFonts w:ascii="宋体" w:hAnsi="宋体" w:cs="宋体" w:eastAsia="宋体" w:hint="default"/>
                <w:spacing w:val="31"/>
                <w:sz w:val="18"/>
                <w:szCs w:val="18"/>
              </w:rPr>
              <w:t>量图像与视</w:t>
            </w:r>
            <w:r>
              <w:rPr>
                <w:rFonts w:ascii="宋体" w:hAnsi="宋体" w:cs="宋体" w:eastAsia="宋体" w:hint="default"/>
                <w:spacing w:val="-51"/>
                <w:sz w:val="18"/>
                <w:szCs w:val="18"/>
              </w:rPr>
              <w:t> </w:t>
            </w:r>
            <w:r>
              <w:rPr>
                <w:rFonts w:ascii="宋体" w:hAnsi="宋体" w:cs="宋体" w:eastAsia="宋体" w:hint="default"/>
                <w:spacing w:val="-4"/>
                <w:sz w:val="18"/>
                <w:szCs w:val="18"/>
              </w:rPr>
              <w:t>频的检索、分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析、研判和侦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查等技术领</w:t>
            </w:r>
            <w:r>
              <w:rPr>
                <w:rFonts w:ascii="宋体" w:hAnsi="宋体" w:cs="宋体" w:eastAsia="宋体" w:hint="default"/>
                <w:spacing w:val="-51"/>
                <w:sz w:val="18"/>
                <w:szCs w:val="18"/>
              </w:rPr>
              <w:t> </w:t>
            </w:r>
            <w:r>
              <w:rPr>
                <w:rFonts w:ascii="宋体" w:hAnsi="宋体" w:cs="宋体" w:eastAsia="宋体" w:hint="default"/>
                <w:spacing w:val="31"/>
                <w:sz w:val="18"/>
                <w:szCs w:val="18"/>
              </w:rPr>
              <w:t>域的产品设</w:t>
            </w:r>
            <w:r>
              <w:rPr>
                <w:rFonts w:ascii="宋体" w:hAnsi="宋体" w:cs="宋体" w:eastAsia="宋体" w:hint="default"/>
                <w:spacing w:val="-51"/>
                <w:sz w:val="18"/>
                <w:szCs w:val="18"/>
              </w:rPr>
              <w:t> </w:t>
            </w:r>
            <w:r>
              <w:rPr>
                <w:rFonts w:ascii="宋体" w:hAnsi="宋体" w:cs="宋体" w:eastAsia="宋体" w:hint="default"/>
                <w:spacing w:val="31"/>
                <w:sz w:val="18"/>
                <w:szCs w:val="18"/>
              </w:rPr>
              <w:t>备的研发和</w:t>
            </w:r>
            <w:r>
              <w:rPr>
                <w:rFonts w:ascii="宋体" w:hAnsi="宋体" w:cs="宋体" w:eastAsia="宋体" w:hint="default"/>
                <w:spacing w:val="-51"/>
                <w:sz w:val="18"/>
                <w:szCs w:val="18"/>
              </w:rPr>
              <w:t> </w:t>
            </w:r>
            <w:r>
              <w:rPr>
                <w:rFonts w:ascii="宋体" w:hAnsi="宋体" w:cs="宋体" w:eastAsia="宋体" w:hint="default"/>
                <w:sz w:val="18"/>
                <w:szCs w:val="18"/>
              </w:rPr>
              <w:t>服务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12,380,000.0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31,297,621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26,537,436</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16,141,670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6,799,901.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7,471,681.</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85</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厦门安胜</w:t>
            </w:r>
            <w:r>
              <w:rPr>
                <w:rFonts w:ascii="宋体" w:hAnsi="宋体" w:cs="宋体" w:eastAsia="宋体" w:hint="default"/>
                <w:spacing w:val="-51"/>
                <w:sz w:val="18"/>
                <w:szCs w:val="18"/>
              </w:rPr>
              <w:t> </w:t>
            </w:r>
            <w:r>
              <w:rPr>
                <w:rFonts w:ascii="宋体" w:hAnsi="宋体" w:cs="宋体" w:eastAsia="宋体" w:hint="default"/>
                <w:spacing w:val="29"/>
                <w:sz w:val="18"/>
                <w:szCs w:val="18"/>
              </w:rPr>
              <w:t>网络科技</w:t>
            </w:r>
            <w:r>
              <w:rPr>
                <w:rFonts w:ascii="宋体" w:hAnsi="宋体" w:cs="宋体" w:eastAsia="宋体" w:hint="default"/>
                <w:spacing w:val="-51"/>
                <w:sz w:val="18"/>
                <w:szCs w:val="18"/>
              </w:rPr>
              <w:t> </w:t>
            </w:r>
            <w:r>
              <w:rPr>
                <w:rFonts w:ascii="宋体" w:hAnsi="宋体" w:cs="宋体" w:eastAsia="宋体" w:hint="default"/>
                <w:sz w:val="18"/>
                <w:szCs w:val="18"/>
              </w:rPr>
              <w:t>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2"/>
              <w:jc w:val="both"/>
              <w:rPr>
                <w:rFonts w:ascii="宋体" w:hAnsi="宋体" w:cs="宋体" w:eastAsia="宋体" w:hint="default"/>
                <w:sz w:val="18"/>
                <w:szCs w:val="18"/>
              </w:rPr>
            </w:pPr>
            <w:r>
              <w:rPr>
                <w:rFonts w:ascii="宋体" w:hAnsi="宋体" w:cs="宋体" w:eastAsia="宋体" w:hint="default"/>
                <w:spacing w:val="31"/>
                <w:sz w:val="18"/>
                <w:szCs w:val="18"/>
              </w:rPr>
              <w:t>提供网络安</w:t>
            </w:r>
            <w:r>
              <w:rPr>
                <w:rFonts w:ascii="宋体" w:hAnsi="宋体" w:cs="宋体" w:eastAsia="宋体" w:hint="default"/>
                <w:spacing w:val="-51"/>
                <w:sz w:val="18"/>
                <w:szCs w:val="18"/>
              </w:rPr>
              <w:t> </w:t>
            </w:r>
            <w:r>
              <w:rPr>
                <w:rFonts w:ascii="宋体" w:hAnsi="宋体" w:cs="宋体" w:eastAsia="宋体" w:hint="default"/>
                <w:spacing w:val="31"/>
                <w:sz w:val="18"/>
                <w:szCs w:val="18"/>
              </w:rPr>
              <w:t>全防护和软</w:t>
            </w:r>
            <w:r>
              <w:rPr>
                <w:rFonts w:ascii="宋体" w:hAnsi="宋体" w:cs="宋体" w:eastAsia="宋体" w:hint="default"/>
                <w:spacing w:val="-51"/>
                <w:sz w:val="18"/>
                <w:szCs w:val="18"/>
              </w:rPr>
              <w:t> </w:t>
            </w:r>
            <w:r>
              <w:rPr>
                <w:rFonts w:ascii="宋体" w:hAnsi="宋体" w:cs="宋体" w:eastAsia="宋体" w:hint="default"/>
                <w:spacing w:val="31"/>
                <w:sz w:val="18"/>
                <w:szCs w:val="18"/>
              </w:rPr>
              <w:t>件安全性检</w:t>
            </w:r>
            <w:r>
              <w:rPr>
                <w:rFonts w:ascii="宋体" w:hAnsi="宋体" w:cs="宋体" w:eastAsia="宋体" w:hint="default"/>
                <w:spacing w:val="-51"/>
                <w:sz w:val="18"/>
                <w:szCs w:val="18"/>
              </w:rPr>
              <w:t> </w:t>
            </w:r>
            <w:r>
              <w:rPr>
                <w:rFonts w:ascii="宋体" w:hAnsi="宋体" w:cs="宋体" w:eastAsia="宋体" w:hint="default"/>
                <w:sz w:val="18"/>
                <w:szCs w:val="18"/>
              </w:rPr>
              <w:t>测服务</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35,479,979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5,996,224.</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15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26,405,609</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836,429.30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996,224.15</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厦门市巨</w:t>
            </w:r>
            <w:r>
              <w:rPr>
                <w:rFonts w:ascii="宋体" w:hAnsi="宋体" w:cs="宋体" w:eastAsia="宋体" w:hint="default"/>
                <w:spacing w:val="-51"/>
                <w:sz w:val="18"/>
                <w:szCs w:val="18"/>
              </w:rPr>
              <w:t> </w:t>
            </w:r>
            <w:r>
              <w:rPr>
                <w:rFonts w:ascii="宋体" w:hAnsi="宋体" w:cs="宋体" w:eastAsia="宋体" w:hint="default"/>
                <w:spacing w:val="29"/>
                <w:sz w:val="18"/>
                <w:szCs w:val="18"/>
              </w:rPr>
              <w:t>龙信息科</w:t>
            </w:r>
            <w:r>
              <w:rPr>
                <w:rFonts w:ascii="宋体" w:hAnsi="宋体" w:cs="宋体" w:eastAsia="宋体" w:hint="default"/>
                <w:spacing w:val="-51"/>
                <w:sz w:val="18"/>
                <w:szCs w:val="18"/>
              </w:rPr>
              <w:t> </w:t>
            </w:r>
            <w:r>
              <w:rPr>
                <w:rFonts w:ascii="宋体" w:hAnsi="宋体" w:cs="宋体" w:eastAsia="宋体" w:hint="default"/>
                <w:spacing w:val="29"/>
                <w:sz w:val="18"/>
                <w:szCs w:val="18"/>
              </w:rPr>
              <w:t>技有限公</w:t>
            </w:r>
            <w:r>
              <w:rPr>
                <w:rFonts w:ascii="宋体" w:hAnsi="宋体" w:cs="宋体" w:eastAsia="宋体" w:hint="default"/>
                <w:spacing w:val="-51"/>
                <w:sz w:val="18"/>
                <w:szCs w:val="18"/>
              </w:rPr>
              <w:t> </w:t>
            </w:r>
            <w:r>
              <w:rPr>
                <w:rFonts w:ascii="宋体" w:hAnsi="宋体" w:cs="宋体" w:eastAsia="宋体" w:hint="default"/>
                <w:sz w:val="18"/>
                <w:szCs w:val="18"/>
              </w:rPr>
              <w:t>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4"/>
              <w:jc w:val="left"/>
              <w:rPr>
                <w:rFonts w:ascii="宋体" w:hAnsi="宋体" w:cs="宋体" w:eastAsia="宋体" w:hint="default"/>
                <w:sz w:val="18"/>
                <w:szCs w:val="18"/>
              </w:rPr>
            </w:pPr>
            <w:r>
              <w:rPr>
                <w:rFonts w:ascii="宋体" w:hAnsi="宋体" w:cs="宋体" w:eastAsia="宋体" w:hint="default"/>
                <w:spacing w:val="10"/>
                <w:sz w:val="18"/>
                <w:szCs w:val="18"/>
              </w:rPr>
              <w:t>参股公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2"/>
              <w:jc w:val="both"/>
              <w:rPr>
                <w:rFonts w:ascii="宋体" w:hAnsi="宋体" w:cs="宋体" w:eastAsia="宋体" w:hint="default"/>
                <w:sz w:val="18"/>
                <w:szCs w:val="18"/>
              </w:rPr>
            </w:pPr>
            <w:r>
              <w:rPr>
                <w:rFonts w:ascii="宋体" w:hAnsi="宋体" w:cs="宋体" w:eastAsia="宋体" w:hint="default"/>
                <w:spacing w:val="31"/>
                <w:sz w:val="18"/>
                <w:szCs w:val="18"/>
              </w:rPr>
              <w:t>司法机关及</w:t>
            </w:r>
            <w:r>
              <w:rPr>
                <w:rFonts w:ascii="宋体" w:hAnsi="宋体" w:cs="宋体" w:eastAsia="宋体" w:hint="default"/>
                <w:spacing w:val="-51"/>
                <w:sz w:val="18"/>
                <w:szCs w:val="18"/>
              </w:rPr>
              <w:t> </w:t>
            </w:r>
            <w:r>
              <w:rPr>
                <w:rFonts w:ascii="宋体" w:hAnsi="宋体" w:cs="宋体" w:eastAsia="宋体" w:hint="default"/>
                <w:spacing w:val="31"/>
                <w:sz w:val="18"/>
                <w:szCs w:val="18"/>
              </w:rPr>
              <w:t>行政执法部</w:t>
            </w:r>
            <w:r>
              <w:rPr>
                <w:rFonts w:ascii="宋体" w:hAnsi="宋体" w:cs="宋体" w:eastAsia="宋体" w:hint="default"/>
                <w:spacing w:val="-51"/>
                <w:sz w:val="18"/>
                <w:szCs w:val="18"/>
              </w:rPr>
              <w:t> </w:t>
            </w:r>
            <w:r>
              <w:rPr>
                <w:rFonts w:ascii="宋体" w:hAnsi="宋体" w:cs="宋体" w:eastAsia="宋体" w:hint="default"/>
                <w:spacing w:val="31"/>
                <w:sz w:val="18"/>
                <w:szCs w:val="18"/>
              </w:rPr>
              <w:t>门信息化系</w:t>
            </w:r>
            <w:r>
              <w:rPr>
                <w:rFonts w:ascii="宋体" w:hAnsi="宋体" w:cs="宋体" w:eastAsia="宋体" w:hint="default"/>
                <w:spacing w:val="-51"/>
                <w:sz w:val="18"/>
                <w:szCs w:val="18"/>
              </w:rPr>
              <w:t> </w:t>
            </w:r>
            <w:r>
              <w:rPr>
                <w:rFonts w:ascii="宋体" w:hAnsi="宋体" w:cs="宋体" w:eastAsia="宋体" w:hint="default"/>
                <w:spacing w:val="31"/>
                <w:sz w:val="18"/>
                <w:szCs w:val="18"/>
              </w:rPr>
              <w:t>统研发及销</w:t>
            </w:r>
            <w:r>
              <w:rPr>
                <w:rFonts w:ascii="宋体" w:hAnsi="宋体" w:cs="宋体" w:eastAsia="宋体" w:hint="default"/>
                <w:spacing w:val="-51"/>
                <w:sz w:val="18"/>
                <w:szCs w:val="18"/>
              </w:rPr>
              <w:t> </w:t>
            </w:r>
            <w:r>
              <w:rPr>
                <w:rFonts w:ascii="宋体" w:hAnsi="宋体" w:cs="宋体" w:eastAsia="宋体" w:hint="default"/>
                <w:sz w:val="18"/>
                <w:szCs w:val="18"/>
              </w:rPr>
              <w:t>售</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20,800,000.0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54,069,164</w:t>
            </w:r>
          </w:p>
          <w:p>
            <w:pPr>
              <w:pStyle w:val="TableParagraph"/>
              <w:spacing w:line="240" w:lineRule="auto" w:before="106"/>
              <w:ind w:right="98"/>
              <w:jc w:val="right"/>
              <w:rPr>
                <w:rFonts w:ascii="Times New Roman" w:hAnsi="Times New Roman" w:cs="Times New Roman" w:eastAsia="Times New Roman" w:hint="default"/>
                <w:sz w:val="18"/>
                <w:szCs w:val="18"/>
              </w:rPr>
            </w:pPr>
            <w:r>
              <w:rPr>
                <w:rFonts w:ascii="Times New Roman"/>
                <w:sz w:val="18"/>
              </w:rPr>
              <w:t>.55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32,573,626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56,042,250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.20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4,170,608.</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6,200,142.</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56</w:t>
            </w:r>
          </w:p>
        </w:tc>
      </w:tr>
      <w:tr>
        <w:trPr>
          <w:trHeight w:val="227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福建宏创</w:t>
            </w:r>
            <w:r>
              <w:rPr>
                <w:rFonts w:ascii="宋体" w:hAnsi="宋体" w:cs="宋体" w:eastAsia="宋体" w:hint="default"/>
                <w:spacing w:val="-51"/>
                <w:sz w:val="18"/>
                <w:szCs w:val="18"/>
              </w:rPr>
              <w:t> </w:t>
            </w:r>
            <w:r>
              <w:rPr>
                <w:rFonts w:ascii="宋体" w:hAnsi="宋体" w:cs="宋体" w:eastAsia="宋体" w:hint="default"/>
                <w:spacing w:val="29"/>
                <w:sz w:val="18"/>
                <w:szCs w:val="18"/>
              </w:rPr>
              <w:t>科技有限</w:t>
            </w:r>
            <w:r>
              <w:rPr>
                <w:rFonts w:ascii="宋体" w:hAnsi="宋体" w:cs="宋体" w:eastAsia="宋体" w:hint="default"/>
                <w:spacing w:val="-51"/>
                <w:sz w:val="18"/>
                <w:szCs w:val="18"/>
              </w:rPr>
              <w:t> </w:t>
            </w:r>
            <w:r>
              <w:rPr>
                <w:rFonts w:ascii="宋体" w:hAnsi="宋体" w:cs="宋体" w:eastAsia="宋体" w:hint="default"/>
                <w:sz w:val="18"/>
                <w:szCs w:val="18"/>
              </w:rPr>
              <w:t>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4"/>
              <w:jc w:val="left"/>
              <w:rPr>
                <w:rFonts w:ascii="宋体" w:hAnsi="宋体" w:cs="宋体" w:eastAsia="宋体" w:hint="default"/>
                <w:sz w:val="18"/>
                <w:szCs w:val="18"/>
              </w:rPr>
            </w:pPr>
            <w:r>
              <w:rPr>
                <w:rFonts w:ascii="宋体" w:hAnsi="宋体" w:cs="宋体" w:eastAsia="宋体" w:hint="default"/>
                <w:spacing w:val="10"/>
                <w:sz w:val="18"/>
                <w:szCs w:val="18"/>
              </w:rPr>
              <w:t>参股公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62"/>
              <w:jc w:val="both"/>
              <w:rPr>
                <w:rFonts w:ascii="宋体" w:hAnsi="宋体" w:cs="宋体" w:eastAsia="宋体" w:hint="default"/>
                <w:sz w:val="18"/>
                <w:szCs w:val="18"/>
              </w:rPr>
            </w:pPr>
            <w:r>
              <w:rPr>
                <w:rFonts w:ascii="宋体" w:hAnsi="宋体" w:cs="宋体" w:eastAsia="宋体" w:hint="default"/>
                <w:spacing w:val="16"/>
                <w:sz w:val="18"/>
                <w:szCs w:val="18"/>
              </w:rPr>
              <w:t>计算机软</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硬</w:t>
            </w:r>
            <w:r>
              <w:rPr>
                <w:rFonts w:ascii="宋体" w:hAnsi="宋体" w:cs="宋体" w:eastAsia="宋体" w:hint="default"/>
                <w:spacing w:val="-88"/>
                <w:sz w:val="18"/>
                <w:szCs w:val="18"/>
              </w:rPr>
              <w:t> </w:t>
            </w:r>
            <w:r>
              <w:rPr>
                <w:rFonts w:ascii="宋体" w:hAnsi="宋体" w:cs="宋体" w:eastAsia="宋体" w:hint="default"/>
                <w:spacing w:val="-4"/>
                <w:sz w:val="18"/>
                <w:szCs w:val="18"/>
              </w:rPr>
              <w:t>件开发、系统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集成及技术</w:t>
            </w:r>
            <w:r>
              <w:rPr>
                <w:rFonts w:ascii="宋体" w:hAnsi="宋体" w:cs="宋体" w:eastAsia="宋体" w:hint="default"/>
                <w:spacing w:val="-51"/>
                <w:sz w:val="18"/>
                <w:szCs w:val="18"/>
              </w:rPr>
              <w:t> </w:t>
            </w:r>
            <w:r>
              <w:rPr>
                <w:rFonts w:ascii="宋体" w:hAnsi="宋体" w:cs="宋体" w:eastAsia="宋体" w:hint="default"/>
                <w:spacing w:val="-4"/>
                <w:sz w:val="18"/>
                <w:szCs w:val="18"/>
              </w:rPr>
              <w:t>服务业务；研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发及代理销</w:t>
            </w:r>
            <w:r>
              <w:rPr>
                <w:rFonts w:ascii="宋体" w:hAnsi="宋体" w:cs="宋体" w:eastAsia="宋体" w:hint="default"/>
                <w:spacing w:val="-51"/>
                <w:sz w:val="18"/>
                <w:szCs w:val="18"/>
              </w:rPr>
              <w:t> </w:t>
            </w:r>
            <w:r>
              <w:rPr>
                <w:rFonts w:ascii="宋体" w:hAnsi="宋体" w:cs="宋体" w:eastAsia="宋体" w:hint="default"/>
                <w:spacing w:val="31"/>
                <w:sz w:val="18"/>
                <w:szCs w:val="18"/>
              </w:rPr>
              <w:t>售信息安全</w:t>
            </w:r>
            <w:r>
              <w:rPr>
                <w:rFonts w:ascii="宋体" w:hAnsi="宋体" w:cs="宋体" w:eastAsia="宋体" w:hint="default"/>
                <w:spacing w:val="-51"/>
                <w:sz w:val="18"/>
                <w:szCs w:val="18"/>
              </w:rPr>
              <w:t> </w:t>
            </w:r>
            <w:r>
              <w:rPr>
                <w:rFonts w:ascii="宋体" w:hAnsi="宋体" w:cs="宋体" w:eastAsia="宋体" w:hint="default"/>
                <w:sz w:val="18"/>
                <w:szCs w:val="18"/>
              </w:rPr>
              <w:t>产品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3,658,500.00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14,867,782</w:t>
            </w:r>
          </w:p>
          <w:p>
            <w:pPr>
              <w:pStyle w:val="TableParagraph"/>
              <w:spacing w:line="240" w:lineRule="auto" w:before="106"/>
              <w:ind w:right="98"/>
              <w:jc w:val="right"/>
              <w:rPr>
                <w:rFonts w:ascii="Times New Roman" w:hAnsi="Times New Roman" w:cs="Times New Roman" w:eastAsia="Times New Roman" w:hint="default"/>
                <w:sz w:val="18"/>
                <w:szCs w:val="18"/>
              </w:rPr>
            </w:pPr>
            <w:r>
              <w:rPr>
                <w:rFonts w:ascii="Times New Roman"/>
                <w:sz w:val="18"/>
              </w:rPr>
              <w:t>.02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5,404,562.</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13,887,935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528,411.92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528,971.92</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杭州攀克</w:t>
            </w:r>
            <w:r>
              <w:rPr>
                <w:rFonts w:ascii="宋体" w:hAnsi="宋体" w:cs="宋体" w:eastAsia="宋体" w:hint="default"/>
                <w:spacing w:val="-51"/>
                <w:sz w:val="18"/>
                <w:szCs w:val="18"/>
              </w:rPr>
              <w:t> </w:t>
            </w:r>
            <w:r>
              <w:rPr>
                <w:rFonts w:ascii="宋体" w:hAnsi="宋体" w:cs="宋体" w:eastAsia="宋体" w:hint="default"/>
                <w:spacing w:val="29"/>
                <w:sz w:val="18"/>
                <w:szCs w:val="18"/>
              </w:rPr>
              <w:t>网络技术</w:t>
            </w:r>
            <w:r>
              <w:rPr>
                <w:rFonts w:ascii="宋体" w:hAnsi="宋体" w:cs="宋体" w:eastAsia="宋体" w:hint="default"/>
                <w:spacing w:val="-51"/>
                <w:sz w:val="18"/>
                <w:szCs w:val="18"/>
              </w:rPr>
              <w:t> </w:t>
            </w:r>
            <w:r>
              <w:rPr>
                <w:rFonts w:ascii="宋体" w:hAnsi="宋体" w:cs="宋体" w:eastAsia="宋体" w:hint="default"/>
                <w:sz w:val="18"/>
                <w:szCs w:val="18"/>
              </w:rPr>
              <w:t>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4"/>
              <w:jc w:val="left"/>
              <w:rPr>
                <w:rFonts w:ascii="宋体" w:hAnsi="宋体" w:cs="宋体" w:eastAsia="宋体" w:hint="default"/>
                <w:sz w:val="18"/>
                <w:szCs w:val="18"/>
              </w:rPr>
            </w:pPr>
            <w:r>
              <w:rPr>
                <w:rFonts w:ascii="宋体" w:hAnsi="宋体" w:cs="宋体" w:eastAsia="宋体" w:hint="default"/>
                <w:spacing w:val="10"/>
                <w:sz w:val="18"/>
                <w:szCs w:val="18"/>
              </w:rPr>
              <w:t>参股公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0"/>
              <w:jc w:val="both"/>
              <w:rPr>
                <w:rFonts w:ascii="宋体" w:hAnsi="宋体" w:cs="宋体" w:eastAsia="宋体" w:hint="default"/>
                <w:sz w:val="18"/>
                <w:szCs w:val="18"/>
              </w:rPr>
            </w:pPr>
            <w:r>
              <w:rPr>
                <w:rFonts w:ascii="宋体" w:hAnsi="宋体" w:cs="宋体" w:eastAsia="宋体" w:hint="default"/>
                <w:spacing w:val="-4"/>
                <w:sz w:val="18"/>
                <w:szCs w:val="18"/>
              </w:rPr>
              <w:t>生产、加工计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算机软硬件， </w:t>
            </w:r>
            <w:r>
              <w:rPr>
                <w:rFonts w:ascii="宋体" w:hAnsi="宋体" w:cs="宋体" w:eastAsia="宋体" w:hint="default"/>
                <w:spacing w:val="-4"/>
                <w:sz w:val="18"/>
                <w:szCs w:val="18"/>
              </w:rPr>
              <w:t>网络设备，网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络安全系统</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1,272,800.00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2,646,808.</w:t>
            </w:r>
          </w:p>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z w:val="18"/>
              </w:rPr>
              <w:t>09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2,322,941.</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8,004,386.</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991,365.23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743,523.92</w:t>
            </w:r>
          </w:p>
        </w:tc>
      </w:tr>
      <w:tr>
        <w:trPr>
          <w:trHeight w:val="16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北京万诚</w:t>
            </w:r>
            <w:r>
              <w:rPr>
                <w:rFonts w:ascii="宋体" w:hAnsi="宋体" w:cs="宋体" w:eastAsia="宋体" w:hint="default"/>
                <w:spacing w:val="-51"/>
                <w:sz w:val="18"/>
                <w:szCs w:val="18"/>
              </w:rPr>
              <w:t> </w:t>
            </w:r>
            <w:r>
              <w:rPr>
                <w:rFonts w:ascii="宋体" w:hAnsi="宋体" w:cs="宋体" w:eastAsia="宋体" w:hint="default"/>
                <w:spacing w:val="29"/>
                <w:sz w:val="18"/>
                <w:szCs w:val="18"/>
              </w:rPr>
              <w:t>信用评价</w:t>
            </w:r>
            <w:r>
              <w:rPr>
                <w:rFonts w:ascii="宋体" w:hAnsi="宋体" w:cs="宋体" w:eastAsia="宋体" w:hint="default"/>
                <w:spacing w:val="-51"/>
                <w:sz w:val="18"/>
                <w:szCs w:val="18"/>
              </w:rPr>
              <w:t> </w:t>
            </w:r>
            <w:r>
              <w:rPr>
                <w:rFonts w:ascii="宋体" w:hAnsi="宋体" w:cs="宋体" w:eastAsia="宋体" w:hint="default"/>
                <w:sz w:val="18"/>
                <w:szCs w:val="18"/>
              </w:rPr>
              <w:t>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4"/>
              <w:jc w:val="left"/>
              <w:rPr>
                <w:rFonts w:ascii="宋体" w:hAnsi="宋体" w:cs="宋体" w:eastAsia="宋体" w:hint="default"/>
                <w:sz w:val="18"/>
                <w:szCs w:val="18"/>
              </w:rPr>
            </w:pPr>
            <w:r>
              <w:rPr>
                <w:rFonts w:ascii="宋体" w:hAnsi="宋体" w:cs="宋体" w:eastAsia="宋体" w:hint="default"/>
                <w:spacing w:val="10"/>
                <w:sz w:val="18"/>
                <w:szCs w:val="18"/>
              </w:rPr>
              <w:t>参股公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62"/>
              <w:jc w:val="both"/>
              <w:rPr>
                <w:rFonts w:ascii="宋体" w:hAnsi="宋体" w:cs="宋体" w:eastAsia="宋体" w:hint="default"/>
                <w:sz w:val="18"/>
                <w:szCs w:val="18"/>
              </w:rPr>
            </w:pPr>
            <w:r>
              <w:rPr>
                <w:rFonts w:ascii="宋体" w:hAnsi="宋体" w:cs="宋体" w:eastAsia="宋体" w:hint="default"/>
                <w:spacing w:val="31"/>
                <w:sz w:val="18"/>
                <w:szCs w:val="18"/>
              </w:rPr>
              <w:t>进出口商品</w:t>
            </w:r>
            <w:r>
              <w:rPr>
                <w:rFonts w:ascii="宋体" w:hAnsi="宋体" w:cs="宋体" w:eastAsia="宋体" w:hint="default"/>
                <w:spacing w:val="-51"/>
                <w:sz w:val="18"/>
                <w:szCs w:val="18"/>
              </w:rPr>
              <w:t> </w:t>
            </w:r>
            <w:r>
              <w:rPr>
                <w:rFonts w:ascii="宋体" w:hAnsi="宋体" w:cs="宋体" w:eastAsia="宋体" w:hint="default"/>
                <w:spacing w:val="31"/>
                <w:sz w:val="18"/>
                <w:szCs w:val="18"/>
              </w:rPr>
              <w:t>及内销商品</w:t>
            </w:r>
            <w:r>
              <w:rPr>
                <w:rFonts w:ascii="宋体" w:hAnsi="宋体" w:cs="宋体" w:eastAsia="宋体" w:hint="default"/>
                <w:spacing w:val="-51"/>
                <w:sz w:val="18"/>
                <w:szCs w:val="18"/>
              </w:rPr>
              <w:t> </w:t>
            </w:r>
            <w:r>
              <w:rPr>
                <w:rFonts w:ascii="宋体" w:hAnsi="宋体" w:cs="宋体" w:eastAsia="宋体" w:hint="default"/>
                <w:spacing w:val="31"/>
                <w:sz w:val="18"/>
                <w:szCs w:val="18"/>
              </w:rPr>
              <w:t>的生态原产</w:t>
            </w:r>
            <w:r>
              <w:rPr>
                <w:rFonts w:ascii="宋体" w:hAnsi="宋体" w:cs="宋体" w:eastAsia="宋体" w:hint="default"/>
                <w:spacing w:val="-51"/>
                <w:sz w:val="18"/>
                <w:szCs w:val="18"/>
              </w:rPr>
              <w:t> </w:t>
            </w:r>
            <w:r>
              <w:rPr>
                <w:rFonts w:ascii="宋体" w:hAnsi="宋体" w:cs="宋体" w:eastAsia="宋体" w:hint="default"/>
                <w:spacing w:val="26"/>
                <w:sz w:val="18"/>
                <w:szCs w:val="18"/>
              </w:rPr>
              <w:t>地产品</w:t>
            </w:r>
            <w:r>
              <w:rPr>
                <w:rFonts w:ascii="宋体" w:hAnsi="宋体" w:cs="宋体" w:eastAsia="宋体" w:hint="default"/>
                <w:spacing w:val="-51"/>
                <w:sz w:val="18"/>
                <w:szCs w:val="18"/>
              </w:rPr>
              <w:t> </w:t>
            </w:r>
            <w:r>
              <w:rPr>
                <w:rFonts w:ascii="宋体" w:hAnsi="宋体" w:cs="宋体" w:eastAsia="宋体" w:hint="default"/>
                <w:spacing w:val="19"/>
                <w:sz w:val="18"/>
                <w:szCs w:val="18"/>
              </w:rPr>
              <w:t>评定</w:t>
            </w:r>
            <w:r>
              <w:rPr>
                <w:rFonts w:ascii="宋体" w:hAnsi="宋体" w:cs="宋体" w:eastAsia="宋体" w:hint="default"/>
                <w:spacing w:val="-51"/>
                <w:sz w:val="18"/>
                <w:szCs w:val="18"/>
              </w:rPr>
              <w:t> </w:t>
            </w:r>
            <w:r>
              <w:rPr>
                <w:rFonts w:ascii="宋体" w:hAnsi="宋体" w:cs="宋体" w:eastAsia="宋体" w:hint="default"/>
                <w:spacing w:val="-4"/>
                <w:sz w:val="18"/>
                <w:szCs w:val="18"/>
              </w:rPr>
              <w:t>服务，利用移</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6,250,000.00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4,260,544.</w:t>
            </w:r>
          </w:p>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4,395,430.</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5,474,995.</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45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-4,518,603.</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-4,518,578.</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87</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020" w:top="1160" w:bottom="1220" w:left="92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1054"/>
        <w:gridCol w:w="790"/>
        <w:gridCol w:w="1276"/>
        <w:gridCol w:w="1222"/>
        <w:gridCol w:w="1045"/>
        <w:gridCol w:w="1045"/>
        <w:gridCol w:w="1045"/>
        <w:gridCol w:w="1045"/>
        <w:gridCol w:w="1046"/>
      </w:tblGrid>
      <w:tr>
        <w:trPr>
          <w:trHeight w:val="4106"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
              <w:ind w:left="103" w:right="62"/>
              <w:jc w:val="both"/>
              <w:rPr>
                <w:rFonts w:ascii="宋体" w:hAnsi="宋体" w:cs="宋体" w:eastAsia="宋体" w:hint="default"/>
                <w:sz w:val="18"/>
                <w:szCs w:val="18"/>
              </w:rPr>
            </w:pPr>
            <w:r>
              <w:rPr>
                <w:rFonts w:ascii="宋体" w:hAnsi="宋体" w:cs="宋体" w:eastAsia="宋体" w:hint="default"/>
                <w:spacing w:val="31"/>
                <w:sz w:val="18"/>
                <w:szCs w:val="18"/>
              </w:rPr>
              <w:t>动互联网和</w:t>
            </w:r>
            <w:r>
              <w:rPr>
                <w:rFonts w:ascii="宋体" w:hAnsi="宋体" w:cs="宋体" w:eastAsia="宋体" w:hint="default"/>
                <w:spacing w:val="-51"/>
                <w:sz w:val="18"/>
                <w:szCs w:val="18"/>
              </w:rPr>
              <w:t> </w:t>
            </w:r>
            <w:r>
              <w:rPr>
                <w:rFonts w:ascii="宋体" w:hAnsi="宋体" w:cs="宋体" w:eastAsia="宋体" w:hint="default"/>
                <w:spacing w:val="31"/>
                <w:sz w:val="18"/>
                <w:szCs w:val="18"/>
              </w:rPr>
              <w:t>物联网技术</w:t>
            </w:r>
            <w:r>
              <w:rPr>
                <w:rFonts w:ascii="宋体" w:hAnsi="宋体" w:cs="宋体" w:eastAsia="宋体" w:hint="default"/>
                <w:spacing w:val="-51"/>
                <w:sz w:val="18"/>
                <w:szCs w:val="18"/>
              </w:rPr>
              <w:t> </w:t>
            </w:r>
            <w:r>
              <w:rPr>
                <w:rFonts w:ascii="宋体" w:hAnsi="宋体" w:cs="宋体" w:eastAsia="宋体" w:hint="default"/>
                <w:sz w:val="18"/>
                <w:szCs w:val="18"/>
              </w:rPr>
              <w:t>为监管机构、</w:t>
            </w:r>
            <w:r>
              <w:rPr>
                <w:rFonts w:ascii="宋体" w:hAnsi="宋体" w:cs="宋体" w:eastAsia="宋体" w:hint="default"/>
                <w:sz w:val="18"/>
                <w:szCs w:val="18"/>
              </w:rPr>
              <w:t> </w:t>
            </w:r>
            <w:r>
              <w:rPr>
                <w:rFonts w:ascii="宋体" w:hAnsi="宋体" w:cs="宋体" w:eastAsia="宋体" w:hint="default"/>
                <w:spacing w:val="31"/>
                <w:sz w:val="18"/>
                <w:szCs w:val="18"/>
              </w:rPr>
              <w:t>消费者和生</w:t>
            </w:r>
            <w:r>
              <w:rPr>
                <w:rFonts w:ascii="宋体" w:hAnsi="宋体" w:cs="宋体" w:eastAsia="宋体" w:hint="default"/>
                <w:spacing w:val="-51"/>
                <w:sz w:val="18"/>
                <w:szCs w:val="18"/>
              </w:rPr>
              <w:t> </w:t>
            </w:r>
            <w:r>
              <w:rPr>
                <w:rFonts w:ascii="宋体" w:hAnsi="宋体" w:cs="宋体" w:eastAsia="宋体" w:hint="default"/>
                <w:spacing w:val="31"/>
                <w:sz w:val="18"/>
                <w:szCs w:val="18"/>
              </w:rPr>
              <w:t>产者提供溯</w:t>
            </w:r>
            <w:r>
              <w:rPr>
                <w:rFonts w:ascii="宋体" w:hAnsi="宋体" w:cs="宋体" w:eastAsia="宋体" w:hint="default"/>
                <w:spacing w:val="-51"/>
                <w:sz w:val="18"/>
                <w:szCs w:val="18"/>
              </w:rPr>
              <w:t> </w:t>
            </w:r>
            <w:r>
              <w:rPr>
                <w:rFonts w:ascii="宋体" w:hAnsi="宋体" w:cs="宋体" w:eastAsia="宋体" w:hint="default"/>
                <w:spacing w:val="31"/>
                <w:sz w:val="18"/>
                <w:szCs w:val="18"/>
              </w:rPr>
              <w:t>源鉴别的整</w:t>
            </w:r>
            <w:r>
              <w:rPr>
                <w:rFonts w:ascii="宋体" w:hAnsi="宋体" w:cs="宋体" w:eastAsia="宋体" w:hint="default"/>
                <w:spacing w:val="-51"/>
                <w:sz w:val="18"/>
                <w:szCs w:val="18"/>
              </w:rPr>
              <w:t> </w:t>
            </w:r>
            <w:r>
              <w:rPr>
                <w:rFonts w:ascii="宋体" w:hAnsi="宋体" w:cs="宋体" w:eastAsia="宋体" w:hint="default"/>
                <w:spacing w:val="31"/>
                <w:sz w:val="18"/>
                <w:szCs w:val="18"/>
              </w:rPr>
              <w:t>体服务和解</w:t>
            </w:r>
            <w:r>
              <w:rPr>
                <w:rFonts w:ascii="宋体" w:hAnsi="宋体" w:cs="宋体" w:eastAsia="宋体" w:hint="default"/>
                <w:spacing w:val="-51"/>
                <w:sz w:val="18"/>
                <w:szCs w:val="18"/>
              </w:rPr>
              <w:t> </w:t>
            </w:r>
            <w:r>
              <w:rPr>
                <w:rFonts w:ascii="宋体" w:hAnsi="宋体" w:cs="宋体" w:eastAsia="宋体" w:hint="default"/>
                <w:spacing w:val="-4"/>
                <w:sz w:val="18"/>
                <w:szCs w:val="18"/>
              </w:rPr>
              <w:t>决方案；为客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户提供质量</w:t>
            </w:r>
            <w:r>
              <w:rPr>
                <w:rFonts w:ascii="宋体" w:hAnsi="宋体" w:cs="宋体" w:eastAsia="宋体" w:hint="default"/>
                <w:spacing w:val="-51"/>
                <w:sz w:val="18"/>
                <w:szCs w:val="18"/>
              </w:rPr>
              <w:t> </w:t>
            </w:r>
            <w:r>
              <w:rPr>
                <w:rFonts w:ascii="宋体" w:hAnsi="宋体" w:cs="宋体" w:eastAsia="宋体" w:hint="default"/>
                <w:spacing w:val="-4"/>
                <w:sz w:val="18"/>
                <w:szCs w:val="18"/>
              </w:rPr>
              <w:t>信用评级、风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1"/>
                <w:sz w:val="18"/>
                <w:szCs w:val="18"/>
              </w:rPr>
              <w:t>险管理咨询</w:t>
            </w:r>
            <w:r>
              <w:rPr>
                <w:rFonts w:ascii="宋体" w:hAnsi="宋体" w:cs="宋体" w:eastAsia="宋体" w:hint="default"/>
                <w:spacing w:val="-51"/>
                <w:sz w:val="18"/>
                <w:szCs w:val="18"/>
              </w:rPr>
              <w:t> </w:t>
            </w:r>
            <w:r>
              <w:rPr>
                <w:rFonts w:ascii="宋体" w:hAnsi="宋体" w:cs="宋体" w:eastAsia="宋体" w:hint="default"/>
                <w:spacing w:val="31"/>
                <w:sz w:val="18"/>
                <w:szCs w:val="18"/>
              </w:rPr>
              <w:t>培训等增值</w:t>
            </w:r>
            <w:r>
              <w:rPr>
                <w:rFonts w:ascii="宋体" w:hAnsi="宋体" w:cs="宋体" w:eastAsia="宋体" w:hint="default"/>
                <w:spacing w:val="-51"/>
                <w:sz w:val="18"/>
                <w:szCs w:val="18"/>
              </w:rPr>
              <w:t> </w:t>
            </w:r>
            <w:r>
              <w:rPr>
                <w:rFonts w:ascii="宋体" w:hAnsi="宋体" w:cs="宋体" w:eastAsia="宋体" w:hint="default"/>
                <w:sz w:val="18"/>
                <w:szCs w:val="18"/>
              </w:rPr>
              <w:t>服务</w:t>
            </w:r>
          </w:p>
        </w:tc>
        <w:tc>
          <w:tcPr>
            <w:tcW w:w="1222"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厦门正信</w:t>
            </w:r>
            <w:r>
              <w:rPr>
                <w:rFonts w:ascii="宋体" w:hAnsi="宋体" w:cs="宋体" w:eastAsia="宋体" w:hint="default"/>
                <w:spacing w:val="-51"/>
                <w:sz w:val="18"/>
                <w:szCs w:val="18"/>
              </w:rPr>
              <w:t> </w:t>
            </w:r>
            <w:r>
              <w:rPr>
                <w:rFonts w:ascii="宋体" w:hAnsi="宋体" w:cs="宋体" w:eastAsia="宋体" w:hint="default"/>
                <w:spacing w:val="29"/>
                <w:sz w:val="18"/>
                <w:szCs w:val="18"/>
              </w:rPr>
              <w:t>世纪信息</w:t>
            </w:r>
            <w:r>
              <w:rPr>
                <w:rFonts w:ascii="宋体" w:hAnsi="宋体" w:cs="宋体" w:eastAsia="宋体" w:hint="default"/>
                <w:spacing w:val="-51"/>
                <w:sz w:val="18"/>
                <w:szCs w:val="18"/>
              </w:rPr>
              <w:t> </w:t>
            </w:r>
            <w:r>
              <w:rPr>
                <w:rFonts w:ascii="宋体" w:hAnsi="宋体" w:cs="宋体" w:eastAsia="宋体" w:hint="default"/>
                <w:spacing w:val="29"/>
                <w:sz w:val="18"/>
                <w:szCs w:val="18"/>
              </w:rPr>
              <w:t>科技有限</w:t>
            </w:r>
            <w:r>
              <w:rPr>
                <w:rFonts w:ascii="宋体" w:hAnsi="宋体" w:cs="宋体" w:eastAsia="宋体" w:hint="default"/>
                <w:spacing w:val="-51"/>
                <w:sz w:val="18"/>
                <w:szCs w:val="18"/>
              </w:rPr>
              <w:t> </w:t>
            </w:r>
            <w:r>
              <w:rPr>
                <w:rFonts w:ascii="宋体" w:hAnsi="宋体" w:cs="宋体" w:eastAsia="宋体" w:hint="default"/>
                <w:sz w:val="18"/>
                <w:szCs w:val="18"/>
              </w:rPr>
              <w:t>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4"/>
              <w:jc w:val="left"/>
              <w:rPr>
                <w:rFonts w:ascii="宋体" w:hAnsi="宋体" w:cs="宋体" w:eastAsia="宋体" w:hint="default"/>
                <w:sz w:val="18"/>
                <w:szCs w:val="18"/>
              </w:rPr>
            </w:pPr>
            <w:r>
              <w:rPr>
                <w:rFonts w:ascii="宋体" w:hAnsi="宋体" w:cs="宋体" w:eastAsia="宋体" w:hint="default"/>
                <w:spacing w:val="10"/>
                <w:sz w:val="18"/>
                <w:szCs w:val="18"/>
              </w:rPr>
              <w:t>参股公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103" w:right="62"/>
              <w:jc w:val="left"/>
              <w:rPr>
                <w:rFonts w:ascii="宋体" w:hAnsi="宋体" w:cs="宋体" w:eastAsia="宋体" w:hint="default"/>
                <w:sz w:val="18"/>
                <w:szCs w:val="18"/>
              </w:rPr>
            </w:pPr>
            <w:r>
              <w:rPr>
                <w:rFonts w:ascii="宋体" w:hAnsi="宋体" w:cs="宋体" w:eastAsia="宋体" w:hint="default"/>
                <w:spacing w:val="31"/>
                <w:sz w:val="18"/>
                <w:szCs w:val="18"/>
              </w:rPr>
              <w:t>网络身份认</w:t>
            </w:r>
            <w:r>
              <w:rPr>
                <w:rFonts w:ascii="宋体" w:hAnsi="宋体" w:cs="宋体" w:eastAsia="宋体" w:hint="default"/>
                <w:spacing w:val="-51"/>
                <w:sz w:val="18"/>
                <w:szCs w:val="18"/>
              </w:rPr>
              <w:t> </w:t>
            </w:r>
            <w:r>
              <w:rPr>
                <w:rFonts w:ascii="宋体" w:hAnsi="宋体" w:cs="宋体" w:eastAsia="宋体" w:hint="default"/>
                <w:sz w:val="18"/>
                <w:szCs w:val="18"/>
              </w:rPr>
              <w:t>证</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5,540,793.</w:t>
            </w:r>
          </w:p>
          <w:p>
            <w:pPr>
              <w:pStyle w:val="TableParagraph"/>
              <w:spacing w:line="240" w:lineRule="auto" w:before="106"/>
              <w:ind w:right="99"/>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3,808,817.</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109,216.26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-191,182.1</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-191,182.1</w:t>
            </w:r>
            <w:r>
              <w:rPr>
                <w:rFonts w:ascii="Times New Roman"/>
                <w:sz w:val="18"/>
              </w:rPr>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60"/>
              <w:jc w:val="both"/>
              <w:rPr>
                <w:rFonts w:ascii="宋体" w:hAnsi="宋体" w:cs="宋体" w:eastAsia="宋体" w:hint="default"/>
                <w:sz w:val="18"/>
                <w:szCs w:val="18"/>
              </w:rPr>
            </w:pPr>
            <w:r>
              <w:rPr>
                <w:rFonts w:ascii="宋体" w:hAnsi="宋体" w:cs="宋体" w:eastAsia="宋体" w:hint="default"/>
                <w:spacing w:val="29"/>
                <w:sz w:val="18"/>
                <w:szCs w:val="18"/>
              </w:rPr>
              <w:t>海峡国家</w:t>
            </w:r>
            <w:r>
              <w:rPr>
                <w:rFonts w:ascii="宋体" w:hAnsi="宋体" w:cs="宋体" w:eastAsia="宋体" w:hint="default"/>
                <w:spacing w:val="-51"/>
                <w:sz w:val="18"/>
                <w:szCs w:val="18"/>
              </w:rPr>
              <w:t> </w:t>
            </w:r>
            <w:r>
              <w:rPr>
                <w:rFonts w:ascii="宋体" w:hAnsi="宋体" w:cs="宋体" w:eastAsia="宋体" w:hint="default"/>
                <w:spacing w:val="29"/>
                <w:sz w:val="18"/>
                <w:szCs w:val="18"/>
              </w:rPr>
              <w:t>版权交易</w:t>
            </w:r>
            <w:r>
              <w:rPr>
                <w:rFonts w:ascii="宋体" w:hAnsi="宋体" w:cs="宋体" w:eastAsia="宋体" w:hint="default"/>
                <w:spacing w:val="-51"/>
                <w:sz w:val="18"/>
                <w:szCs w:val="18"/>
              </w:rPr>
              <w:t> </w:t>
            </w:r>
            <w:r>
              <w:rPr>
                <w:rFonts w:ascii="宋体" w:hAnsi="宋体" w:cs="宋体" w:eastAsia="宋体" w:hint="default"/>
                <w:spacing w:val="29"/>
                <w:sz w:val="18"/>
                <w:szCs w:val="18"/>
              </w:rPr>
              <w:t>中心有限</w:t>
            </w:r>
            <w:r>
              <w:rPr>
                <w:rFonts w:ascii="宋体" w:hAnsi="宋体" w:cs="宋体" w:eastAsia="宋体" w:hint="default"/>
                <w:spacing w:val="-51"/>
                <w:sz w:val="18"/>
                <w:szCs w:val="18"/>
              </w:rPr>
              <w:t> </w:t>
            </w:r>
            <w:r>
              <w:rPr>
                <w:rFonts w:ascii="宋体" w:hAnsi="宋体" w:cs="宋体" w:eastAsia="宋体" w:hint="default"/>
                <w:sz w:val="18"/>
                <w:szCs w:val="18"/>
              </w:rPr>
              <w:t>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84"/>
              <w:jc w:val="left"/>
              <w:rPr>
                <w:rFonts w:ascii="宋体" w:hAnsi="宋体" w:cs="宋体" w:eastAsia="宋体" w:hint="default"/>
                <w:sz w:val="18"/>
                <w:szCs w:val="18"/>
              </w:rPr>
            </w:pPr>
            <w:r>
              <w:rPr>
                <w:rFonts w:ascii="宋体" w:hAnsi="宋体" w:cs="宋体" w:eastAsia="宋体" w:hint="default"/>
                <w:spacing w:val="10"/>
                <w:sz w:val="18"/>
                <w:szCs w:val="18"/>
              </w:rPr>
              <w:t>参股公</w:t>
            </w:r>
            <w:r>
              <w:rPr>
                <w:rFonts w:ascii="宋体" w:hAnsi="宋体" w:cs="宋体" w:eastAsia="宋体" w:hint="default"/>
                <w:spacing w:val="-74"/>
                <w:sz w:val="18"/>
                <w:szCs w:val="18"/>
              </w:rPr>
              <w:t> </w:t>
            </w:r>
            <w:r>
              <w:rPr>
                <w:rFonts w:ascii="宋体" w:hAnsi="宋体" w:cs="宋体" w:eastAsia="宋体" w:hint="default"/>
                <w:sz w:val="18"/>
                <w:szCs w:val="18"/>
              </w:rPr>
              <w:t>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3" w:right="0"/>
              <w:jc w:val="left"/>
              <w:rPr>
                <w:rFonts w:ascii="宋体" w:hAnsi="宋体" w:cs="宋体" w:eastAsia="宋体" w:hint="default"/>
                <w:sz w:val="18"/>
                <w:szCs w:val="18"/>
              </w:rPr>
            </w:pPr>
            <w:r>
              <w:rPr>
                <w:rFonts w:ascii="宋体" w:hAnsi="宋体" w:cs="宋体" w:eastAsia="宋体" w:hint="default"/>
                <w:sz w:val="18"/>
                <w:szCs w:val="18"/>
              </w:rPr>
              <w:t>版权交易</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21,872,652</w:t>
            </w:r>
          </w:p>
          <w:p>
            <w:pPr>
              <w:pStyle w:val="TableParagraph"/>
              <w:spacing w:line="240" w:lineRule="auto" w:before="106"/>
              <w:ind w:right="98"/>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18,760,584</w:t>
            </w: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z w:val="18"/>
              </w:rPr>
              <w:t>.12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64,485.44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-1,241,350.</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47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-1,239,415.</w:t>
            </w:r>
          </w:p>
          <w:p>
            <w:pPr>
              <w:pStyle w:val="TableParagraph"/>
              <w:spacing w:line="240" w:lineRule="auto" w:before="106"/>
              <w:ind w:right="101"/>
              <w:jc w:val="right"/>
              <w:rPr>
                <w:rFonts w:ascii="Times New Roman" w:hAnsi="Times New Roman" w:cs="Times New Roman" w:eastAsia="Times New Roman" w:hint="default"/>
                <w:sz w:val="18"/>
                <w:szCs w:val="18"/>
              </w:rPr>
            </w:pPr>
            <w:r>
              <w:rPr>
                <w:rFonts w:ascii="Times New Roman"/>
                <w:sz w:val="18"/>
              </w:rPr>
              <w:t>88</w:t>
            </w:r>
          </w:p>
        </w:tc>
      </w:tr>
    </w:tbl>
    <w:p>
      <w:pPr>
        <w:spacing w:line="240" w:lineRule="auto" w:before="9"/>
        <w:rPr>
          <w:rFonts w:ascii="Times New Roman" w:hAnsi="Times New Roman" w:cs="Times New Roman" w:eastAsia="Times New Roman" w:hint="default"/>
          <w:sz w:val="8"/>
          <w:szCs w:val="8"/>
        </w:rPr>
      </w:pPr>
    </w:p>
    <w:p>
      <w:pPr>
        <w:pStyle w:val="BodyText"/>
        <w:spacing w:line="240" w:lineRule="auto" w:before="35"/>
        <w:ind w:left="634" w:right="0"/>
        <w:jc w:val="left"/>
      </w:pPr>
      <w:r>
        <w:rPr/>
        <w:t>报告期内取得和处置子公司的情况：</w:t>
      </w:r>
    </w:p>
    <w:p>
      <w:pPr>
        <w:spacing w:line="240" w:lineRule="auto" w:before="7"/>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2660"/>
        <w:gridCol w:w="1700"/>
        <w:gridCol w:w="5494"/>
      </w:tblGrid>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16" w:right="122" w:hanging="90"/>
              <w:jc w:val="left"/>
              <w:rPr>
                <w:rFonts w:ascii="宋体" w:hAnsi="宋体" w:cs="宋体" w:eastAsia="宋体" w:hint="default"/>
                <w:sz w:val="18"/>
                <w:szCs w:val="18"/>
              </w:rPr>
            </w:pPr>
            <w:r>
              <w:rPr>
                <w:rFonts w:ascii="宋体" w:hAnsi="宋体" w:cs="宋体" w:eastAsia="宋体" w:hint="default"/>
                <w:sz w:val="18"/>
                <w:szCs w:val="18"/>
              </w:rPr>
              <w:t>报告期内取得和处 置子公司的方式</w:t>
            </w:r>
          </w:p>
        </w:tc>
        <w:tc>
          <w:tcPr>
            <w:tcW w:w="5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71" w:right="0"/>
              <w:jc w:val="left"/>
              <w:rPr>
                <w:rFonts w:ascii="宋体" w:hAnsi="宋体" w:cs="宋体" w:eastAsia="宋体" w:hint="default"/>
                <w:sz w:val="18"/>
                <w:szCs w:val="18"/>
              </w:rPr>
            </w:pPr>
            <w:r>
              <w:rPr>
                <w:rFonts w:ascii="宋体" w:hAnsi="宋体" w:cs="宋体" w:eastAsia="宋体" w:hint="default"/>
                <w:sz w:val="18"/>
                <w:szCs w:val="18"/>
              </w:rPr>
              <w:t>对整体经营和生产业绩的影响</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5"/>
              <w:jc w:val="left"/>
              <w:rPr>
                <w:rFonts w:ascii="宋体" w:hAnsi="宋体" w:cs="宋体" w:eastAsia="宋体" w:hint="default"/>
                <w:sz w:val="18"/>
                <w:szCs w:val="18"/>
              </w:rPr>
            </w:pPr>
            <w:r>
              <w:rPr>
                <w:rFonts w:ascii="宋体" w:hAnsi="宋体" w:cs="宋体" w:eastAsia="宋体" w:hint="default"/>
                <w:spacing w:val="5"/>
                <w:sz w:val="18"/>
                <w:szCs w:val="18"/>
              </w:rPr>
              <w:t>非同一控制下企业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合并</w:t>
            </w:r>
          </w:p>
        </w:tc>
        <w:tc>
          <w:tcPr>
            <w:tcW w:w="5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9"/>
              <w:jc w:val="left"/>
              <w:rPr>
                <w:rFonts w:ascii="宋体" w:hAnsi="宋体" w:cs="宋体" w:eastAsia="宋体" w:hint="default"/>
                <w:sz w:val="18"/>
                <w:szCs w:val="18"/>
              </w:rPr>
            </w:pPr>
            <w:r>
              <w:rPr>
                <w:rFonts w:ascii="宋体" w:hAnsi="宋体" w:cs="宋体" w:eastAsia="宋体" w:hint="default"/>
                <w:sz w:val="18"/>
                <w:szCs w:val="18"/>
              </w:rPr>
              <w:t>有利于提升公司的盈利能力，提升公司的综合竞争力，提高公司的</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资产回报率和股东价值，推动公司快速发展</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5"/>
              <w:jc w:val="left"/>
              <w:rPr>
                <w:rFonts w:ascii="宋体" w:hAnsi="宋体" w:cs="宋体" w:eastAsia="宋体" w:hint="default"/>
                <w:sz w:val="18"/>
                <w:szCs w:val="18"/>
              </w:rPr>
            </w:pPr>
            <w:r>
              <w:rPr>
                <w:rFonts w:ascii="宋体" w:hAnsi="宋体" w:cs="宋体" w:eastAsia="宋体" w:hint="default"/>
                <w:spacing w:val="5"/>
                <w:sz w:val="18"/>
                <w:szCs w:val="18"/>
              </w:rPr>
              <w:t>非同一控制下企业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合并</w:t>
            </w:r>
          </w:p>
        </w:tc>
        <w:tc>
          <w:tcPr>
            <w:tcW w:w="5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9"/>
              <w:jc w:val="left"/>
              <w:rPr>
                <w:rFonts w:ascii="宋体" w:hAnsi="宋体" w:cs="宋体" w:eastAsia="宋体" w:hint="default"/>
                <w:sz w:val="18"/>
                <w:szCs w:val="18"/>
              </w:rPr>
            </w:pPr>
            <w:r>
              <w:rPr>
                <w:rFonts w:ascii="宋体" w:hAnsi="宋体" w:cs="宋体" w:eastAsia="宋体" w:hint="default"/>
                <w:sz w:val="18"/>
                <w:szCs w:val="18"/>
              </w:rPr>
              <w:t>有利于提升公司的盈利能力，提升公司的综合竞争力，提高公司的</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资产回报率和股东价值，推动公司快速发展</w:t>
            </w:r>
          </w:p>
        </w:tc>
      </w:tr>
      <w:tr>
        <w:trPr>
          <w:trHeight w:val="714"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9"/>
              <w:jc w:val="left"/>
              <w:rPr>
                <w:rFonts w:ascii="宋体" w:hAnsi="宋体" w:cs="宋体" w:eastAsia="宋体" w:hint="default"/>
                <w:sz w:val="18"/>
                <w:szCs w:val="18"/>
              </w:rPr>
            </w:pPr>
            <w:r>
              <w:rPr>
                <w:rFonts w:ascii="宋体" w:hAnsi="宋体" w:cs="宋体" w:eastAsia="宋体" w:hint="default"/>
                <w:sz w:val="18"/>
                <w:szCs w:val="18"/>
              </w:rPr>
              <w:t>有利于提升公司的盈利能力，提升公司的综合竞争力，提高公司的</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资产回报率和股东价值，推动公司快速发展</w:t>
            </w:r>
          </w:p>
        </w:tc>
      </w:tr>
      <w:tr>
        <w:trPr>
          <w:trHeight w:val="715"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pacing w:val="7"/>
                <w:sz w:val="18"/>
                <w:szCs w:val="18"/>
              </w:rPr>
              <w:t>北京美亚宏数科技有限责任公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5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99"/>
              <w:jc w:val="left"/>
              <w:rPr>
                <w:rFonts w:ascii="宋体" w:hAnsi="宋体" w:cs="宋体" w:eastAsia="宋体" w:hint="default"/>
                <w:sz w:val="18"/>
                <w:szCs w:val="18"/>
              </w:rPr>
            </w:pPr>
            <w:r>
              <w:rPr>
                <w:rFonts w:ascii="宋体" w:hAnsi="宋体" w:cs="宋体" w:eastAsia="宋体" w:hint="default"/>
                <w:sz w:val="18"/>
                <w:szCs w:val="18"/>
              </w:rPr>
              <w:t>有利于提升公司的盈利能力，提升公司的综合竞争力，提高公司的</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资产回报率和股东价值，推动公司快速发展</w:t>
            </w:r>
          </w:p>
        </w:tc>
      </w:tr>
    </w:tbl>
    <w:p>
      <w:pPr>
        <w:spacing w:line="240" w:lineRule="auto" w:before="10"/>
        <w:rPr>
          <w:rFonts w:ascii="宋体" w:hAnsi="宋体" w:cs="宋体" w:eastAsia="宋体" w:hint="default"/>
          <w:sz w:val="7"/>
          <w:szCs w:val="7"/>
        </w:rPr>
      </w:pPr>
    </w:p>
    <w:p>
      <w:pPr>
        <w:pStyle w:val="BodyText"/>
        <w:spacing w:line="240" w:lineRule="auto" w:before="35"/>
        <w:ind w:left="634" w:right="0"/>
        <w:jc w:val="left"/>
      </w:pPr>
      <w:r>
        <w:rPr/>
        <w:t>主要控股参股公司情况说明：</w:t>
      </w:r>
    </w:p>
    <w:p>
      <w:pPr>
        <w:spacing w:line="240" w:lineRule="auto" w:before="10"/>
        <w:rPr>
          <w:rFonts w:ascii="宋体" w:hAnsi="宋体" w:cs="宋体" w:eastAsia="宋体" w:hint="default"/>
          <w:sz w:val="16"/>
          <w:szCs w:val="16"/>
        </w:rPr>
      </w:pPr>
    </w:p>
    <w:p>
      <w:pPr>
        <w:pStyle w:val="BodyText"/>
        <w:spacing w:line="309" w:lineRule="auto"/>
        <w:ind w:left="213" w:right="0" w:firstLine="420"/>
        <w:jc w:val="left"/>
      </w:pPr>
      <w:r>
        <w:rPr>
          <w:rFonts w:ascii="Times New Roman" w:hAnsi="Times New Roman" w:cs="Times New Roman" w:eastAsia="Times New Roman" w:hint="default"/>
          <w:spacing w:val="-4"/>
        </w:rPr>
        <w:t>1</w:t>
      </w:r>
      <w:r>
        <w:rPr>
          <w:spacing w:val="-4"/>
        </w:rPr>
        <w:t>、根据本公司</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24</w:t>
      </w:r>
      <w:r>
        <w:rPr>
          <w:spacing w:val="-4"/>
        </w:rPr>
        <w:t>日董事会决议，本公司拟以自有资金人民币</w:t>
      </w:r>
      <w:r>
        <w:rPr>
          <w:rFonts w:ascii="Times New Roman" w:hAnsi="Times New Roman" w:cs="Times New Roman" w:eastAsia="Times New Roman" w:hint="default"/>
          <w:spacing w:val="-4"/>
        </w:rPr>
        <w:t>1,000</w:t>
      </w:r>
      <w:r>
        <w:rPr>
          <w:spacing w:val="-4"/>
        </w:rPr>
        <w:t>万元对武汉大千进行增资，</w:t>
      </w:r>
      <w:r>
        <w:rPr/>
        <w:t> 其中新增注册资本</w:t>
      </w:r>
      <w:r>
        <w:rPr>
          <w:rFonts w:ascii="Times New Roman" w:hAnsi="Times New Roman" w:cs="Times New Roman" w:eastAsia="Times New Roman" w:hint="default"/>
        </w:rPr>
        <w:t>43.2727</w:t>
      </w:r>
      <w:r>
        <w:rPr/>
        <w:t>万元，余额</w:t>
      </w:r>
      <w:r>
        <w:rPr>
          <w:rFonts w:ascii="Times New Roman" w:hAnsi="Times New Roman" w:cs="Times New Roman" w:eastAsia="Times New Roman" w:hint="default"/>
        </w:rPr>
        <w:t>956.7273</w:t>
      </w:r>
      <w:r>
        <w:rPr/>
        <w:t>万元计入资本公积，获得武汉大千</w:t>
      </w:r>
      <w:r>
        <w:rPr>
          <w:rFonts w:ascii="Times New Roman" w:hAnsi="Times New Roman" w:cs="Times New Roman" w:eastAsia="Times New Roman" w:hint="default"/>
        </w:rPr>
        <w:t>15.3846%</w:t>
      </w:r>
      <w:r>
        <w:rPr/>
        <w:t>的股权；并以自 </w:t>
      </w:r>
      <w:r>
        <w:rPr>
          <w:spacing w:val="-2"/>
        </w:rPr>
        <w:t>有资金人民币</w:t>
      </w:r>
      <w:r>
        <w:rPr>
          <w:rFonts w:ascii="Times New Roman" w:hAnsi="Times New Roman" w:cs="Times New Roman" w:eastAsia="Times New Roman" w:hint="default"/>
          <w:spacing w:val="-2"/>
        </w:rPr>
        <w:t>2,315</w:t>
      </w:r>
      <w:r>
        <w:rPr>
          <w:spacing w:val="-2"/>
        </w:rPr>
        <w:t>万元受让严国建先生、杨捷女士、王彬先生和熊子松先生持有的武汉大千</w:t>
      </w:r>
      <w:r>
        <w:rPr>
          <w:rFonts w:ascii="Times New Roman" w:hAnsi="Times New Roman" w:cs="Times New Roman" w:eastAsia="Times New Roman" w:hint="default"/>
          <w:spacing w:val="-2"/>
        </w:rPr>
        <w:t>35.6154%</w:t>
      </w:r>
      <w:r>
        <w:rPr>
          <w:spacing w:val="-2"/>
        </w:rPr>
        <w:t>的股</w:t>
      </w:r>
      <w:r>
        <w:rPr>
          <w:spacing w:val="-97"/>
        </w:rPr>
        <w:t> </w:t>
      </w:r>
      <w:r>
        <w:rPr/>
        <w:t>权；增资及受让股权后本公司共获取武汉大千</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月本公司对武汉大千派驻董事</w:t>
      </w:r>
      <w:r>
        <w:rPr>
          <w:rFonts w:ascii="Times New Roman" w:hAnsi="Times New Roman" w:cs="Times New Roman" w:eastAsia="Times New Roman" w:hint="default"/>
        </w:rPr>
        <w:t>2</w:t>
      </w:r>
      <w:r>
        <w:rPr/>
        <w:t>名（武汉 </w:t>
      </w:r>
      <w:r>
        <w:rPr>
          <w:spacing w:val="-2"/>
        </w:rPr>
        <w:t>大千共有董事</w:t>
      </w:r>
      <w:r>
        <w:rPr>
          <w:rFonts w:ascii="Times New Roman" w:hAnsi="Times New Roman" w:cs="Times New Roman" w:eastAsia="Times New Roman" w:hint="default"/>
          <w:spacing w:val="-2"/>
        </w:rPr>
        <w:t>3</w:t>
      </w:r>
      <w:r>
        <w:rPr>
          <w:spacing w:val="-2"/>
        </w:rPr>
        <w:t>名），</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日按协议约定支付增资款</w:t>
      </w:r>
      <w:r>
        <w:rPr>
          <w:rFonts w:ascii="Times New Roman" w:hAnsi="Times New Roman" w:cs="Times New Roman" w:eastAsia="Times New Roman" w:hint="default"/>
          <w:spacing w:val="-2"/>
        </w:rPr>
        <w:t>1,000</w:t>
      </w:r>
      <w:r>
        <w:rPr>
          <w:spacing w:val="-2"/>
        </w:rPr>
        <w:t>万元及</w:t>
      </w:r>
      <w:r>
        <w:rPr>
          <w:rFonts w:ascii="Times New Roman" w:hAnsi="Times New Roman" w:cs="Times New Roman" w:eastAsia="Times New Roman" w:hint="default"/>
          <w:spacing w:val="-2"/>
        </w:rPr>
        <w:t>30%</w:t>
      </w:r>
      <w:r>
        <w:rPr>
          <w:spacing w:val="-2"/>
        </w:rPr>
        <w:t>股权转让款</w:t>
      </w:r>
      <w:r>
        <w:rPr>
          <w:rFonts w:ascii="Times New Roman" w:hAnsi="Times New Roman" w:cs="Times New Roman" w:eastAsia="Times New Roman" w:hint="default"/>
          <w:spacing w:val="-2"/>
        </w:rPr>
        <w:t>694.50</w:t>
      </w:r>
      <w:r>
        <w:rPr>
          <w:spacing w:val="-2"/>
        </w:rPr>
        <w:t>万元，本公司</w:t>
      </w:r>
    </w:p>
    <w:p>
      <w:pPr>
        <w:spacing w:after="0" w:line="309" w:lineRule="auto"/>
        <w:jc w:val="left"/>
        <w:sectPr>
          <w:pgSz w:w="11910" w:h="16840"/>
          <w:pgMar w:header="918" w:footer="1020" w:top="1160" w:bottom="1220" w:left="920" w:right="900"/>
        </w:sectPr>
      </w:pPr>
    </w:p>
    <w:p>
      <w:pPr>
        <w:spacing w:line="240" w:lineRule="auto" w:before="5"/>
        <w:rPr>
          <w:rFonts w:ascii="宋体" w:hAnsi="宋体" w:cs="宋体" w:eastAsia="宋体" w:hint="default"/>
          <w:sz w:val="20"/>
          <w:szCs w:val="20"/>
        </w:rPr>
      </w:pPr>
    </w:p>
    <w:p>
      <w:pPr>
        <w:pStyle w:val="BodyText"/>
        <w:spacing w:line="240" w:lineRule="auto" w:before="35"/>
        <w:ind w:left="154" w:right="0"/>
        <w:jc w:val="left"/>
      </w:pPr>
      <w:r>
        <w:rPr/>
        <w:t>对武汉大千的财务和经营决策拥有控制权，享有相应的收益并承担相应的风险，故以武汉大千购买日为</w:t>
      </w:r>
    </w:p>
    <w:p>
      <w:pPr>
        <w:pStyle w:val="BodyText"/>
        <w:spacing w:line="240" w:lineRule="auto" w:before="99"/>
        <w:ind w:left="15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日纳入公司合并财务报表范围。</w:t>
      </w:r>
    </w:p>
    <w:p>
      <w:pPr>
        <w:spacing w:line="240" w:lineRule="auto" w:before="7"/>
        <w:rPr>
          <w:rFonts w:ascii="宋体" w:hAnsi="宋体" w:cs="宋体" w:eastAsia="宋体" w:hint="default"/>
          <w:sz w:val="15"/>
          <w:szCs w:val="15"/>
        </w:rPr>
      </w:pPr>
    </w:p>
    <w:p>
      <w:pPr>
        <w:pStyle w:val="BodyText"/>
        <w:spacing w:line="309" w:lineRule="auto"/>
        <w:ind w:left="153" w:right="131" w:firstLine="42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日与厦门市聚恩信息咨询合伙企业共同投资设立厦门安胜网络科技有限公司， 公司占该合资公司的股权比例为</w:t>
      </w:r>
      <w:r>
        <w:rPr>
          <w:rFonts w:ascii="Times New Roman" w:hAnsi="Times New Roman" w:cs="Times New Roman" w:eastAsia="Times New Roman" w:hint="default"/>
        </w:rPr>
        <w:t>75%</w:t>
      </w:r>
      <w:r>
        <w:rPr/>
        <w:t>。该合资公司已于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日完成工商登记，纳入公司合并财务报 表范围。</w:t>
      </w:r>
    </w:p>
    <w:p>
      <w:pPr>
        <w:pStyle w:val="BodyText"/>
        <w:spacing w:line="309" w:lineRule="auto" w:before="158"/>
        <w:ind w:left="153" w:right="153" w:firstLine="420"/>
        <w:jc w:val="both"/>
      </w:pPr>
      <w:r>
        <w:rPr>
          <w:rFonts w:ascii="Times New Roman" w:hAnsi="Times New Roman" w:cs="Times New Roman" w:eastAsia="Times New Roman" w:hint="default"/>
          <w:spacing w:val="-1"/>
        </w:rPr>
        <w:t>3</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日，公司与嘉兴宏数信息科技合伙企业、公司副总经理高峰共同出资设立北京</w:t>
      </w:r>
      <w:r>
        <w:rPr/>
        <w:t> </w:t>
      </w:r>
      <w:r>
        <w:rPr>
          <w:spacing w:val="-2"/>
        </w:rPr>
        <w:t>美亚宏数科技有限责任公司，公司占该合资公司的股权比例为</w:t>
      </w:r>
      <w:r>
        <w:rPr>
          <w:rFonts w:ascii="Times New Roman" w:hAnsi="Times New Roman" w:cs="Times New Roman" w:eastAsia="Times New Roman" w:hint="default"/>
          <w:spacing w:val="-2"/>
        </w:rPr>
        <w:t>55%</w:t>
      </w:r>
      <w:r>
        <w:rPr>
          <w:spacing w:val="-2"/>
        </w:rPr>
        <w:t>。该合资公司于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日完成公司</w:t>
      </w:r>
      <w:r>
        <w:rPr/>
        <w:t> 登记，纳入公司合并财务报表范围。</w:t>
      </w:r>
    </w:p>
    <w:p>
      <w:pPr>
        <w:pStyle w:val="BodyText"/>
        <w:spacing w:line="309" w:lineRule="auto" w:before="158"/>
        <w:ind w:left="153" w:right="113" w:firstLine="420"/>
        <w:jc w:val="left"/>
      </w:pPr>
      <w:r>
        <w:rPr>
          <w:rFonts w:ascii="Times New Roman" w:hAnsi="Times New Roman" w:cs="Times New Roman" w:eastAsia="Times New Roman" w:hint="default"/>
          <w:spacing w:val="-1"/>
        </w:rPr>
        <w:t>4</w:t>
      </w:r>
      <w:r>
        <w:rPr>
          <w:spacing w:val="-1"/>
        </w:rPr>
        <w:t>、根据公司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月董事会决议及</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月股东会决议，本公司拟向江苏税软原股</w:t>
      </w:r>
      <w:r>
        <w:rPr/>
        <w:t> </w:t>
      </w:r>
      <w:r>
        <w:rPr>
          <w:spacing w:val="-2"/>
        </w:rPr>
        <w:t>东韦玉荣等</w:t>
      </w:r>
      <w:r>
        <w:rPr>
          <w:rFonts w:ascii="Times New Roman" w:hAnsi="Times New Roman" w:cs="Times New Roman" w:eastAsia="Times New Roman" w:hint="default"/>
          <w:spacing w:val="-2"/>
        </w:rPr>
        <w:t>16</w:t>
      </w:r>
      <w:r>
        <w:rPr>
          <w:spacing w:val="-2"/>
        </w:rPr>
        <w:t>人非公开发行股份</w:t>
      </w:r>
      <w:r>
        <w:rPr>
          <w:rFonts w:ascii="Times New Roman" w:hAnsi="Times New Roman" w:cs="Times New Roman" w:eastAsia="Times New Roman" w:hint="default"/>
          <w:spacing w:val="-2"/>
        </w:rPr>
        <w:t>29,666,848</w:t>
      </w:r>
      <w:r>
        <w:rPr>
          <w:spacing w:val="-2"/>
        </w:rPr>
        <w:t>股购买江苏税软</w:t>
      </w:r>
      <w:r>
        <w:rPr>
          <w:rFonts w:ascii="Times New Roman" w:hAnsi="Times New Roman" w:cs="Times New Roman" w:eastAsia="Times New Roman" w:hint="default"/>
          <w:spacing w:val="-2"/>
        </w:rPr>
        <w:t>100%</w:t>
      </w:r>
      <w:r>
        <w:rPr>
          <w:spacing w:val="-2"/>
        </w:rPr>
        <w:t>股权（包括江苏税软持有无锡博盾</w:t>
      </w:r>
      <w:r>
        <w:rPr>
          <w:rFonts w:ascii="Times New Roman" w:hAnsi="Times New Roman" w:cs="Times New Roman" w:eastAsia="Times New Roman" w:hint="default"/>
          <w:spacing w:val="-2"/>
        </w:rPr>
        <w:t>100%</w:t>
      </w:r>
      <w:r>
        <w:rPr>
          <w:spacing w:val="-2"/>
        </w:rPr>
        <w:t>的</w:t>
      </w:r>
      <w:r>
        <w:rPr>
          <w:spacing w:val="-62"/>
        </w:rPr>
        <w:t> </w:t>
      </w:r>
      <w:r>
        <w:rPr/>
        <w:t>股权），发行价格为定价基准日前</w:t>
      </w:r>
      <w:r>
        <w:rPr>
          <w:rFonts w:ascii="Times New Roman" w:hAnsi="Times New Roman" w:cs="Times New Roman" w:eastAsia="Times New Roman" w:hint="default"/>
        </w:rPr>
        <w:t>120</w:t>
      </w:r>
      <w:r>
        <w:rPr/>
        <w:t>个交易日本公司</w:t>
      </w:r>
      <w:r>
        <w:rPr>
          <w:rFonts w:ascii="Times New Roman" w:hAnsi="Times New Roman" w:cs="Times New Roman" w:eastAsia="Times New Roman" w:hint="default"/>
        </w:rPr>
        <w:t>A</w:t>
      </w:r>
      <w:r>
        <w:rPr/>
        <w:t>股股票交易均价的</w:t>
      </w:r>
      <w:r>
        <w:rPr>
          <w:rFonts w:ascii="Times New Roman" w:hAnsi="Times New Roman" w:cs="Times New Roman" w:eastAsia="Times New Roman" w:hint="default"/>
        </w:rPr>
        <w:t>90%</w:t>
      </w:r>
      <w:r>
        <w:rPr/>
        <w:t>，即</w:t>
      </w:r>
      <w:r>
        <w:rPr>
          <w:rFonts w:ascii="Times New Roman" w:hAnsi="Times New Roman" w:cs="Times New Roman" w:eastAsia="Times New Roman" w:hint="default"/>
        </w:rPr>
        <w:t>18.31</w:t>
      </w:r>
      <w:r>
        <w:rPr/>
        <w:t>元</w:t>
      </w:r>
      <w:r>
        <w:rPr>
          <w:rFonts w:ascii="Times New Roman" w:hAnsi="Times New Roman" w:cs="Times New Roman" w:eastAsia="Times New Roman" w:hint="default"/>
        </w:rPr>
        <w:t>/</w:t>
      </w:r>
      <w:r>
        <w:rPr/>
        <w:t>股，购买成本 为</w:t>
      </w:r>
      <w:r>
        <w:rPr>
          <w:rFonts w:ascii="Times New Roman" w:hAnsi="Times New Roman" w:cs="Times New Roman" w:eastAsia="Times New Roman" w:hint="default"/>
        </w:rPr>
        <w:t>543,199,986.88</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日，公司发行股份购买资产重组事项获得中国证监会核准通过，</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日江苏税软完成企业类型变更和股东变更相关手续，故江苏税软购买日确定为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2"/>
        </w:rPr>
        <w:t> </w:t>
      </w:r>
      <w:r>
        <w:rPr/>
        <w:t>纳入公司合并财务报表范围。</w:t>
      </w:r>
    </w:p>
    <w:p>
      <w:pPr>
        <w:pStyle w:val="BodyText"/>
        <w:spacing w:line="494" w:lineRule="exact" w:before="8"/>
        <w:ind w:left="573" w:right="152"/>
        <w:jc w:val="left"/>
        <w:rPr>
          <w:rFonts w:ascii="Times New Roman" w:hAnsi="Times New Roman" w:cs="Times New Roman" w:eastAsia="Times New Roman" w:hint="default"/>
        </w:rPr>
      </w:pPr>
      <w:r>
        <w:rPr/>
        <w:t>主要控股参股公司情况说明： </w:t>
      </w:r>
      <w:r>
        <w:rPr>
          <w:spacing w:val="-2"/>
        </w:rPr>
        <w:t>注：</w:t>
      </w:r>
      <w:r>
        <w:rPr>
          <w:rFonts w:ascii="Times New Roman" w:hAnsi="Times New Roman" w:cs="Times New Roman" w:eastAsia="Times New Roman" w:hint="default"/>
          <w:spacing w:val="-2"/>
        </w:rPr>
        <w:t>1</w:t>
      </w:r>
      <w:r>
        <w:rPr>
          <w:spacing w:val="-2"/>
        </w:rPr>
        <w:t>、本公司非同一控制下合并武汉大千的购买日为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日，利润表本年发生额为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7-12</w:t>
      </w:r>
    </w:p>
    <w:p>
      <w:pPr>
        <w:pStyle w:val="BodyText"/>
        <w:spacing w:line="240" w:lineRule="auto" w:before="30"/>
        <w:ind w:left="153" w:right="0"/>
        <w:jc w:val="left"/>
      </w:pPr>
      <w:r>
        <w:rPr/>
        <w:t>月的发生额。</w:t>
      </w:r>
    </w:p>
    <w:p>
      <w:pPr>
        <w:spacing w:line="240" w:lineRule="auto" w:before="10"/>
        <w:rPr>
          <w:rFonts w:ascii="宋体" w:hAnsi="宋体" w:cs="宋体" w:eastAsia="宋体" w:hint="default"/>
          <w:sz w:val="16"/>
          <w:szCs w:val="16"/>
        </w:rPr>
      </w:pPr>
    </w:p>
    <w:p>
      <w:pPr>
        <w:pStyle w:val="BodyText"/>
        <w:spacing w:line="240" w:lineRule="auto"/>
        <w:ind w:left="134" w:right="5675"/>
        <w:jc w:val="center"/>
      </w:pPr>
      <w:r>
        <w:rPr>
          <w:rFonts w:ascii="Times New Roman" w:hAnsi="Times New Roman" w:cs="Times New Roman" w:eastAsia="Times New Roman" w:hint="default"/>
        </w:rPr>
        <w:t>2</w:t>
      </w:r>
      <w:r>
        <w:rPr/>
        <w:t>、参股公司财务数据未经审计。</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八、公司控制的结构化主体情况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九、公司未来发展的展望</w:t>
      </w:r>
      <w:r>
        <w:rPr>
          <w:b w:val="0"/>
          <w:bCs w:val="0"/>
        </w:rPr>
      </w:r>
    </w:p>
    <w:p>
      <w:pPr>
        <w:spacing w:line="490" w:lineRule="atLeast" w:before="137"/>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（一）行业发展趋势分析</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近两年来，随着计算机、电子信息、移动互联网、云计算、</w:t>
      </w:r>
      <w:bookmarkStart w:name="八、公司控制的结构化主体情况" w:id="56"/>
      <w:bookmarkEnd w:id="56"/>
      <w:r>
        <w:rPr>
          <w:rFonts w:ascii="宋体" w:hAnsi="宋体" w:cs="宋体" w:eastAsia="宋体" w:hint="default"/>
          <w:spacing w:val="-1"/>
          <w:sz w:val="21"/>
          <w:szCs w:val="21"/>
        </w:rPr>
        <w:t>大数据等相关技术的快速发展</w:t>
      </w:r>
      <w:r>
        <w:rPr>
          <w:rFonts w:ascii="宋体" w:hAnsi="宋体" w:cs="宋体" w:eastAsia="宋体" w:hint="default"/>
          <w:spacing w:val="-1"/>
          <w:sz w:val="21"/>
          <w:szCs w:val="21"/>
        </w:rPr>
        <w:t>，</w:t>
      </w:r>
      <w:bookmarkStart w:name="九、公司未来发展的展望" w:id="57"/>
      <w:bookmarkEnd w:id="57"/>
      <w:r>
        <w:rPr>
          <w:rFonts w:ascii="宋体" w:hAnsi="宋体" w:cs="宋体" w:eastAsia="宋体" w:hint="default"/>
          <w:spacing w:val="-1"/>
          <w:sz w:val="21"/>
          <w:szCs w:val="21"/>
        </w:rPr>
        <w:t>社会信息</w:t>
      </w:r>
    </w:p>
    <w:p>
      <w:pPr>
        <w:pStyle w:val="BodyText"/>
        <w:spacing w:line="326" w:lineRule="auto" w:before="99"/>
        <w:ind w:left="154" w:right="0"/>
        <w:jc w:val="left"/>
      </w:pPr>
      <w:r>
        <w:rPr>
          <w:spacing w:val="-1"/>
        </w:rPr>
        <w:t>化程度不断提高，电子商务和电子政务的快速发展，政府各执法部门对本行业执法监管不断朝着信息化方</w:t>
      </w:r>
      <w:r>
        <w:rPr>
          <w:spacing w:val="-81"/>
        </w:rPr>
        <w:t> </w:t>
      </w:r>
      <w:r>
        <w:rPr>
          <w:spacing w:val="-81"/>
        </w:rPr>
      </w:r>
      <w:r>
        <w:rPr/>
        <w:t>向发展。</w:t>
      </w:r>
    </w:p>
    <w:p>
      <w:pPr>
        <w:pStyle w:val="BodyText"/>
        <w:spacing w:line="326" w:lineRule="auto" w:before="144"/>
        <w:ind w:left="154" w:right="130" w:firstLine="420"/>
        <w:jc w:val="both"/>
      </w:pPr>
      <w:r>
        <w:rPr/>
        <w:t>在政府监管领域，公检法等司法机关每年受理的刑事案件和民事案件中，涉及电子数据的案件增多。 </w:t>
      </w:r>
      <w:r>
        <w:rPr>
          <w:spacing w:val="-1"/>
        </w:rPr>
        <w:t>工商、税务、海关、质监、检验检疫等政府行政执法部门的执法监管工作中，电子数据取证分析已成为日</w:t>
      </w:r>
      <w:r>
        <w:rPr>
          <w:spacing w:val="-83"/>
        </w:rPr>
        <w:t> </w:t>
      </w:r>
      <w:r>
        <w:rPr>
          <w:spacing w:val="-83"/>
        </w:rPr>
      </w:r>
      <w:r>
        <w:rPr>
          <w:spacing w:val="-1"/>
        </w:rPr>
        <w:t>益重要的工作内容，如商品交易监管、食品安全监管、检验检疫等传统执法监管领域，也已经开始转向信</w:t>
      </w:r>
      <w:r>
        <w:rPr>
          <w:spacing w:val="-86"/>
        </w:rPr>
        <w:t> </w:t>
      </w:r>
      <w:r>
        <w:rPr>
          <w:spacing w:val="-86"/>
        </w:rPr>
      </w:r>
      <w:r>
        <w:rPr/>
        <w:t>息化监管方向。</w:t>
      </w:r>
    </w:p>
    <w:p>
      <w:pPr>
        <w:pStyle w:val="BodyText"/>
        <w:spacing w:line="326" w:lineRule="auto" w:before="144"/>
        <w:ind w:left="154" w:right="151" w:firstLine="420"/>
        <w:jc w:val="both"/>
      </w:pPr>
      <w:r>
        <w:rPr>
          <w:spacing w:val="-1"/>
        </w:rPr>
        <w:t>在民用领域，信息化和网络化需求增长，电子数据已成为人们生产和生活中的重要元素，海量数据分</w:t>
      </w:r>
      <w:r>
        <w:rPr/>
        <w:t> 析及应用的需求较大。</w:t>
      </w:r>
    </w:p>
    <w:p>
      <w:pPr>
        <w:spacing w:after="0" w:line="326" w:lineRule="auto"/>
        <w:jc w:val="both"/>
        <w:sectPr>
          <w:pgSz w:w="11910" w:h="16840"/>
          <w:pgMar w:header="918" w:footer="1020" w:top="1160" w:bottom="1220" w:left="980" w:right="980"/>
        </w:sectPr>
      </w:pPr>
    </w:p>
    <w:p>
      <w:pPr>
        <w:spacing w:line="240" w:lineRule="auto" w:before="5"/>
        <w:rPr>
          <w:rFonts w:ascii="宋体" w:hAnsi="宋体" w:cs="宋体" w:eastAsia="宋体" w:hint="default"/>
          <w:sz w:val="20"/>
          <w:szCs w:val="20"/>
        </w:rPr>
      </w:pPr>
    </w:p>
    <w:p>
      <w:pPr>
        <w:pStyle w:val="BodyText"/>
        <w:spacing w:line="326" w:lineRule="auto" w:before="35"/>
        <w:ind w:left="154" w:right="152" w:firstLine="420"/>
        <w:jc w:val="both"/>
      </w:pPr>
      <w:r>
        <w:rPr>
          <w:spacing w:val="-1"/>
        </w:rPr>
        <w:t>在市场需求快速增长的同时，市场也呈现出了竞争日益激烈的态势，各细分领域不断涌现出新的竞争</w:t>
      </w:r>
      <w:r>
        <w:rPr/>
        <w:t> </w:t>
      </w:r>
      <w:r>
        <w:rPr>
          <w:spacing w:val="-1"/>
        </w:rPr>
        <w:t>者，有新成立的企业，也有很多从其他领域跨界过来竞争的，尤其是后者，往往可能迅速成为强有力的对</w:t>
      </w:r>
      <w:r>
        <w:rPr>
          <w:spacing w:val="-86"/>
        </w:rPr>
        <w:t> </w:t>
      </w:r>
      <w:r>
        <w:rPr>
          <w:spacing w:val="-86"/>
        </w:rPr>
      </w:r>
      <w:r>
        <w:rPr/>
        <w:t>手。</w:t>
      </w:r>
    </w:p>
    <w:p>
      <w:pPr>
        <w:pStyle w:val="BodyText"/>
        <w:spacing w:line="326" w:lineRule="auto" w:before="144"/>
        <w:ind w:left="154" w:right="151" w:firstLine="420"/>
        <w:jc w:val="both"/>
      </w:pPr>
      <w:r>
        <w:rPr>
          <w:spacing w:val="-1"/>
        </w:rPr>
        <w:t>公司是国内电子数据取证行业的龙头企业、网络空间安全专家，具有先发优势和深厚的技术储备。我</w:t>
      </w:r>
      <w:r>
        <w:rPr/>
        <w:t> </w:t>
      </w:r>
      <w:r>
        <w:rPr>
          <w:spacing w:val="-1"/>
        </w:rPr>
        <w:t>们在努力巩固自身竞争优势的同时，也需要快速抓住机遇，把握行业发展方向，通过与细分行业中的龙头</w:t>
      </w:r>
      <w:r>
        <w:rPr>
          <w:spacing w:val="-83"/>
        </w:rPr>
        <w:t> </w:t>
      </w:r>
      <w:r>
        <w:rPr>
          <w:spacing w:val="-83"/>
        </w:rPr>
      </w:r>
      <w:r>
        <w:rPr>
          <w:spacing w:val="-1"/>
        </w:rPr>
        <w:t>企业合作，充分发挥各自资源优势，联合进行市场开拓，为用户提供专业产品和服务，进行差异化的跨界</w:t>
      </w:r>
      <w:r>
        <w:rPr>
          <w:spacing w:val="-86"/>
        </w:rPr>
        <w:t> </w:t>
      </w:r>
      <w:r>
        <w:rPr>
          <w:spacing w:val="-86"/>
        </w:rPr>
      </w:r>
      <w:r>
        <w:rPr/>
        <w:t>竞争。</w:t>
      </w:r>
    </w:p>
    <w:p>
      <w:pPr>
        <w:spacing w:line="408" w:lineRule="auto" w:before="144"/>
        <w:ind w:left="573" w:right="323" w:firstLine="2"/>
        <w:jc w:val="left"/>
        <w:rPr>
          <w:rFonts w:ascii="宋体" w:hAnsi="宋体" w:cs="宋体" w:eastAsia="宋体" w:hint="default"/>
          <w:sz w:val="21"/>
          <w:szCs w:val="21"/>
        </w:rPr>
      </w:pPr>
      <w:r>
        <w:rPr>
          <w:rFonts w:ascii="宋体" w:hAnsi="宋体" w:cs="宋体" w:eastAsia="宋体" w:hint="default"/>
          <w:b/>
          <w:bCs/>
          <w:sz w:val="21"/>
          <w:szCs w:val="21"/>
        </w:rPr>
        <w:t>（二）公司战略及</w:t>
      </w:r>
      <w:r>
        <w:rPr>
          <w:rFonts w:ascii="Times New Roman" w:hAnsi="Times New Roman" w:cs="Times New Roman" w:eastAsia="Times New Roman" w:hint="default"/>
          <w:b/>
          <w:bCs/>
          <w:sz w:val="21"/>
          <w:szCs w:val="21"/>
        </w:rPr>
        <w:t>2016</w:t>
      </w:r>
      <w:r>
        <w:rPr>
          <w:rFonts w:ascii="宋体" w:hAnsi="宋体" w:cs="宋体" w:eastAsia="宋体" w:hint="default"/>
          <w:b/>
          <w:bCs/>
          <w:sz w:val="21"/>
          <w:szCs w:val="21"/>
        </w:rPr>
        <w:t>年度经营计划</w:t>
      </w:r>
      <w:r>
        <w:rPr>
          <w:rFonts w:ascii="宋体" w:hAnsi="宋体" w:cs="宋体" w:eastAsia="宋体" w:hint="default"/>
          <w:b/>
          <w:bCs/>
          <w:spacing w:val="1"/>
          <w:w w:val="99"/>
          <w:sz w:val="21"/>
          <w:szCs w:val="21"/>
        </w:rPr>
        <w:t> </w:t>
      </w:r>
      <w:r>
        <w:rPr>
          <w:rFonts w:ascii="宋体" w:hAnsi="宋体" w:cs="宋体" w:eastAsia="宋体" w:hint="default"/>
          <w:sz w:val="21"/>
          <w:szCs w:val="21"/>
        </w:rPr>
        <w:t>公司的长期战略目标是通过内生增长和外延扩张相结合的方式，巩固公司在国内市场领先地位的同</w:t>
      </w:r>
    </w:p>
    <w:p>
      <w:pPr>
        <w:pStyle w:val="BodyText"/>
        <w:spacing w:line="227" w:lineRule="exact"/>
        <w:ind w:left="153" w:right="0"/>
        <w:jc w:val="left"/>
      </w:pPr>
      <w:r>
        <w:rPr/>
        <w:t>时，不断提升在国际市场上的竞争力，发展成为国际领先的电子数据取证产品及服务提供商、网络空间安</w:t>
      </w:r>
    </w:p>
    <w:p>
      <w:pPr>
        <w:pStyle w:val="BodyText"/>
        <w:spacing w:line="309" w:lineRule="auto" w:before="99"/>
        <w:ind w:left="153" w:right="0"/>
        <w:jc w:val="left"/>
      </w:pPr>
      <w:r>
        <w:rPr>
          <w:spacing w:val="-1"/>
        </w:rPr>
        <w:t>全与大数据信息化专家。</w:t>
      </w:r>
      <w:r>
        <w:rPr>
          <w:rFonts w:ascii="Times New Roman" w:hAnsi="Times New Roman" w:cs="Times New Roman" w:eastAsia="Times New Roman" w:hint="default"/>
          <w:spacing w:val="-1"/>
        </w:rPr>
        <w:t>2016</w:t>
      </w:r>
      <w:r>
        <w:rPr>
          <w:spacing w:val="-1"/>
        </w:rPr>
        <w:t>年度，公司将进一步优化公司管理，引入集团化管理模式，加强母子公司协</w:t>
      </w:r>
      <w:r>
        <w:rPr>
          <w:spacing w:val="-87"/>
        </w:rPr>
        <w:t> </w:t>
      </w:r>
      <w:r>
        <w:rPr>
          <w:spacing w:val="-87"/>
        </w:rPr>
      </w:r>
      <w:r>
        <w:rPr>
          <w:spacing w:val="-1"/>
        </w:rPr>
        <w:t>同管理；持续完善目标责任及考核机制，采用多元化的激励模式完善长效激励机制；重点围绕“四大产品</w:t>
      </w:r>
    </w:p>
    <w:p>
      <w:pPr>
        <w:pStyle w:val="BodyText"/>
        <w:spacing w:line="309" w:lineRule="auto" w:before="38"/>
        <w:ind w:left="153" w:right="204"/>
        <w:jc w:val="left"/>
      </w:pPr>
      <w:r>
        <w:rPr>
          <w:rFonts w:ascii="Times New Roman" w:hAnsi="Times New Roman" w:cs="Times New Roman" w:eastAsia="Times New Roman" w:hint="default"/>
        </w:rPr>
        <w:t>+</w:t>
      </w:r>
      <w:r>
        <w:rPr/>
        <w:t>四大服务”主营业务体系、自主研发与投资并购并驾齐驱，持续进行产品、技术创新，市场拓展，保障 公司销售收入及净利润稳定增长。</w:t>
      </w:r>
    </w:p>
    <w:p>
      <w:pPr>
        <w:pStyle w:val="BodyText"/>
        <w:spacing w:line="240" w:lineRule="auto" w:before="158"/>
        <w:ind w:left="573" w:right="0"/>
        <w:jc w:val="left"/>
      </w:pPr>
      <w:r>
        <w:rPr>
          <w:rFonts w:ascii="Times New Roman" w:hAnsi="Times New Roman" w:cs="Times New Roman" w:eastAsia="Times New Roman" w:hint="default"/>
        </w:rPr>
        <w:t>1</w:t>
      </w:r>
      <w:r>
        <w:rPr/>
        <w:t>、进一步优化公司管理</w:t>
      </w:r>
    </w:p>
    <w:p>
      <w:pPr>
        <w:spacing w:line="240" w:lineRule="auto" w:before="7"/>
        <w:rPr>
          <w:rFonts w:ascii="宋体" w:hAnsi="宋体" w:cs="宋体" w:eastAsia="宋体" w:hint="default"/>
          <w:sz w:val="15"/>
          <w:szCs w:val="15"/>
        </w:rPr>
      </w:pPr>
    </w:p>
    <w:p>
      <w:pPr>
        <w:pStyle w:val="BodyText"/>
        <w:spacing w:line="309" w:lineRule="auto"/>
        <w:ind w:left="153" w:right="236" w:firstLine="420"/>
        <w:jc w:val="both"/>
      </w:pPr>
      <w:r>
        <w:rPr/>
        <w:t>（</w:t>
      </w:r>
      <w:r>
        <w:rPr>
          <w:rFonts w:ascii="Times New Roman" w:hAnsi="Times New Roman" w:cs="Times New Roman" w:eastAsia="Times New Roman" w:hint="default"/>
        </w:rPr>
        <w:t>1</w:t>
      </w:r>
      <w:r>
        <w:rPr/>
        <w:t>）集团化管理模式：加强母子公司协同管理：采购、财务、人力资源、研发、技术支持等各个环 节的协同管理。</w:t>
      </w:r>
    </w:p>
    <w:p>
      <w:pPr>
        <w:pStyle w:val="BodyText"/>
        <w:spacing w:line="309" w:lineRule="auto" w:before="158"/>
        <w:ind w:left="153" w:right="236" w:firstLine="420"/>
        <w:jc w:val="both"/>
      </w:pPr>
      <w:r>
        <w:rPr/>
        <w:t>（</w:t>
      </w:r>
      <w:r>
        <w:rPr>
          <w:rFonts w:ascii="Times New Roman" w:hAnsi="Times New Roman" w:cs="Times New Roman" w:eastAsia="Times New Roman" w:hint="default"/>
        </w:rPr>
        <w:t>2</w:t>
      </w:r>
      <w:r>
        <w:rPr/>
        <w:t>）完善长效激励机制：适时推出新的股权激励计划或员工持股计划，以形成短期和中长期相结合 的激励机制。</w:t>
      </w:r>
    </w:p>
    <w:p>
      <w:pPr>
        <w:pStyle w:val="BodyText"/>
        <w:spacing w:line="309" w:lineRule="auto" w:before="158"/>
        <w:ind w:left="153" w:right="236" w:firstLine="420"/>
        <w:jc w:val="both"/>
      </w:pPr>
      <w:r>
        <w:rPr/>
        <w:t>（</w:t>
      </w:r>
      <w:r>
        <w:rPr>
          <w:rFonts w:ascii="Times New Roman" w:hAnsi="Times New Roman" w:cs="Times New Roman" w:eastAsia="Times New Roman" w:hint="default"/>
        </w:rPr>
        <w:t>3</w:t>
      </w:r>
      <w:r>
        <w:rPr/>
        <w:t>）完善目标责任及考核机制：将公司年度经营计划逐级分解，并结合各岗位职责要求制定目标责 任书；组织各部门进行员工绩效盘点，根据员工的绩效结果，适时、合理地进行人员结构优化。</w:t>
      </w:r>
    </w:p>
    <w:p>
      <w:pPr>
        <w:pStyle w:val="BodyText"/>
        <w:spacing w:line="240" w:lineRule="auto" w:before="158"/>
        <w:ind w:left="573" w:right="0"/>
        <w:jc w:val="left"/>
      </w:pPr>
      <w:r>
        <w:rPr>
          <w:rFonts w:ascii="Times New Roman" w:hAnsi="Times New Roman" w:cs="Times New Roman" w:eastAsia="Times New Roman" w:hint="default"/>
        </w:rPr>
        <w:t>2</w:t>
      </w:r>
      <w:r>
        <w:rPr/>
        <w:t>、产品和技术持续创新</w:t>
      </w:r>
    </w:p>
    <w:p>
      <w:pPr>
        <w:spacing w:line="240" w:lineRule="auto" w:before="7"/>
        <w:rPr>
          <w:rFonts w:ascii="宋体" w:hAnsi="宋体" w:cs="宋体" w:eastAsia="宋体" w:hint="default"/>
          <w:sz w:val="15"/>
          <w:szCs w:val="15"/>
        </w:rPr>
      </w:pPr>
    </w:p>
    <w:p>
      <w:pPr>
        <w:pStyle w:val="BodyText"/>
        <w:spacing w:line="309" w:lineRule="auto"/>
        <w:ind w:left="153" w:right="236" w:firstLine="420"/>
        <w:jc w:val="both"/>
      </w:pPr>
      <w:r>
        <w:rPr/>
        <w:t>（</w:t>
      </w:r>
      <w:r>
        <w:rPr>
          <w:rFonts w:ascii="Times New Roman" w:hAnsi="Times New Roman" w:cs="Times New Roman" w:eastAsia="Times New Roman" w:hint="default"/>
        </w:rPr>
        <w:t>1</w:t>
      </w:r>
      <w:r>
        <w:rPr/>
        <w:t>）数据资源整合及服务能力提升：进一步整合公司各中心、公司及各分子公司之间的数据资源， 挖掘各行业互联网大数据的价值，进一步拓展基于互联网大数据的行业应用。</w:t>
      </w:r>
    </w:p>
    <w:p>
      <w:pPr>
        <w:pStyle w:val="BodyText"/>
        <w:spacing w:line="309" w:lineRule="auto" w:before="158"/>
        <w:ind w:left="153" w:right="236" w:firstLine="420"/>
        <w:jc w:val="both"/>
      </w:pPr>
      <w:r>
        <w:rPr/>
        <w:t>（</w:t>
      </w:r>
      <w:r>
        <w:rPr>
          <w:rFonts w:ascii="Times New Roman" w:hAnsi="Times New Roman" w:cs="Times New Roman" w:eastAsia="Times New Roman" w:hint="default"/>
        </w:rPr>
        <w:t>2</w:t>
      </w:r>
      <w:r>
        <w:rPr/>
        <w:t>）持续加强平台功能和应用：连接取证设备，依托大数据资源，开发新平台新应用。结合政府部 门线上、线下监管需求，打造互联网秩序监管服务平台，为执法部门精准执法提供支撑。</w:t>
      </w:r>
    </w:p>
    <w:p>
      <w:pPr>
        <w:pStyle w:val="BodyText"/>
        <w:spacing w:line="309" w:lineRule="auto" w:before="158"/>
        <w:ind w:left="153" w:right="236" w:firstLine="420"/>
        <w:jc w:val="both"/>
      </w:pPr>
      <w:r>
        <w:rPr/>
        <w:t>（</w:t>
      </w:r>
      <w:r>
        <w:rPr>
          <w:rFonts w:ascii="Times New Roman" w:hAnsi="Times New Roman" w:cs="Times New Roman" w:eastAsia="Times New Roman" w:hint="default"/>
        </w:rPr>
        <w:t>3</w:t>
      </w:r>
      <w:r>
        <w:rPr/>
        <w:t>）融合手机取证和计算机取证：实现数据汇聚和前后台联动；引领取证行业技术方向，初步实现 数据分析智能化。</w:t>
      </w:r>
    </w:p>
    <w:p>
      <w:pPr>
        <w:pStyle w:val="BodyText"/>
        <w:spacing w:line="309" w:lineRule="auto" w:before="158"/>
        <w:ind w:left="153" w:right="236" w:firstLine="420"/>
        <w:jc w:val="both"/>
      </w:pPr>
      <w:r>
        <w:rPr/>
        <w:t>（</w:t>
      </w:r>
      <w:r>
        <w:rPr>
          <w:rFonts w:ascii="Times New Roman" w:hAnsi="Times New Roman" w:cs="Times New Roman" w:eastAsia="Times New Roman" w:hint="default"/>
        </w:rPr>
        <w:t>4</w:t>
      </w:r>
      <w:r>
        <w:rPr/>
        <w:t>）视频技术研究：加强与武汉大千的技术和渠道融合，完善产品功能，不断提升市场竞争力，加 快产品市场推广。</w:t>
      </w:r>
    </w:p>
    <w:p>
      <w:pPr>
        <w:pStyle w:val="BodyText"/>
        <w:spacing w:line="309" w:lineRule="auto" w:before="158"/>
        <w:ind w:left="153" w:right="236" w:firstLine="420"/>
        <w:jc w:val="both"/>
      </w:pPr>
      <w:r>
        <w:rPr/>
        <w:t>（</w:t>
      </w:r>
      <w:r>
        <w:rPr>
          <w:rFonts w:ascii="Times New Roman" w:hAnsi="Times New Roman" w:cs="Times New Roman" w:eastAsia="Times New Roman" w:hint="default"/>
        </w:rPr>
        <w:t>5</w:t>
      </w:r>
      <w:r>
        <w:rPr/>
        <w:t>）充分发挥美亚梧桐产业并购基金、青果创客汇及刘祥南创新创业基金的投资及孵化作用为公司 核心技术研发和持续创新服务。</w:t>
      </w:r>
    </w:p>
    <w:p>
      <w:pPr>
        <w:spacing w:after="0" w:line="309" w:lineRule="auto"/>
        <w:jc w:val="both"/>
        <w:sectPr>
          <w:pgSz w:w="11910" w:h="16840"/>
          <w:pgMar w:header="918" w:footer="1020" w:top="1160" w:bottom="1220" w:left="980" w:right="980"/>
        </w:sectPr>
      </w:pPr>
    </w:p>
    <w:p>
      <w:pPr>
        <w:spacing w:line="240" w:lineRule="auto" w:before="5"/>
        <w:rPr>
          <w:rFonts w:ascii="宋体" w:hAnsi="宋体" w:cs="宋体" w:eastAsia="宋体" w:hint="default"/>
          <w:sz w:val="20"/>
          <w:szCs w:val="20"/>
        </w:rPr>
      </w:pPr>
    </w:p>
    <w:p>
      <w:pPr>
        <w:pStyle w:val="BodyText"/>
        <w:spacing w:line="240" w:lineRule="auto" w:before="35"/>
        <w:ind w:right="97"/>
        <w:jc w:val="left"/>
      </w:pPr>
      <w:r>
        <w:rPr>
          <w:rFonts w:ascii="Times New Roman" w:hAnsi="Times New Roman" w:cs="Times New Roman" w:eastAsia="Times New Roman" w:hint="default"/>
        </w:rPr>
        <w:t>3</w:t>
      </w:r>
      <w:r>
        <w:rPr/>
        <w:t>、销售和市场拓展</w:t>
      </w:r>
    </w:p>
    <w:p>
      <w:pPr>
        <w:spacing w:line="240" w:lineRule="auto" w:before="7"/>
        <w:rPr>
          <w:rFonts w:ascii="宋体" w:hAnsi="宋体" w:cs="宋体" w:eastAsia="宋体" w:hint="default"/>
          <w:sz w:val="15"/>
          <w:szCs w:val="15"/>
        </w:rPr>
      </w:pPr>
    </w:p>
    <w:p>
      <w:pPr>
        <w:pStyle w:val="BodyText"/>
        <w:spacing w:line="309" w:lineRule="auto"/>
        <w:ind w:left="154" w:right="277" w:firstLine="420"/>
        <w:jc w:val="left"/>
      </w:pPr>
      <w:r>
        <w:rPr/>
        <w:t>（</w:t>
      </w:r>
      <w:r>
        <w:rPr>
          <w:rFonts w:ascii="Times New Roman" w:hAnsi="Times New Roman" w:cs="Times New Roman" w:eastAsia="Times New Roman" w:hint="default"/>
        </w:rPr>
        <w:t>1</w:t>
      </w:r>
      <w:r>
        <w:rPr/>
        <w:t>）强化销售团队建设，加强代理商管理：加强销售团队的技能和产品知识培训，销售过程管理， 代理商规范管理。</w:t>
      </w:r>
    </w:p>
    <w:p>
      <w:pPr>
        <w:pStyle w:val="BodyText"/>
        <w:spacing w:line="240" w:lineRule="auto" w:before="158"/>
        <w:ind w:right="97"/>
        <w:jc w:val="left"/>
      </w:pPr>
      <w:r>
        <w:rPr/>
        <w:t>（</w:t>
      </w:r>
      <w:r>
        <w:rPr>
          <w:rFonts w:ascii="Times New Roman" w:hAnsi="Times New Roman" w:cs="Times New Roman" w:eastAsia="Times New Roman" w:hint="default"/>
        </w:rPr>
        <w:t>2</w:t>
      </w:r>
      <w:r>
        <w:rPr/>
        <w:t>）坚持区域下沉策略：不断提高区县市场占有率，保持传统优势行业持续产出。</w:t>
      </w:r>
    </w:p>
    <w:p>
      <w:pPr>
        <w:spacing w:line="240" w:lineRule="auto" w:before="7"/>
        <w:rPr>
          <w:rFonts w:ascii="宋体" w:hAnsi="宋体" w:cs="宋体" w:eastAsia="宋体" w:hint="default"/>
          <w:sz w:val="15"/>
          <w:szCs w:val="15"/>
        </w:rPr>
      </w:pPr>
    </w:p>
    <w:p>
      <w:pPr>
        <w:pStyle w:val="BodyText"/>
        <w:spacing w:line="309" w:lineRule="auto"/>
        <w:ind w:left="153" w:right="97" w:firstLine="420"/>
        <w:jc w:val="left"/>
      </w:pPr>
      <w:r>
        <w:rPr>
          <w:spacing w:val="-1"/>
        </w:rPr>
        <w:t>（</w:t>
      </w:r>
      <w:r>
        <w:rPr>
          <w:rFonts w:ascii="Times New Roman" w:hAnsi="Times New Roman" w:cs="Times New Roman" w:eastAsia="Times New Roman" w:hint="default"/>
          <w:spacing w:val="-1"/>
        </w:rPr>
        <w:t>3</w:t>
      </w:r>
      <w:r>
        <w:rPr>
          <w:spacing w:val="-1"/>
        </w:rPr>
        <w:t>）发挥协同效应：新行业市场需求不断涌现，充分发挥与江苏税软、新德汇等子公司的协同效应，</w:t>
      </w:r>
      <w:r>
        <w:rPr/>
        <w:t> 抓住机遇继续大力拓展检察、工商、税务等新行业及公安刑侦、经侦等新警种市场。</w:t>
      </w:r>
    </w:p>
    <w:p>
      <w:pPr>
        <w:pStyle w:val="BodyText"/>
        <w:spacing w:line="309" w:lineRule="auto" w:before="158"/>
        <w:ind w:left="153" w:right="278" w:firstLine="420"/>
        <w:jc w:val="left"/>
      </w:pPr>
      <w:r>
        <w:rPr/>
        <w:t>（</w:t>
      </w:r>
      <w:r>
        <w:rPr>
          <w:rFonts w:ascii="Times New Roman" w:hAnsi="Times New Roman" w:cs="Times New Roman" w:eastAsia="Times New Roman" w:hint="default"/>
        </w:rPr>
        <w:t>4</w:t>
      </w:r>
      <w:r>
        <w:rPr/>
        <w:t>）改善重点市场：重点保障需求旺盛的行业或区域销售力量；针对销售能力薄弱的区域或行业， 分析原因并加以改进。</w:t>
      </w:r>
    </w:p>
    <w:p>
      <w:pPr>
        <w:pStyle w:val="BodyText"/>
        <w:spacing w:line="309" w:lineRule="auto" w:before="158"/>
        <w:ind w:left="153" w:right="278" w:firstLine="420"/>
        <w:jc w:val="left"/>
      </w:pPr>
      <w:r>
        <w:rPr/>
        <w:t>（</w:t>
      </w:r>
      <w:r>
        <w:rPr>
          <w:rFonts w:ascii="Times New Roman" w:hAnsi="Times New Roman" w:cs="Times New Roman" w:eastAsia="Times New Roman" w:hint="default"/>
        </w:rPr>
        <w:t>5</w:t>
      </w:r>
      <w:r>
        <w:rPr/>
        <w:t>）加推重点产品：加大电子数据取证产品新行业及区域市场推广的同时，重点拓展视频分析、大 数据信息化市场，逐步提升视频分析及大数据信息化业务的收入占比。</w:t>
      </w:r>
    </w:p>
    <w:p>
      <w:pPr>
        <w:pStyle w:val="BodyText"/>
        <w:spacing w:line="309" w:lineRule="auto" w:before="158"/>
        <w:ind w:left="153" w:right="278" w:firstLine="420"/>
        <w:jc w:val="left"/>
      </w:pPr>
      <w:r>
        <w:rPr/>
        <w:t>（</w:t>
      </w:r>
      <w:r>
        <w:rPr>
          <w:rFonts w:ascii="Times New Roman" w:hAnsi="Times New Roman" w:cs="Times New Roman" w:eastAsia="Times New Roman" w:hint="default"/>
        </w:rPr>
        <w:t>6</w:t>
      </w:r>
      <w:r>
        <w:rPr/>
        <w:t>）拓展国际市场：完成重点外销产品的英文化工作，借助国家一带一路政策的实施机遇，加快电 子数据取证产品在一带一路国家市场的销售。</w:t>
      </w:r>
    </w:p>
    <w:p>
      <w:pPr>
        <w:pStyle w:val="BodyText"/>
        <w:spacing w:line="240" w:lineRule="auto" w:before="158"/>
        <w:ind w:left="573" w:right="97"/>
        <w:jc w:val="left"/>
      </w:pPr>
      <w:r>
        <w:rPr>
          <w:rFonts w:ascii="Times New Roman" w:hAnsi="Times New Roman" w:cs="Times New Roman" w:eastAsia="Times New Roman" w:hint="default"/>
        </w:rPr>
        <w:t>4</w:t>
      </w:r>
      <w:r>
        <w:rPr/>
        <w:t>、加快外延发展步伐</w:t>
      </w:r>
    </w:p>
    <w:p>
      <w:pPr>
        <w:spacing w:line="240" w:lineRule="auto" w:before="7"/>
        <w:rPr>
          <w:rFonts w:ascii="宋体" w:hAnsi="宋体" w:cs="宋体" w:eastAsia="宋体" w:hint="default"/>
          <w:sz w:val="15"/>
          <w:szCs w:val="15"/>
        </w:rPr>
      </w:pPr>
    </w:p>
    <w:p>
      <w:pPr>
        <w:pStyle w:val="BodyText"/>
        <w:spacing w:line="309" w:lineRule="auto"/>
        <w:ind w:left="153" w:right="278" w:firstLine="420"/>
        <w:jc w:val="left"/>
      </w:pPr>
      <w:r>
        <w:rPr/>
        <w:t>（</w:t>
      </w:r>
      <w:r>
        <w:rPr>
          <w:rFonts w:ascii="Times New Roman" w:hAnsi="Times New Roman" w:cs="Times New Roman" w:eastAsia="Times New Roman" w:hint="default"/>
        </w:rPr>
        <w:t>1</w:t>
      </w:r>
      <w:r>
        <w:rPr/>
        <w:t>）充分发挥公司产业并购基金和创业平台的资源，持续孵化和引进优质项目，不断完善公司网络 空间安全及大数据信息化产业布局，提升公司技术实力和市场竞争力。</w:t>
      </w:r>
    </w:p>
    <w:p>
      <w:pPr>
        <w:pStyle w:val="BodyText"/>
        <w:spacing w:line="240" w:lineRule="auto" w:before="158"/>
        <w:ind w:left="573" w:right="97"/>
        <w:jc w:val="left"/>
      </w:pPr>
      <w:r>
        <w:rPr/>
        <w:t>（</w:t>
      </w:r>
      <w:r>
        <w:rPr>
          <w:rFonts w:ascii="Times New Roman" w:hAnsi="Times New Roman" w:cs="Times New Roman" w:eastAsia="Times New Roman" w:hint="default"/>
        </w:rPr>
        <w:t>2</w:t>
      </w:r>
      <w:r>
        <w:rPr/>
        <w:t>）加强投后管理，以实现投资效益</w:t>
      </w:r>
      <w:r>
        <w:rPr>
          <w:rFonts w:ascii="Times New Roman" w:hAnsi="Times New Roman" w:cs="Times New Roman" w:eastAsia="Times New Roman" w:hint="default"/>
        </w:rPr>
        <w:t>1+1&gt;2</w:t>
      </w:r>
      <w:r>
        <w:rPr/>
        <w:t>为目标，充分发挥公司及各子公司的协同效应。</w:t>
      </w:r>
    </w:p>
    <w:p>
      <w:pPr>
        <w:spacing w:line="240" w:lineRule="auto" w:before="8"/>
        <w:rPr>
          <w:rFonts w:ascii="宋体" w:hAnsi="宋体" w:cs="宋体" w:eastAsia="宋体" w:hint="default"/>
          <w:sz w:val="15"/>
          <w:szCs w:val="15"/>
        </w:rPr>
      </w:pPr>
    </w:p>
    <w:p>
      <w:pPr>
        <w:pStyle w:val="Heading4"/>
        <w:spacing w:line="240" w:lineRule="auto"/>
        <w:ind w:left="576" w:right="97"/>
        <w:jc w:val="left"/>
        <w:rPr>
          <w:b w:val="0"/>
          <w:bCs w:val="0"/>
        </w:rPr>
      </w:pPr>
      <w:r>
        <w:rPr/>
        <w:t>（三）影响公司发展的主要风险因素</w:t>
      </w:r>
      <w:r>
        <w:rPr>
          <w:b w:val="0"/>
          <w:bCs w:val="0"/>
        </w:rPr>
      </w:r>
    </w:p>
    <w:p>
      <w:pPr>
        <w:spacing w:line="240" w:lineRule="auto" w:before="10"/>
        <w:rPr>
          <w:rFonts w:ascii="宋体" w:hAnsi="宋体" w:cs="宋体" w:eastAsia="宋体" w:hint="default"/>
          <w:b/>
          <w:bCs/>
          <w:sz w:val="16"/>
          <w:szCs w:val="16"/>
        </w:rPr>
      </w:pPr>
    </w:p>
    <w:p>
      <w:pPr>
        <w:pStyle w:val="BodyText"/>
        <w:spacing w:line="240" w:lineRule="auto"/>
        <w:ind w:left="573" w:right="97"/>
        <w:jc w:val="left"/>
      </w:pPr>
      <w:r>
        <w:rPr>
          <w:rFonts w:ascii="Times New Roman" w:hAnsi="Times New Roman" w:cs="Times New Roman" w:eastAsia="Times New Roman" w:hint="default"/>
        </w:rPr>
        <w:t>1</w:t>
      </w:r>
      <w:r>
        <w:rPr/>
        <w:t>、公司管理风险</w:t>
      </w:r>
    </w:p>
    <w:p>
      <w:pPr>
        <w:spacing w:line="240" w:lineRule="auto" w:before="7"/>
        <w:rPr>
          <w:rFonts w:ascii="宋体" w:hAnsi="宋体" w:cs="宋体" w:eastAsia="宋体" w:hint="default"/>
          <w:sz w:val="15"/>
          <w:szCs w:val="15"/>
        </w:rPr>
      </w:pPr>
    </w:p>
    <w:p>
      <w:pPr>
        <w:pStyle w:val="BodyText"/>
        <w:spacing w:line="319" w:lineRule="auto"/>
        <w:ind w:left="153" w:right="190" w:firstLine="420"/>
        <w:jc w:val="both"/>
      </w:pPr>
      <w:r>
        <w:rPr>
          <w:rFonts w:ascii="Times New Roman" w:hAnsi="Times New Roman" w:cs="Times New Roman" w:eastAsia="Times New Roman" w:hint="default"/>
        </w:rPr>
        <w:t>2015</w:t>
      </w:r>
      <w:r>
        <w:rPr/>
        <w:t>年是公司投资并购取得突破进展的一年，公司新增江苏税软、新德汇、武汉大千等多个子公司， </w:t>
      </w:r>
      <w:r>
        <w:rPr>
          <w:spacing w:val="-1"/>
        </w:rPr>
        <w:t>公司业务范围不断扩大，新业务运作管理和各子公司的管理都将给公司管理带来新的挑战，如果不能有效</w:t>
      </w:r>
      <w:r>
        <w:rPr>
          <w:spacing w:val="-81"/>
        </w:rPr>
        <w:t> </w:t>
      </w:r>
      <w:r>
        <w:rPr>
          <w:spacing w:val="-81"/>
        </w:rPr>
      </w:r>
      <w:r>
        <w:rPr/>
        <w:t>整合，将影响产业并购协同效应的发挥，对上市公司整体经营管理造成不利影响。</w:t>
      </w:r>
    </w:p>
    <w:p>
      <w:pPr>
        <w:pStyle w:val="BodyText"/>
        <w:spacing w:line="319" w:lineRule="auto" w:before="150"/>
        <w:ind w:left="153" w:right="211" w:firstLine="420"/>
        <w:jc w:val="both"/>
      </w:pPr>
      <w:r>
        <w:rPr>
          <w:spacing w:val="-1"/>
        </w:rPr>
        <w:t>对此，公司将借鉴集团化管理模式，加强母子公司在采购、财务、人力资源、研发、技术支持等各个</w:t>
      </w:r>
      <w:r>
        <w:rPr/>
        <w:t> 环节的协同管理；充分整合各子公司资源，以实现投资效益</w:t>
      </w:r>
      <w:r>
        <w:rPr>
          <w:rFonts w:ascii="Times New Roman" w:hAnsi="Times New Roman" w:cs="Times New Roman" w:eastAsia="Times New Roman" w:hint="default"/>
        </w:rPr>
        <w:t>1+1&gt;2</w:t>
      </w:r>
      <w:r>
        <w:rPr/>
        <w:t>为目标，充分发挥公司及各子公司的协 同效应。</w:t>
      </w:r>
    </w:p>
    <w:p>
      <w:pPr>
        <w:pStyle w:val="BodyText"/>
        <w:spacing w:line="408" w:lineRule="auto" w:before="150"/>
        <w:ind w:left="573" w:right="97"/>
        <w:jc w:val="left"/>
      </w:pPr>
      <w:r>
        <w:rPr>
          <w:rFonts w:ascii="Times New Roman" w:hAnsi="Times New Roman" w:cs="Times New Roman" w:eastAsia="Times New Roman" w:hint="default"/>
        </w:rPr>
        <w:t>2</w:t>
      </w:r>
      <w:r>
        <w:rPr/>
        <w:t>、市场竞争不断加剧的风险 </w:t>
      </w:r>
      <w:r>
        <w:rPr>
          <w:spacing w:val="-1"/>
        </w:rPr>
        <w:t>虽然，我国的电子信息化、互联网行业发展迅速，市场需求快速增长，但市场竞争也日益加剧，新的</w:t>
      </w:r>
    </w:p>
    <w:p>
      <w:pPr>
        <w:pStyle w:val="BodyText"/>
        <w:spacing w:line="227" w:lineRule="exact"/>
        <w:ind w:left="153" w:right="97"/>
        <w:jc w:val="left"/>
      </w:pPr>
      <w:r>
        <w:rPr/>
        <w:t>竞争者不断涌入，公司能否在激烈的市场竞争中能获得发展机会及机遇存在不确定性。如果公司的新产品</w:t>
      </w:r>
    </w:p>
    <w:p>
      <w:pPr>
        <w:pStyle w:val="BodyText"/>
        <w:spacing w:line="326" w:lineRule="auto" w:before="99"/>
        <w:ind w:left="153" w:right="97"/>
        <w:jc w:val="left"/>
      </w:pPr>
      <w:r>
        <w:rPr>
          <w:spacing w:val="-1"/>
        </w:rPr>
        <w:t>或升级产品不能够成功推广到市场，或者不能有效控制产品成本和销售费用，对公司业务开展和财务状况</w:t>
      </w:r>
      <w:r>
        <w:rPr>
          <w:spacing w:val="-81"/>
        </w:rPr>
        <w:t> </w:t>
      </w:r>
      <w:r>
        <w:rPr>
          <w:spacing w:val="-81"/>
        </w:rPr>
      </w:r>
      <w:r>
        <w:rPr/>
        <w:t>都将产生不利影响。</w:t>
      </w:r>
    </w:p>
    <w:p>
      <w:pPr>
        <w:pStyle w:val="BodyText"/>
        <w:spacing w:line="326" w:lineRule="auto" w:before="144"/>
        <w:ind w:left="153" w:right="97" w:firstLine="420"/>
        <w:jc w:val="left"/>
      </w:pPr>
      <w:r>
        <w:rPr>
          <w:spacing w:val="-1"/>
        </w:rPr>
        <w:t>对此，公司一方面将继续加大研发投入，深挖市场渠道资源，始终保持强大的自主创新能力和技术先</w:t>
      </w:r>
      <w:r>
        <w:rPr/>
        <w:t> 进性，提升产品的市场竞争力。另一方面，加强行业伙伴间的合作力度，控制和分散相关风险。</w:t>
      </w:r>
    </w:p>
    <w:p>
      <w:pPr>
        <w:spacing w:after="0" w:line="326" w:lineRule="auto"/>
        <w:jc w:val="left"/>
        <w:sectPr>
          <w:pgSz w:w="11910" w:h="16840"/>
          <w:pgMar w:header="918" w:footer="1020" w:top="1160" w:bottom="1220" w:left="980" w:right="920"/>
        </w:sectPr>
      </w:pPr>
    </w:p>
    <w:p>
      <w:pPr>
        <w:spacing w:line="240" w:lineRule="auto" w:before="5"/>
        <w:rPr>
          <w:rFonts w:ascii="宋体" w:hAnsi="宋体" w:cs="宋体" w:eastAsia="宋体" w:hint="default"/>
          <w:sz w:val="20"/>
          <w:szCs w:val="20"/>
        </w:rPr>
      </w:pPr>
    </w:p>
    <w:p>
      <w:pPr>
        <w:pStyle w:val="BodyText"/>
        <w:spacing w:line="240" w:lineRule="auto" w:before="35"/>
        <w:ind w:right="97"/>
        <w:jc w:val="left"/>
      </w:pPr>
      <w:r>
        <w:rPr>
          <w:rFonts w:ascii="Times New Roman" w:hAnsi="Times New Roman" w:cs="Times New Roman" w:eastAsia="Times New Roman" w:hint="default"/>
        </w:rPr>
        <w:t>3</w:t>
      </w:r>
      <w:r>
        <w:rPr/>
        <w:t>、并购标的盈利预测的实现存在不确定性风险</w:t>
      </w:r>
    </w:p>
    <w:p>
      <w:pPr>
        <w:spacing w:line="240" w:lineRule="auto" w:before="7"/>
        <w:rPr>
          <w:rFonts w:ascii="宋体" w:hAnsi="宋体" w:cs="宋体" w:eastAsia="宋体" w:hint="default"/>
          <w:sz w:val="15"/>
          <w:szCs w:val="15"/>
        </w:rPr>
      </w:pPr>
    </w:p>
    <w:p>
      <w:pPr>
        <w:pStyle w:val="BodyText"/>
        <w:spacing w:line="324" w:lineRule="auto"/>
        <w:ind w:left="153" w:right="104" w:firstLine="420"/>
        <w:jc w:val="left"/>
      </w:pPr>
      <w:r>
        <w:rPr/>
        <w:t>在收购新德汇</w:t>
      </w:r>
      <w:r>
        <w:rPr>
          <w:rFonts w:ascii="Times New Roman" w:hAnsi="Times New Roman" w:cs="Times New Roman" w:eastAsia="Times New Roman" w:hint="default"/>
        </w:rPr>
        <w:t>49%</w:t>
      </w:r>
      <w:r>
        <w:rPr/>
        <w:t>股权、江苏税软</w:t>
      </w:r>
      <w:r>
        <w:rPr>
          <w:rFonts w:ascii="Times New Roman" w:hAnsi="Times New Roman" w:cs="Times New Roman" w:eastAsia="Times New Roman" w:hint="default"/>
        </w:rPr>
        <w:t>100%</w:t>
      </w:r>
      <w:r>
        <w:rPr/>
        <w:t>股权及武汉大千</w:t>
      </w:r>
      <w:r>
        <w:rPr>
          <w:rFonts w:ascii="Times New Roman" w:hAnsi="Times New Roman" w:cs="Times New Roman" w:eastAsia="Times New Roman" w:hint="default"/>
        </w:rPr>
        <w:t>51%</w:t>
      </w:r>
      <w:r>
        <w:rPr/>
        <w:t>股权的交易中，公司与交易对方分别签署 了盈利预测补偿的相关协议，江苏税软交易对方、新德汇交易对方和武汉大千交易对方分别对江苏税软、 </w:t>
      </w:r>
      <w:r>
        <w:rPr>
          <w:spacing w:val="-3"/>
        </w:rPr>
        <w:t>新德汇、武汉大千未来特定年度所实现的净利润作出了承诺。但仍存在因未来实际情况与盈利预测不一致，</w:t>
      </w:r>
      <w:r>
        <w:rPr>
          <w:spacing w:val="-92"/>
        </w:rPr>
        <w:t> </w:t>
      </w:r>
      <w:r>
        <w:rPr>
          <w:spacing w:val="-92"/>
        </w:rPr>
      </w:r>
      <w:r>
        <w:rPr/>
        <w:t>特别是宏观经济的波动、国家法规及行业政策的变化、竞争环境变化等情况，使未来盈利达不到资产评估</w:t>
      </w:r>
      <w:r>
        <w:rPr/>
        <w:t> 时的预测，导致出现标的资产在盈利承诺期内各年度的预测收入与实际情况不符进而影响标的资产估值的 风险，从而可能对上市公司股东利益造成损害。</w:t>
      </w:r>
    </w:p>
    <w:p>
      <w:pPr>
        <w:pStyle w:val="BodyText"/>
        <w:spacing w:line="326" w:lineRule="auto" w:before="146"/>
        <w:ind w:left="153" w:right="97" w:firstLine="420"/>
        <w:jc w:val="left"/>
      </w:pPr>
      <w:r>
        <w:rPr>
          <w:spacing w:val="-1"/>
        </w:rPr>
        <w:t>对此，公司将努力加强投后管理，密切跟踪各子公司经营情况，充分整合公司及各子公司资源，发挥</w:t>
      </w:r>
      <w:r>
        <w:rPr/>
        <w:t> 业务协同效应，提升综合竞争力。</w:t>
      </w:r>
    </w:p>
    <w:p>
      <w:pPr>
        <w:pStyle w:val="BodyText"/>
        <w:spacing w:line="240" w:lineRule="auto" w:before="144"/>
        <w:ind w:left="573" w:right="97"/>
        <w:jc w:val="left"/>
      </w:pPr>
      <w:r>
        <w:rPr>
          <w:rFonts w:ascii="Times New Roman" w:hAnsi="Times New Roman" w:cs="Times New Roman" w:eastAsia="Times New Roman" w:hint="default"/>
        </w:rPr>
        <w:t>4</w:t>
      </w:r>
      <w:r>
        <w:rPr/>
        <w:t>、重大资产重组项目实施后形成的商誉和长期股权投资减值风险</w:t>
      </w:r>
    </w:p>
    <w:p>
      <w:pPr>
        <w:spacing w:line="240" w:lineRule="auto" w:before="7"/>
        <w:rPr>
          <w:rFonts w:ascii="宋体" w:hAnsi="宋体" w:cs="宋体" w:eastAsia="宋体" w:hint="default"/>
          <w:sz w:val="15"/>
          <w:szCs w:val="15"/>
        </w:rPr>
      </w:pPr>
    </w:p>
    <w:p>
      <w:pPr>
        <w:pStyle w:val="BodyText"/>
        <w:spacing w:line="321" w:lineRule="auto"/>
        <w:ind w:left="153" w:right="211" w:firstLine="420"/>
        <w:jc w:val="both"/>
      </w:pPr>
      <w:r>
        <w:rPr>
          <w:spacing w:val="-2"/>
        </w:rPr>
        <w:t>公司发行股份购买江苏税软</w:t>
      </w:r>
      <w:r>
        <w:rPr>
          <w:rFonts w:ascii="Times New Roman" w:hAnsi="Times New Roman" w:cs="Times New Roman" w:eastAsia="Times New Roman" w:hint="default"/>
          <w:spacing w:val="-2"/>
        </w:rPr>
        <w:t>100%</w:t>
      </w:r>
      <w:r>
        <w:rPr>
          <w:spacing w:val="-2"/>
        </w:rPr>
        <w:t>股权和新德汇</w:t>
      </w:r>
      <w:r>
        <w:rPr>
          <w:rFonts w:ascii="Times New Roman" w:hAnsi="Times New Roman" w:cs="Times New Roman" w:eastAsia="Times New Roman" w:hint="default"/>
          <w:spacing w:val="-2"/>
        </w:rPr>
        <w:t>49%</w:t>
      </w:r>
      <w:r>
        <w:rPr>
          <w:spacing w:val="-2"/>
        </w:rPr>
        <w:t>股权的交易完成后，在公司合并资产负债表中将形</w:t>
      </w:r>
      <w:r>
        <w:rPr/>
        <w:t> </w:t>
      </w:r>
      <w:r>
        <w:rPr>
          <w:spacing w:val="-1"/>
        </w:rPr>
        <w:t>成较大金额的商誉和长期股权投资。根据《企业会计准则》规定，本次交易形成的商誉和长期股权投资不</w:t>
      </w:r>
      <w:r>
        <w:rPr>
          <w:spacing w:val="-85"/>
        </w:rPr>
        <w:t> </w:t>
      </w:r>
      <w:r>
        <w:rPr>
          <w:spacing w:val="-85"/>
        </w:rPr>
      </w:r>
      <w:r>
        <w:rPr>
          <w:spacing w:val="-1"/>
        </w:rPr>
        <w:t>作摊销处理，但需在未来每年年度终进行减值测试。如果江苏税软未来经营状况恶化，则存在商誉减值的</w:t>
      </w:r>
      <w:r>
        <w:rPr>
          <w:spacing w:val="-83"/>
        </w:rPr>
        <w:t> </w:t>
      </w:r>
      <w:r>
        <w:rPr>
          <w:spacing w:val="-83"/>
        </w:rPr>
      </w:r>
      <w:r>
        <w:rPr>
          <w:spacing w:val="-1"/>
        </w:rPr>
        <w:t>风险；如果新德汇未来经营状况恶化，则存在商誉减值和长期股权投资减值的风险，从而对公司当期损益</w:t>
      </w:r>
      <w:r>
        <w:rPr>
          <w:spacing w:val="-83"/>
        </w:rPr>
        <w:t> </w:t>
      </w:r>
      <w:r>
        <w:rPr>
          <w:spacing w:val="-83"/>
        </w:rPr>
      </w:r>
      <w:r>
        <w:rPr/>
        <w:t>造成不利影响。</w:t>
      </w:r>
    </w:p>
    <w:p>
      <w:pPr>
        <w:pStyle w:val="BodyText"/>
        <w:spacing w:line="326" w:lineRule="auto" w:before="148"/>
        <w:ind w:left="153" w:right="212" w:firstLine="420"/>
        <w:jc w:val="both"/>
      </w:pPr>
      <w:r>
        <w:rPr>
          <w:spacing w:val="-1"/>
        </w:rPr>
        <w:t>对此，公司将利用和子公司在业务、技术、客户、市场准入资质及人员的互补性进行资源整合，积极</w:t>
      </w:r>
      <w:r>
        <w:rPr/>
        <w:t> </w:t>
      </w:r>
      <w:r>
        <w:rPr>
          <w:spacing w:val="-1"/>
        </w:rPr>
        <w:t>发挥协同优势，保持公司及各子公司的持续竞争力，尽量降低将因本次交易形成的商誉和长期股权投资对</w:t>
      </w:r>
      <w:r>
        <w:rPr>
          <w:spacing w:val="-81"/>
        </w:rPr>
        <w:t> </w:t>
      </w:r>
      <w:r>
        <w:rPr>
          <w:spacing w:val="-81"/>
        </w:rPr>
      </w:r>
      <w:r>
        <w:rPr/>
        <w:t>公司未来业绩的影响。</w:t>
      </w:r>
    </w:p>
    <w:p>
      <w:pPr>
        <w:pStyle w:val="BodyText"/>
        <w:spacing w:line="408" w:lineRule="auto" w:before="144"/>
        <w:ind w:left="573" w:right="97"/>
        <w:jc w:val="left"/>
      </w:pPr>
      <w:r>
        <w:rPr>
          <w:rFonts w:ascii="Times New Roman" w:hAnsi="Times New Roman" w:cs="Times New Roman" w:eastAsia="Times New Roman" w:hint="default"/>
        </w:rPr>
        <w:t>5</w:t>
      </w:r>
      <w:r>
        <w:rPr/>
        <w:t>、核心人员流失的风险 </w:t>
      </w:r>
      <w:r>
        <w:rPr>
          <w:spacing w:val="-1"/>
        </w:rPr>
        <w:t>公司属于研发型企业，研发能力和创新能力是公司战略目标实现的关键因素之一，核心技术和管理人</w:t>
      </w:r>
    </w:p>
    <w:p>
      <w:pPr>
        <w:pStyle w:val="BodyText"/>
        <w:spacing w:line="227" w:lineRule="exact"/>
        <w:ind w:left="153" w:right="0"/>
        <w:jc w:val="both"/>
      </w:pPr>
      <w:r>
        <w:rPr/>
        <w:t>员是公司稳定发展的重要保障。如果我们不能够有效管理、留住或吸引高技能人才，我们的战略目标将无</w:t>
      </w:r>
    </w:p>
    <w:p>
      <w:pPr>
        <w:pStyle w:val="BodyText"/>
        <w:spacing w:line="240" w:lineRule="auto" w:before="99"/>
        <w:ind w:left="153" w:right="0"/>
        <w:jc w:val="both"/>
      </w:pPr>
      <w:r>
        <w:rPr/>
        <w:t>法实现。</w:t>
      </w:r>
    </w:p>
    <w:p>
      <w:pPr>
        <w:spacing w:line="240" w:lineRule="auto" w:before="10"/>
        <w:rPr>
          <w:rFonts w:ascii="宋体" w:hAnsi="宋体" w:cs="宋体" w:eastAsia="宋体" w:hint="default"/>
          <w:sz w:val="16"/>
          <w:szCs w:val="16"/>
        </w:rPr>
      </w:pPr>
    </w:p>
    <w:p>
      <w:pPr>
        <w:pStyle w:val="BodyText"/>
        <w:spacing w:line="326" w:lineRule="auto"/>
        <w:ind w:left="153" w:right="97" w:firstLine="420"/>
        <w:jc w:val="left"/>
      </w:pPr>
      <w:r>
        <w:rPr>
          <w:spacing w:val="-1"/>
        </w:rPr>
        <w:t>对此，公司将持续完善长效激励机制，适时推出新的股权激励计划或员工持股计划，以形成短期和中</w:t>
      </w:r>
      <w:r>
        <w:rPr/>
        <w:t> 长期相结合的激励机制。</w:t>
      </w:r>
    </w:p>
    <w:p>
      <w:pPr>
        <w:pStyle w:val="BodyText"/>
        <w:spacing w:line="408" w:lineRule="auto" w:before="144"/>
        <w:ind w:left="573" w:right="97"/>
        <w:jc w:val="left"/>
      </w:pPr>
      <w:r>
        <w:rPr>
          <w:rFonts w:ascii="Times New Roman" w:hAnsi="Times New Roman" w:cs="Times New Roman" w:eastAsia="Times New Roman" w:hint="default"/>
        </w:rPr>
        <w:t>6</w:t>
      </w:r>
      <w:r>
        <w:rPr/>
        <w:t>、应收账款过高的风险 报告期末，公司应收账款净额为</w:t>
      </w:r>
      <w:r>
        <w:rPr>
          <w:rFonts w:ascii="Times New Roman" w:hAnsi="Times New Roman" w:cs="Times New Roman" w:eastAsia="Times New Roman" w:hint="default"/>
        </w:rPr>
        <w:t>26,028.47</w:t>
      </w:r>
      <w:r>
        <w:rPr/>
        <w:t>万元，占公司总资产的比例为</w:t>
      </w:r>
      <w:r>
        <w:rPr>
          <w:rFonts w:ascii="Times New Roman" w:hAnsi="Times New Roman" w:cs="Times New Roman" w:eastAsia="Times New Roman" w:hint="default"/>
        </w:rPr>
        <w:t>11.82%</w:t>
      </w:r>
      <w:r>
        <w:rPr/>
        <w:t>。 </w:t>
      </w:r>
      <w:r>
        <w:rPr>
          <w:spacing w:val="-1"/>
        </w:rPr>
        <w:t>公司应收账款比较高是长期以来存在的现象，因为公司主要客户为全国各级司法机关、行政执法部门</w:t>
      </w:r>
    </w:p>
    <w:p>
      <w:pPr>
        <w:pStyle w:val="BodyText"/>
        <w:spacing w:line="227" w:lineRule="exact"/>
        <w:ind w:left="153" w:right="0"/>
        <w:jc w:val="both"/>
      </w:pPr>
      <w:r>
        <w:rPr/>
        <w:t>等，这些客户的采购及付款审批周期较长，因而导致公司应收账款较高。并且随着公司收入规模的增长，</w:t>
      </w:r>
    </w:p>
    <w:p>
      <w:pPr>
        <w:pStyle w:val="BodyText"/>
        <w:spacing w:line="326" w:lineRule="auto" w:before="99"/>
        <w:ind w:left="153" w:right="213"/>
        <w:jc w:val="both"/>
      </w:pPr>
      <w:r>
        <w:rPr>
          <w:spacing w:val="-1"/>
        </w:rPr>
        <w:t>合同项目金额增大，项目的实施期延长，应收账款的账期和绝对值也可能会相应上升。对此，一方面公司</w:t>
      </w:r>
      <w:r>
        <w:rPr>
          <w:spacing w:val="-86"/>
        </w:rPr>
        <w:t> </w:t>
      </w:r>
      <w:r>
        <w:rPr>
          <w:spacing w:val="-86"/>
        </w:rPr>
      </w:r>
      <w:r>
        <w:rPr>
          <w:spacing w:val="-1"/>
        </w:rPr>
        <w:t>将根据实际情况，执行合理的应收账款坏账计提准备政策；另一方面，将不断加强应收账款的管理，避免</w:t>
      </w:r>
      <w:r>
        <w:rPr>
          <w:spacing w:val="-86"/>
        </w:rPr>
        <w:t> </w:t>
      </w:r>
      <w:r>
        <w:rPr>
          <w:spacing w:val="-86"/>
        </w:rPr>
      </w:r>
      <w:r>
        <w:rPr/>
        <w:t>较高的坏账风险。</w:t>
      </w:r>
    </w:p>
    <w:p>
      <w:pPr>
        <w:pStyle w:val="BodyText"/>
        <w:spacing w:line="240" w:lineRule="auto" w:before="144"/>
        <w:ind w:left="573" w:right="97"/>
        <w:jc w:val="left"/>
      </w:pPr>
      <w:r>
        <w:rPr>
          <w:rFonts w:ascii="Times New Roman" w:hAnsi="Times New Roman" w:cs="Times New Roman" w:eastAsia="Times New Roman" w:hint="default"/>
        </w:rPr>
        <w:t>7</w:t>
      </w:r>
      <w:r>
        <w:rPr/>
        <w:t>、季节性不均衡的风险</w:t>
      </w:r>
    </w:p>
    <w:p>
      <w:pPr>
        <w:spacing w:after="0" w:line="240" w:lineRule="auto"/>
        <w:jc w:val="left"/>
        <w:sectPr>
          <w:pgSz w:w="11910" w:h="16840"/>
          <w:pgMar w:header="918" w:footer="1020" w:top="1160" w:bottom="1220" w:left="980" w:right="920"/>
        </w:sectPr>
      </w:pPr>
    </w:p>
    <w:p>
      <w:pPr>
        <w:spacing w:line="240" w:lineRule="auto" w:before="5"/>
        <w:rPr>
          <w:rFonts w:ascii="宋体" w:hAnsi="宋体" w:cs="宋体" w:eastAsia="宋体" w:hint="default"/>
          <w:sz w:val="20"/>
          <w:szCs w:val="20"/>
        </w:rPr>
      </w:pPr>
    </w:p>
    <w:p>
      <w:pPr>
        <w:pStyle w:val="BodyText"/>
        <w:spacing w:line="326" w:lineRule="auto" w:before="35"/>
        <w:ind w:left="154" w:right="211" w:firstLine="420"/>
        <w:jc w:val="both"/>
      </w:pPr>
      <w:bookmarkStart w:name="1、报告期内接待调研、沟通、采访等活动登记表" w:id="58"/>
      <w:bookmarkEnd w:id="58"/>
      <w:r>
        <w:rPr/>
      </w:r>
      <w:r>
        <w:rPr>
          <w:spacing w:val="-1"/>
        </w:rPr>
        <w:t>公司产品销售收入在上、下半年具有不均衡的特点，因为公司产品主要销售于司法机关、行政执法部</w:t>
      </w:r>
      <w:r>
        <w:rPr/>
        <w:t> </w:t>
      </w:r>
      <w:r>
        <w:rPr>
          <w:spacing w:val="-1"/>
        </w:rPr>
        <w:t>门等，这些客户的普遍特点是，上半年制订计划、预算审批，下半年实施和验收。因此，公司产品销售收</w:t>
      </w:r>
      <w:r>
        <w:rPr>
          <w:spacing w:val="-83"/>
        </w:rPr>
        <w:t> </w:t>
      </w:r>
      <w:r>
        <w:rPr>
          <w:spacing w:val="-83"/>
        </w:rPr>
      </w:r>
      <w:r>
        <w:rPr>
          <w:spacing w:val="-1"/>
        </w:rPr>
        <w:t>入的实现主要集中在下半年尤其是第四季度，具有明显的季节性特征。受公司业务季节性特点影响，公司</w:t>
      </w:r>
      <w:r>
        <w:rPr>
          <w:spacing w:val="-83"/>
        </w:rPr>
        <w:t> </w:t>
      </w:r>
      <w:r>
        <w:rPr>
          <w:spacing w:val="-83"/>
        </w:rPr>
      </w:r>
      <w:r>
        <w:rPr/>
        <w:t>一季度收入和利润占全年收入和利润的比重较低，季节性资金需求和现金流量不均衡。</w:t>
      </w:r>
    </w:p>
    <w:p>
      <w:pPr>
        <w:pStyle w:val="BodyText"/>
        <w:spacing w:line="326" w:lineRule="auto" w:before="144"/>
        <w:ind w:left="154" w:right="211" w:firstLine="420"/>
        <w:jc w:val="both"/>
      </w:pPr>
      <w:r>
        <w:rPr>
          <w:spacing w:val="-1"/>
        </w:rPr>
        <w:t>报告期内，公司业务季节性特点仍然存在。因此，公司已不断加强生产计划和财务预算管理，尽可能</w:t>
      </w:r>
      <w:r>
        <w:rPr/>
        <w:t> </w:t>
      </w:r>
      <w:r>
        <w:rPr>
          <w:spacing w:val="-1"/>
        </w:rPr>
        <w:t>降低季节性因素导致的资金需求和现金流量不均衡问题的影响。同时，公司与投资者保持充分沟通，以便</w:t>
      </w:r>
      <w:r>
        <w:rPr>
          <w:spacing w:val="-83"/>
        </w:rPr>
        <w:t> </w:t>
      </w:r>
      <w:r>
        <w:rPr>
          <w:spacing w:val="-83"/>
        </w:rPr>
      </w:r>
      <w:r>
        <w:rPr/>
        <w:t>投资者能及时、准确了解公司的运营情况。</w:t>
      </w:r>
    </w:p>
    <w:p>
      <w:pPr>
        <w:pStyle w:val="BodyText"/>
        <w:spacing w:line="408" w:lineRule="auto" w:before="144"/>
        <w:ind w:right="97"/>
        <w:jc w:val="left"/>
      </w:pPr>
      <w:r>
        <w:rPr>
          <w:rFonts w:ascii="Times New Roman" w:hAnsi="Times New Roman" w:cs="Times New Roman" w:eastAsia="Times New Roman" w:hint="default"/>
        </w:rPr>
        <w:t>8</w:t>
      </w:r>
      <w:r>
        <w:rPr/>
        <w:t>、系统安全性和商业秘密的失泄密风险 </w:t>
      </w:r>
      <w:r>
        <w:rPr>
          <w:spacing w:val="-1"/>
        </w:rPr>
        <w:t>随着互联网应用的快速发展，社会信息化程度不断提高，信息泄露及网络攻击事件层出不穷。互联网</w:t>
      </w:r>
    </w:p>
    <w:p>
      <w:pPr>
        <w:pStyle w:val="BodyText"/>
        <w:spacing w:line="227" w:lineRule="exact"/>
        <w:ind w:left="154" w:right="97"/>
        <w:jc w:val="left"/>
      </w:pPr>
      <w:r>
        <w:rPr/>
        <w:t>带来的便利和看不见的安全隐患将在相当长的一段时间内同时存在，公司产品、服务和系统也可能会因为</w:t>
      </w:r>
    </w:p>
    <w:p>
      <w:pPr>
        <w:pStyle w:val="BodyText"/>
        <w:spacing w:line="240" w:lineRule="auto" w:before="99"/>
        <w:ind w:left="154" w:right="97"/>
        <w:jc w:val="left"/>
      </w:pPr>
      <w:r>
        <w:rPr/>
        <w:t>遭受黑客攻击而影响业务的开展，造成核心技术失泄密风险。</w:t>
      </w:r>
    </w:p>
    <w:p>
      <w:pPr>
        <w:spacing w:line="240" w:lineRule="auto" w:before="10"/>
        <w:rPr>
          <w:rFonts w:ascii="宋体" w:hAnsi="宋体" w:cs="宋体" w:eastAsia="宋体" w:hint="default"/>
          <w:sz w:val="16"/>
          <w:szCs w:val="16"/>
        </w:rPr>
      </w:pPr>
    </w:p>
    <w:p>
      <w:pPr>
        <w:pStyle w:val="BodyText"/>
        <w:spacing w:line="326" w:lineRule="auto"/>
        <w:ind w:left="154" w:right="211" w:firstLine="420"/>
        <w:jc w:val="both"/>
      </w:pPr>
      <w:r>
        <w:rPr>
          <w:spacing w:val="-1"/>
        </w:rPr>
        <w:t>对此，公司一方面从业务系统、流程等各个层面加强了安全检测和防护；另一方面，专门设立了安全</w:t>
      </w:r>
      <w:r>
        <w:rPr/>
        <w:t> </w:t>
      </w:r>
      <w:r>
        <w:rPr>
          <w:spacing w:val="-1"/>
        </w:rPr>
        <w:t>保密管理及执行小组，进一步健全和完善了全方位、全过程的人员日常安全保密机制，并针对公司现有情</w:t>
      </w:r>
      <w:r>
        <w:rPr>
          <w:spacing w:val="-83"/>
        </w:rPr>
        <w:t> </w:t>
      </w:r>
      <w:r>
        <w:rPr>
          <w:spacing w:val="-83"/>
        </w:rPr>
      </w:r>
      <w:r>
        <w:rPr>
          <w:spacing w:val="-1"/>
        </w:rPr>
        <w:t>况，组织制定了若干保密管理制度，使得公司安全保密管理制度覆盖公司人员、产品、项目及服务等各个</w:t>
      </w:r>
      <w:r>
        <w:rPr>
          <w:spacing w:val="-86"/>
        </w:rPr>
        <w:t> </w:t>
      </w:r>
      <w:r>
        <w:rPr>
          <w:spacing w:val="-86"/>
        </w:rPr>
      </w:r>
      <w:r>
        <w:rPr/>
        <w:t>方面，以尽可能降低系统安全性和商业秘密的失泄密风险。</w:t>
      </w:r>
    </w:p>
    <w:p>
      <w:pPr>
        <w:pStyle w:val="BodyText"/>
        <w:spacing w:line="408" w:lineRule="auto" w:before="144"/>
        <w:ind w:left="573" w:right="97"/>
        <w:jc w:val="left"/>
      </w:pPr>
      <w:r>
        <w:rPr>
          <w:rFonts w:ascii="Times New Roman" w:hAnsi="Times New Roman" w:cs="Times New Roman" w:eastAsia="Times New Roman" w:hint="default"/>
        </w:rPr>
        <w:t>9</w:t>
      </w:r>
      <w:r>
        <w:rPr/>
        <w:t>、政策风险 </w:t>
      </w:r>
      <w:r>
        <w:rPr>
          <w:spacing w:val="-1"/>
        </w:rPr>
        <w:t>公司的主要用户为国家各级司法机关、行政执法部门和政府监管部门，这些政府相关部门的采购需求</w:t>
      </w:r>
    </w:p>
    <w:p>
      <w:pPr>
        <w:pStyle w:val="BodyText"/>
        <w:spacing w:line="227" w:lineRule="exact"/>
        <w:ind w:left="153" w:right="97"/>
        <w:jc w:val="left"/>
      </w:pPr>
      <w:r>
        <w:rPr/>
        <w:t>对政府财政预算依赖性较大，如果相关政府部门财政预算缩减，将对我们的业务开展和财务状况产生重大</w:t>
      </w:r>
    </w:p>
    <w:p>
      <w:pPr>
        <w:pStyle w:val="BodyText"/>
        <w:spacing w:line="240" w:lineRule="auto" w:before="99"/>
        <w:ind w:left="153" w:right="0"/>
        <w:jc w:val="left"/>
      </w:pPr>
      <w:r>
        <w:rPr>
          <w:spacing w:val="-3"/>
        </w:rPr>
        <w:t>不利影响。法律法规或管理机构的变化和改革也可能影响上述用户的需求，从而可能对公司业务造成影响。</w:t>
      </w:r>
    </w:p>
    <w:p>
      <w:pPr>
        <w:spacing w:line="240" w:lineRule="auto" w:before="10"/>
        <w:rPr>
          <w:rFonts w:ascii="宋体" w:hAnsi="宋体" w:cs="宋体" w:eastAsia="宋体" w:hint="default"/>
          <w:sz w:val="16"/>
          <w:szCs w:val="16"/>
        </w:rPr>
      </w:pPr>
    </w:p>
    <w:p>
      <w:pPr>
        <w:pStyle w:val="BodyText"/>
        <w:spacing w:line="326" w:lineRule="auto"/>
        <w:ind w:left="154" w:right="213" w:firstLine="420"/>
        <w:jc w:val="both"/>
      </w:pPr>
      <w:r>
        <w:rPr>
          <w:spacing w:val="-1"/>
        </w:rPr>
        <w:t>对此，公司在积极开拓新行业市场的同时，努力推进服务战略，拓展企事业单位和民用市场，以降低</w:t>
      </w:r>
      <w:r>
        <w:rPr/>
        <w:t> 对个别行业的依赖性，从而降低因部分市场饱和或相关部门预算缩减带来的不利影响。</w:t>
      </w:r>
    </w:p>
    <w:p>
      <w:pPr>
        <w:spacing w:line="240" w:lineRule="auto" w:before="9"/>
        <w:rPr>
          <w:rFonts w:ascii="宋体" w:hAnsi="宋体" w:cs="宋体" w:eastAsia="宋体" w:hint="default"/>
          <w:sz w:val="20"/>
          <w:szCs w:val="20"/>
        </w:rPr>
      </w:pPr>
    </w:p>
    <w:p>
      <w:pPr>
        <w:pStyle w:val="Heading2"/>
        <w:spacing w:line="240" w:lineRule="auto"/>
        <w:ind w:right="97"/>
        <w:jc w:val="left"/>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7"/>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1134"/>
        <w:gridCol w:w="1134"/>
        <w:gridCol w:w="5599"/>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471" w:right="110" w:hanging="360"/>
              <w:jc w:val="left"/>
              <w:rPr>
                <w:rFonts w:ascii="宋体" w:hAnsi="宋体" w:cs="宋体" w:eastAsia="宋体" w:hint="default"/>
                <w:sz w:val="18"/>
                <w:szCs w:val="18"/>
              </w:rPr>
            </w:pPr>
            <w:r>
              <w:rPr>
                <w:rFonts w:ascii="宋体" w:hAnsi="宋体" w:cs="宋体" w:eastAsia="宋体" w:hint="default"/>
                <w:sz w:val="18"/>
                <w:szCs w:val="18"/>
              </w:rPr>
              <w:t>接待对象类 型</w:t>
            </w:r>
          </w:p>
        </w:tc>
        <w:tc>
          <w:tcPr>
            <w:tcW w:w="55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bookmarkStart w:name="十、接待调研、沟通、采访等活动情况" w:id="59"/>
            <w:bookmarkEnd w:id="59"/>
            <w:r>
              <w:rPr>
                <w:rFonts w:ascii="Times New Roman" w:hAnsi="Times New Roman" w:cs="Times New Roman" w:eastAsia="Times New Roman" w:hint="default"/>
                <w:spacing w:val="-1"/>
                <w:sz w:val="18"/>
                <w:szCs w:val="18"/>
              </w:rPr>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918" w:footer="1020" w:top="1160" w:bottom="1220" w:left="980" w:right="92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2"/>
        <w:gridCol w:w="1134"/>
        <w:gridCol w:w="1134"/>
        <w:gridCol w:w="5599"/>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日投资者关系活动记录表</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日投资者关系活动记录表</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5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详见公司互动易</w:t>
            </w:r>
            <w:r>
              <w:rPr>
                <w:rFonts w:ascii="Times New Roman" w:hAnsi="Times New Roman" w:cs="Times New Roman" w:eastAsia="Times New Roman" w:hint="default"/>
                <w:sz w:val="18"/>
                <w:szCs w:val="18"/>
              </w:rPr>
              <w:t>"</w:t>
            </w:r>
            <w:r>
              <w:rPr>
                <w:rFonts w:ascii="宋体" w:hAnsi="宋体" w:cs="宋体" w:eastAsia="宋体" w:hint="default"/>
                <w:sz w:val="18"/>
                <w:szCs w:val="18"/>
              </w:rPr>
              <w:t>投资者关系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918" w:footer="1020" w:top="1160" w:bottom="122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0"/>
          <w:szCs w:val="20"/>
        </w:rPr>
      </w:pPr>
    </w:p>
    <w:p>
      <w:pPr>
        <w:pStyle w:val="Heading1"/>
        <w:spacing w:line="240" w:lineRule="auto"/>
        <w:ind w:left="4070" w:right="3466"/>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1"/>
        </w:rPr>
        <w:t> </w:t>
      </w:r>
      <w:r>
        <w:rPr/>
        <w:t>重要事项</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100"/>
        <w:jc w:val="left"/>
        <w:rPr>
          <w:b w:val="0"/>
          <w:bCs w:val="0"/>
        </w:rPr>
      </w:pPr>
      <w:r>
        <w:rPr/>
        <w:t>一、公司普通</w:t>
      </w:r>
      <w:bookmarkStart w:name="一、公司普通股利润分配及资本公积金转增股本情况" w:id="62"/>
      <w:bookmarkEnd w:id="62"/>
      <w:r>
        <w:rPr/>
        <w:t>股利润分</w:t>
      </w:r>
      <w:r>
        <w:rPr/>
        <w:t>配及资本公积金转增股本情况</w:t>
      </w:r>
      <w:r>
        <w:rPr>
          <w:b w:val="0"/>
          <w:bCs w:val="0"/>
        </w:rPr>
      </w:r>
    </w:p>
    <w:p>
      <w:pPr>
        <w:pStyle w:val="BodyText"/>
        <w:spacing w:line="510" w:lineRule="atLeast" w:before="117"/>
        <w:ind w:right="100"/>
        <w:jc w:val="left"/>
      </w:pPr>
      <w:r>
        <w:rPr/>
        <w:t>报告期内普通股利润分配政策，特别是现金分红政策的制定、执行或调整情况： </w:t>
      </w:r>
      <w:r>
        <w:rPr>
          <w:spacing w:val="-1"/>
        </w:rPr>
        <w:t>报告期内，公司董事会根据公司</w:t>
      </w:r>
      <w:r>
        <w:rPr>
          <w:rFonts w:ascii="Times New Roman" w:hAnsi="Times New Roman" w:cs="Times New Roman" w:eastAsia="Times New Roman" w:hint="default"/>
          <w:spacing w:val="-1"/>
        </w:rPr>
        <w:t>2014</w:t>
      </w:r>
      <w:r>
        <w:rPr>
          <w:spacing w:val="-1"/>
        </w:rPr>
        <w:t>年度盈利情况及《公司章程》的有关规定，在充分听取各方意见</w:t>
      </w:r>
    </w:p>
    <w:p>
      <w:pPr>
        <w:pStyle w:val="BodyText"/>
        <w:spacing w:line="312" w:lineRule="auto" w:before="83"/>
        <w:ind w:left="154" w:right="100"/>
        <w:jc w:val="left"/>
      </w:pPr>
      <w:r>
        <w:rPr/>
        <w:t>的基础上制定了公司</w:t>
      </w:r>
      <w:r>
        <w:rPr>
          <w:rFonts w:ascii="Times New Roman" w:hAnsi="Times New Roman" w:cs="Times New Roman" w:eastAsia="Times New Roman" w:hint="default"/>
        </w:rPr>
        <w:t>2014</w:t>
      </w:r>
      <w:r>
        <w:rPr/>
        <w:t>年度利润分配方案。公司</w:t>
      </w:r>
      <w:r>
        <w:rPr>
          <w:rFonts w:ascii="Times New Roman" w:hAnsi="Times New Roman" w:cs="Times New Roman" w:eastAsia="Times New Roman" w:hint="default"/>
        </w:rPr>
        <w:t>2014</w:t>
      </w:r>
      <w:r>
        <w:rPr/>
        <w:t>年度利润分配方案为：以截至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 </w:t>
      </w:r>
      <w:r>
        <w:rPr>
          <w:spacing w:val="-6"/>
        </w:rPr>
        <w:t>总股本</w:t>
      </w:r>
      <w:r>
        <w:rPr>
          <w:rFonts w:ascii="Times New Roman" w:hAnsi="Times New Roman" w:cs="Times New Roman" w:eastAsia="Times New Roman" w:hint="default"/>
          <w:spacing w:val="-6"/>
        </w:rPr>
        <w:t>221,581,600</w:t>
      </w:r>
      <w:r>
        <w:rPr>
          <w:spacing w:val="-6"/>
        </w:rPr>
        <w:t>股为基数，向全体股东按每</w:t>
      </w:r>
      <w:r>
        <w:rPr>
          <w:rFonts w:ascii="Times New Roman" w:hAnsi="Times New Roman" w:cs="Times New Roman" w:eastAsia="Times New Roman" w:hint="default"/>
          <w:spacing w:val="-6"/>
        </w:rPr>
        <w:t>10</w:t>
      </w:r>
      <w:r>
        <w:rPr>
          <w:spacing w:val="-6"/>
        </w:rPr>
        <w:t>股派发现金股利人民币</w:t>
      </w:r>
      <w:r>
        <w:rPr>
          <w:rFonts w:ascii="Times New Roman" w:hAnsi="Times New Roman" w:cs="Times New Roman" w:eastAsia="Times New Roman" w:hint="default"/>
          <w:spacing w:val="-6"/>
        </w:rPr>
        <w:t>0.45</w:t>
      </w:r>
      <w:r>
        <w:rPr>
          <w:spacing w:val="-6"/>
        </w:rPr>
        <w:t>元（含税），合计派发现金</w:t>
      </w:r>
      <w:r>
        <w:rPr>
          <w:rFonts w:ascii="Times New Roman" w:hAnsi="Times New Roman" w:cs="Times New Roman" w:eastAsia="Times New Roman" w:hint="default"/>
          <w:spacing w:val="-6"/>
        </w:rPr>
        <w:t>997.12</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43"/>
        </w:rPr>
      </w:r>
      <w:r>
        <w:rPr/>
        <w:t>万元；同时，进行资本公积金转增股本，以</w:t>
      </w:r>
      <w:r>
        <w:rPr>
          <w:rFonts w:ascii="Times New Roman" w:hAnsi="Times New Roman" w:cs="Times New Roman" w:eastAsia="Times New Roman" w:hint="default"/>
        </w:rPr>
        <w:t>221,581,600</w:t>
      </w:r>
      <w:r>
        <w:rPr/>
        <w:t>股为基数，向全体股东每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股，共计转增 </w:t>
      </w:r>
      <w:r>
        <w:rPr>
          <w:rFonts w:ascii="Times New Roman" w:hAnsi="Times New Roman" w:cs="Times New Roman" w:eastAsia="Times New Roman" w:hint="default"/>
          <w:spacing w:val="-2"/>
        </w:rPr>
        <w:t>221,581,600</w:t>
      </w:r>
      <w:r>
        <w:rPr>
          <w:spacing w:val="-2"/>
        </w:rPr>
        <w:t>，转增后公司总股本增加至</w:t>
      </w:r>
      <w:r>
        <w:rPr>
          <w:rFonts w:ascii="Times New Roman" w:hAnsi="Times New Roman" w:cs="Times New Roman" w:eastAsia="Times New Roman" w:hint="default"/>
          <w:spacing w:val="-2"/>
        </w:rPr>
        <w:t>443,163,200</w:t>
      </w:r>
      <w:r>
        <w:rPr>
          <w:spacing w:val="-2"/>
        </w:rPr>
        <w:t>股。</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w:t>
      </w:r>
      <w:r>
        <w:rPr>
          <w:rFonts w:ascii="Times New Roman" w:hAnsi="Times New Roman" w:cs="Times New Roman" w:eastAsia="Times New Roman" w:hint="default"/>
          <w:spacing w:val="-2"/>
        </w:rPr>
        <w:t>“2014</w:t>
      </w:r>
      <w:r>
        <w:rPr>
          <w:spacing w:val="-2"/>
        </w:rPr>
        <w:t>年年度股东大会</w:t>
      </w:r>
      <w:r>
        <w:rPr>
          <w:rFonts w:ascii="Times New Roman" w:hAnsi="Times New Roman" w:cs="Times New Roman" w:eastAsia="Times New Roman" w:hint="default"/>
          <w:spacing w:val="-2"/>
        </w:rPr>
        <w:t>”</w:t>
      </w:r>
      <w:r>
        <w:rPr>
          <w:spacing w:val="-2"/>
        </w:rPr>
        <w:t>审议通过</w:t>
      </w:r>
      <w:r>
        <w:rPr>
          <w:spacing w:val="-96"/>
        </w:rPr>
        <w:t> </w:t>
      </w:r>
      <w:r>
        <w:rPr/>
        <w:t>了《</w:t>
      </w:r>
      <w:r>
        <w:rPr>
          <w:rFonts w:ascii="Times New Roman" w:hAnsi="Times New Roman" w:cs="Times New Roman" w:eastAsia="Times New Roman" w:hint="default"/>
        </w:rPr>
        <w:t>2014</w:t>
      </w:r>
      <w:r>
        <w:rPr/>
        <w:t>年度利润分配及资本公积金转增股本预案》；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日，公司完成了</w:t>
      </w:r>
      <w:r>
        <w:rPr>
          <w:rFonts w:ascii="Times New Roman" w:hAnsi="Times New Roman" w:cs="Times New Roman" w:eastAsia="Times New Roman" w:hint="default"/>
        </w:rPr>
        <w:t>2014</w:t>
      </w:r>
      <w:r>
        <w:rPr/>
        <w:t>年度利润分配及 资本公积金转增股本方案的实施。公司实施的</w:t>
      </w:r>
      <w:r>
        <w:rPr>
          <w:rFonts w:ascii="Times New Roman" w:hAnsi="Times New Roman" w:cs="Times New Roman" w:eastAsia="Times New Roman" w:hint="default"/>
        </w:rPr>
        <w:t>2014</w:t>
      </w:r>
      <w:r>
        <w:rPr/>
        <w:t>年度利润分配方案符合《公司章程》及《利润分配政策 及未来三年股东回报规划（</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-2014</w:t>
      </w:r>
      <w:r>
        <w:rPr/>
        <w:t>年》等的相关规定，符合股东大会的决议，分红标准和比例明确， 决策程序符合规定。独立董事尽职履责并发挥了应有的作用，中小股东具有充分表达意见和诉求的机会， 其合法权益得到了充分地保护。</w:t>
      </w:r>
    </w:p>
    <w:p>
      <w:pPr>
        <w:pStyle w:val="BodyText"/>
        <w:spacing w:line="321" w:lineRule="auto" w:before="156"/>
        <w:ind w:left="153" w:right="191" w:firstLine="420"/>
        <w:jc w:val="left"/>
      </w:pPr>
      <w:r>
        <w:rPr>
          <w:spacing w:val="-1"/>
        </w:rPr>
        <w:t>为进一步完善和健全公司科学、持续、稳定的分红决策和监督机制，积极回报投资者，引导投资者树</w:t>
      </w:r>
      <w:r>
        <w:rPr/>
        <w:t> </w:t>
      </w:r>
      <w:r>
        <w:rPr>
          <w:spacing w:val="-1"/>
        </w:rPr>
        <w:t>立长期投资和理性投资理念，根据中国证券监督管理委员会《关于进一步落实上市公司现金分红有关事项</w:t>
      </w:r>
      <w:r>
        <w:rPr>
          <w:spacing w:val="-81"/>
        </w:rPr>
        <w:t> </w:t>
      </w:r>
      <w:r>
        <w:rPr>
          <w:spacing w:val="-81"/>
        </w:rPr>
      </w:r>
      <w:r>
        <w:rPr/>
        <w:t>的通知》（证监发</w:t>
      </w:r>
      <w:r>
        <w:rPr>
          <w:rFonts w:ascii="Times New Roman" w:hAnsi="Times New Roman" w:cs="Times New Roman" w:eastAsia="Times New Roman" w:hint="default"/>
        </w:rPr>
        <w:t>[2012]37</w:t>
      </w:r>
      <w:r>
        <w:rPr/>
        <w:t>号）、《厦门证监局关于转发上市公司监管指引第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上市公司现金分红的通 </w:t>
      </w:r>
      <w:r>
        <w:rPr>
          <w:spacing w:val="-1"/>
        </w:rPr>
        <w:t>知》（厦证监发【</w:t>
      </w:r>
      <w:r>
        <w:rPr>
          <w:rFonts w:ascii="Times New Roman" w:hAnsi="Times New Roman" w:cs="Times New Roman" w:eastAsia="Times New Roman" w:hint="default"/>
          <w:spacing w:val="-1"/>
        </w:rPr>
        <w:t>2013</w:t>
      </w:r>
      <w:r>
        <w:rPr>
          <w:spacing w:val="-1"/>
        </w:rPr>
        <w:t>】</w:t>
      </w:r>
      <w:r>
        <w:rPr>
          <w:rFonts w:ascii="Times New Roman" w:hAnsi="Times New Roman" w:cs="Times New Roman" w:eastAsia="Times New Roman" w:hint="default"/>
          <w:spacing w:val="-1"/>
        </w:rPr>
        <w:t>90</w:t>
      </w:r>
      <w:r>
        <w:rPr>
          <w:spacing w:val="-1"/>
        </w:rPr>
        <w:t>号）以及《公司章程》等相关文件的规定，并结合公司实际情况，公司制定了</w:t>
      </w:r>
    </w:p>
    <w:p>
      <w:pPr>
        <w:pStyle w:val="BodyText"/>
        <w:spacing w:line="309" w:lineRule="auto" w:before="4"/>
        <w:ind w:left="154" w:right="100"/>
        <w:jc w:val="left"/>
      </w:pPr>
      <w:r>
        <w:rPr>
          <w:spacing w:val="-1"/>
        </w:rPr>
        <w:t>《未来三年</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w:t>
      </w:r>
      <w:r>
        <w:rPr>
          <w:spacing w:val="-1"/>
        </w:rPr>
        <w:t>股东回报规划》，详见</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27</w:t>
      </w:r>
      <w:r>
        <w:rPr>
          <w:spacing w:val="-1"/>
        </w:rPr>
        <w:t>日公司刊登于中国证监会指定创业板信息</w:t>
      </w:r>
      <w:r>
        <w:rPr>
          <w:spacing w:val="-62"/>
        </w:rPr>
        <w:t> </w:t>
      </w:r>
      <w:r>
        <w:rPr/>
        <w:t>披露网站上的相关公告。</w:t>
      </w:r>
    </w:p>
    <w:p>
      <w:pPr>
        <w:spacing w:line="240" w:lineRule="auto" w:before="11"/>
        <w:rPr>
          <w:rFonts w:ascii="宋体" w:hAnsi="宋体" w:cs="宋体" w:eastAsia="宋体" w:hint="default"/>
          <w:sz w:val="10"/>
          <w:szCs w:val="10"/>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397"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否得到了充分保护：</w:t>
            </w:r>
          </w:p>
        </w:tc>
        <w:tc>
          <w:tcPr>
            <w:tcW w:w="47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明：</w:t>
            </w:r>
          </w:p>
        </w:tc>
        <w:tc>
          <w:tcPr>
            <w:tcW w:w="47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宋体" w:hAnsi="宋体" w:cs="宋体" w:eastAsia="宋体" w:hint="default"/>
          <w:sz w:val="7"/>
          <w:szCs w:val="7"/>
        </w:rPr>
      </w:pPr>
    </w:p>
    <w:p>
      <w:pPr>
        <w:pStyle w:val="BodyText"/>
        <w:spacing w:line="240" w:lineRule="auto" w:before="35"/>
        <w:ind w:right="100"/>
        <w:jc w:val="left"/>
      </w:pPr>
      <w:r>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6"/>
          <w:szCs w:val="16"/>
        </w:rPr>
      </w:pPr>
    </w:p>
    <w:p>
      <w:pPr>
        <w:pStyle w:val="BodyText"/>
        <w:spacing w:line="408" w:lineRule="auto"/>
        <w:ind w:right="18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公司报告期利润分配预案及资本公积金转增股本预案符合公司章程等的相关规定。</w:t>
      </w:r>
    </w:p>
    <w:p>
      <w:pPr>
        <w:spacing w:after="0" w:line="408" w:lineRule="auto"/>
        <w:jc w:val="left"/>
        <w:sectPr>
          <w:footerReference w:type="default" r:id="rId16"/>
          <w:pgSz w:w="11910" w:h="16840"/>
          <w:pgMar w:footer="1267" w:header="918" w:top="1160" w:bottom="1460" w:left="980" w:right="940"/>
          <w:pgNumType w:start="41"/>
        </w:sectPr>
      </w:pPr>
    </w:p>
    <w:p>
      <w:pPr>
        <w:spacing w:line="240" w:lineRule="auto" w:before="5"/>
        <w:rPr>
          <w:rFonts w:ascii="宋体" w:hAnsi="宋体" w:cs="宋体" w:eastAsia="宋体" w:hint="default"/>
          <w:sz w:val="20"/>
          <w:szCs w:val="20"/>
        </w:rPr>
      </w:pPr>
    </w:p>
    <w:p>
      <w:pPr>
        <w:pStyle w:val="BodyText"/>
        <w:spacing w:line="240" w:lineRule="auto" w:before="35"/>
        <w:ind w:right="97"/>
        <w:jc w:val="left"/>
      </w:pPr>
      <w:r>
        <w:rPr/>
        <w:t>本年度利润分配及资本公积金转增股本预案</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706"/>
        <w:gridCol w:w="5862"/>
      </w:tblGrid>
      <w:tr>
        <w:trPr>
          <w:trHeight w:val="403" w:hRule="exact"/>
        </w:trPr>
        <w:tc>
          <w:tcPr>
            <w:tcW w:w="3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487,254,406</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14,617,632.18</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374,392,778.81</w:t>
            </w:r>
          </w:p>
        </w:tc>
      </w:tr>
      <w:tr>
        <w:trPr>
          <w:trHeight w:val="402" w:hRule="exact"/>
        </w:trPr>
        <w:tc>
          <w:tcPr>
            <w:tcW w:w="37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29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pacing w:val="-3"/>
                <w:sz w:val="18"/>
                <w:szCs w:val="18"/>
              </w:rPr>
              <w:t>经致同会计师事务所（特殊普通合伙）审计，公司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年度实现归属于母公司所有者净利润</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133,165,026.62</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元，母公司实</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114,960,296.04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元，提取</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11,496,029.60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元后，当年实现的可供分配利润为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103,464,266.44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加期初未分配利润 </w:t>
            </w:r>
            <w:r>
              <w:rPr>
                <w:rFonts w:ascii="Times New Roman" w:hAnsi="Times New Roman" w:cs="Times New Roman" w:eastAsia="Times New Roman" w:hint="default"/>
                <w:sz w:val="18"/>
                <w:szCs w:val="18"/>
              </w:rPr>
              <w:t>280,899,684.37 </w:t>
            </w:r>
            <w:r>
              <w:rPr>
                <w:rFonts w:ascii="宋体" w:hAnsi="宋体" w:cs="宋体" w:eastAsia="宋体" w:hint="default"/>
                <w:sz w:val="18"/>
                <w:szCs w:val="18"/>
              </w:rPr>
              <w:t>元，扣减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年已发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年度现金股利 </w:t>
            </w:r>
            <w:r>
              <w:rPr>
                <w:rFonts w:ascii="Times New Roman" w:hAnsi="Times New Roman" w:cs="Times New Roman" w:eastAsia="Times New Roman" w:hint="default"/>
                <w:sz w:val="18"/>
                <w:szCs w:val="18"/>
              </w:rPr>
              <w:t>9,971,172.00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元，年末累计可供分配利润为</w:t>
            </w:r>
          </w:p>
          <w:p>
            <w:pPr>
              <w:pStyle w:val="TableParagraph"/>
              <w:spacing w:line="240" w:lineRule="auto" w:before="64"/>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374,392,778.81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pStyle w:val="TableParagraph"/>
              <w:spacing w:line="307" w:lineRule="auto" w:before="101"/>
              <w:ind w:left="22" w:right="20"/>
              <w:jc w:val="both"/>
              <w:rPr>
                <w:rFonts w:ascii="宋体" w:hAnsi="宋体" w:cs="宋体" w:eastAsia="宋体" w:hint="default"/>
                <w:sz w:val="18"/>
                <w:szCs w:val="18"/>
              </w:rPr>
            </w:pPr>
            <w:r>
              <w:rPr>
                <w:rFonts w:ascii="宋体" w:hAnsi="宋体" w:cs="宋体" w:eastAsia="宋体" w:hint="default"/>
                <w:spacing w:val="-5"/>
                <w:sz w:val="18"/>
                <w:szCs w:val="18"/>
              </w:rPr>
              <w:t>根据中国证券监督管理委员会《关于进一步落实上市公司现金分红有关事项的通知》、《上市公司监管指引第</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w:t>
            </w:r>
            <w:r>
              <w:rPr>
                <w:rFonts w:ascii="宋体" w:hAnsi="宋体" w:cs="宋体" w:eastAsia="宋体" w:hint="default"/>
                <w:sz w:val="18"/>
                <w:szCs w:val="18"/>
              </w:rPr>
              <w:t>——</w:t>
            </w:r>
            <w:r>
              <w:rPr>
                <w:rFonts w:ascii="宋体" w:hAnsi="宋体" w:cs="宋体" w:eastAsia="宋体" w:hint="default"/>
                <w:sz w:val="18"/>
                <w:szCs w:val="18"/>
              </w:rPr>
              <w:t>上市</w:t>
            </w:r>
            <w:r>
              <w:rPr>
                <w:rFonts w:ascii="宋体" w:hAnsi="宋体" w:cs="宋体" w:eastAsia="宋体" w:hint="default"/>
                <w:spacing w:val="-86"/>
                <w:sz w:val="18"/>
                <w:szCs w:val="18"/>
              </w:rPr>
              <w:t> </w:t>
            </w:r>
            <w:r>
              <w:rPr>
                <w:rFonts w:ascii="宋体" w:hAnsi="宋体" w:cs="宋体" w:eastAsia="宋体" w:hint="default"/>
                <w:spacing w:val="-5"/>
                <w:sz w:val="18"/>
                <w:szCs w:val="18"/>
              </w:rPr>
              <w:t>公司现金分红》及《公司章程》、《公司利润分配政策及未来三年股东回报规划（</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年》等相关规定，为积极回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报公司股东，与所有股东分享公司经营成果，在符合利润分配原则，保证公司正常经营和长远发展的前提下，公司董事会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提出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年年度利润分派预案如下：</w:t>
            </w:r>
          </w:p>
          <w:p>
            <w:pPr>
              <w:pStyle w:val="TableParagraph"/>
              <w:spacing w:line="240" w:lineRule="auto" w:before="46"/>
              <w:ind w:left="22" w:right="0"/>
              <w:jc w:val="both"/>
              <w:rPr>
                <w:rFonts w:ascii="宋体" w:hAnsi="宋体" w:cs="宋体" w:eastAsia="宋体" w:hint="default"/>
                <w:sz w:val="18"/>
                <w:szCs w:val="18"/>
              </w:rPr>
            </w:pPr>
            <w:r>
              <w:rPr>
                <w:rFonts w:ascii="宋体" w:hAnsi="宋体" w:cs="宋体" w:eastAsia="宋体" w:hint="default"/>
                <w:sz w:val="18"/>
                <w:szCs w:val="18"/>
              </w:rPr>
              <w:t>以公司现有总股本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487,254,4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24"/>
                <w:sz w:val="18"/>
                <w:szCs w:val="18"/>
              </w:rPr>
              <w:t>，</w:t>
            </w:r>
            <w:r>
              <w:rPr>
                <w:rFonts w:ascii="宋体" w:hAnsi="宋体" w:cs="宋体" w:eastAsia="宋体" w:hint="default"/>
                <w:sz w:val="18"/>
                <w:szCs w:val="18"/>
              </w:rPr>
              <w:t>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24"/>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合</w:t>
            </w:r>
            <w:r>
              <w:rPr>
                <w:rFonts w:ascii="宋体" w:hAnsi="宋体" w:cs="宋体" w:eastAsia="宋体" w:hint="default"/>
                <w:spacing w:val="-2"/>
                <w:sz w:val="18"/>
                <w:szCs w:val="18"/>
              </w:rPr>
              <w:t>计</w:t>
            </w:r>
            <w:r>
              <w:rPr>
                <w:rFonts w:ascii="宋体" w:hAnsi="宋体" w:cs="宋体" w:eastAsia="宋体" w:hint="default"/>
                <w:sz w:val="18"/>
                <w:szCs w:val="18"/>
              </w:rPr>
              <w:t>派发现金红利</w:t>
            </w:r>
            <w:r>
              <w:rPr>
                <w:rFonts w:ascii="宋体" w:hAnsi="宋体" w:cs="宋体" w:eastAsia="宋体" w:hint="default"/>
                <w:spacing w:val="1"/>
                <w:sz w:val="18"/>
                <w:szCs w:val="18"/>
              </w:rPr>
              <w:t>人</w:t>
            </w:r>
            <w:r>
              <w:rPr>
                <w:rFonts w:ascii="宋体" w:hAnsi="宋体" w:cs="宋体" w:eastAsia="宋体" w:hint="default"/>
                <w:sz w:val="18"/>
                <w:szCs w:val="18"/>
              </w:rPr>
              <w:t>民</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14,617,632.18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bl>
    <w:p>
      <w:pPr>
        <w:spacing w:line="240" w:lineRule="auto" w:before="10"/>
        <w:rPr>
          <w:rFonts w:ascii="宋体" w:hAnsi="宋体" w:cs="宋体" w:eastAsia="宋体" w:hint="default"/>
          <w:sz w:val="7"/>
          <w:szCs w:val="7"/>
        </w:rPr>
      </w:pPr>
    </w:p>
    <w:p>
      <w:pPr>
        <w:pStyle w:val="BodyText"/>
        <w:spacing w:line="309" w:lineRule="auto" w:before="35"/>
        <w:ind w:left="154" w:right="277" w:firstLine="420"/>
        <w:jc w:val="left"/>
      </w:pPr>
      <w:r>
        <w:rPr/>
        <w:t>公司近</w:t>
      </w:r>
      <w:r>
        <w:rPr>
          <w:rFonts w:ascii="Times New Roman" w:hAnsi="Times New Roman" w:cs="Times New Roman" w:eastAsia="Times New Roman" w:hint="default"/>
        </w:rPr>
        <w:t>3</w:t>
      </w:r>
      <w:r>
        <w:rPr/>
        <w:t>年（包括本报告期）的普通股股利分配方案（预案）、资本公积金转增股本方案（预案）情 况：</w:t>
      </w:r>
    </w:p>
    <w:p>
      <w:pPr>
        <w:pStyle w:val="BodyText"/>
        <w:spacing w:line="240" w:lineRule="auto" w:before="158"/>
        <w:ind w:right="97"/>
        <w:jc w:val="left"/>
      </w:pP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2013</w:t>
      </w:r>
      <w:r>
        <w:rPr>
          <w:spacing w:val="-6"/>
        </w:rPr>
        <w:t>年度：以公司总股本</w:t>
      </w:r>
      <w:r>
        <w:rPr>
          <w:rFonts w:ascii="Times New Roman" w:hAnsi="Times New Roman" w:cs="Times New Roman" w:eastAsia="Times New Roman" w:hint="default"/>
          <w:spacing w:val="-6"/>
        </w:rPr>
        <w:t>221,706,400</w:t>
      </w:r>
      <w:r>
        <w:rPr>
          <w:spacing w:val="-6"/>
        </w:rPr>
        <w:t>股为基数向全体股东每</w:t>
      </w:r>
      <w:r>
        <w:rPr>
          <w:rFonts w:ascii="Times New Roman" w:hAnsi="Times New Roman" w:cs="Times New Roman" w:eastAsia="Times New Roman" w:hint="default"/>
          <w:spacing w:val="-6"/>
        </w:rPr>
        <w:t>10</w:t>
      </w:r>
      <w:r>
        <w:rPr>
          <w:spacing w:val="-6"/>
        </w:rPr>
        <w:t>股派发现金股利</w:t>
      </w:r>
      <w:r>
        <w:rPr>
          <w:rFonts w:ascii="Times New Roman" w:hAnsi="Times New Roman" w:cs="Times New Roman" w:eastAsia="Times New Roman" w:hint="default"/>
          <w:spacing w:val="-6"/>
        </w:rPr>
        <w:t>0.3</w:t>
      </w:r>
      <w:r>
        <w:rPr>
          <w:spacing w:val="-6"/>
        </w:rPr>
        <w:t>元人民币（含税）。</w:t>
      </w:r>
    </w:p>
    <w:p>
      <w:pPr>
        <w:spacing w:line="240" w:lineRule="auto" w:before="7"/>
        <w:rPr>
          <w:rFonts w:ascii="宋体" w:hAnsi="宋体" w:cs="宋体" w:eastAsia="宋体" w:hint="default"/>
          <w:sz w:val="15"/>
          <w:szCs w:val="15"/>
        </w:rPr>
      </w:pPr>
    </w:p>
    <w:p>
      <w:pPr>
        <w:pStyle w:val="BodyText"/>
        <w:spacing w:line="309" w:lineRule="auto"/>
        <w:ind w:left="154" w:right="97" w:firstLine="420"/>
        <w:jc w:val="left"/>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2014</w:t>
      </w:r>
      <w:r>
        <w:rPr>
          <w:spacing w:val="-1"/>
        </w:rPr>
        <w:t>年度：以截至</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221,581,600</w:t>
      </w:r>
      <w:r>
        <w:rPr>
          <w:spacing w:val="-1"/>
        </w:rPr>
        <w:t>股为基数，向全体股东按每</w:t>
      </w:r>
      <w:r>
        <w:rPr>
          <w:rFonts w:ascii="Times New Roman" w:hAnsi="Times New Roman" w:cs="Times New Roman" w:eastAsia="Times New Roman" w:hint="default"/>
          <w:spacing w:val="-1"/>
        </w:rPr>
        <w:t>10</w:t>
      </w:r>
      <w:r>
        <w:rPr>
          <w:spacing w:val="-1"/>
        </w:rPr>
        <w:t>股派发现</w:t>
      </w:r>
      <w:r>
        <w:rPr/>
        <w:t> 金股利人民币</w:t>
      </w:r>
      <w:r>
        <w:rPr>
          <w:rFonts w:ascii="Times New Roman" w:hAnsi="Times New Roman" w:cs="Times New Roman" w:eastAsia="Times New Roman" w:hint="default"/>
        </w:rPr>
        <w:t>0.45</w:t>
      </w:r>
      <w:r>
        <w:rPr/>
        <w:t>元（含税）；同时，以资本公积金向全体股东每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09" w:lineRule="auto" w:before="136"/>
        <w:ind w:left="153" w:right="97" w:firstLine="420"/>
        <w:jc w:val="left"/>
      </w:pP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2015</w:t>
      </w:r>
      <w:r>
        <w:rPr>
          <w:spacing w:val="-4"/>
        </w:rPr>
        <w:t>年度：以公司现有总股本</w:t>
      </w:r>
      <w:r>
        <w:rPr>
          <w:rFonts w:ascii="Times New Roman" w:hAnsi="Times New Roman" w:cs="Times New Roman" w:eastAsia="Times New Roman" w:hint="default"/>
          <w:spacing w:val="-4"/>
        </w:rPr>
        <w:t>487,254,406</w:t>
      </w:r>
      <w:r>
        <w:rPr>
          <w:spacing w:val="-4"/>
        </w:rPr>
        <w:t>股为基数向全体股东每</w:t>
      </w:r>
      <w:r>
        <w:rPr>
          <w:rFonts w:ascii="Times New Roman" w:hAnsi="Times New Roman" w:cs="Times New Roman" w:eastAsia="Times New Roman" w:hint="default"/>
          <w:spacing w:val="-4"/>
        </w:rPr>
        <w:t>10</w:t>
      </w:r>
      <w:r>
        <w:rPr>
          <w:spacing w:val="-4"/>
        </w:rPr>
        <w:t>股派发现金股利</w:t>
      </w:r>
      <w:r>
        <w:rPr>
          <w:rFonts w:ascii="Times New Roman" w:hAnsi="Times New Roman" w:cs="Times New Roman" w:eastAsia="Times New Roman" w:hint="default"/>
          <w:spacing w:val="-4"/>
        </w:rPr>
        <w:t>0.3</w:t>
      </w:r>
      <w:r>
        <w:rPr>
          <w:spacing w:val="-4"/>
        </w:rPr>
        <w:t>元人民币（含</w:t>
      </w:r>
      <w:r>
        <w:rPr/>
        <w:t> 税）。该利润分配预案尚须提交公司股东大会审议。</w:t>
      </w:r>
    </w:p>
    <w:p>
      <w:pPr>
        <w:pStyle w:val="BodyText"/>
        <w:spacing w:line="240" w:lineRule="auto" w:before="158"/>
        <w:ind w:left="573" w:right="97"/>
        <w:jc w:val="left"/>
      </w:pPr>
      <w:r>
        <w:rPr/>
        <w:t>公司近三年（包括本报告期）普通股现金分红情况表</w:t>
      </w:r>
    </w:p>
    <w:p>
      <w:pPr>
        <w:spacing w:line="240" w:lineRule="auto" w:before="6"/>
        <w:rPr>
          <w:rFonts w:ascii="宋体" w:hAnsi="宋体" w:cs="宋体" w:eastAsia="宋体" w:hint="default"/>
          <w:sz w:val="16"/>
          <w:szCs w:val="1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spacing w:before="0"/>
        <w:ind w:left="555" w:right="3219" w:firstLine="0"/>
        <w:jc w:val="center"/>
        <w:rPr>
          <w:rFonts w:ascii="宋体" w:hAnsi="宋体" w:cs="宋体" w:eastAsia="宋体" w:hint="default"/>
          <w:sz w:val="18"/>
          <w:szCs w:val="18"/>
        </w:rPr>
      </w:pPr>
      <w:r>
        <w:rPr/>
        <w:pict>
          <v:shape style="position:absolute;margin-left:56.459999pt;margin-top:-18.648285pt;width:479.05pt;height:92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43"/>
                    <w:gridCol w:w="1700"/>
                    <w:gridCol w:w="87"/>
                    <w:gridCol w:w="1756"/>
                    <w:gridCol w:w="1702"/>
                    <w:gridCol w:w="1276"/>
                    <w:gridCol w:w="1202"/>
                  </w:tblGrid>
                  <w:tr>
                    <w:trPr>
                      <w:trHeight w:val="317" w:hRule="exact"/>
                    </w:trPr>
                    <w:tc>
                      <w:tcPr>
                        <w:tcW w:w="1843" w:type="dxa"/>
                        <w:tcBorders>
                          <w:top w:val="single" w:sz="4" w:space="0" w:color="000000"/>
                          <w:left w:val="single" w:sz="4" w:space="0" w:color="000000"/>
                          <w:bottom w:val="nil" w:sz="6" w:space="0" w:color="auto"/>
                          <w:right w:val="single" w:sz="4" w:space="0" w:color="000000"/>
                        </w:tcBorders>
                        <w:shd w:val="clear" w:color="auto" w:fill="D4D4D4"/>
                      </w:tcPr>
                      <w:p>
                        <w:pPr/>
                      </w:p>
                    </w:tc>
                    <w:tc>
                      <w:tcPr>
                        <w:tcW w:w="1700" w:type="dxa"/>
                        <w:tcBorders>
                          <w:top w:val="single" w:sz="4" w:space="0" w:color="000000"/>
                          <w:left w:val="single" w:sz="4" w:space="0" w:color="000000"/>
                          <w:bottom w:val="nil" w:sz="6" w:space="0" w:color="auto"/>
                          <w:right w:val="single" w:sz="4" w:space="0" w:color="000000"/>
                        </w:tcBorders>
                        <w:shd w:val="clear" w:color="auto" w:fill="D4D4D4"/>
                      </w:tcPr>
                      <w:p>
                        <w:pPr/>
                      </w:p>
                    </w:tc>
                    <w:tc>
                      <w:tcPr>
                        <w:tcW w:w="87" w:type="dxa"/>
                        <w:tcBorders>
                          <w:top w:val="single" w:sz="4" w:space="0" w:color="000000"/>
                          <w:left w:val="single" w:sz="4" w:space="0" w:color="000000"/>
                          <w:bottom w:val="nil" w:sz="6" w:space="0" w:color="auto"/>
                          <w:right w:val="nil" w:sz="6" w:space="0" w:color="auto"/>
                        </w:tcBorders>
                        <w:shd w:val="clear" w:color="auto" w:fill="D4D4D4"/>
                      </w:tcPr>
                      <w:p>
                        <w:pPr/>
                      </w:p>
                    </w:tc>
                    <w:tc>
                      <w:tcPr>
                        <w:tcW w:w="1756" w:type="dxa"/>
                        <w:vMerge w:val="restart"/>
                        <w:tcBorders>
                          <w:top w:val="single" w:sz="4" w:space="0" w:color="000000"/>
                          <w:left w:val="nil" w:sz="6" w:space="0" w:color="auto"/>
                          <w:right w:val="single" w:sz="4" w:space="0" w:color="000000"/>
                        </w:tcBorders>
                        <w:shd w:val="clear" w:color="auto" w:fill="D4D4D4"/>
                      </w:tcPr>
                      <w:p>
                        <w:pPr>
                          <w:pStyle w:val="TableParagraph"/>
                          <w:spacing w:line="316" w:lineRule="auto" w:before="51"/>
                          <w:ind w:left="24" w:right="10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170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1"/>
                          <w:ind w:left="34" w:right="35"/>
                          <w:jc w:val="center"/>
                          <w:rPr>
                            <w:rFonts w:ascii="宋体" w:hAnsi="宋体" w:cs="宋体" w:eastAsia="宋体" w:hint="default"/>
                            <w:sz w:val="18"/>
                            <w:szCs w:val="18"/>
                          </w:rPr>
                        </w:pPr>
                        <w:r>
                          <w:rPr>
                            <w:rFonts w:ascii="宋体" w:hAnsi="宋体" w:cs="宋体" w:eastAsia="宋体" w:hint="default"/>
                            <w:sz w:val="18"/>
                            <w:szCs w:val="18"/>
                          </w:rPr>
                          <w:t>占合并报表中归属于 上市公司普通股股东 的净利润的比率</w:t>
                        </w:r>
                      </w:p>
                    </w:tc>
                    <w:tc>
                      <w:tcPr>
                        <w:tcW w:w="12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以其他方式现 金分红的金额</w:t>
                        </w:r>
                      </w:p>
                    </w:tc>
                    <w:tc>
                      <w:tcPr>
                        <w:tcW w:w="120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5" w:right="55"/>
                          <w:jc w:val="left"/>
                          <w:rPr>
                            <w:rFonts w:ascii="宋体" w:hAnsi="宋体" w:cs="宋体" w:eastAsia="宋体" w:hint="default"/>
                            <w:sz w:val="18"/>
                            <w:szCs w:val="18"/>
                          </w:rPr>
                        </w:pPr>
                        <w:r>
                          <w:rPr>
                            <w:rFonts w:ascii="宋体" w:hAnsi="宋体" w:cs="宋体" w:eastAsia="宋体" w:hint="default"/>
                            <w:sz w:val="18"/>
                            <w:szCs w:val="18"/>
                          </w:rPr>
                          <w:t>以其他方式现 金分红的比例</w:t>
                        </w:r>
                      </w:p>
                    </w:tc>
                  </w:tr>
                  <w:tr>
                    <w:trPr>
                      <w:trHeight w:val="392" w:hRule="exact"/>
                    </w:trPr>
                    <w:tc>
                      <w:tcPr>
                        <w:tcW w:w="184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55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70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现金分红金额（含税</w:t>
                        </w:r>
                      </w:p>
                    </w:tc>
                    <w:tc>
                      <w:tcPr>
                        <w:tcW w:w="87" w:type="dxa"/>
                        <w:tcBorders>
                          <w:top w:val="nil" w:sz="6" w:space="0" w:color="auto"/>
                          <w:left w:val="single" w:sz="4" w:space="0" w:color="000000"/>
                          <w:bottom w:val="nil" w:sz="6" w:space="0" w:color="auto"/>
                          <w:right w:val="nil" w:sz="6" w:space="0" w:color="auto"/>
                        </w:tcBorders>
                        <w:shd w:val="clear" w:color="auto" w:fill="D4D4D4"/>
                      </w:tcPr>
                      <w:p>
                        <w:pPr/>
                      </w:p>
                    </w:tc>
                    <w:tc>
                      <w:tcPr>
                        <w:tcW w:w="1756" w:type="dxa"/>
                        <w:vMerge/>
                        <w:tcBorders>
                          <w:left w:val="nil" w:sz="6" w:space="0" w:color="auto"/>
                          <w:right w:val="single" w:sz="4" w:space="0" w:color="000000"/>
                        </w:tcBorders>
                        <w:shd w:val="clear" w:color="auto" w:fill="D4D4D4"/>
                      </w:tcPr>
                      <w:p>
                        <w:pPr/>
                      </w:p>
                    </w:tc>
                    <w:tc>
                      <w:tcPr>
                        <w:tcW w:w="1702" w:type="dxa"/>
                        <w:vMerge/>
                        <w:tcBorders>
                          <w:left w:val="single" w:sz="4" w:space="0" w:color="000000"/>
                          <w:right w:val="single" w:sz="4" w:space="0" w:color="000000"/>
                        </w:tcBorders>
                        <w:shd w:val="clear" w:color="auto" w:fill="D4D4D4"/>
                      </w:tcPr>
                      <w:p>
                        <w:pPr/>
                      </w:p>
                    </w:tc>
                    <w:tc>
                      <w:tcPr>
                        <w:tcW w:w="1276" w:type="dxa"/>
                        <w:vMerge/>
                        <w:tcBorders>
                          <w:left w:val="single" w:sz="4" w:space="0" w:color="000000"/>
                          <w:right w:val="single" w:sz="4" w:space="0" w:color="000000"/>
                        </w:tcBorders>
                        <w:shd w:val="clear" w:color="auto" w:fill="D4D4D4"/>
                      </w:tcPr>
                      <w:p>
                        <w:pPr/>
                      </w:p>
                    </w:tc>
                    <w:tc>
                      <w:tcPr>
                        <w:tcW w:w="1202" w:type="dxa"/>
                        <w:vMerge/>
                        <w:tcBorders>
                          <w:left w:val="single" w:sz="4" w:space="0" w:color="000000"/>
                          <w:right w:val="single" w:sz="4" w:space="0" w:color="000000"/>
                        </w:tcBorders>
                        <w:shd w:val="clear" w:color="auto" w:fill="D4D4D4"/>
                      </w:tcPr>
                      <w:p>
                        <w:pPr/>
                      </w:p>
                    </w:tc>
                  </w:tr>
                  <w:tr>
                    <w:trPr>
                      <w:trHeight w:val="317" w:hRule="exact"/>
                    </w:trPr>
                    <w:tc>
                      <w:tcPr>
                        <w:tcW w:w="1843" w:type="dxa"/>
                        <w:tcBorders>
                          <w:top w:val="nil" w:sz="6" w:space="0" w:color="auto"/>
                          <w:left w:val="single" w:sz="4" w:space="0" w:color="000000"/>
                          <w:bottom w:val="single" w:sz="4" w:space="0" w:color="000000"/>
                          <w:right w:val="single" w:sz="4" w:space="0" w:color="000000"/>
                        </w:tcBorders>
                        <w:shd w:val="clear" w:color="auto" w:fill="D4D4D4"/>
                      </w:tcPr>
                      <w:p>
                        <w:pPr/>
                      </w:p>
                    </w:tc>
                    <w:tc>
                      <w:tcPr>
                        <w:tcW w:w="1700" w:type="dxa"/>
                        <w:tcBorders>
                          <w:top w:val="nil" w:sz="6" w:space="0" w:color="auto"/>
                          <w:left w:val="single" w:sz="4" w:space="0" w:color="000000"/>
                          <w:bottom w:val="single" w:sz="4" w:space="0" w:color="000000"/>
                          <w:right w:val="single" w:sz="4" w:space="0" w:color="000000"/>
                        </w:tcBorders>
                        <w:shd w:val="clear" w:color="auto" w:fill="D4D4D4"/>
                      </w:tcPr>
                      <w:p>
                        <w:pPr/>
                      </w:p>
                    </w:tc>
                    <w:tc>
                      <w:tcPr>
                        <w:tcW w:w="87" w:type="dxa"/>
                        <w:tcBorders>
                          <w:top w:val="nil" w:sz="6" w:space="0" w:color="auto"/>
                          <w:left w:val="single" w:sz="4" w:space="0" w:color="000000"/>
                          <w:bottom w:val="single" w:sz="4" w:space="0" w:color="000000"/>
                          <w:right w:val="nil" w:sz="6" w:space="0" w:color="auto"/>
                        </w:tcBorders>
                        <w:shd w:val="clear" w:color="auto" w:fill="D4D4D4"/>
                      </w:tcPr>
                      <w:p>
                        <w:pPr/>
                      </w:p>
                    </w:tc>
                    <w:tc>
                      <w:tcPr>
                        <w:tcW w:w="1756" w:type="dxa"/>
                        <w:vMerge/>
                        <w:tcBorders>
                          <w:left w:val="nil" w:sz="6" w:space="0" w:color="auto"/>
                          <w:bottom w:val="single" w:sz="4" w:space="0" w:color="000000"/>
                          <w:right w:val="single" w:sz="4" w:space="0" w:color="000000"/>
                        </w:tcBorders>
                        <w:shd w:val="clear" w:color="auto" w:fill="D4D4D4"/>
                      </w:tcPr>
                      <w:p>
                        <w:pPr/>
                      </w:p>
                    </w:tc>
                    <w:tc>
                      <w:tcPr>
                        <w:tcW w:w="1702" w:type="dxa"/>
                        <w:vMerge/>
                        <w:tcBorders>
                          <w:left w:val="single" w:sz="4" w:space="0" w:color="000000"/>
                          <w:bottom w:val="single" w:sz="4" w:space="0" w:color="000000"/>
                          <w:right w:val="single" w:sz="4" w:space="0" w:color="000000"/>
                        </w:tcBorders>
                        <w:shd w:val="clear" w:color="auto" w:fill="D4D4D4"/>
                      </w:tcPr>
                      <w:p>
                        <w:pPr/>
                      </w:p>
                    </w:tc>
                    <w:tc>
                      <w:tcPr>
                        <w:tcW w:w="1276" w:type="dxa"/>
                        <w:vMerge/>
                        <w:tcBorders>
                          <w:left w:val="single" w:sz="4" w:space="0" w:color="000000"/>
                          <w:bottom w:val="single" w:sz="4" w:space="0" w:color="000000"/>
                          <w:right w:val="single" w:sz="4" w:space="0" w:color="000000"/>
                        </w:tcBorders>
                        <w:shd w:val="clear" w:color="auto" w:fill="D4D4D4"/>
                      </w:tcPr>
                      <w:p>
                        <w:pPr/>
                      </w:p>
                    </w:tc>
                    <w:tc>
                      <w:tcPr>
                        <w:tcW w:w="120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14,617,632.18</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6" w:right="0"/>
                          <w:jc w:val="left"/>
                          <w:rPr>
                            <w:rFonts w:ascii="Times New Roman" w:hAnsi="Times New Roman" w:cs="Times New Roman" w:eastAsia="Times New Roman" w:hint="default"/>
                            <w:sz w:val="18"/>
                            <w:szCs w:val="18"/>
                          </w:rPr>
                        </w:pPr>
                        <w:r>
                          <w:rPr>
                            <w:rFonts w:ascii="Times New Roman"/>
                            <w:sz w:val="18"/>
                          </w:rPr>
                          <w:t>133,165,026.62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9,971,172.00</w:t>
                        </w:r>
                      </w:p>
                    </w:tc>
                    <w:tc>
                      <w:tcPr>
                        <w:tcW w:w="18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2" w:right="0"/>
                          <w:jc w:val="left"/>
                          <w:rPr>
                            <w:rFonts w:ascii="Times New Roman" w:hAnsi="Times New Roman" w:cs="Times New Roman" w:eastAsia="Times New Roman" w:hint="default"/>
                            <w:sz w:val="18"/>
                            <w:szCs w:val="18"/>
                          </w:rPr>
                        </w:pPr>
                        <w:r>
                          <w:rPr>
                            <w:rFonts w:ascii="Times New Roman"/>
                            <w:sz w:val="18"/>
                          </w:rPr>
                          <w:t>114,602,055.27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rFonts w:ascii="宋体" w:hAnsi="宋体" w:cs="宋体" w:eastAsia="宋体" w:hint="default"/>
          <w:sz w:val="18"/>
          <w:szCs w:val="18"/>
        </w:rPr>
        <w:t>）</w:t>
      </w:r>
    </w:p>
    <w:p>
      <w:pPr>
        <w:spacing w:after="0"/>
        <w:jc w:val="center"/>
        <w:rPr>
          <w:rFonts w:ascii="宋体" w:hAnsi="宋体" w:cs="宋体" w:eastAsia="宋体" w:hint="default"/>
          <w:sz w:val="18"/>
          <w:szCs w:val="18"/>
        </w:rPr>
        <w:sectPr>
          <w:pgSz w:w="11910" w:h="16840"/>
          <w:pgMar w:header="918" w:footer="1267" w:top="1160" w:bottom="1460" w:left="980" w:right="920"/>
        </w:sectPr>
      </w:pPr>
    </w:p>
    <w:p>
      <w:pPr>
        <w:spacing w:line="240" w:lineRule="auto" w:before="11"/>
        <w:rPr>
          <w:rFonts w:ascii="宋体" w:hAnsi="宋体" w:cs="宋体" w:eastAsia="宋体" w:hint="default"/>
          <w:sz w:val="21"/>
          <w:szCs w:val="21"/>
        </w:rPr>
      </w:pPr>
      <w:r>
        <w:rPr/>
        <w:pict>
          <v:shape style="position:absolute;margin-left:293.937012pt;margin-top:321.839996pt;width:138.2pt;height:201.85pt;mso-position-horizontal-relative:page;mso-position-vertical-relative:page;z-index:-117863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根据经审核的盈利预测，</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843"/>
        <w:gridCol w:w="1700"/>
        <w:gridCol w:w="1843"/>
        <w:gridCol w:w="1702"/>
        <w:gridCol w:w="1276"/>
        <w:gridCol w:w="1202"/>
      </w:tblGrid>
      <w:tr>
        <w:trPr>
          <w:trHeight w:val="403" w:hRule="exact"/>
        </w:trPr>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3" w:right="0"/>
              <w:jc w:val="left"/>
              <w:rPr>
                <w:rFonts w:ascii="Times New Roman" w:hAnsi="Times New Roman" w:cs="Times New Roman" w:eastAsia="Times New Roman" w:hint="default"/>
                <w:sz w:val="18"/>
                <w:szCs w:val="18"/>
              </w:rPr>
            </w:pPr>
            <w:r>
              <w:rPr>
                <w:rFonts w:ascii="Times New Roman"/>
                <w:sz w:val="18"/>
              </w:rPr>
              <w:t>6,651,192.00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76" w:right="0"/>
              <w:jc w:val="left"/>
              <w:rPr>
                <w:rFonts w:ascii="Times New Roman" w:hAnsi="Times New Roman" w:cs="Times New Roman" w:eastAsia="Times New Roman" w:hint="default"/>
                <w:sz w:val="18"/>
                <w:szCs w:val="18"/>
              </w:rPr>
            </w:pPr>
            <w:r>
              <w:rPr>
                <w:rFonts w:ascii="Times New Roman"/>
                <w:sz w:val="18"/>
              </w:rPr>
              <w:t>56,286,872.37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19" w:right="0"/>
              <w:jc w:val="left"/>
              <w:rPr>
                <w:rFonts w:ascii="Times New Roman" w:hAnsi="Times New Roman" w:cs="Times New Roman" w:eastAsia="Times New Roman" w:hint="default"/>
                <w:sz w:val="18"/>
                <w:szCs w:val="18"/>
              </w:rPr>
            </w:pPr>
            <w:r>
              <w:rPr>
                <w:rFonts w:ascii="Times New Roman"/>
                <w:sz w:val="18"/>
              </w:rPr>
              <w:t>11.82%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04"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公司报告期内盈利且母公司可供普通股股东分配利润为正但未提出普通股现金红利分配预案</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二、承诺事项</w:t>
      </w:r>
      <w:bookmarkStart w:name="二、承诺事项履行情况" w:id="63"/>
      <w:bookmarkEnd w:id="63"/>
      <w:r>
        <w:rPr/>
        <w:t>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r>
        <w:rPr>
          <w:rFonts w:ascii="Times New Roman" w:hAnsi="Times New Roman" w:cs="Times New Roman" w:eastAsia="Times New Roman" w:hint="default"/>
        </w:rPr>
        <w:t>1</w:t>
      </w:r>
      <w:r>
        <w:rPr/>
        <w:t>、公司、股东、实际控</w:t>
      </w:r>
      <w:bookmarkStart w:name="1、公司、股东、实际控制人、收购人、董事、监事、高级管理人员或其他关联方在报告期" w:id="64"/>
      <w:bookmarkEnd w:id="64"/>
      <w:r>
        <w:rPr/>
        <w:t>制人</w:t>
      </w:r>
      <w:r>
        <w:rPr/>
        <w:t>、收购人、董事、监事、高级管理人员或其他关联方在报告期内履行完毕及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3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94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 作承诺</w:t>
            </w:r>
          </w:p>
        </w:tc>
        <w:tc>
          <w:tcPr>
            <w:tcW w:w="156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42" w:hRule="exact"/>
        </w:trPr>
        <w:tc>
          <w:tcPr>
            <w:tcW w:w="1134" w:type="dxa"/>
            <w:tcBorders>
              <w:top w:val="single" w:sz="4" w:space="0" w:color="000000"/>
              <w:left w:val="single" w:sz="4" w:space="0" w:color="000000"/>
              <w:bottom w:val="nil" w:sz="6" w:space="0" w:color="auto"/>
              <w:right w:val="single" w:sz="4" w:space="0" w:color="000000"/>
            </w:tcBorders>
            <w:shd w:val="clear" w:color="auto" w:fill="D4D4D4"/>
          </w:tcPr>
          <w:p>
            <w:pPr/>
          </w:p>
        </w:tc>
        <w:tc>
          <w:tcPr>
            <w:tcW w:w="1560" w:type="dxa"/>
            <w:vMerge w:val="restart"/>
            <w:tcBorders>
              <w:top w:val="single" w:sz="4" w:space="0" w:color="000000"/>
              <w:left w:val="single" w:sz="9" w:space="0" w:color="D4D4D4"/>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300" w:lineRule="auto"/>
              <w:ind w:left="16" w:right="116"/>
              <w:jc w:val="both"/>
              <w:rPr>
                <w:rFonts w:ascii="宋体" w:hAnsi="宋体" w:cs="宋体" w:eastAsia="宋体" w:hint="default"/>
                <w:sz w:val="18"/>
                <w:szCs w:val="18"/>
              </w:rPr>
            </w:pPr>
            <w:r>
              <w:rPr>
                <w:rFonts w:ascii="宋体" w:hAnsi="宋体" w:cs="宋体" w:eastAsia="宋体" w:hint="default"/>
                <w:sz w:val="18"/>
                <w:szCs w:val="18"/>
              </w:rPr>
              <w:t>韦玉荣</w:t>
            </w:r>
            <w:r>
              <w:rPr>
                <w:rFonts w:ascii="Times New Roman" w:hAnsi="Times New Roman" w:cs="Times New Roman" w:eastAsia="Times New Roman" w:hint="default"/>
                <w:sz w:val="18"/>
                <w:szCs w:val="18"/>
              </w:rPr>
              <w:t>;</w:t>
            </w:r>
            <w:r>
              <w:rPr>
                <w:rFonts w:ascii="宋体" w:hAnsi="宋体" w:cs="宋体" w:eastAsia="宋体" w:hint="default"/>
                <w:sz w:val="18"/>
                <w:szCs w:val="18"/>
              </w:rPr>
              <w:t>陈燕</w:t>
            </w:r>
            <w:r>
              <w:rPr>
                <w:rFonts w:ascii="Times New Roman" w:hAnsi="Times New Roman" w:cs="Times New Roman" w:eastAsia="Times New Roman" w:hint="default"/>
                <w:sz w:val="18"/>
                <w:szCs w:val="18"/>
              </w:rPr>
              <w:t>;</w:t>
            </w:r>
            <w:r>
              <w:rPr>
                <w:rFonts w:ascii="宋体" w:hAnsi="宋体" w:cs="宋体" w:eastAsia="宋体" w:hint="default"/>
                <w:sz w:val="18"/>
                <w:szCs w:val="18"/>
              </w:rPr>
              <w:t>黄新</w:t>
            </w:r>
            <w:r>
              <w:rPr>
                <w:rFonts w:ascii="Times New Roman" w:hAnsi="Times New Roman" w:cs="Times New Roman" w:eastAsia="Times New Roman" w:hint="default"/>
                <w:sz w:val="18"/>
                <w:szCs w:val="18"/>
              </w:rPr>
              <w:t>; </w:t>
            </w:r>
            <w:r>
              <w:rPr>
                <w:rFonts w:ascii="宋体" w:hAnsi="宋体" w:cs="宋体" w:eastAsia="宋体" w:hint="default"/>
                <w:sz w:val="18"/>
                <w:szCs w:val="18"/>
              </w:rPr>
              <w:t>李江</w:t>
            </w:r>
            <w:r>
              <w:rPr>
                <w:rFonts w:ascii="Times New Roman" w:hAnsi="Times New Roman" w:cs="Times New Roman" w:eastAsia="Times New Roman" w:hint="default"/>
                <w:sz w:val="18"/>
                <w:szCs w:val="18"/>
              </w:rPr>
              <w:t>;</w:t>
            </w:r>
            <w:r>
              <w:rPr>
                <w:rFonts w:ascii="宋体" w:hAnsi="宋体" w:cs="宋体" w:eastAsia="宋体" w:hint="default"/>
                <w:sz w:val="18"/>
                <w:szCs w:val="18"/>
              </w:rPr>
              <w:t>郭玉智</w:t>
            </w:r>
            <w:r>
              <w:rPr>
                <w:rFonts w:ascii="Times New Roman" w:hAnsi="Times New Roman" w:cs="Times New Roman" w:eastAsia="Times New Roman" w:hint="default"/>
                <w:sz w:val="18"/>
                <w:szCs w:val="18"/>
              </w:rPr>
              <w:t>;</w:t>
            </w:r>
            <w:r>
              <w:rPr>
                <w:rFonts w:ascii="宋体" w:hAnsi="宋体" w:cs="宋体" w:eastAsia="宋体" w:hint="default"/>
                <w:sz w:val="18"/>
                <w:szCs w:val="18"/>
              </w:rPr>
              <w:t>李佳</w:t>
            </w:r>
            <w:r>
              <w:rPr>
                <w:rFonts w:ascii="Times New Roman" w:hAnsi="Times New Roman" w:cs="Times New Roman" w:eastAsia="Times New Roman" w:hint="default"/>
                <w:sz w:val="18"/>
                <w:szCs w:val="18"/>
              </w:rPr>
              <w:t>; </w:t>
            </w:r>
            <w:r>
              <w:rPr>
                <w:rFonts w:ascii="宋体" w:hAnsi="宋体" w:cs="宋体" w:eastAsia="宋体" w:hint="default"/>
                <w:sz w:val="18"/>
                <w:szCs w:val="18"/>
              </w:rPr>
              <w:t>韩海青</w:t>
            </w:r>
            <w:r>
              <w:rPr>
                <w:rFonts w:ascii="Times New Roman" w:hAnsi="Times New Roman" w:cs="Times New Roman" w:eastAsia="Times New Roman" w:hint="default"/>
                <w:sz w:val="18"/>
                <w:szCs w:val="18"/>
              </w:rPr>
              <w:t>;</w:t>
            </w:r>
            <w:r>
              <w:rPr>
                <w:rFonts w:ascii="宋体" w:hAnsi="宋体" w:cs="宋体" w:eastAsia="宋体" w:hint="default"/>
                <w:sz w:val="18"/>
                <w:szCs w:val="18"/>
              </w:rPr>
              <w:t>王亚明</w:t>
            </w:r>
            <w:r>
              <w:rPr>
                <w:rFonts w:ascii="Times New Roman" w:hAnsi="Times New Roman" w:cs="Times New Roman" w:eastAsia="Times New Roman" w:hint="default"/>
                <w:sz w:val="18"/>
                <w:szCs w:val="18"/>
              </w:rPr>
              <w:t>;</w:t>
            </w:r>
            <w:r>
              <w:rPr>
                <w:rFonts w:ascii="宋体" w:hAnsi="宋体" w:cs="宋体" w:eastAsia="宋体" w:hint="default"/>
                <w:sz w:val="18"/>
                <w:szCs w:val="18"/>
              </w:rPr>
              <w:t>任 炜</w:t>
            </w:r>
            <w:r>
              <w:rPr>
                <w:rFonts w:ascii="Times New Roman" w:hAnsi="Times New Roman" w:cs="Times New Roman" w:eastAsia="Times New Roman" w:hint="default"/>
                <w:sz w:val="18"/>
                <w:szCs w:val="18"/>
              </w:rPr>
              <w:t>;</w:t>
            </w:r>
            <w:r>
              <w:rPr>
                <w:rFonts w:ascii="宋体" w:hAnsi="宋体" w:cs="宋体" w:eastAsia="宋体" w:hint="default"/>
                <w:sz w:val="18"/>
                <w:szCs w:val="18"/>
              </w:rPr>
              <w:t>安林冲</w:t>
            </w:r>
            <w:r>
              <w:rPr>
                <w:rFonts w:ascii="Times New Roman" w:hAnsi="Times New Roman" w:cs="Times New Roman" w:eastAsia="Times New Roman" w:hint="default"/>
                <w:sz w:val="18"/>
                <w:szCs w:val="18"/>
              </w:rPr>
              <w:t>;</w:t>
            </w:r>
            <w:r>
              <w:rPr>
                <w:rFonts w:ascii="宋体" w:hAnsi="宋体" w:cs="宋体" w:eastAsia="宋体" w:hint="default"/>
                <w:sz w:val="18"/>
                <w:szCs w:val="18"/>
              </w:rPr>
              <w:t>仇宏远</w:t>
            </w:r>
            <w:r>
              <w:rPr>
                <w:rFonts w:ascii="Times New Roman" w:hAnsi="Times New Roman" w:cs="Times New Roman" w:eastAsia="Times New Roman" w:hint="default"/>
                <w:sz w:val="18"/>
                <w:szCs w:val="18"/>
              </w:rPr>
              <w:t>; </w:t>
            </w:r>
            <w:r>
              <w:rPr>
                <w:rFonts w:ascii="宋体" w:hAnsi="宋体" w:cs="宋体" w:eastAsia="宋体" w:hint="default"/>
                <w:sz w:val="18"/>
                <w:szCs w:val="18"/>
              </w:rPr>
              <w:t>包志翔</w:t>
            </w:r>
            <w:r>
              <w:rPr>
                <w:rFonts w:ascii="Times New Roman" w:hAnsi="Times New Roman" w:cs="Times New Roman" w:eastAsia="Times New Roman" w:hint="default"/>
                <w:sz w:val="18"/>
                <w:szCs w:val="18"/>
              </w:rPr>
              <w:t>;</w:t>
            </w:r>
            <w:r>
              <w:rPr>
                <w:rFonts w:ascii="宋体" w:hAnsi="宋体" w:cs="宋体" w:eastAsia="宋体" w:hint="default"/>
                <w:sz w:val="18"/>
                <w:szCs w:val="18"/>
              </w:rPr>
              <w:t>张红光</w:t>
            </w:r>
            <w:r>
              <w:rPr>
                <w:rFonts w:ascii="Times New Roman" w:hAnsi="Times New Roman" w:cs="Times New Roman" w:eastAsia="Times New Roman" w:hint="default"/>
                <w:sz w:val="18"/>
                <w:szCs w:val="18"/>
              </w:rPr>
              <w:t>;</w:t>
            </w:r>
            <w:r>
              <w:rPr>
                <w:rFonts w:ascii="宋体" w:hAnsi="宋体" w:cs="宋体" w:eastAsia="宋体" w:hint="default"/>
                <w:sz w:val="18"/>
                <w:szCs w:val="18"/>
              </w:rPr>
              <w:t>叶 树军</w:t>
            </w:r>
            <w:r>
              <w:rPr>
                <w:rFonts w:ascii="Times New Roman" w:hAnsi="Times New Roman" w:cs="Times New Roman" w:eastAsia="Times New Roman" w:hint="default"/>
                <w:sz w:val="18"/>
                <w:szCs w:val="18"/>
              </w:rPr>
              <w:t>;</w:t>
            </w:r>
            <w:r>
              <w:rPr>
                <w:rFonts w:ascii="宋体" w:hAnsi="宋体" w:cs="宋体" w:eastAsia="宋体" w:hint="default"/>
                <w:sz w:val="18"/>
                <w:szCs w:val="18"/>
              </w:rPr>
              <w:t>卢晓英</w:t>
            </w:r>
            <w:r>
              <w:rPr>
                <w:rFonts w:ascii="Times New Roman" w:hAnsi="Times New Roman" w:cs="Times New Roman" w:eastAsia="Times New Roman" w:hint="default"/>
                <w:sz w:val="18"/>
                <w:szCs w:val="18"/>
              </w:rPr>
              <w:t>;</w:t>
            </w:r>
            <w:r>
              <w:rPr>
                <w:rFonts w:ascii="宋体" w:hAnsi="宋体" w:cs="宋体" w:eastAsia="宋体" w:hint="default"/>
                <w:sz w:val="18"/>
                <w:szCs w:val="18"/>
              </w:rPr>
              <w:t>孙士</w:t>
            </w:r>
            <w:r>
              <w:rPr>
                <w:rFonts w:ascii="宋体" w:hAnsi="宋体" w:cs="宋体" w:eastAsia="宋体" w:hint="default"/>
                <w:spacing w:val="-2"/>
                <w:sz w:val="18"/>
                <w:szCs w:val="18"/>
              </w:rPr>
              <w:t> </w:t>
            </w:r>
            <w:r>
              <w:rPr>
                <w:rFonts w:ascii="宋体" w:hAnsi="宋体" w:cs="宋体" w:eastAsia="宋体" w:hint="default"/>
                <w:sz w:val="18"/>
                <w:szCs w:val="18"/>
              </w:rPr>
              <w:t>玉</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120" w:type="dxa"/>
            <w:vMerge w:val="restart"/>
            <w:tcBorders>
              <w:top w:val="single" w:sz="4" w:space="0" w:color="000000"/>
              <w:left w:val="single" w:sz="4" w:space="0" w:color="000000"/>
              <w:right w:val="single" w:sz="4" w:space="0" w:color="000000"/>
            </w:tcBorders>
          </w:tcPr>
          <w:p>
            <w:pPr>
              <w:pStyle w:val="TableParagraph"/>
              <w:spacing w:line="312" w:lineRule="auto" w:before="51"/>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、盈利预测</w:t>
            </w:r>
            <w:r>
              <w:rPr>
                <w:rFonts w:ascii="宋体" w:hAnsi="宋体" w:cs="宋体" w:eastAsia="宋体" w:hint="default"/>
                <w:spacing w:val="-2"/>
                <w:sz w:val="18"/>
                <w:szCs w:val="18"/>
              </w:rPr>
              <w:t> </w:t>
            </w:r>
            <w:r>
              <w:rPr>
                <w:rFonts w:ascii="宋体" w:hAnsi="宋体" w:cs="宋体" w:eastAsia="宋体" w:hint="default"/>
                <w:sz w:val="18"/>
                <w:szCs w:val="18"/>
              </w:rPr>
              <w:t>江苏税软交易对方承诺，</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年（即江苏税 软收购交易项下的补偿期限）的每一会 计年度期末产生于补偿期限内的江苏税 软合并报表中扣除非经常性损益后归属 于母公司的累计净利润合计数不低于</w:t>
            </w:r>
          </w:p>
          <w:p>
            <w:pPr>
              <w:pStyle w:val="TableParagraph"/>
              <w:spacing w:line="316" w:lineRule="auto" w:before="22"/>
              <w:ind w:left="23" w:right="24"/>
              <w:jc w:val="both"/>
              <w:rPr>
                <w:rFonts w:ascii="宋体" w:hAnsi="宋体" w:cs="宋体" w:eastAsia="宋体" w:hint="default"/>
                <w:sz w:val="18"/>
                <w:szCs w:val="18"/>
              </w:rPr>
            </w:pPr>
            <w:r>
              <w:rPr>
                <w:rFonts w:ascii="宋体" w:hAnsi="宋体" w:cs="宋体" w:eastAsia="宋体" w:hint="default"/>
                <w:sz w:val="18"/>
                <w:szCs w:val="18"/>
              </w:rPr>
              <w:t>《评估报告》中相应会计年度期末累计 的净利润预测合计数，该利润合计数以 按照企业会计准则出具的江苏税软合并 审计报告为准。</w:t>
            </w:r>
          </w:p>
          <w:p>
            <w:pPr>
              <w:pStyle w:val="TableParagraph"/>
              <w:spacing w:line="314" w:lineRule="auto" w:before="19"/>
              <w:ind w:left="23" w:right="21"/>
              <w:jc w:val="left"/>
              <w:rPr>
                <w:rFonts w:ascii="宋体" w:hAnsi="宋体" w:cs="宋体" w:eastAsia="宋体" w:hint="default"/>
                <w:sz w:val="18"/>
                <w:szCs w:val="18"/>
              </w:rPr>
            </w:pPr>
            <w:r>
              <w:rPr>
                <w:rFonts w:ascii="宋体" w:hAnsi="宋体" w:cs="宋体" w:eastAsia="宋体" w:hint="default"/>
                <w:sz w:val="18"/>
                <w:szCs w:val="18"/>
              </w:rPr>
              <w:t>江苏税软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年当 期扣除非经常性损益后归属于母公司的 预测净利润额分别为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3,750 </w:t>
            </w:r>
            <w:r>
              <w:rPr>
                <w:rFonts w:ascii="宋体" w:hAnsi="宋体" w:cs="宋体" w:eastAsia="宋体" w:hint="default"/>
                <w:sz w:val="18"/>
                <w:szCs w:val="18"/>
              </w:rPr>
              <w:t>万元及 </w:t>
            </w:r>
            <w:r>
              <w:rPr>
                <w:rFonts w:ascii="Times New Roman" w:hAnsi="Times New Roman" w:cs="Times New Roman" w:eastAsia="Times New Roman" w:hint="default"/>
                <w:sz w:val="18"/>
                <w:szCs w:val="18"/>
              </w:rPr>
              <w:t>4,560 </w:t>
            </w:r>
            <w:r>
              <w:rPr>
                <w:rFonts w:ascii="宋体" w:hAnsi="宋体" w:cs="宋体" w:eastAsia="宋体" w:hint="default"/>
                <w:sz w:val="18"/>
                <w:szCs w:val="18"/>
              </w:rPr>
              <w:t>万元。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、实际净利润的 确定 美亚柏科应当在补偿期限内每一 会计年度审计时对江苏税软当年的实际 净利润数与净利润预测数的差异进行审 核，并由各方共同聘请的具有证券期货 相关业务资格的会计师事务所对此出具 专项审核意见（该专项审核意见应基于 按照企业会计准则出具的江苏税软合并 </w:t>
            </w:r>
            <w:r>
              <w:rPr>
                <w:rFonts w:ascii="宋体" w:hAnsi="宋体" w:cs="宋体" w:eastAsia="宋体" w:hint="default"/>
                <w:spacing w:val="-10"/>
                <w:sz w:val="18"/>
                <w:szCs w:val="18"/>
              </w:rPr>
              <w:t>报告）。净利润差额将按照净利润预测数</w:t>
            </w:r>
            <w:r>
              <w:rPr>
                <w:rFonts w:ascii="宋体" w:hAnsi="宋体" w:cs="宋体" w:eastAsia="宋体" w:hint="default"/>
                <w:sz w:val="18"/>
                <w:szCs w:val="18"/>
              </w:rPr>
              <w:t> 减去实际净利润数计算，以会计师事务 所出具的专项审核意见为准。上述净利 润均为扣除非经常性损益后的净利润。 </w:t>
            </w:r>
            <w:r>
              <w:rPr>
                <w:rFonts w:ascii="Times New Roman" w:hAnsi="Times New Roman" w:cs="Times New Roman" w:eastAsia="Times New Roman" w:hint="default"/>
                <w:sz w:val="18"/>
                <w:szCs w:val="18"/>
              </w:rPr>
              <w:t>3</w:t>
            </w:r>
            <w:r>
              <w:rPr>
                <w:rFonts w:ascii="宋体" w:hAnsi="宋体" w:cs="宋体" w:eastAsia="宋体" w:hint="default"/>
                <w:sz w:val="18"/>
                <w:szCs w:val="18"/>
              </w:rPr>
              <w:t>、补偿方式及标准 若江苏税软在补偿 期限内截至任一年度末的累积实际净利 润数低于截至当年度末累积净利润预测</w:t>
            </w:r>
          </w:p>
        </w:tc>
        <w:tc>
          <w:tcPr>
            <w:tcW w:w="850" w:type="dxa"/>
            <w:vMerge w:val="restart"/>
            <w:tcBorders>
              <w:top w:val="single" w:sz="4" w:space="0" w:color="000000"/>
              <w:left w:val="single" w:sz="4" w:space="0" w:color="000000"/>
              <w:right w:val="single" w:sz="4" w:space="0" w:color="000000"/>
            </w:tcBorders>
          </w:tcPr>
          <w:p>
            <w:pPr>
              <w:pStyle w:val="TableParagraph"/>
              <w:spacing w:line="4036" w:lineRule="exact"/>
              <w:ind w:right="-50"/>
              <w:jc w:val="left"/>
              <w:rPr>
                <w:rFonts w:ascii="宋体" w:hAnsi="宋体" w:cs="宋体" w:eastAsia="宋体" w:hint="default"/>
                <w:sz w:val="20"/>
                <w:szCs w:val="20"/>
              </w:rPr>
            </w:pPr>
            <w:r>
              <w:rPr>
                <w:rFonts w:ascii="宋体" w:hAnsi="宋体" w:cs="宋体" w:eastAsia="宋体" w:hint="default"/>
                <w:position w:val="-80"/>
                <w:sz w:val="20"/>
                <w:szCs w:val="20"/>
              </w:rPr>
              <w:pict>
                <v:group style="width:42pt;height:201.85pt;mso-position-horizontal-relative:char;mso-position-vertical-relative:line" coordorigin="0,0" coordsize="840,4037">
                  <v:group style="position:absolute;left:0;top:0;width:840;height:4037" coordorigin="0,0" coordsize="840,4037">
                    <v:shape style="position:absolute;left:0;top:0;width:840;height:4037" coordorigin="0,0" coordsize="840,4037" path="m0,4037l840,4037,840,0,0,0,0,4037xe" filled="true" fillcolor="#ffffff" stroked="false">
                      <v:path arrowok="t"/>
                      <v:fill type="solid"/>
                    </v:shape>
                  </v:group>
                </v:group>
              </w:pict>
            </w:r>
            <w:r>
              <w:rPr>
                <w:rFonts w:ascii="宋体" w:hAnsi="宋体" w:cs="宋体" w:eastAsia="宋体" w:hint="default"/>
                <w:position w:val="-80"/>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 w:right="-5"/>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703" w:hRule="exact"/>
        </w:trPr>
        <w:tc>
          <w:tcPr>
            <w:tcW w:w="113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560" w:type="dxa"/>
            <w:vMerge/>
            <w:tcBorders>
              <w:left w:val="single" w:sz="9" w:space="0" w:color="D4D4D4"/>
              <w:right w:val="single" w:sz="4" w:space="0" w:color="000000"/>
            </w:tcBorders>
          </w:tcPr>
          <w:p>
            <w:pPr/>
          </w:p>
        </w:tc>
        <w:tc>
          <w:tcPr>
            <w:tcW w:w="850" w:type="dxa"/>
            <w:vMerge/>
            <w:tcBorders>
              <w:left w:val="single" w:sz="4" w:space="0" w:color="000000"/>
              <w:right w:val="single" w:sz="4" w:space="0" w:color="000000"/>
            </w:tcBorders>
          </w:tcPr>
          <w:p>
            <w:pPr/>
          </w:p>
        </w:tc>
        <w:tc>
          <w:tcPr>
            <w:tcW w:w="312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4042" w:hRule="exact"/>
        </w:trPr>
        <w:tc>
          <w:tcPr>
            <w:tcW w:w="1134" w:type="dxa"/>
            <w:tcBorders>
              <w:top w:val="nil" w:sz="6" w:space="0" w:color="auto"/>
              <w:left w:val="single" w:sz="4" w:space="0" w:color="000000"/>
              <w:bottom w:val="single" w:sz="4" w:space="0" w:color="000000"/>
              <w:right w:val="single" w:sz="4" w:space="0" w:color="000000"/>
            </w:tcBorders>
            <w:shd w:val="clear" w:color="auto" w:fill="D4D4D4"/>
          </w:tcPr>
          <w:p>
            <w:pPr/>
          </w:p>
        </w:tc>
        <w:tc>
          <w:tcPr>
            <w:tcW w:w="1560" w:type="dxa"/>
            <w:vMerge/>
            <w:tcBorders>
              <w:left w:val="single" w:sz="9" w:space="0" w:color="D4D4D4"/>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2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293.937012pt;margin-top:72.839981pt;width:138.2pt;height:686.4pt;mso-position-horizontal-relative:page;mso-position-vertical-relative:page;z-index:-1178584"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易对方将按照以下方式、</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7"/>
                    <w:ind w:left="1441" w:right="0" w:firstLine="0"/>
                    <w:jc w:val="left"/>
                    <w:rPr>
                      <w:rFonts w:ascii="宋体" w:hAnsi="宋体" w:cs="宋体" w:eastAsia="宋体" w:hint="default"/>
                      <w:sz w:val="18"/>
                      <w:szCs w:val="18"/>
                    </w:rPr>
                  </w:pPr>
                  <w:r>
                    <w:rPr>
                      <w:rFonts w:ascii="宋体" w:hAnsi="宋体" w:cs="宋体" w:eastAsia="宋体" w:hint="default"/>
                      <w:sz w:val="18"/>
                      <w:szCs w:val="18"/>
                    </w:rPr>
                    <w:t>送股、</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18"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pacing w:val="-87"/>
                <w:sz w:val="18"/>
                <w:szCs w:val="18"/>
              </w:rPr>
              <w:t>，</w:t>
            </w:r>
            <w:r>
              <w:rPr>
                <w:rFonts w:ascii="宋体" w:hAnsi="宋体" w:cs="宋体" w:eastAsia="宋体" w:hint="default"/>
                <w:sz w:val="18"/>
                <w:szCs w:val="18"/>
              </w:rPr>
              <w:t>江苏税软交</w:t>
            </w:r>
          </w:p>
        </w:tc>
        <w:tc>
          <w:tcPr>
            <w:tcW w:w="850" w:type="dxa"/>
            <w:vMerge w:val="restart"/>
            <w:tcBorders>
              <w:top w:val="single" w:sz="4" w:space="0" w:color="000000"/>
              <w:left w:val="single" w:sz="4" w:space="0" w:color="000000"/>
              <w:right w:val="single" w:sz="4" w:space="0" w:color="000000"/>
            </w:tcBorders>
          </w:tcPr>
          <w:p>
            <w:pPr>
              <w:pStyle w:val="TableParagraph"/>
              <w:spacing w:line="137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4pt;mso-position-horizontal-relative:char;mso-position-vertical-relative:line" coordorigin="0,0" coordsize="840,13728">
                  <v:group style="position:absolute;left:0;top:0;width:840;height:13728" coordorigin="0,0" coordsize="840,13728">
                    <v:shape style="position:absolute;left:0;top:0;width:840;height:13728" coordorigin="0,0" coordsize="840,13728" path="m0,13728l840,13728,840,0,0,0,0,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标准对美亚柏科进行补偿： （</w:t>
            </w:r>
            <w:r>
              <w:rPr>
                <w:rFonts w:ascii="Times New Roman" w:hAnsi="Times New Roman" w:cs="Times New Roman" w:eastAsia="Times New Roman" w:hint="default"/>
                <w:sz w:val="18"/>
                <w:szCs w:val="18"/>
              </w:rPr>
              <w:t>1</w:t>
            </w:r>
            <w:r>
              <w:rPr>
                <w:rFonts w:ascii="宋体" w:hAnsi="宋体" w:cs="宋体" w:eastAsia="宋体" w:hint="default"/>
                <w:sz w:val="18"/>
                <w:szCs w:val="18"/>
              </w:rPr>
              <w:t>）江苏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税软交易对方应优先以股份向美亚柏科</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进行补偿，不足部分以现金进行补偿。</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补偿应由各江苏税软交易对方按照其各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自在本次江苏税软收购交易中获得的股</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份比例承担。各江苏税软交易对方就此</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项补偿对美亚柏科承担连带责任。补偿</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金额总额不应超过本次江苏税软收购交</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易中获得的收购对价总额。 （</w:t>
            </w:r>
            <w:r>
              <w:rPr>
                <w:rFonts w:ascii="Times New Roman" w:hAnsi="Times New Roman" w:cs="Times New Roman" w:eastAsia="Times New Roman" w:hint="default"/>
                <w:sz w:val="18"/>
                <w:szCs w:val="18"/>
              </w:rPr>
              <w:t>2</w:t>
            </w:r>
            <w:r>
              <w:rPr>
                <w:rFonts w:ascii="宋体" w:hAnsi="宋体" w:cs="宋体" w:eastAsia="宋体" w:hint="default"/>
                <w:sz w:val="18"/>
                <w:szCs w:val="18"/>
              </w:rPr>
              <w:t>）应补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偿股份数量应按照以下公式计算所得数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值确定：</w:t>
            </w:r>
            <w:r>
              <w:rPr>
                <w:rFonts w:ascii="宋体" w:hAnsi="宋体" w:cs="宋体" w:eastAsia="宋体" w:hint="default"/>
                <w:spacing w:val="-10"/>
                <w:sz w:val="18"/>
                <w:szCs w:val="18"/>
              </w:rPr>
              <w:t> </w:t>
            </w:r>
            <w:r>
              <w:rPr>
                <w:rFonts w:ascii="宋体" w:hAnsi="宋体" w:cs="宋体" w:eastAsia="宋体" w:hint="default"/>
                <w:sz w:val="18"/>
                <w:szCs w:val="18"/>
              </w:rPr>
              <w:t>当年应补偿股份数量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期限内截至当期期末的累积净利润预测</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数－补偿期限内截至当期期末累积实际</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补偿期限内各年的净利润</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预测数总和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（江苏税软收购对价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发行价格）－已补偿股份数量－（已补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偿现金金额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 某一江</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苏税软交易对方应补偿股份数量的计算</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公式为：某一江苏税软交易对方当年应</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（补偿期限内截至当期</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期末的累积净利润预测数－补偿期限内</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截至当期期末累积实际净利润数）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偿期限内各年的净利润预测数总和</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（江苏税软收购对价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（该江苏税软交易对方在本次江苏税</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软收购交易中获得的全部股份数</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江苏税软收购对价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－该江</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苏税软交易对方已补偿股份数量</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（该江</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苏税软交易对方已补偿现金金额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发行价格</w:t>
            </w:r>
            <w:r>
              <w:rPr>
                <w:rFonts w:ascii="宋体" w:hAnsi="宋体" w:cs="宋体" w:eastAsia="宋体" w:hint="default"/>
                <w:spacing w:val="-90"/>
                <w:sz w:val="18"/>
                <w:szCs w:val="18"/>
              </w:rPr>
              <w:t>）</w:t>
            </w:r>
            <w:r>
              <w:rPr>
                <w:rFonts w:ascii="宋体" w:hAnsi="宋体" w:cs="宋体" w:eastAsia="宋体" w:hint="default"/>
                <w:sz w:val="18"/>
                <w:szCs w:val="18"/>
              </w:rPr>
              <w:t>。 上述计算公式中的净利润</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预测数指江苏税软合并报表中扣除非经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常性损益后归属于母公司的净利润预测</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数之和。上述计算公式中的实际净利润</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数指江苏税软合并报表中扣除非经常性</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损益后归属于母公司的实际净利润数之</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和。每股发行价格指美亚柏科在本次江</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苏税软收购交易中向江苏税软交易对方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非公开发行股份的每股发行价格。如果</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自江苏税软的股东在公司登记管理机关</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变更为美亚柏科之日至股份补偿实施之</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日的期间内，美亚柏科如有派息、</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转增股本等除权除息事项发生，则应补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偿股份数量，以及随补偿股份而发生的</w:t>
            </w:r>
          </w:p>
        </w:tc>
        <w:tc>
          <w:tcPr>
            <w:tcW w:w="850"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347.820007pt;margin-top:72.839981pt;width:84.3pt;height:686.4pt;mso-position-horizontal-relative:page;mso-position-vertical-relative:page;z-index:-11785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37"/>
                    <w:ind w:left="2" w:right="0" w:firstLine="721"/>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636" w:lineRule="auto" w:before="110"/>
                    <w:ind w:left="0" w:right="781" w:firstLine="2"/>
                    <w:jc w:val="left"/>
                    <w:rPr>
                      <w:rFonts w:ascii="宋体" w:hAnsi="宋体" w:cs="宋体" w:eastAsia="宋体" w:hint="default"/>
                      <w:sz w:val="18"/>
                      <w:szCs w:val="18"/>
                    </w:rPr>
                  </w:pPr>
                  <w:r>
                    <w:rPr>
                      <w:rFonts w:ascii="宋体" w:hAnsi="宋体" w:cs="宋体" w:eastAsia="宋体" w:hint="default"/>
                      <w:sz w:val="18"/>
                      <w:szCs w:val="18"/>
                    </w:rPr>
                    <w:t>发行价格。 无论如何，</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18"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返还金额，应做相应调整。</w:t>
            </w:r>
            <w:r>
              <w:rPr>
                <w:rFonts w:ascii="宋体" w:hAnsi="宋体" w:cs="宋体" w:eastAsia="宋体" w:hint="default"/>
                <w:spacing w:val="-40"/>
                <w:sz w:val="18"/>
                <w:szCs w:val="18"/>
              </w:rPr>
              <w:t> </w:t>
            </w:r>
            <w:r>
              <w:rPr>
                <w:rFonts w:ascii="宋体" w:hAnsi="宋体" w:cs="宋体" w:eastAsia="宋体" w:hint="default"/>
                <w:sz w:val="18"/>
                <w:szCs w:val="18"/>
              </w:rPr>
              <w:t>应补偿股份</w:t>
            </w:r>
          </w:p>
        </w:tc>
        <w:tc>
          <w:tcPr>
            <w:tcW w:w="850" w:type="dxa"/>
            <w:vMerge w:val="restart"/>
            <w:tcBorders>
              <w:top w:val="single" w:sz="4" w:space="0" w:color="000000"/>
              <w:left w:val="single" w:sz="4" w:space="0" w:color="000000"/>
              <w:right w:val="single" w:sz="4" w:space="0" w:color="000000"/>
            </w:tcBorders>
          </w:tcPr>
          <w:p>
            <w:pPr>
              <w:pStyle w:val="TableParagraph"/>
              <w:spacing w:line="137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4pt;mso-position-horizontal-relative:char;mso-position-vertical-relative:line" coordorigin="0,0" coordsize="840,13728">
                  <v:group style="position:absolute;left:0;top:0;width:840;height:13728" coordorigin="0,0" coordsize="840,13728">
                    <v:shape style="position:absolute;left:0;top:0;width:840;height:13728" coordorigin="0,0" coordsize="840,13728" path="m0,13728l840,13728,840,0,0,0,0,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数量不超过江苏税软交易对方本次江苏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税软收购交易中认购股份的总量。如按</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的计算公式计算</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的补偿期限内某一年的补偿股份数量小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，则应按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取值，即已经补偿的股</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份不冲回。 （</w:t>
            </w:r>
            <w:r>
              <w:rPr>
                <w:rFonts w:ascii="Times New Roman" w:hAnsi="Times New Roman" w:cs="Times New Roman" w:eastAsia="Times New Roman" w:hint="default"/>
                <w:sz w:val="18"/>
                <w:szCs w:val="18"/>
              </w:rPr>
              <w:t>3</w:t>
            </w:r>
            <w:r>
              <w:rPr>
                <w:rFonts w:ascii="宋体" w:hAnsi="宋体" w:cs="宋体" w:eastAsia="宋体" w:hint="default"/>
                <w:sz w:val="18"/>
                <w:szCs w:val="18"/>
              </w:rPr>
              <w:t>）如按照上述公式计算</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的补偿期限内某一年某一江苏税软交易</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对方的补偿股份数量，超过了该江苏税</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软交易对方届时所持美亚柏科的股份总</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数，则差额部分应由该江苏税软交易对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方用现金进行补偿。现金补偿金额的计</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算公式为：相关江苏税软交易对方现金</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（该江苏税软交易对方应补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偿股份数量－该江苏税软交易对方届时</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所持股份数量）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宋体" w:hAnsi="宋体" w:cs="宋体" w:eastAsia="宋体" w:hint="default"/>
                <w:spacing w:val="-10"/>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减值测试 如补偿期限内某一年度或多</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个年度实际净利润数低于当年度净利润</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预测数，则在补偿期限届满时，各方将</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共同聘请具有证券期货相关业务资格的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会计师事务所审核美亚柏科出具的《减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值测试报告</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并出</w:t>
            </w:r>
            <w:r>
              <w:rPr>
                <w:rFonts w:ascii="宋体" w:hAnsi="宋体" w:cs="宋体" w:eastAsia="宋体" w:hint="default"/>
                <w:spacing w:val="-44"/>
                <w:sz w:val="18"/>
                <w:szCs w:val="18"/>
              </w:rPr>
              <w:t>具</w:t>
            </w:r>
            <w:r>
              <w:rPr>
                <w:rFonts w:ascii="宋体" w:hAnsi="宋体" w:cs="宋体" w:eastAsia="宋体" w:hint="default"/>
                <w:sz w:val="18"/>
                <w:szCs w:val="18"/>
              </w:rPr>
              <w:t>《减值测试审核报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宋体" w:hAnsi="宋体" w:cs="宋体" w:eastAsia="宋体" w:hint="default"/>
                <w:spacing w:val="-90"/>
                <w:sz w:val="18"/>
                <w:szCs w:val="18"/>
              </w:rPr>
              <w:t>》</w:t>
            </w:r>
            <w:r>
              <w:rPr>
                <w:rFonts w:ascii="宋体" w:hAnsi="宋体" w:cs="宋体" w:eastAsia="宋体" w:hint="default"/>
                <w:sz w:val="18"/>
                <w:szCs w:val="18"/>
              </w:rPr>
              <w:t>，如期末减值额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江苏税软作价 </w:t>
            </w:r>
            <w:r>
              <w:rPr>
                <w:rFonts w:ascii="Times New Roman" w:hAnsi="Times New Roman" w:cs="Times New Roman" w:eastAsia="Times New Roman" w:hint="default"/>
                <w:sz w:val="18"/>
                <w:szCs w:val="18"/>
              </w:rPr>
              <w:t>&gt;</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（补偿期限内已补偿股份总数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（江苏税软收购</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t>则江苏税软交易</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对方应另行向美亚柏科补偿股份。另行</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补偿股份数量计算公式为：期末减值额</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价格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 </w:t>
            </w:r>
            <w:r>
              <w:rPr>
                <w:rFonts w:ascii="宋体" w:hAnsi="宋体" w:cs="宋体" w:eastAsia="宋体" w:hint="default"/>
                <w:spacing w:val="-5"/>
                <w:sz w:val="18"/>
                <w:szCs w:val="18"/>
              </w:rPr>
              <w:t>已补偿股份总数－（已补偿现金</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 上述计算公式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中的期末减值额指江苏税软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所对应的江苏税软期末减值额。如按照</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上述公式计算的补偿股份数量，超过了</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江苏税软交易对方所持美亚柏科的股份</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总数，则差额部分应由江苏税软交易对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方用现金进行补偿，补偿现金</w:t>
            </w:r>
            <w:r>
              <w:rPr>
                <w:rFonts w:ascii="Times New Roman" w:hAnsi="Times New Roman" w:cs="Times New Roman" w:eastAsia="Times New Roman" w:hint="default"/>
                <w:sz w:val="18"/>
                <w:szCs w:val="18"/>
              </w:rPr>
              <w:t>=</w:t>
            </w:r>
            <w:r>
              <w:rPr>
                <w:rFonts w:ascii="宋体" w:hAnsi="宋体" w:cs="宋体" w:eastAsia="宋体" w:hint="default"/>
                <w:sz w:val="18"/>
                <w:szCs w:val="18"/>
              </w:rPr>
              <w:t>（期末</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减值额补偿股份数量－江苏税软交易对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方届时所持股份数量）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各江苏税软交易对方就期末减值额补偿</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对美亚柏科承担连带责任。</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江苏税软交易对方承担的补偿金额总额</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不超过本次江苏税软收购交易中获得的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收购对价总额。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）补偿实施</w:t>
            </w:r>
            <w:r>
              <w:rPr>
                <w:rFonts w:ascii="宋体" w:hAnsi="宋体" w:cs="宋体" w:eastAsia="宋体" w:hint="default"/>
                <w:spacing w:val="-54"/>
                <w:sz w:val="18"/>
                <w:szCs w:val="18"/>
              </w:rPr>
              <w:t> </w:t>
            </w:r>
            <w:r>
              <w:rPr>
                <w:rFonts w:ascii="宋体" w:hAnsi="宋体" w:cs="宋体" w:eastAsia="宋体" w:hint="default"/>
                <w:sz w:val="18"/>
                <w:szCs w:val="18"/>
              </w:rPr>
              <w:t>各方应</w:t>
            </w:r>
          </w:p>
        </w:tc>
        <w:tc>
          <w:tcPr>
            <w:tcW w:w="850"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10"/>
      </w:tblGrid>
      <w:tr>
        <w:trPr>
          <w:trHeight w:val="8786"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在补偿期限内每一会计年度审计报告出 具后十个工作日内按照上述规定计算该 会计年度的应补偿股份数，并且美亚柏 科应在该期限内发出董事会通知，召开 董事会审议美亚柏科以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元的总价回购 并注销补偿义务人当年补偿的股份事 宜。美亚柏科董事会审议通过上述股份 回购注销方案后，应于五个工作日内发 出召开股东大会通知。如果美亚柏科股 东大会审议通过上述股份回购注销方案 并就该方案向债权人发出通知并对外公 告，美亚柏科应于股东大会决议公告后 五个工作日内书面通知江苏税软交易对 方，江苏税软交易对方应在公告期满后 的五个工作日内与美亚柏科共同到中国 证券登记结算有限责任公司深圳分公司 办理应补偿股份的注销手续。在前述董 事会召开后，注销手续完成之前，江苏 税软交易对方就应补偿股份不拥有表决 权且不享有股利分配的权利。如按照上 述公式计算的补偿期限内某一年某一江 苏税软交易对方的补偿股份数量，超过 了该江苏税软交易对方届时所持美亚柏 科的股份总数，则差额部分应由该江苏 税软交易对方用现金进行补偿，该江苏 税软交易对方应在差额部分确认后十个 工作日内将补偿金额一次性汇入美亚柏 科指定的银行账户中。</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042"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46"/>
              <w:ind w:left="22" w:right="167"/>
              <w:jc w:val="left"/>
              <w:rPr>
                <w:rFonts w:ascii="宋体" w:hAnsi="宋体" w:cs="宋体" w:eastAsia="宋体" w:hint="default"/>
                <w:sz w:val="18"/>
                <w:szCs w:val="18"/>
              </w:rPr>
            </w:pPr>
            <w:r>
              <w:rPr>
                <w:rFonts w:ascii="宋体" w:hAnsi="宋体" w:cs="宋体" w:eastAsia="宋体" w:hint="default"/>
                <w:sz w:val="18"/>
                <w:szCs w:val="18"/>
              </w:rPr>
              <w:t>苏学武</w:t>
            </w:r>
            <w:r>
              <w:rPr>
                <w:rFonts w:ascii="Times New Roman" w:hAnsi="Times New Roman" w:cs="Times New Roman" w:eastAsia="Times New Roman" w:hint="default"/>
                <w:sz w:val="18"/>
                <w:szCs w:val="18"/>
              </w:rPr>
              <w:t>;</w:t>
            </w:r>
            <w:r>
              <w:rPr>
                <w:rFonts w:ascii="宋体" w:hAnsi="宋体" w:cs="宋体" w:eastAsia="宋体" w:hint="default"/>
                <w:sz w:val="18"/>
                <w:szCs w:val="18"/>
              </w:rPr>
              <w:t>水军</w:t>
            </w:r>
            <w:r>
              <w:rPr>
                <w:rFonts w:ascii="Times New Roman" w:hAnsi="Times New Roman" w:cs="Times New Roman" w:eastAsia="Times New Roman" w:hint="default"/>
                <w:sz w:val="18"/>
                <w:szCs w:val="18"/>
              </w:rPr>
              <w:t>;</w:t>
            </w:r>
            <w:r>
              <w:rPr>
                <w:rFonts w:ascii="宋体" w:hAnsi="宋体" w:cs="宋体" w:eastAsia="宋体" w:hint="default"/>
                <w:sz w:val="18"/>
                <w:szCs w:val="18"/>
              </w:rPr>
              <w:t>邓炽</w:t>
            </w:r>
            <w:r>
              <w:rPr>
                <w:rFonts w:ascii="宋体" w:hAnsi="宋体" w:cs="宋体" w:eastAsia="宋体" w:hint="default"/>
                <w:spacing w:val="-2"/>
                <w:sz w:val="18"/>
                <w:szCs w:val="18"/>
              </w:rPr>
              <w:t> </w:t>
            </w:r>
            <w:r>
              <w:rPr>
                <w:rFonts w:ascii="宋体" w:hAnsi="宋体" w:cs="宋体" w:eastAsia="宋体" w:hint="default"/>
                <w:sz w:val="18"/>
                <w:szCs w:val="18"/>
              </w:rPr>
              <w:t>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、盈利预测</w:t>
            </w:r>
            <w:r>
              <w:rPr>
                <w:rFonts w:ascii="宋体" w:hAnsi="宋体" w:cs="宋体" w:eastAsia="宋体" w:hint="default"/>
                <w:spacing w:val="-1"/>
                <w:sz w:val="18"/>
                <w:szCs w:val="18"/>
              </w:rPr>
              <w:t> </w:t>
            </w:r>
            <w:r>
              <w:rPr>
                <w:rFonts w:ascii="宋体" w:hAnsi="宋体" w:cs="宋体" w:eastAsia="宋体" w:hint="default"/>
                <w:sz w:val="18"/>
                <w:szCs w:val="18"/>
              </w:rPr>
              <w:t>新德汇交易对方承诺，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年（即新德汇 收购交易项下的补偿期限）的每一会计 年度期末产生于补偿期限内的新德汇合 并报表中扣除非经常性损益后归属于母 公司的累计净利润合计数不低于《评估 报告》中相应会计年度期末累计的净利 润预测合计数，该利润合计数以按照企 业会计准则出具的新德汇合并审计报告 为准。根据经审核的盈利预测，新德汇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年当期扣除非 经常性损益后归属于母公司的预测净利 润额分别为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 </w:t>
            </w:r>
            <w:r>
              <w:rPr>
                <w:rFonts w:ascii="Times New Roman" w:hAnsi="Times New Roman" w:cs="Times New Roman" w:eastAsia="Times New Roman" w:hint="default"/>
                <w:sz w:val="18"/>
                <w:szCs w:val="18"/>
              </w:rPr>
              <w:t>4,860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、实际净利润的确定</w:t>
            </w:r>
            <w:r>
              <w:rPr>
                <w:rFonts w:ascii="宋体" w:hAnsi="宋体" w:cs="宋体" w:eastAsia="宋体" w:hint="default"/>
                <w:spacing w:val="-1"/>
                <w:sz w:val="18"/>
                <w:szCs w:val="18"/>
              </w:rPr>
              <w:t> </w:t>
            </w:r>
            <w:r>
              <w:rPr>
                <w:rFonts w:ascii="宋体" w:hAnsi="宋体" w:cs="宋体" w:eastAsia="宋体" w:hint="default"/>
                <w:sz w:val="18"/>
                <w:szCs w:val="18"/>
              </w:rPr>
              <w:t>美 亚柏科应当在补偿期限内每一会计年度 审计时对新德汇当年的实际净利润数与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3"/>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18"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净利润预测数的差异进行审核，并由各</w:t>
            </w:r>
          </w:p>
        </w:tc>
        <w:tc>
          <w:tcPr>
            <w:tcW w:w="850"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方共同聘请的具有证券期货相关业务资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格的会计师事务所对此出具专项审核意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见（该专项审核意见应基于按照企业会</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计准则出具的新德汇报告</w:t>
            </w:r>
            <w:r>
              <w:rPr>
                <w:rFonts w:ascii="宋体" w:hAnsi="宋体" w:cs="宋体" w:eastAsia="宋体" w:hint="default"/>
                <w:spacing w:val="-90"/>
                <w:sz w:val="18"/>
                <w:szCs w:val="18"/>
              </w:rPr>
              <w:t>）</w:t>
            </w:r>
            <w:r>
              <w:rPr>
                <w:rFonts w:ascii="宋体" w:hAnsi="宋体" w:cs="宋体" w:eastAsia="宋体" w:hint="default"/>
                <w:spacing w:val="-88"/>
                <w:sz w:val="18"/>
                <w:szCs w:val="18"/>
              </w:rPr>
              <w:t>。</w:t>
            </w:r>
            <w:r>
              <w:rPr>
                <w:rFonts w:ascii="宋体" w:hAnsi="宋体" w:cs="宋体" w:eastAsia="宋体" w:hint="default"/>
                <w:sz w:val="18"/>
                <w:szCs w:val="18"/>
              </w:rPr>
              <w:t>净利润差额</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将按照净利润预测数减去实际净利润数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计算，以会计师事务所出具的专项审核</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意见为准。上述净利润均为扣除非经常</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性损益后的净利润。 </w:t>
            </w:r>
            <w:r>
              <w:rPr>
                <w:rFonts w:ascii="Times New Roman" w:hAnsi="Times New Roman" w:cs="Times New Roman" w:eastAsia="Times New Roman" w:hint="default"/>
                <w:sz w:val="18"/>
                <w:szCs w:val="18"/>
              </w:rPr>
              <w:t>3</w:t>
            </w:r>
            <w:r>
              <w:rPr>
                <w:rFonts w:ascii="宋体" w:hAnsi="宋体" w:cs="宋体" w:eastAsia="宋体" w:hint="default"/>
                <w:sz w:val="18"/>
                <w:szCs w:val="18"/>
              </w:rPr>
              <w:t>、补偿方式及标</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准 若新德汇在补偿期限内截至任一年</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度末的累积实际净利润数低于截至当年</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度末累积净利润预测数，新德汇交易对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方将按照以下方式、标准对美亚柏科进</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行补偿： （</w:t>
            </w:r>
            <w:r>
              <w:rPr>
                <w:rFonts w:ascii="Times New Roman" w:hAnsi="Times New Roman" w:cs="Times New Roman" w:eastAsia="Times New Roman" w:hint="default"/>
                <w:sz w:val="18"/>
                <w:szCs w:val="18"/>
              </w:rPr>
              <w:t>1</w:t>
            </w:r>
            <w:r>
              <w:rPr>
                <w:rFonts w:ascii="宋体" w:hAnsi="宋体" w:cs="宋体" w:eastAsia="宋体" w:hint="default"/>
                <w:sz w:val="18"/>
                <w:szCs w:val="18"/>
              </w:rPr>
              <w:t>）新德汇交易对方应优先</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以股份向美亚柏科进行补偿，不足部分</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以现金进行补偿。补偿应由各新德汇交</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易对方按照其各自在本次新德汇收购交</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易中获得的股份比例承担。各新德汇交</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易对方就此项补偿对美亚柏科承担连带</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责任，美亚柏科届时另行豁免除外。新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德汇交易对方因未实现盈利预测而需承</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担的补偿金额总额不超过本次交易中获</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得的收购对价的 </w:t>
            </w:r>
            <w:r>
              <w:rPr>
                <w:rFonts w:ascii="Times New Roman" w:hAnsi="Times New Roman" w:cs="Times New Roman" w:eastAsia="Times New Roman" w:hint="default"/>
                <w:sz w:val="18"/>
                <w:szCs w:val="18"/>
              </w:rPr>
              <w:t>49%</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）应补偿股</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份数量应按照以下公式计算所得数值确</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pacing w:val="-10"/>
                <w:sz w:val="18"/>
                <w:szCs w:val="18"/>
              </w:rPr>
              <w:t> </w:t>
            </w:r>
            <w:r>
              <w:rPr>
                <w:rFonts w:ascii="宋体" w:hAnsi="宋体" w:cs="宋体" w:eastAsia="宋体" w:hint="default"/>
                <w:sz w:val="18"/>
                <w:szCs w:val="18"/>
              </w:rPr>
              <w:t>当年应补偿股份数量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内截至当期期末的累积净利润预测数－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补偿期限内截至当期期末累积实际净利</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补偿期限内各年的净利润预测</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数总和</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（新德汇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4"/>
                <w:sz w:val="18"/>
                <w:szCs w:val="18"/>
              </w:rPr>
              <w:t>股发行价格）</w:t>
            </w:r>
            <w:r>
              <w:rPr>
                <w:rFonts w:ascii="Times New Roman" w:hAnsi="Times New Roman" w:cs="Times New Roman" w:eastAsia="Times New Roman" w:hint="default"/>
                <w:spacing w:val="-4"/>
                <w:sz w:val="18"/>
                <w:szCs w:val="18"/>
              </w:rPr>
              <w:t>×49%</w:t>
            </w:r>
            <w:r>
              <w:rPr>
                <w:rFonts w:ascii="宋体" w:hAnsi="宋体" w:cs="宋体" w:eastAsia="宋体" w:hint="default"/>
                <w:spacing w:val="-4"/>
                <w:sz w:val="18"/>
                <w:szCs w:val="18"/>
              </w:rPr>
              <w:t>－已补偿股份数量－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（已补偿现金金额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某一新德汇交易对方应补偿股份数量的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计算公式为：某一新德汇交易对方当年</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（补偿期限内截至当</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期期末的累积净利润预测数－补偿期限</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内截至当期期末累积实际净利润数）</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补偿期限内各年的净利润预测数总和</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（新德汇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股权收购对价</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价格）</w:t>
            </w:r>
            <w:r>
              <w:rPr>
                <w:rFonts w:ascii="Times New Roman" w:hAnsi="Times New Roman" w:cs="Times New Roman" w:eastAsia="Times New Roman" w:hint="default"/>
                <w:spacing w:val="-3"/>
                <w:sz w:val="18"/>
                <w:szCs w:val="18"/>
              </w:rPr>
              <w:t>×49%×[</w:t>
            </w:r>
            <w:r>
              <w:rPr>
                <w:rFonts w:ascii="宋体" w:hAnsi="宋体" w:cs="宋体" w:eastAsia="宋体" w:hint="default"/>
                <w:spacing w:val="-3"/>
                <w:sz w:val="18"/>
                <w:szCs w:val="18"/>
              </w:rPr>
              <w:t>（该新德汇交易对方在本</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次新德汇收购交易中获得的全部股份数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每股发行价格）</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新德汇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股权收购</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对价</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－该新德汇交易对方已补偿股份</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数量－（该新德汇交易对方已补偿现金</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 上述计算公式</w:t>
            </w:r>
          </w:p>
        </w:tc>
        <w:tc>
          <w:tcPr>
            <w:tcW w:w="850"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384pt;margin-top:72.839981pt;width:48.15pt;height:686.4pt;mso-position-horizontal-relative:page;mso-position-vertical-relative:page;z-index:-1178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18"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中的净利润预测数指新德汇合并报表中</w:t>
            </w:r>
          </w:p>
        </w:tc>
        <w:tc>
          <w:tcPr>
            <w:tcW w:w="850" w:type="dxa"/>
            <w:vMerge w:val="restart"/>
            <w:tcBorders>
              <w:top w:val="single" w:sz="4" w:space="0" w:color="000000"/>
              <w:left w:val="single" w:sz="4" w:space="0" w:color="000000"/>
              <w:right w:val="single" w:sz="4" w:space="0" w:color="000000"/>
            </w:tcBorders>
          </w:tcPr>
          <w:p>
            <w:pPr>
              <w:pStyle w:val="TableParagraph"/>
              <w:spacing w:line="1372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4pt;mso-position-horizontal-relative:char;mso-position-vertical-relative:line" coordorigin="0,0" coordsize="840,13728">
                  <v:group style="position:absolute;left:0;top:0;width:840;height:13728" coordorigin="0,0" coordsize="840,13728">
                    <v:shape style="position:absolute;left:0;top:0;width:840;height:13728" coordorigin="0,0" coordsize="840,13728" path="m0,13728l840,13728,840,0,0,0,0,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扣除非经常性损益后归属于母公司的净</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利润预测数之和。上述计算公式中的实</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际净利润数指新德汇合并报表中扣除非</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经常性损益后归属于母公司的实际净利</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润数之和。每股发行价格指美亚柏科在</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本次新德汇收购交易中向新德汇交易对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方非公开发行股份的每股发行价格。如</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果自新德汇的唯一股东在公司登记管理</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机关变更为美亚柏科之日至股份补偿实</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施之日的期间内，美亚柏科如有派息、</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送股、转增股本等除权除息事项发生，</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则应补偿股份数量，以及随补偿股份而</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发生的返还金额，应做相应调整。</w:t>
            </w:r>
            <w:r>
              <w:rPr>
                <w:rFonts w:ascii="宋体" w:hAnsi="宋体" w:cs="宋体" w:eastAsia="宋体" w:hint="default"/>
                <w:spacing w:val="-43"/>
                <w:sz w:val="18"/>
                <w:szCs w:val="18"/>
              </w:rPr>
              <w:t> </w:t>
            </w:r>
            <w:r>
              <w:rPr>
                <w:rFonts w:ascii="宋体" w:hAnsi="宋体" w:cs="宋体" w:eastAsia="宋体" w:hint="default"/>
                <w:sz w:val="18"/>
                <w:szCs w:val="18"/>
              </w:rPr>
              <w:t>新德</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汇交易对方因未实现盈利预测而需承担</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的应补偿股份数量不超过新德汇交易对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方本次新德汇收购交易中认购股份的总</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量的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。如按上述</w:t>
            </w:r>
            <w:r>
              <w:rPr>
                <w:rFonts w:ascii="Times New Roman" w:hAnsi="Times New Roman" w:cs="Times New Roman" w:eastAsia="Times New Roman" w:hint="default"/>
                <w:sz w:val="18"/>
                <w:szCs w:val="18"/>
              </w:rPr>
              <w:t>"</w:t>
            </w:r>
            <w:r>
              <w:rPr>
                <w:rFonts w:ascii="宋体" w:hAnsi="宋体" w:cs="宋体" w:eastAsia="宋体" w:hint="default"/>
                <w:sz w:val="18"/>
                <w:szCs w:val="18"/>
              </w:rPr>
              <w:t>应补偿股份数量</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的计算公式计算的补偿期限内某一年的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补偿股份数量小于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，则应按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取值，</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即已经补偿的股份不冲回。 （</w:t>
            </w:r>
            <w:r>
              <w:rPr>
                <w:rFonts w:ascii="Times New Roman" w:hAnsi="Times New Roman" w:cs="Times New Roman" w:eastAsia="Times New Roman" w:hint="default"/>
                <w:sz w:val="18"/>
                <w:szCs w:val="18"/>
              </w:rPr>
              <w:t>3</w:t>
            </w:r>
            <w:r>
              <w:rPr>
                <w:rFonts w:ascii="宋体" w:hAnsi="宋体" w:cs="宋体" w:eastAsia="宋体" w:hint="default"/>
                <w:sz w:val="18"/>
                <w:szCs w:val="18"/>
              </w:rPr>
              <w:t>）如按</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照上述公式计算的补偿期限内某一年某</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一新德汇交易对方的补偿股份数量，超</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过了该新德汇交易对方届时所持美亚柏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科的股份总数，则差额部分应由该新德</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汇交易对方用现金进行补偿。现金补偿</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金额的计算公式为：相关新德汇交易对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方现金补偿金额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（该新德汇交易对方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应补偿股份数量－该新德汇交易对方届</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时所持股份数量）</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每股发行价格。（</w:t>
            </w:r>
            <w:r>
              <w:rPr>
                <w:rFonts w:ascii="Times New Roman" w:hAnsi="Times New Roman" w:cs="Times New Roman" w:eastAsia="Times New Roman" w:hint="default"/>
                <w:spacing w:val="-6"/>
                <w:sz w:val="18"/>
                <w:szCs w:val="18"/>
              </w:rPr>
              <w:t>4</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减值测试 在补偿期限届满时</w:t>
            </w:r>
            <w:r>
              <w:rPr>
                <w:rFonts w:ascii="宋体" w:hAnsi="宋体" w:cs="宋体" w:eastAsia="宋体" w:hint="default"/>
                <w:spacing w:val="-88"/>
                <w:sz w:val="18"/>
                <w:szCs w:val="18"/>
              </w:rPr>
              <w:t>，</w:t>
            </w:r>
            <w:r>
              <w:rPr>
                <w:rFonts w:ascii="宋体" w:hAnsi="宋体" w:cs="宋体" w:eastAsia="宋体" w:hint="default"/>
                <w:sz w:val="18"/>
                <w:szCs w:val="18"/>
              </w:rPr>
              <w:t>各方将共</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同聘请具有证券期货相关业务资格的会</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计师事务所审核美亚柏科就新德汇</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100%</w:t>
            </w:r>
            <w:r>
              <w:rPr>
                <w:rFonts w:ascii="宋体" w:hAnsi="宋体" w:cs="宋体" w:eastAsia="宋体" w:hint="default"/>
                <w:w w:val="99"/>
                <w:sz w:val="18"/>
                <w:szCs w:val="18"/>
              </w:rPr>
              <w:t>股权出具的《减值测试报告</w:t>
            </w:r>
            <w:r>
              <w:rPr>
                <w:rFonts w:ascii="宋体" w:hAnsi="宋体" w:cs="宋体" w:eastAsia="宋体" w:hint="default"/>
                <w:spacing w:val="-90"/>
                <w:w w:val="99"/>
                <w:sz w:val="18"/>
                <w:szCs w:val="18"/>
              </w:rPr>
              <w:t>》</w:t>
            </w:r>
            <w:r>
              <w:rPr>
                <w:rFonts w:ascii="宋体" w:hAnsi="宋体" w:cs="宋体" w:eastAsia="宋体" w:hint="default"/>
                <w:w w:val="99"/>
                <w:sz w:val="18"/>
                <w:szCs w:val="18"/>
              </w:rPr>
              <w:t>，并</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出</w:t>
            </w:r>
            <w:r>
              <w:rPr>
                <w:rFonts w:ascii="宋体" w:hAnsi="宋体" w:cs="宋体" w:eastAsia="宋体" w:hint="default"/>
                <w:spacing w:val="-44"/>
                <w:sz w:val="18"/>
                <w:szCs w:val="18"/>
              </w:rPr>
              <w:t>具</w:t>
            </w:r>
            <w:r>
              <w:rPr>
                <w:rFonts w:ascii="宋体" w:hAnsi="宋体" w:cs="宋体" w:eastAsia="宋体" w:hint="default"/>
                <w:sz w:val="18"/>
                <w:szCs w:val="18"/>
              </w:rPr>
              <w:t>《减值测试审核报告</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如期末减值</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 </w:t>
            </w:r>
            <w:r>
              <w:rPr>
                <w:rFonts w:ascii="Times New Roman" w:hAnsi="Times New Roman" w:cs="Times New Roman" w:eastAsia="Times New Roman" w:hint="default"/>
                <w:sz w:val="18"/>
                <w:szCs w:val="18"/>
              </w:rPr>
              <w:t>&gt;  </w:t>
            </w:r>
            <w:r>
              <w:rPr>
                <w:rFonts w:ascii="宋体" w:hAnsi="宋体" w:cs="宋体" w:eastAsia="宋体" w:hint="default"/>
                <w:sz w:val="18"/>
                <w:szCs w:val="18"/>
              </w:rPr>
              <w:t>补偿期限内已补偿股份总数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股发行价格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已补偿现金，则新德汇交</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易对方应另行向美亚柏科补偿股份。另</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行补偿股份数量计算公式为：期末减值</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额补偿股份数量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期末减值额</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行价格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已补偿股份总数－（已补偿现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金金额</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每股发行价格</w:t>
            </w:r>
            <w:r>
              <w:rPr>
                <w:rFonts w:ascii="宋体" w:hAnsi="宋体" w:cs="宋体" w:eastAsia="宋体" w:hint="default"/>
                <w:spacing w:val="-90"/>
                <w:sz w:val="18"/>
                <w:szCs w:val="18"/>
              </w:rPr>
              <w:t>）</w:t>
            </w:r>
            <w:r>
              <w:rPr>
                <w:rFonts w:ascii="宋体" w:hAnsi="宋体" w:cs="宋体" w:eastAsia="宋体" w:hint="default"/>
                <w:sz w:val="18"/>
                <w:szCs w:val="18"/>
              </w:rPr>
              <w:t>。 上述计算公</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式中的期末减值额指新德汇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补偿期限届满时期末评估值相比美亚柏</w:t>
            </w:r>
          </w:p>
        </w:tc>
        <w:tc>
          <w:tcPr>
            <w:tcW w:w="850"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23"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科于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日签署协议向新德汇</w:t>
            </w:r>
          </w:p>
        </w:tc>
        <w:tc>
          <w:tcPr>
            <w:tcW w:w="850"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万元并向苏学武支付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4,854.8</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万元购买增资后新德汇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42.29%</w:t>
            </w:r>
            <w:r>
              <w:rPr>
                <w:rFonts w:ascii="宋体" w:hAnsi="宋体" w:cs="宋体" w:eastAsia="宋体" w:hint="default"/>
                <w:sz w:val="18"/>
                <w:szCs w:val="18"/>
              </w:rPr>
              <w:t>股权交</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易的增资款及转股款合计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5,854.8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前次交易对价</w:t>
            </w:r>
            <w:r>
              <w:rPr>
                <w:rFonts w:ascii="Times New Roman" w:hAnsi="Times New Roman" w:cs="Times New Roman" w:eastAsia="Times New Roman" w:hint="default"/>
                <w:sz w:val="18"/>
                <w:szCs w:val="18"/>
              </w:rPr>
              <w:t>"</w:t>
            </w:r>
            <w:r>
              <w:rPr>
                <w:rFonts w:ascii="宋体" w:hAnsi="宋体" w:cs="宋体" w:eastAsia="宋体" w:hint="default"/>
                <w:sz w:val="18"/>
                <w:szCs w:val="18"/>
              </w:rPr>
              <w:t>）和本次新德汇</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收购交易的收购对价之和的差额。如按</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照上述公式计算的补偿股份数量，超过</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了新德汇交易对方所持美亚柏科的股份</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总数，则差额部分应由新德汇交易对方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用现金进行补偿，补偿现金</w:t>
            </w:r>
            <w:r>
              <w:rPr>
                <w:rFonts w:ascii="Times New Roman" w:hAnsi="Times New Roman" w:cs="Times New Roman" w:eastAsia="Times New Roman" w:hint="default"/>
                <w:sz w:val="18"/>
                <w:szCs w:val="18"/>
              </w:rPr>
              <w:t>=</w:t>
            </w:r>
            <w:r>
              <w:rPr>
                <w:rFonts w:ascii="宋体" w:hAnsi="宋体" w:cs="宋体" w:eastAsia="宋体" w:hint="default"/>
                <w:sz w:val="18"/>
                <w:szCs w:val="18"/>
              </w:rPr>
              <w:t>（期末减</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值额补偿股份数量－新德汇交易对方届</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时所持股份数量）</w:t>
            </w:r>
            <w:r>
              <w:rPr>
                <w:rFonts w:ascii="Times New Roman" w:hAnsi="Times New Roman" w:cs="Times New Roman" w:eastAsia="Times New Roman" w:hint="default"/>
                <w:sz w:val="18"/>
                <w:szCs w:val="18"/>
              </w:rPr>
              <w:t>×</w:t>
            </w:r>
            <w:r>
              <w:rPr>
                <w:rFonts w:ascii="宋体" w:hAnsi="宋体" w:cs="宋体" w:eastAsia="宋体" w:hint="default"/>
                <w:sz w:val="18"/>
                <w:szCs w:val="18"/>
              </w:rPr>
              <w:t>每股发行价格。</w:t>
            </w:r>
            <w:r>
              <w:rPr>
                <w:rFonts w:ascii="宋体" w:hAnsi="宋体" w:cs="宋体" w:eastAsia="宋体" w:hint="default"/>
                <w:spacing w:val="-10"/>
                <w:sz w:val="18"/>
                <w:szCs w:val="18"/>
              </w:rPr>
              <w:t> </w:t>
            </w:r>
            <w:r>
              <w:rPr>
                <w:rFonts w:ascii="宋体" w:hAnsi="宋体" w:cs="宋体" w:eastAsia="宋体" w:hint="default"/>
                <w:sz w:val="18"/>
                <w:szCs w:val="18"/>
              </w:rPr>
              <w:t>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新德汇交易对方就期末减值额补偿对美</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亚柏科承担连带责任。</w:t>
            </w:r>
            <w:r>
              <w:rPr>
                <w:rFonts w:ascii="宋体" w:hAnsi="宋体" w:cs="宋体" w:eastAsia="宋体" w:hint="default"/>
                <w:spacing w:val="-39"/>
                <w:sz w:val="18"/>
                <w:szCs w:val="18"/>
              </w:rPr>
              <w:t> </w:t>
            </w:r>
            <w:r>
              <w:rPr>
                <w:rFonts w:ascii="宋体" w:hAnsi="宋体" w:cs="宋体" w:eastAsia="宋体" w:hint="default"/>
                <w:spacing w:val="-7"/>
                <w:sz w:val="18"/>
                <w:szCs w:val="18"/>
              </w:rPr>
              <w:t>无论如何，新德</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汇交易对方承担的补偿金额总额不超过</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前次交易对价和本次新德汇收购交易收</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购对价之和。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）补偿实施</w:t>
            </w:r>
            <w:r>
              <w:rPr>
                <w:rFonts w:ascii="宋体" w:hAnsi="宋体" w:cs="宋体" w:eastAsia="宋体" w:hint="default"/>
                <w:spacing w:val="-52"/>
                <w:sz w:val="18"/>
                <w:szCs w:val="18"/>
              </w:rPr>
              <w:t> </w:t>
            </w:r>
            <w:r>
              <w:rPr>
                <w:rFonts w:ascii="宋体" w:hAnsi="宋体" w:cs="宋体" w:eastAsia="宋体" w:hint="default"/>
                <w:sz w:val="18"/>
                <w:szCs w:val="18"/>
              </w:rPr>
              <w:t>各方应在</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补偿期限内每一会计年度审计报告出具</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后十个工作日内按照上述规定计算该会</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计年度的应补偿股份数，并且美亚柏科</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应在该期限内发出董事会通知，召开董</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事会审议美亚柏科以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元的总价回购并</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注销补偿义务人当年补偿的股份事宜。</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美亚柏科董事会审议通过上述股份回购</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注销方案后，应于五个工作日内发出召</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开股东大会通知。如果美亚柏科股东大</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会审议通过上述股份回购注销方案并就</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该方案向债权人发出通知并对外公告，</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美亚柏科应于股东大会决议公告后五个</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工作日内书面通知新德汇交易对方，新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德汇交易对方应在公告期满后的五个工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作日内与美亚柏科共同到中国证券登记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结算有限责任公司深圳分公司办理应补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偿股份的注销手续。在前述董事会召开</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后，注销手续完成之前，新德汇交易对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方就应补偿股份不拥有表决权且不享有</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股利分配的权利。如按照上述公式计算</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的补偿期限内某一年某一新德汇交易对</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方的补偿股份数量，超过了该新德汇交</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易对方届时所持美亚柏科的股份总数，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则差额部分应由该新德汇交易对方用现</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金进行补偿，该新德汇交易对方应在差</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额部分确认后十个工作日内将补偿金额</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一次性汇入美亚柏科指定的银行账户</w:t>
            </w:r>
          </w:p>
        </w:tc>
        <w:tc>
          <w:tcPr>
            <w:tcW w:w="850"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293.937012pt;margin-top:90.899986pt;width:138.2pt;height:318.850pt;mso-position-horizontal-relative:page;mso-position-vertical-relative:page;z-index:-1178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券交易所股票上市规则》</w:t>
                  </w:r>
                </w:p>
              </w:txbxContent>
            </v:textbox>
            <w10:wrap type="none"/>
          </v:shape>
        </w:pict>
      </w:r>
      <w:r>
        <w:rPr/>
        <w:pict>
          <v:shape style="position:absolute;margin-left:293.937012pt;margin-top:444.899994pt;width:138.2pt;height:318.850pt;mso-position-horizontal-relative:page;mso-position-vertical-relative:page;z-index:-1178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所持有的美亚柏科股份。</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62"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3466"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0"/>
              <w:ind w:left="22" w:right="115"/>
              <w:jc w:val="both"/>
              <w:rPr>
                <w:rFonts w:ascii="宋体" w:hAnsi="宋体" w:cs="宋体" w:eastAsia="宋体" w:hint="default"/>
                <w:sz w:val="18"/>
                <w:szCs w:val="18"/>
              </w:rPr>
            </w:pPr>
            <w:r>
              <w:rPr>
                <w:rFonts w:ascii="宋体" w:hAnsi="宋体" w:cs="宋体" w:eastAsia="宋体" w:hint="default"/>
                <w:sz w:val="18"/>
                <w:szCs w:val="18"/>
              </w:rPr>
              <w:t>韦玉荣</w:t>
            </w:r>
            <w:r>
              <w:rPr>
                <w:rFonts w:ascii="Times New Roman" w:hAnsi="Times New Roman" w:cs="Times New Roman" w:eastAsia="Times New Roman" w:hint="default"/>
                <w:sz w:val="18"/>
                <w:szCs w:val="18"/>
              </w:rPr>
              <w:t>;</w:t>
            </w:r>
            <w:r>
              <w:rPr>
                <w:rFonts w:ascii="宋体" w:hAnsi="宋体" w:cs="宋体" w:eastAsia="宋体" w:hint="default"/>
                <w:sz w:val="18"/>
                <w:szCs w:val="18"/>
              </w:rPr>
              <w:t>陈燕</w:t>
            </w:r>
            <w:r>
              <w:rPr>
                <w:rFonts w:ascii="Times New Roman" w:hAnsi="Times New Roman" w:cs="Times New Roman" w:eastAsia="Times New Roman" w:hint="default"/>
                <w:sz w:val="18"/>
                <w:szCs w:val="18"/>
              </w:rPr>
              <w:t>;</w:t>
            </w:r>
            <w:r>
              <w:rPr>
                <w:rFonts w:ascii="宋体" w:hAnsi="宋体" w:cs="宋体" w:eastAsia="宋体" w:hint="default"/>
                <w:sz w:val="18"/>
                <w:szCs w:val="18"/>
              </w:rPr>
              <w:t>黄新</w:t>
            </w:r>
            <w:r>
              <w:rPr>
                <w:rFonts w:ascii="Times New Roman" w:hAnsi="Times New Roman" w:cs="Times New Roman" w:eastAsia="Times New Roman" w:hint="default"/>
                <w:sz w:val="18"/>
                <w:szCs w:val="18"/>
              </w:rPr>
              <w:t>; </w:t>
            </w:r>
            <w:r>
              <w:rPr>
                <w:rFonts w:ascii="宋体" w:hAnsi="宋体" w:cs="宋体" w:eastAsia="宋体" w:hint="default"/>
                <w:sz w:val="18"/>
                <w:szCs w:val="18"/>
              </w:rPr>
              <w:t>李江</w:t>
            </w:r>
            <w:r>
              <w:rPr>
                <w:rFonts w:ascii="Times New Roman" w:hAnsi="Times New Roman" w:cs="Times New Roman" w:eastAsia="Times New Roman" w:hint="default"/>
                <w:sz w:val="18"/>
                <w:szCs w:val="18"/>
              </w:rPr>
              <w:t>;</w:t>
            </w:r>
            <w:r>
              <w:rPr>
                <w:rFonts w:ascii="宋体" w:hAnsi="宋体" w:cs="宋体" w:eastAsia="宋体" w:hint="default"/>
                <w:sz w:val="18"/>
                <w:szCs w:val="18"/>
              </w:rPr>
              <w:t>郭玉智</w:t>
            </w:r>
            <w:r>
              <w:rPr>
                <w:rFonts w:ascii="Times New Roman" w:hAnsi="Times New Roman" w:cs="Times New Roman" w:eastAsia="Times New Roman" w:hint="default"/>
                <w:sz w:val="18"/>
                <w:szCs w:val="18"/>
              </w:rPr>
              <w:t>;</w:t>
            </w:r>
            <w:r>
              <w:rPr>
                <w:rFonts w:ascii="宋体" w:hAnsi="宋体" w:cs="宋体" w:eastAsia="宋体" w:hint="default"/>
                <w:sz w:val="18"/>
                <w:szCs w:val="18"/>
              </w:rPr>
              <w:t>李佳</w:t>
            </w:r>
            <w:r>
              <w:rPr>
                <w:rFonts w:ascii="Times New Roman" w:hAnsi="Times New Roman" w:cs="Times New Roman" w:eastAsia="Times New Roman" w:hint="default"/>
                <w:sz w:val="18"/>
                <w:szCs w:val="18"/>
              </w:rPr>
              <w:t>; </w:t>
            </w:r>
            <w:r>
              <w:rPr>
                <w:rFonts w:ascii="宋体" w:hAnsi="宋体" w:cs="宋体" w:eastAsia="宋体" w:hint="default"/>
                <w:sz w:val="18"/>
                <w:szCs w:val="18"/>
              </w:rPr>
              <w:t>韩海青</w:t>
            </w:r>
            <w:r>
              <w:rPr>
                <w:rFonts w:ascii="Times New Roman" w:hAnsi="Times New Roman" w:cs="Times New Roman" w:eastAsia="Times New Roman" w:hint="default"/>
                <w:sz w:val="18"/>
                <w:szCs w:val="18"/>
              </w:rPr>
              <w:t>;</w:t>
            </w:r>
            <w:r>
              <w:rPr>
                <w:rFonts w:ascii="宋体" w:hAnsi="宋体" w:cs="宋体" w:eastAsia="宋体" w:hint="default"/>
                <w:sz w:val="18"/>
                <w:szCs w:val="18"/>
              </w:rPr>
              <w:t>王亚明</w:t>
            </w:r>
            <w:r>
              <w:rPr>
                <w:rFonts w:ascii="Times New Roman" w:hAnsi="Times New Roman" w:cs="Times New Roman" w:eastAsia="Times New Roman" w:hint="default"/>
                <w:sz w:val="18"/>
                <w:szCs w:val="18"/>
              </w:rPr>
              <w:t>;</w:t>
            </w:r>
            <w:r>
              <w:rPr>
                <w:rFonts w:ascii="宋体" w:hAnsi="宋体" w:cs="宋体" w:eastAsia="宋体" w:hint="default"/>
                <w:sz w:val="18"/>
                <w:szCs w:val="18"/>
              </w:rPr>
              <w:t>任 炜</w:t>
            </w:r>
            <w:r>
              <w:rPr>
                <w:rFonts w:ascii="Times New Roman" w:hAnsi="Times New Roman" w:cs="Times New Roman" w:eastAsia="Times New Roman" w:hint="default"/>
                <w:sz w:val="18"/>
                <w:szCs w:val="18"/>
              </w:rPr>
              <w:t>;</w:t>
            </w:r>
            <w:r>
              <w:rPr>
                <w:rFonts w:ascii="宋体" w:hAnsi="宋体" w:cs="宋体" w:eastAsia="宋体" w:hint="default"/>
                <w:sz w:val="18"/>
                <w:szCs w:val="18"/>
              </w:rPr>
              <w:t>安林冲</w:t>
            </w:r>
            <w:r>
              <w:rPr>
                <w:rFonts w:ascii="Times New Roman" w:hAnsi="Times New Roman" w:cs="Times New Roman" w:eastAsia="Times New Roman" w:hint="default"/>
                <w:sz w:val="18"/>
                <w:szCs w:val="18"/>
              </w:rPr>
              <w:t>;</w:t>
            </w:r>
            <w:r>
              <w:rPr>
                <w:rFonts w:ascii="宋体" w:hAnsi="宋体" w:cs="宋体" w:eastAsia="宋体" w:hint="default"/>
                <w:sz w:val="18"/>
                <w:szCs w:val="18"/>
              </w:rPr>
              <w:t>仇宏远</w:t>
            </w:r>
            <w:r>
              <w:rPr>
                <w:rFonts w:ascii="Times New Roman" w:hAnsi="Times New Roman" w:cs="Times New Roman" w:eastAsia="Times New Roman" w:hint="default"/>
                <w:sz w:val="18"/>
                <w:szCs w:val="18"/>
              </w:rPr>
              <w:t>; </w:t>
            </w:r>
            <w:r>
              <w:rPr>
                <w:rFonts w:ascii="宋体" w:hAnsi="宋体" w:cs="宋体" w:eastAsia="宋体" w:hint="default"/>
                <w:sz w:val="18"/>
                <w:szCs w:val="18"/>
              </w:rPr>
              <w:t>包志翔</w:t>
            </w:r>
            <w:r>
              <w:rPr>
                <w:rFonts w:ascii="Times New Roman" w:hAnsi="Times New Roman" w:cs="Times New Roman" w:eastAsia="Times New Roman" w:hint="default"/>
                <w:sz w:val="18"/>
                <w:szCs w:val="18"/>
              </w:rPr>
              <w:t>;</w:t>
            </w:r>
            <w:r>
              <w:rPr>
                <w:rFonts w:ascii="宋体" w:hAnsi="宋体" w:cs="宋体" w:eastAsia="宋体" w:hint="default"/>
                <w:sz w:val="18"/>
                <w:szCs w:val="18"/>
              </w:rPr>
              <w:t>张红光</w:t>
            </w:r>
            <w:r>
              <w:rPr>
                <w:rFonts w:ascii="Times New Roman" w:hAnsi="Times New Roman" w:cs="Times New Roman" w:eastAsia="Times New Roman" w:hint="default"/>
                <w:sz w:val="18"/>
                <w:szCs w:val="18"/>
              </w:rPr>
              <w:t>;</w:t>
            </w:r>
            <w:r>
              <w:rPr>
                <w:rFonts w:ascii="宋体" w:hAnsi="宋体" w:cs="宋体" w:eastAsia="宋体" w:hint="default"/>
                <w:sz w:val="18"/>
                <w:szCs w:val="18"/>
              </w:rPr>
              <w:t>叶 树军</w:t>
            </w:r>
            <w:r>
              <w:rPr>
                <w:rFonts w:ascii="Times New Roman" w:hAnsi="Times New Roman" w:cs="Times New Roman" w:eastAsia="Times New Roman" w:hint="default"/>
                <w:sz w:val="18"/>
                <w:szCs w:val="18"/>
              </w:rPr>
              <w:t>;</w:t>
            </w:r>
            <w:r>
              <w:rPr>
                <w:rFonts w:ascii="宋体" w:hAnsi="宋体" w:cs="宋体" w:eastAsia="宋体" w:hint="default"/>
                <w:sz w:val="18"/>
                <w:szCs w:val="18"/>
              </w:rPr>
              <w:t>卢晓英</w:t>
            </w:r>
            <w:r>
              <w:rPr>
                <w:rFonts w:ascii="Times New Roman" w:hAnsi="Times New Roman" w:cs="Times New Roman" w:eastAsia="Times New Roman" w:hint="default"/>
                <w:sz w:val="18"/>
                <w:szCs w:val="18"/>
              </w:rPr>
              <w:t>;</w:t>
            </w:r>
            <w:r>
              <w:rPr>
                <w:rFonts w:ascii="宋体" w:hAnsi="宋体" w:cs="宋体" w:eastAsia="宋体" w:hint="default"/>
                <w:sz w:val="18"/>
                <w:szCs w:val="18"/>
              </w:rPr>
              <w:t>孙士</w:t>
            </w:r>
            <w:r>
              <w:rPr>
                <w:rFonts w:ascii="宋体" w:hAnsi="宋体" w:cs="宋体" w:eastAsia="宋体" w:hint="default"/>
                <w:spacing w:val="-2"/>
                <w:sz w:val="18"/>
                <w:szCs w:val="18"/>
              </w:rPr>
              <w:t> </w:t>
            </w:r>
            <w:r>
              <w:rPr>
                <w:rFonts w:ascii="宋体" w:hAnsi="宋体" w:cs="宋体" w:eastAsia="宋体" w:hint="default"/>
                <w:sz w:val="18"/>
                <w:szCs w:val="18"/>
              </w:rPr>
              <w:t>玉</w:t>
            </w:r>
            <w:r>
              <w:rPr>
                <w:rFonts w:ascii="Times New Roman" w:hAnsi="Times New Roman" w:cs="Times New Roman" w:eastAsia="Times New Roman" w:hint="default"/>
                <w:sz w:val="18"/>
                <w:szCs w:val="18"/>
              </w:rPr>
              <w:t>;</w:t>
            </w:r>
            <w:r>
              <w:rPr>
                <w:rFonts w:ascii="宋体" w:hAnsi="宋体" w:cs="宋体" w:eastAsia="宋体" w:hint="default"/>
                <w:sz w:val="18"/>
                <w:szCs w:val="18"/>
              </w:rPr>
              <w:t>邓炽成</w:t>
            </w:r>
            <w:r>
              <w:rPr>
                <w:rFonts w:ascii="Times New Roman" w:hAnsi="Times New Roman" w:cs="Times New Roman" w:eastAsia="Times New Roman" w:hint="default"/>
                <w:sz w:val="18"/>
                <w:szCs w:val="18"/>
              </w:rPr>
              <w:t>;</w:t>
            </w:r>
            <w:r>
              <w:rPr>
                <w:rFonts w:ascii="宋体" w:hAnsi="宋体" w:cs="宋体" w:eastAsia="宋体" w:hint="default"/>
                <w:sz w:val="18"/>
                <w:szCs w:val="18"/>
              </w:rPr>
              <w:t>水军</w:t>
            </w:r>
            <w:r>
              <w:rPr>
                <w:rFonts w:ascii="Times New Roman" w:hAnsi="Times New Roman" w:cs="Times New Roman" w:eastAsia="Times New Roman" w:hint="default"/>
                <w:sz w:val="18"/>
                <w:szCs w:val="18"/>
              </w:rPr>
              <w:t>;</w:t>
            </w:r>
            <w:r>
              <w:rPr>
                <w:rFonts w:ascii="宋体" w:hAnsi="宋体" w:cs="宋体" w:eastAsia="宋体" w:hint="default"/>
                <w:sz w:val="18"/>
                <w:szCs w:val="18"/>
              </w:rPr>
              <w:t>苏 学武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一、江苏税软交易对方：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、本人通过本次交易获得的美亚柏科增</w:t>
            </w:r>
            <w:r>
              <w:rPr>
                <w:rFonts w:ascii="宋体" w:hAnsi="宋体" w:cs="宋体" w:eastAsia="宋体" w:hint="default"/>
                <w:sz w:val="18"/>
                <w:szCs w:val="18"/>
              </w:rPr>
              <w:t> 发股份自本次发行完成之日起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内，本人将不通过任何方式转让。此后 分步解锁，具体为：</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月内，累计可转让股票数量不超过其在 本次发行中所认购总数的</w:t>
            </w:r>
            <w:r>
              <w:rPr>
                <w:rFonts w:ascii="宋体" w:hAnsi="宋体" w:cs="宋体" w:eastAsia="宋体" w:hint="default"/>
                <w:spacing w:val="-45"/>
                <w:sz w:val="18"/>
                <w:szCs w:val="18"/>
              </w:rPr>
              <w:t> </w:t>
            </w:r>
            <w:r>
              <w:rPr>
                <w:rFonts w:ascii="Times New Roman" w:hAnsi="Times New Roman" w:cs="Times New Roman" w:eastAsia="Times New Roman" w:hint="default"/>
                <w:spacing w:val="-10"/>
                <w:sz w:val="18"/>
                <w:szCs w:val="18"/>
              </w:rPr>
              <w:t>25%</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个月 后至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个月内，累计可转让股票数量不</w:t>
            </w:r>
            <w:r>
              <w:rPr>
                <w:rFonts w:ascii="宋体" w:hAnsi="宋体" w:cs="宋体" w:eastAsia="宋体" w:hint="default"/>
                <w:sz w:val="18"/>
                <w:szCs w:val="18"/>
              </w:rPr>
              <w:t> 超过其在本次发行中所认购总数的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个月后，可自由转让其在本次 发行中所认购的全部股份数量。本人实 际解锁股份数须扣除因盈利预测补偿而 </w:t>
            </w:r>
            <w:r>
              <w:rPr>
                <w:rFonts w:ascii="宋体" w:hAnsi="宋体" w:cs="宋体" w:eastAsia="宋体" w:hint="default"/>
                <w:spacing w:val="-10"/>
                <w:sz w:val="18"/>
                <w:szCs w:val="18"/>
              </w:rPr>
              <w:t>需由美亚柏科回购的股份数（若有）。本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次重组实施完成后，本人由于美亚柏科 配股、转增股本等原因增持的美亚柏科 股份，亦应遵守上述承诺。本人如担任 美亚柏科董监高，则会同时遵守美亚柏 </w:t>
            </w:r>
            <w:r>
              <w:rPr>
                <w:rFonts w:ascii="宋体" w:hAnsi="宋体" w:cs="宋体" w:eastAsia="宋体" w:hint="default"/>
                <w:spacing w:val="-10"/>
                <w:sz w:val="18"/>
                <w:szCs w:val="18"/>
              </w:rPr>
              <w:t>科章程以及公司法、《中华人民共和国证</w:t>
            </w:r>
            <w:r>
              <w:rPr>
                <w:rFonts w:ascii="宋体" w:hAnsi="宋体" w:cs="宋体" w:eastAsia="宋体" w:hint="default"/>
                <w:sz w:val="18"/>
                <w:szCs w:val="18"/>
              </w:rPr>
              <w:t> </w:t>
            </w:r>
            <w:r>
              <w:rPr>
                <w:rFonts w:ascii="宋体" w:hAnsi="宋体" w:cs="宋体" w:eastAsia="宋体" w:hint="default"/>
                <w:spacing w:val="-34"/>
                <w:sz w:val="18"/>
                <w:szCs w:val="18"/>
              </w:rPr>
              <w:t>券法》、《深圳证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等法律、法规、规章、规范性文件有关 股份有限公司及上市公司董事、监事、 高级管理人员买卖公司股票的限制性规 定。 </w:t>
            </w:r>
            <w:r>
              <w:rPr>
                <w:rFonts w:ascii="Times New Roman" w:hAnsi="Times New Roman" w:cs="Times New Roman" w:eastAsia="Times New Roman" w:hint="default"/>
                <w:sz w:val="18"/>
                <w:szCs w:val="18"/>
              </w:rPr>
              <w:t>2</w:t>
            </w:r>
            <w:r>
              <w:rPr>
                <w:rFonts w:ascii="宋体" w:hAnsi="宋体" w:cs="宋体" w:eastAsia="宋体" w:hint="default"/>
                <w:sz w:val="18"/>
                <w:szCs w:val="18"/>
              </w:rPr>
              <w:t>、本次发行结束后，就本次重组 本人获得的美亚柏科增发股份因美亚柏 科发生除权除息事项而增加的股份，亦 遵守上述锁定期承诺。 </w:t>
            </w:r>
            <w:r>
              <w:rPr>
                <w:rFonts w:ascii="Times New Roman" w:hAnsi="Times New Roman" w:cs="Times New Roman" w:eastAsia="Times New Roman" w:hint="default"/>
                <w:sz w:val="18"/>
                <w:szCs w:val="18"/>
              </w:rPr>
              <w:t>3</w:t>
            </w:r>
            <w:r>
              <w:rPr>
                <w:rFonts w:ascii="宋体" w:hAnsi="宋体" w:cs="宋体" w:eastAsia="宋体" w:hint="default"/>
                <w:sz w:val="18"/>
                <w:szCs w:val="18"/>
              </w:rPr>
              <w:t>、除上述锁定 期之外，如本人未来在美亚柏科担任董 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高级管理人员，则本人在任期 内每年转让的股份不超过本人所持有的 美亚柏科股份总数的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 </w:t>
            </w:r>
            <w:r>
              <w:rPr>
                <w:rFonts w:ascii="宋体" w:hAnsi="宋体" w:cs="宋体" w:eastAsia="宋体" w:hint="default"/>
                <w:spacing w:val="-13"/>
                <w:sz w:val="18"/>
                <w:szCs w:val="18"/>
              </w:rPr>
              <w:t>内，不转让本人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、如截至本次发行完成之日，本人对用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于认购对价股份的资产持续拥有权益的 时间不足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个月，则本人须按照适用法</w:t>
            </w:r>
          </w:p>
          <w:p>
            <w:pPr>
              <w:pStyle w:val="TableParagraph"/>
              <w:spacing w:line="309" w:lineRule="auto" w:before="3"/>
              <w:ind w:left="23" w:right="21"/>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律的规定，从本次发行完成日起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 内不得转让对价股份。 二、新德汇交易对方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、本人通过本次交易获得的美亚柏科增</w:t>
            </w:r>
            <w:r>
              <w:rPr>
                <w:rFonts w:ascii="宋体" w:hAnsi="宋体" w:cs="宋体" w:eastAsia="宋体" w:hint="default"/>
                <w:sz w:val="18"/>
                <w:szCs w:val="18"/>
              </w:rPr>
              <w:t> 发股份自本次发行完成之日起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内，本人将不通过任何方式转让。此后 分步解锁，具体为：</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月内，累计转让股票数量不超过本人在 本次发行中所认购股票总数的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637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7"/>
                <w:sz w:val="20"/>
                <w:szCs w:val="20"/>
              </w:rPr>
              <w:pict>
                <v:group style="width:42pt;height:318.850pt;mso-position-horizontal-relative:char;mso-position-vertical-relative:line" coordorigin="0,0" coordsize="840,6377">
                  <v:group style="position:absolute;left:0;top:0;width:840;height:6377" coordorigin="0,0" coordsize="840,6377">
                    <v:shape style="position:absolute;left:0;top:0;width:840;height:6377" coordorigin="0,0" coordsize="840,6377" path="m0,6377l840,6377,840,0,0,0,0,6377xe" filled="true" fillcolor="#ffffff" stroked="false">
                      <v:path arrowok="t"/>
                      <v:fill type="solid"/>
                    </v:shape>
                  </v:group>
                </v:group>
              </w:pict>
            </w:r>
            <w:r>
              <w:rPr>
                <w:rFonts w:ascii="Times New Roman" w:hAnsi="Times New Roman" w:cs="Times New Roman" w:eastAsia="Times New Roman" w:hint="default"/>
                <w:position w:val="-127"/>
                <w:sz w:val="20"/>
                <w:szCs w:val="20"/>
              </w:rPr>
            </w:r>
          </w:p>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637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7"/>
                <w:sz w:val="20"/>
                <w:szCs w:val="20"/>
              </w:rPr>
              <w:pict>
                <v:group style="width:42pt;height:318.850pt;mso-position-horizontal-relative:char;mso-position-vertical-relative:line" coordorigin="0,0" coordsize="840,6377">
                  <v:group style="position:absolute;left:0;top:0;width:840;height:6377" coordorigin="0,0" coordsize="840,6377">
                    <v:shape style="position:absolute;left:0;top:0;width:840;height:6377" coordorigin="0,0" coordsize="840,6377" path="m0,6377l840,6377,840,0,0,0,0,6377xe" filled="true" fillcolor="#ffffff" stroked="false">
                      <v:path arrowok="t"/>
                      <v:fill type="solid"/>
                    </v:shape>
                  </v:group>
                </v:group>
              </w:pict>
            </w:r>
            <w:r>
              <w:rPr>
                <w:rFonts w:ascii="Times New Roman" w:hAnsi="Times New Roman" w:cs="Times New Roman" w:eastAsia="Times New Roman" w:hint="default"/>
                <w:position w:val="-127"/>
                <w:sz w:val="20"/>
                <w:szCs w:val="20"/>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5"/>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383.940002pt;margin-top:465.299988pt;width:48.2pt;height:131.65pt;mso-position-horizontal-relative:page;mso-position-vertical-relative:page;z-index:-117836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0.119995pt;margin-top:465.299988pt;width:42pt;height:131.65pt;mso-position-horizontal-relative:page;mso-position-vertical-relative:page;z-index:-1178344" coordorigin="7802,9306" coordsize="840,2633">
            <v:shape style="position:absolute;left:7802;top:9306;width:840;height:2633" coordorigin="7802,9306" coordsize="840,2633" path="m7802,11939l8642,11939,8642,9306,7802,9306,7802,1193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23"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个月后至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w:t>
            </w:r>
            <w:r>
              <w:rPr>
                <w:rFonts w:ascii="宋体" w:hAnsi="宋体" w:cs="宋体" w:eastAsia="宋体" w:hint="default"/>
                <w:sz w:val="18"/>
                <w:szCs w:val="18"/>
              </w:rPr>
              <w:t>月内</w:t>
            </w:r>
            <w:r>
              <w:rPr>
                <w:rFonts w:ascii="宋体" w:hAnsi="宋体" w:cs="宋体" w:eastAsia="宋体" w:hint="default"/>
                <w:spacing w:val="-87"/>
                <w:sz w:val="18"/>
                <w:szCs w:val="18"/>
              </w:rPr>
              <w:t>，</w:t>
            </w:r>
            <w:r>
              <w:rPr>
                <w:rFonts w:ascii="宋体" w:hAnsi="宋体" w:cs="宋体" w:eastAsia="宋体" w:hint="default"/>
                <w:sz w:val="18"/>
                <w:szCs w:val="18"/>
              </w:rPr>
              <w:t>累计转</w:t>
            </w:r>
            <w:r>
              <w:rPr>
                <w:rFonts w:ascii="宋体" w:hAnsi="宋体" w:cs="宋体" w:eastAsia="宋体" w:hint="default"/>
                <w:spacing w:val="-2"/>
                <w:sz w:val="18"/>
                <w:szCs w:val="18"/>
              </w:rPr>
              <w:t>让</w:t>
            </w:r>
            <w:r>
              <w:rPr>
                <w:rFonts w:ascii="宋体" w:hAnsi="宋体" w:cs="宋体" w:eastAsia="宋体" w:hint="default"/>
                <w:sz w:val="18"/>
                <w:szCs w:val="18"/>
              </w:rPr>
              <w:t>股票数量</w:t>
            </w:r>
          </w:p>
        </w:tc>
        <w:tc>
          <w:tcPr>
            <w:tcW w:w="850"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不超过本人在本次发行中所认购股票总</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60%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个月后，可自由转让其在</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本次发行中所认购的全部股份数量。本</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人实际解锁股份数须扣除因盈利预测补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偿而需由美亚柏科回购的股份数（若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90"/>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本次重组实施完成后</w:t>
            </w:r>
            <w:r>
              <w:rPr>
                <w:rFonts w:ascii="宋体" w:hAnsi="宋体" w:cs="宋体" w:eastAsia="宋体" w:hint="default"/>
                <w:spacing w:val="-44"/>
                <w:sz w:val="18"/>
                <w:szCs w:val="18"/>
              </w:rPr>
              <w:t>，</w:t>
            </w:r>
            <w:r>
              <w:rPr>
                <w:rFonts w:ascii="宋体" w:hAnsi="宋体" w:cs="宋体" w:eastAsia="宋体" w:hint="default"/>
                <w:sz w:val="18"/>
                <w:szCs w:val="18"/>
              </w:rPr>
              <w:t>本人由于美</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亚柏科配股、转增股本等原因增持的美</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亚柏科股份，亦应遵守上述承诺。本人</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如担任美亚柏科董监高，则会同时遵守</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美亚柏科章程以及公司法</w:t>
            </w:r>
            <w:r>
              <w:rPr>
                <w:rFonts w:ascii="宋体" w:hAnsi="宋体" w:cs="宋体" w:eastAsia="宋体" w:hint="default"/>
                <w:spacing w:val="-177"/>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中华人民共</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和国证券法</w:t>
            </w:r>
            <w:r>
              <w:rPr>
                <w:rFonts w:ascii="宋体" w:hAnsi="宋体" w:cs="宋体" w:eastAsia="宋体" w:hint="default"/>
                <w:spacing w:val="-90"/>
                <w:sz w:val="18"/>
                <w:szCs w:val="18"/>
              </w:rPr>
              <w:t>》、</w:t>
            </w:r>
            <w:r>
              <w:rPr>
                <w:rFonts w:ascii="宋体" w:hAnsi="宋体" w:cs="宋体" w:eastAsia="宋体" w:hint="default"/>
                <w:sz w:val="18"/>
                <w:szCs w:val="18"/>
              </w:rPr>
              <w:t>《深圳证券交易所股票上</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市规则》等法律、法规、规章、规范性</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文件有关股份有限公司及上市公司董</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事、监事、高级管理人员买卖公司股票</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的限制性规定。 </w:t>
            </w:r>
            <w:r>
              <w:rPr>
                <w:rFonts w:ascii="Times New Roman" w:hAnsi="Times New Roman" w:cs="Times New Roman" w:eastAsia="Times New Roman" w:hint="default"/>
                <w:sz w:val="18"/>
                <w:szCs w:val="18"/>
              </w:rPr>
              <w:t>2</w:t>
            </w:r>
            <w:r>
              <w:rPr>
                <w:rFonts w:ascii="宋体" w:hAnsi="宋体" w:cs="宋体" w:eastAsia="宋体" w:hint="default"/>
                <w:sz w:val="18"/>
                <w:szCs w:val="18"/>
              </w:rPr>
              <w:t>、本次发行结束后，</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就本次重组本人获得的美亚柏科增发股</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份因美亚柏科发生除权除息事项而增加</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的股份，亦遵守上述锁定期承诺。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除上述锁定期之外，如本人未来在美亚</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柏科担任董事</w:t>
            </w:r>
            <w:r>
              <w:rPr>
                <w:rFonts w:ascii="Times New Roman" w:hAnsi="Times New Roman" w:cs="Times New Roman" w:eastAsia="Times New Roman" w:hint="default"/>
                <w:sz w:val="18"/>
                <w:szCs w:val="18"/>
              </w:rPr>
              <w:t>/</w:t>
            </w:r>
            <w:r>
              <w:rPr>
                <w:rFonts w:ascii="宋体" w:hAnsi="宋体" w:cs="宋体" w:eastAsia="宋体" w:hint="default"/>
                <w:sz w:val="18"/>
                <w:szCs w:val="18"/>
              </w:rPr>
              <w:t>监事</w:t>
            </w:r>
            <w:r>
              <w:rPr>
                <w:rFonts w:ascii="Times New Roman" w:hAnsi="Times New Roman" w:cs="Times New Roman" w:eastAsia="Times New Roman" w:hint="default"/>
                <w:sz w:val="18"/>
                <w:szCs w:val="18"/>
              </w:rPr>
              <w:t>/</w:t>
            </w:r>
            <w:r>
              <w:rPr>
                <w:rFonts w:ascii="宋体" w:hAnsi="宋体" w:cs="宋体" w:eastAsia="宋体" w:hint="default"/>
                <w:sz w:val="18"/>
                <w:szCs w:val="18"/>
              </w:rPr>
              <w:t>高级管理人员，则</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本人在任期内每年转让的股份不超过本</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人所持有的美亚柏科股份总数的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离职后半年内，不转让本人所持有的美</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6"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亚柏科股份。</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3" w:hRule="exact"/>
        </w:trPr>
        <w:tc>
          <w:tcPr>
            <w:tcW w:w="1134" w:type="dxa"/>
            <w:vMerge/>
            <w:tcBorders>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tabs>
                <w:tab w:pos="2996" w:val="right" w:leader="none"/>
              </w:tabs>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一、避免同业竞争的承诺</w:t>
            </w:r>
            <w:r>
              <w:rPr>
                <w:rFonts w:ascii="Times New Roman" w:hAnsi="Times New Roman" w:cs="Times New Roman" w:eastAsia="Times New Roman" w:hint="default"/>
                <w:spacing w:val="-6"/>
                <w:sz w:val="18"/>
                <w:szCs w:val="18"/>
              </w:rPr>
              <w:tab/>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本次重组前，本人未直接或间接从事与</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美亚柏科及其下属子公司相同或相似业</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务的情形。 </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、本次重组完成后，本人</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及本人直接或间接控制的其他企业不会</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直接或间接经营任何与美亚柏科及其下</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194"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2" w:right="116"/>
              <w:jc w:val="both"/>
              <w:rPr>
                <w:rFonts w:ascii="宋体" w:hAnsi="宋体" w:cs="宋体" w:eastAsia="宋体" w:hint="default"/>
                <w:sz w:val="18"/>
                <w:szCs w:val="18"/>
              </w:rPr>
            </w:pPr>
            <w:r>
              <w:rPr>
                <w:rFonts w:ascii="宋体" w:hAnsi="宋体" w:cs="宋体" w:eastAsia="宋体" w:hint="default"/>
                <w:sz w:val="18"/>
                <w:szCs w:val="18"/>
              </w:rPr>
              <w:t>韦玉荣</w:t>
            </w:r>
            <w:r>
              <w:rPr>
                <w:rFonts w:ascii="Times New Roman" w:hAnsi="Times New Roman" w:cs="Times New Roman" w:eastAsia="Times New Roman" w:hint="default"/>
                <w:sz w:val="18"/>
                <w:szCs w:val="18"/>
              </w:rPr>
              <w:t>;</w:t>
            </w:r>
            <w:r>
              <w:rPr>
                <w:rFonts w:ascii="宋体" w:hAnsi="宋体" w:cs="宋体" w:eastAsia="宋体" w:hint="default"/>
                <w:sz w:val="18"/>
                <w:szCs w:val="18"/>
              </w:rPr>
              <w:t>陈燕</w:t>
            </w:r>
            <w:r>
              <w:rPr>
                <w:rFonts w:ascii="Times New Roman" w:hAnsi="Times New Roman" w:cs="Times New Roman" w:eastAsia="Times New Roman" w:hint="default"/>
                <w:sz w:val="18"/>
                <w:szCs w:val="18"/>
              </w:rPr>
              <w:t>;</w:t>
            </w:r>
            <w:r>
              <w:rPr>
                <w:rFonts w:ascii="宋体" w:hAnsi="宋体" w:cs="宋体" w:eastAsia="宋体" w:hint="default"/>
                <w:sz w:val="18"/>
                <w:szCs w:val="18"/>
              </w:rPr>
              <w:t>黄新</w:t>
            </w:r>
            <w:r>
              <w:rPr>
                <w:rFonts w:ascii="Times New Roman" w:hAnsi="Times New Roman" w:cs="Times New Roman" w:eastAsia="Times New Roman" w:hint="default"/>
                <w:sz w:val="18"/>
                <w:szCs w:val="18"/>
              </w:rPr>
              <w:t>; </w:t>
            </w:r>
            <w:r>
              <w:rPr>
                <w:rFonts w:ascii="宋体" w:hAnsi="宋体" w:cs="宋体" w:eastAsia="宋体" w:hint="default"/>
                <w:sz w:val="18"/>
                <w:szCs w:val="18"/>
              </w:rPr>
              <w:t>李江</w:t>
            </w:r>
            <w:r>
              <w:rPr>
                <w:rFonts w:ascii="Times New Roman" w:hAnsi="Times New Roman" w:cs="Times New Roman" w:eastAsia="Times New Roman" w:hint="default"/>
                <w:sz w:val="18"/>
                <w:szCs w:val="18"/>
              </w:rPr>
              <w:t>;</w:t>
            </w:r>
            <w:r>
              <w:rPr>
                <w:rFonts w:ascii="宋体" w:hAnsi="宋体" w:cs="宋体" w:eastAsia="宋体" w:hint="default"/>
                <w:sz w:val="18"/>
                <w:szCs w:val="18"/>
              </w:rPr>
              <w:t>郭玉智</w:t>
            </w:r>
            <w:r>
              <w:rPr>
                <w:rFonts w:ascii="Times New Roman" w:hAnsi="Times New Roman" w:cs="Times New Roman" w:eastAsia="Times New Roman" w:hint="default"/>
                <w:sz w:val="18"/>
                <w:szCs w:val="18"/>
              </w:rPr>
              <w:t>;</w:t>
            </w:r>
            <w:r>
              <w:rPr>
                <w:rFonts w:ascii="宋体" w:hAnsi="宋体" w:cs="宋体" w:eastAsia="宋体" w:hint="default"/>
                <w:sz w:val="18"/>
                <w:szCs w:val="18"/>
              </w:rPr>
              <w:t>李佳</w:t>
            </w:r>
            <w:r>
              <w:rPr>
                <w:rFonts w:ascii="Times New Roman" w:hAnsi="Times New Roman" w:cs="Times New Roman" w:eastAsia="Times New Roman" w:hint="default"/>
                <w:sz w:val="18"/>
                <w:szCs w:val="18"/>
              </w:rPr>
              <w:t>; </w:t>
            </w:r>
            <w:r>
              <w:rPr>
                <w:rFonts w:ascii="宋体" w:hAnsi="宋体" w:cs="宋体" w:eastAsia="宋体" w:hint="default"/>
                <w:sz w:val="18"/>
                <w:szCs w:val="18"/>
              </w:rPr>
              <w:t>韩海青</w:t>
            </w:r>
            <w:r>
              <w:rPr>
                <w:rFonts w:ascii="Times New Roman" w:hAnsi="Times New Roman" w:cs="Times New Roman" w:eastAsia="Times New Roman" w:hint="default"/>
                <w:sz w:val="18"/>
                <w:szCs w:val="18"/>
              </w:rPr>
              <w:t>;</w:t>
            </w:r>
            <w:r>
              <w:rPr>
                <w:rFonts w:ascii="宋体" w:hAnsi="宋体" w:cs="宋体" w:eastAsia="宋体" w:hint="default"/>
                <w:sz w:val="18"/>
                <w:szCs w:val="18"/>
              </w:rPr>
              <w:t>王亚明</w:t>
            </w:r>
            <w:r>
              <w:rPr>
                <w:rFonts w:ascii="Times New Roman" w:hAnsi="Times New Roman" w:cs="Times New Roman" w:eastAsia="Times New Roman" w:hint="default"/>
                <w:sz w:val="18"/>
                <w:szCs w:val="18"/>
              </w:rPr>
              <w:t>;</w:t>
            </w:r>
            <w:r>
              <w:rPr>
                <w:rFonts w:ascii="宋体" w:hAnsi="宋体" w:cs="宋体" w:eastAsia="宋体" w:hint="default"/>
                <w:sz w:val="18"/>
                <w:szCs w:val="18"/>
              </w:rPr>
              <w:t>任 炜</w:t>
            </w:r>
            <w:r>
              <w:rPr>
                <w:rFonts w:ascii="Times New Roman" w:hAnsi="Times New Roman" w:cs="Times New Roman" w:eastAsia="Times New Roman" w:hint="default"/>
                <w:sz w:val="18"/>
                <w:szCs w:val="18"/>
              </w:rPr>
              <w:t>;</w:t>
            </w:r>
            <w:r>
              <w:rPr>
                <w:rFonts w:ascii="宋体" w:hAnsi="宋体" w:cs="宋体" w:eastAsia="宋体" w:hint="default"/>
                <w:sz w:val="18"/>
                <w:szCs w:val="18"/>
              </w:rPr>
              <w:t>安林冲</w:t>
            </w:r>
            <w:r>
              <w:rPr>
                <w:rFonts w:ascii="Times New Roman" w:hAnsi="Times New Roman" w:cs="Times New Roman" w:eastAsia="Times New Roman" w:hint="default"/>
                <w:sz w:val="18"/>
                <w:szCs w:val="18"/>
              </w:rPr>
              <w:t>;</w:t>
            </w:r>
            <w:r>
              <w:rPr>
                <w:rFonts w:ascii="宋体" w:hAnsi="宋体" w:cs="宋体" w:eastAsia="宋体" w:hint="default"/>
                <w:sz w:val="18"/>
                <w:szCs w:val="18"/>
              </w:rPr>
              <w:t>仇宏远</w:t>
            </w:r>
            <w:r>
              <w:rPr>
                <w:rFonts w:ascii="Times New Roman" w:hAnsi="Times New Roman" w:cs="Times New Roman" w:eastAsia="Times New Roman" w:hint="default"/>
                <w:sz w:val="18"/>
                <w:szCs w:val="18"/>
              </w:rPr>
              <w:t>; </w:t>
            </w:r>
            <w:r>
              <w:rPr>
                <w:rFonts w:ascii="宋体" w:hAnsi="宋体" w:cs="宋体" w:eastAsia="宋体" w:hint="default"/>
                <w:sz w:val="18"/>
                <w:szCs w:val="18"/>
              </w:rPr>
              <w:t>包志翔</w:t>
            </w:r>
            <w:r>
              <w:rPr>
                <w:rFonts w:ascii="Times New Roman" w:hAnsi="Times New Roman" w:cs="Times New Roman" w:eastAsia="Times New Roman" w:hint="default"/>
                <w:sz w:val="18"/>
                <w:szCs w:val="18"/>
              </w:rPr>
              <w:t>;</w:t>
            </w:r>
            <w:r>
              <w:rPr>
                <w:rFonts w:ascii="宋体" w:hAnsi="宋体" w:cs="宋体" w:eastAsia="宋体" w:hint="default"/>
                <w:sz w:val="18"/>
                <w:szCs w:val="18"/>
              </w:rPr>
              <w:t>张红光</w:t>
            </w:r>
            <w:r>
              <w:rPr>
                <w:rFonts w:ascii="Times New Roman" w:hAnsi="Times New Roman" w:cs="Times New Roman" w:eastAsia="Times New Roman" w:hint="default"/>
                <w:sz w:val="18"/>
                <w:szCs w:val="18"/>
              </w:rPr>
              <w:t>;</w:t>
            </w:r>
            <w:r>
              <w:rPr>
                <w:rFonts w:ascii="宋体" w:hAnsi="宋体" w:cs="宋体" w:eastAsia="宋体" w:hint="default"/>
                <w:sz w:val="18"/>
                <w:szCs w:val="18"/>
              </w:rPr>
              <w:t>叶 树军</w:t>
            </w:r>
            <w:r>
              <w:rPr>
                <w:rFonts w:ascii="Times New Roman" w:hAnsi="Times New Roman" w:cs="Times New Roman" w:eastAsia="Times New Roman" w:hint="default"/>
                <w:sz w:val="18"/>
                <w:szCs w:val="18"/>
              </w:rPr>
              <w:t>;</w:t>
            </w:r>
            <w:r>
              <w:rPr>
                <w:rFonts w:ascii="宋体" w:hAnsi="宋体" w:cs="宋体" w:eastAsia="宋体" w:hint="default"/>
                <w:sz w:val="18"/>
                <w:szCs w:val="18"/>
              </w:rPr>
              <w:t>卢晓英</w:t>
            </w:r>
            <w:r>
              <w:rPr>
                <w:rFonts w:ascii="Times New Roman" w:hAnsi="Times New Roman" w:cs="Times New Roman" w:eastAsia="Times New Roman" w:hint="default"/>
                <w:sz w:val="18"/>
                <w:szCs w:val="18"/>
              </w:rPr>
              <w:t>;</w:t>
            </w:r>
            <w:r>
              <w:rPr>
                <w:rFonts w:ascii="宋体" w:hAnsi="宋体" w:cs="宋体" w:eastAsia="宋体" w:hint="default"/>
                <w:sz w:val="18"/>
                <w:szCs w:val="18"/>
              </w:rPr>
              <w:t>孙士</w:t>
            </w:r>
            <w:r>
              <w:rPr>
                <w:rFonts w:ascii="宋体" w:hAnsi="宋体" w:cs="宋体" w:eastAsia="宋体" w:hint="default"/>
                <w:spacing w:val="-2"/>
                <w:sz w:val="18"/>
                <w:szCs w:val="18"/>
              </w:rPr>
              <w:t> </w:t>
            </w:r>
            <w:r>
              <w:rPr>
                <w:rFonts w:ascii="宋体" w:hAnsi="宋体" w:cs="宋体" w:eastAsia="宋体" w:hint="default"/>
                <w:sz w:val="18"/>
                <w:szCs w:val="18"/>
              </w:rPr>
              <w:t>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3" w:right="24"/>
              <w:jc w:val="both"/>
              <w:rPr>
                <w:rFonts w:ascii="宋体" w:hAnsi="宋体" w:cs="宋体" w:eastAsia="宋体" w:hint="default"/>
                <w:sz w:val="18"/>
                <w:szCs w:val="18"/>
              </w:rPr>
            </w:pPr>
            <w:r>
              <w:rPr>
                <w:rFonts w:ascii="宋体" w:hAnsi="宋体" w:cs="宋体" w:eastAsia="宋体" w:hint="default"/>
                <w:sz w:val="18"/>
                <w:szCs w:val="18"/>
              </w:rPr>
              <w:t>属子公司经营业务构成竞争或可能构成 竞争的业务，亦不会投资任何与美亚柏 科及其下属子公司经营的业务构成竞争 或可能构成竞争的其他企业；如本人及 本人控制的企业与美亚柏科及其下属子 公司经营的业务产生竞争，则本人及本 人控制的企业将采取停止经营产生竞争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5"/>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的业务的方式，或者采取将竞争的业务</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纳入美亚柏科的方式，或者采取将产生</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竞争的业务转让给无关联关系第三方等</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合法方式，使本人及本人控制的企业不</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再从事与美亚柏科及其下属子公司主营</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业务相同或类似的业务，以避免同业竞</w:t>
            </w:r>
          </w:p>
        </w:tc>
        <w:tc>
          <w:tcPr>
            <w:tcW w:w="850"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293.820007pt;margin-top:72.839981pt;width:138.3pt;height:516.8pt;mso-position-horizontal-relative:page;mso-position-vertical-relative:page;z-index:-1178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5"/>
                    <w:ind w:left="1443" w:right="0" w:firstLine="176"/>
                    <w:jc w:val="left"/>
                    <w:rPr>
                      <w:rFonts w:ascii="宋体" w:hAnsi="宋体" w:cs="宋体" w:eastAsia="宋体" w:hint="default"/>
                      <w:sz w:val="18"/>
                      <w:szCs w:val="18"/>
                    </w:rPr>
                  </w:pPr>
                  <w:r>
                    <w:rPr>
                      <w:rFonts w:ascii="宋体" w:hAnsi="宋体" w:cs="宋体" w:eastAsia="宋体" w:hint="default"/>
                      <w:sz w:val="18"/>
                      <w:szCs w:val="18"/>
                    </w:rPr>
                    <w:t>二、</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1443" w:right="0" w:firstLine="0"/>
                    <w:jc w:val="left"/>
                    <w:rPr>
                      <w:rFonts w:ascii="宋体" w:hAnsi="宋体" w:cs="宋体" w:eastAsia="宋体" w:hint="default"/>
                      <w:sz w:val="18"/>
                      <w:szCs w:val="18"/>
                    </w:rPr>
                  </w:pPr>
                  <w:r>
                    <w:rPr>
                      <w:rFonts w:ascii="宋体" w:hAnsi="宋体" w:cs="宋体" w:eastAsia="宋体" w:hint="default"/>
                      <w:sz w:val="18"/>
                      <w:szCs w:val="18"/>
                    </w:rPr>
                    <w:t>公平、</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，均发生在本次重组前，</w:t>
                  </w:r>
                </w:p>
              </w:txbxContent>
            </v:textbox>
            <w10:wrap type="none"/>
          </v:shape>
        </w:pict>
      </w:r>
      <w:r>
        <w:rPr/>
        <w:pict>
          <v:shape style="position:absolute;margin-left:383.940002pt;margin-top:590.099976pt;width:48.2pt;height:69.25pt;mso-position-horizontal-relative:page;mso-position-vertical-relative:page;z-index:-11782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0.119995pt;margin-top:72.839981pt;width:42pt;height:586.5pt;mso-position-horizontal-relative:page;mso-position-vertical-relative:page;z-index:-1178272" coordorigin="7802,1457" coordsize="840,11730">
            <v:group style="position:absolute;left:7802;top:1457;width:840;height:10336" coordorigin="7802,1457" coordsize="840,10336">
              <v:shape style="position:absolute;left:7802;top:1457;width:840;height:10336" coordorigin="7802,1457" coordsize="840,10336" path="m7802,11792l8642,11792,8642,1457,7802,1457,7802,11792xe" filled="true" fillcolor="#ffffff" stroked="false">
                <v:path arrowok="t"/>
                <v:fill type="solid"/>
              </v:shape>
            </v:group>
            <v:group style="position:absolute;left:7802;top:11802;width:840;height:1385" coordorigin="7802,11802" coordsize="840,1385">
              <v:shape style="position:absolute;left:7802;top:11802;width:840;height:1385" coordorigin="7802,11802" coordsize="840,1385" path="m7802,13187l8642,13187,8642,11802,7802,11802,7802,13187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23"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争。 </w:t>
            </w:r>
            <w:r>
              <w:rPr>
                <w:rFonts w:ascii="Times New Roman" w:hAnsi="Times New Roman" w:cs="Times New Roman" w:eastAsia="Times New Roman" w:hint="default"/>
                <w:sz w:val="18"/>
                <w:szCs w:val="18"/>
              </w:rPr>
              <w:t>3</w:t>
            </w:r>
            <w:r>
              <w:rPr>
                <w:rFonts w:ascii="宋体" w:hAnsi="宋体" w:cs="宋体" w:eastAsia="宋体" w:hint="default"/>
                <w:sz w:val="18"/>
                <w:szCs w:val="18"/>
              </w:rPr>
              <w:t>、如违反上述承诺给美亚柏科造</w:t>
            </w:r>
          </w:p>
        </w:tc>
        <w:tc>
          <w:tcPr>
            <w:tcW w:w="850"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成损失的，本人将依法作出赔偿。</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关于规范及减少关联交易的承诺  </w:t>
            </w:r>
            <w:r>
              <w:rPr>
                <w:rFonts w:ascii="Times New Roman" w:hAnsi="Times New Roman" w:cs="Times New Roman" w:eastAsia="Times New Roman" w:hint="default"/>
                <w:sz w:val="18"/>
                <w:szCs w:val="18"/>
              </w:rPr>
              <w:t>1</w:t>
            </w:r>
            <w:r>
              <w:rPr>
                <w:rFonts w:ascii="宋体" w:hAnsi="宋体" w:cs="宋体" w:eastAsia="宋体" w:hint="default"/>
                <w:spacing w:val="-87"/>
                <w:sz w:val="18"/>
                <w:szCs w:val="18"/>
              </w:rPr>
              <w:t>、本</w:t>
            </w:r>
            <w:r>
              <w:rPr>
                <w:rFonts w:ascii="宋体" w:hAnsi="宋体" w:cs="宋体" w:eastAsia="宋体" w:hint="default"/>
                <w:sz w:val="18"/>
                <w:szCs w:val="18"/>
              </w:rPr>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次重组完成后，本人及本人的关联企业</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与美亚柏科及其包括目标公司在内的合</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并报表范围内各级控股公司将尽可能的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避免和减少关联交易。 </w:t>
            </w:r>
            <w:r>
              <w:rPr>
                <w:rFonts w:ascii="Times New Roman" w:hAnsi="Times New Roman" w:cs="Times New Roman" w:eastAsia="Times New Roman" w:hint="default"/>
                <w:sz w:val="18"/>
                <w:szCs w:val="18"/>
              </w:rPr>
              <w:t>2</w:t>
            </w:r>
            <w:r>
              <w:rPr>
                <w:rFonts w:ascii="宋体" w:hAnsi="宋体" w:cs="宋体" w:eastAsia="宋体" w:hint="default"/>
                <w:sz w:val="18"/>
                <w:szCs w:val="18"/>
              </w:rPr>
              <w:t>、对于确有必</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要且无法避免的关联交易，本人及本人</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的关联企业将遵循市场化的公正、</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公开的原则，按照有关法律法规、规范</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性文件和章程等有关规定，履行包括回</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避表决等合法程序，不通过关联关系谋</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求特殊的利益，不会进行任何有损美亚</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柏科和美亚柏科其他股东利益、特别是</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中小股东利益的关联交易。 </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本人的关联企业与目标公司之间资金往</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来情况（如有）</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且相关资金占用款项已于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月前</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全部偿还；本人及本人的关联企业将不</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以任何方式违法违规占用美亚柏科及其</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包括目标公司在内的合并报表范围内各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级控股公司的资金、资产，亦不要求美</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亚柏科及其包括目标公司在内的合并报</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表范围内各级控股公司为本人及本人的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关联企业进行违规担保。 </w:t>
            </w:r>
            <w:r>
              <w:rPr>
                <w:rFonts w:ascii="Times New Roman" w:hAnsi="Times New Roman" w:cs="Times New Roman" w:eastAsia="Times New Roman" w:hint="default"/>
                <w:sz w:val="18"/>
                <w:szCs w:val="18"/>
              </w:rPr>
              <w:t>4</w:t>
            </w:r>
            <w:r>
              <w:rPr>
                <w:rFonts w:ascii="宋体" w:hAnsi="宋体" w:cs="宋体" w:eastAsia="宋体" w:hint="default"/>
                <w:sz w:val="18"/>
                <w:szCs w:val="18"/>
              </w:rPr>
              <w:t>、为规范关</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联交易和杜绝关联方占用资金的隐患，</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江苏税软已完善内控制度，且本次重组</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完成后江苏税软将进行董事会改选，美</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亚柏科有权任命江苏税软的财务总监，</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江苏税软将按照上市公司要求规范关联</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交易审批程序。 </w:t>
            </w:r>
            <w:r>
              <w:rPr>
                <w:rFonts w:ascii="Times New Roman" w:hAnsi="Times New Roman" w:cs="Times New Roman" w:eastAsia="Times New Roman" w:hint="default"/>
                <w:sz w:val="18"/>
                <w:szCs w:val="18"/>
              </w:rPr>
              <w:t>5</w:t>
            </w:r>
            <w:r>
              <w:rPr>
                <w:rFonts w:ascii="宋体" w:hAnsi="宋体" w:cs="宋体" w:eastAsia="宋体" w:hint="default"/>
                <w:sz w:val="18"/>
                <w:szCs w:val="18"/>
              </w:rPr>
              <w:t>、如违反上述承诺给</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8"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美亚柏科造成损失的，本人将依法作出</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6"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赔偿。</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3" w:hRule="exact"/>
        </w:trPr>
        <w:tc>
          <w:tcPr>
            <w:tcW w:w="1134" w:type="dxa"/>
            <w:vMerge/>
            <w:tcBorders>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tabs>
                <w:tab w:pos="2996" w:val="right" w:leader="none"/>
              </w:tabs>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一、避免同业竞争的承诺</w:t>
            </w:r>
            <w:r>
              <w:rPr>
                <w:rFonts w:ascii="Times New Roman" w:hAnsi="Times New Roman" w:cs="Times New Roman" w:eastAsia="Times New Roman" w:hint="default"/>
                <w:spacing w:val="-6"/>
                <w:sz w:val="18"/>
                <w:szCs w:val="18"/>
              </w:rPr>
              <w:tab/>
            </w:r>
            <w:r>
              <w:rPr>
                <w:rFonts w:ascii="Times New Roman" w:hAnsi="Times New Roman" w:cs="Times New Roman" w:eastAsia="Times New Roman" w:hint="default"/>
                <w:sz w:val="18"/>
                <w:szCs w:val="18"/>
              </w:rPr>
              <w:t>1</w:t>
            </w:r>
          </w:p>
        </w:tc>
        <w:tc>
          <w:tcPr>
            <w:tcW w:w="850"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本次重组前，除所经营新德汇外本人未</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9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2" w:right="95"/>
              <w:jc w:val="left"/>
              <w:rPr>
                <w:rFonts w:ascii="宋体" w:hAnsi="宋体" w:cs="宋体" w:eastAsia="宋体" w:hint="default"/>
                <w:sz w:val="18"/>
                <w:szCs w:val="18"/>
              </w:rPr>
            </w:pPr>
            <w:r>
              <w:rPr>
                <w:rFonts w:ascii="宋体" w:hAnsi="宋体" w:cs="宋体" w:eastAsia="宋体" w:hint="default"/>
                <w:sz w:val="18"/>
                <w:szCs w:val="18"/>
              </w:rPr>
              <w:t>关于同业 竞争、关</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4"/>
              <w:jc w:val="left"/>
              <w:rPr>
                <w:rFonts w:ascii="宋体" w:hAnsi="宋体" w:cs="宋体" w:eastAsia="宋体" w:hint="default"/>
                <w:sz w:val="18"/>
                <w:szCs w:val="18"/>
              </w:rPr>
            </w:pPr>
            <w:r>
              <w:rPr>
                <w:rFonts w:ascii="宋体" w:hAnsi="宋体" w:cs="宋体" w:eastAsia="宋体" w:hint="default"/>
                <w:sz w:val="18"/>
                <w:szCs w:val="18"/>
              </w:rPr>
              <w:t>直接或间接从事与美亚柏科及其下属子 公司相同或相似业务的情形。 </w:t>
            </w:r>
            <w:r>
              <w:rPr>
                <w:rFonts w:ascii="Times New Roman" w:hAnsi="Times New Roman" w:cs="Times New Roman" w:eastAsia="Times New Roman" w:hint="default"/>
                <w:sz w:val="18"/>
                <w:szCs w:val="18"/>
              </w:rPr>
              <w:t>2</w:t>
            </w:r>
            <w:r>
              <w:rPr>
                <w:rFonts w:ascii="宋体" w:hAnsi="宋体" w:cs="宋体" w:eastAsia="宋体" w:hint="default"/>
                <w:sz w:val="18"/>
                <w:szCs w:val="18"/>
              </w:rPr>
              <w:t>、本次</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79"/>
              <w:ind w:left="22" w:right="167"/>
              <w:jc w:val="left"/>
              <w:rPr>
                <w:rFonts w:ascii="宋体" w:hAnsi="宋体" w:cs="宋体" w:eastAsia="宋体" w:hint="default"/>
                <w:sz w:val="18"/>
                <w:szCs w:val="18"/>
              </w:rPr>
            </w:pPr>
            <w:r>
              <w:rPr>
                <w:rFonts w:ascii="宋体" w:hAnsi="宋体" w:cs="宋体" w:eastAsia="宋体" w:hint="default"/>
                <w:sz w:val="18"/>
                <w:szCs w:val="18"/>
              </w:rPr>
              <w:t>苏学武</w:t>
            </w:r>
            <w:r>
              <w:rPr>
                <w:rFonts w:ascii="Times New Roman" w:hAnsi="Times New Roman" w:cs="Times New Roman" w:eastAsia="Times New Roman" w:hint="default"/>
                <w:sz w:val="18"/>
                <w:szCs w:val="18"/>
              </w:rPr>
              <w:t>;</w:t>
            </w:r>
            <w:r>
              <w:rPr>
                <w:rFonts w:ascii="宋体" w:hAnsi="宋体" w:cs="宋体" w:eastAsia="宋体" w:hint="default"/>
                <w:sz w:val="18"/>
                <w:szCs w:val="18"/>
              </w:rPr>
              <w:t>水军</w:t>
            </w:r>
            <w:r>
              <w:rPr>
                <w:rFonts w:ascii="Times New Roman" w:hAnsi="Times New Roman" w:cs="Times New Roman" w:eastAsia="Times New Roman" w:hint="default"/>
                <w:sz w:val="18"/>
                <w:szCs w:val="18"/>
              </w:rPr>
              <w:t>;</w:t>
            </w:r>
            <w:r>
              <w:rPr>
                <w:rFonts w:ascii="宋体" w:hAnsi="宋体" w:cs="宋体" w:eastAsia="宋体" w:hint="default"/>
                <w:sz w:val="18"/>
                <w:szCs w:val="18"/>
              </w:rPr>
              <w:t>邓炽</w:t>
            </w:r>
            <w:r>
              <w:rPr>
                <w:rFonts w:ascii="宋体" w:hAnsi="宋体" w:cs="宋体" w:eastAsia="宋体" w:hint="default"/>
                <w:spacing w:val="-2"/>
                <w:sz w:val="18"/>
                <w:szCs w:val="18"/>
              </w:rPr>
              <w:t> </w:t>
            </w:r>
            <w:r>
              <w:rPr>
                <w:rFonts w:ascii="宋体" w:hAnsi="宋体" w:cs="宋体" w:eastAsia="宋体" w:hint="default"/>
                <w:sz w:val="18"/>
                <w:szCs w:val="18"/>
              </w:rPr>
              <w:t>成</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0" w:lineRule="atLeast" w:before="4"/>
              <w:ind w:left="22" w:right="95"/>
              <w:jc w:val="both"/>
              <w:rPr>
                <w:rFonts w:ascii="宋体" w:hAnsi="宋体" w:cs="宋体" w:eastAsia="宋体" w:hint="default"/>
                <w:sz w:val="18"/>
                <w:szCs w:val="18"/>
              </w:rPr>
            </w:pPr>
            <w:r>
              <w:rPr>
                <w:rFonts w:ascii="宋体" w:hAnsi="宋体" w:cs="宋体" w:eastAsia="宋体" w:hint="default"/>
                <w:sz w:val="18"/>
                <w:szCs w:val="18"/>
              </w:rPr>
              <w:t>联交易、 资金占用 方面的承</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sz w:val="18"/>
                <w:szCs w:val="18"/>
              </w:rPr>
              <w:t>重组完成后，本人及本人直接或间接控</w:t>
            </w:r>
          </w:p>
          <w:p>
            <w:pPr>
              <w:pStyle w:val="TableParagraph"/>
              <w:spacing w:line="316" w:lineRule="auto" w:before="76"/>
              <w:ind w:left="23" w:right="24"/>
              <w:jc w:val="left"/>
              <w:rPr>
                <w:rFonts w:ascii="宋体" w:hAnsi="宋体" w:cs="宋体" w:eastAsia="宋体" w:hint="default"/>
                <w:sz w:val="18"/>
                <w:szCs w:val="18"/>
              </w:rPr>
            </w:pPr>
            <w:r>
              <w:rPr>
                <w:rFonts w:ascii="宋体" w:hAnsi="宋体" w:cs="宋体" w:eastAsia="宋体" w:hint="default"/>
                <w:sz w:val="18"/>
                <w:szCs w:val="18"/>
              </w:rPr>
              <w:t>制的其他企业不会直接或间接经营任何 与美亚柏科及其下属子公司现有销售的</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 w:right="-5"/>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556"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3" w:right="0"/>
              <w:jc w:val="left"/>
              <w:rPr>
                <w:rFonts w:ascii="宋体" w:hAnsi="宋体" w:cs="宋体" w:eastAsia="宋体" w:hint="default"/>
                <w:sz w:val="18"/>
                <w:szCs w:val="18"/>
              </w:rPr>
            </w:pPr>
            <w:r>
              <w:rPr>
                <w:rFonts w:ascii="宋体" w:hAnsi="宋体" w:cs="宋体" w:eastAsia="宋体" w:hint="default"/>
                <w:sz w:val="18"/>
                <w:szCs w:val="18"/>
              </w:rPr>
              <w:t>产品线及其提供的服务构成竞争或可能</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构成竞争的业务，亦不会投资任何与美</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亚柏科及其下属子公司现有销售的产品</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线及其提供的服务构成竞争或可能构成</w:t>
            </w:r>
          </w:p>
        </w:tc>
        <w:tc>
          <w:tcPr>
            <w:tcW w:w="850"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267" w:top="1160" w:bottom="1460" w:left="980" w:right="980"/>
        </w:sectPr>
      </w:pPr>
    </w:p>
    <w:p>
      <w:pPr>
        <w:spacing w:line="240" w:lineRule="auto" w:before="3"/>
        <w:rPr>
          <w:rFonts w:ascii="Times New Roman" w:hAnsi="Times New Roman" w:cs="Times New Roman" w:eastAsia="Times New Roman" w:hint="default"/>
          <w:sz w:val="25"/>
          <w:szCs w:val="25"/>
        </w:rPr>
      </w:pPr>
      <w:r>
        <w:rPr/>
        <w:pict>
          <v:shape style="position:absolute;margin-left:347.937012pt;margin-top:72.839981pt;width:84.2pt;height:532.4pt;mso-position-horizontal-relative:page;mso-position-vertical-relative:page;z-index:-1178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同业竞争。</w:t>
                  </w:r>
                </w:p>
              </w:txbxContent>
            </v:textbox>
            <w10:wrap type="none"/>
          </v:shape>
        </w:pict>
      </w:r>
      <w:r>
        <w:rPr/>
        <w:pict>
          <v:group style="position:absolute;margin-left:390.119995pt;margin-top:72.839981pt;width:42pt;height:594.3pt;mso-position-horizontal-relative:page;mso-position-vertical-relative:page;z-index:-1178224" coordorigin="7802,1457" coordsize="840,11886">
            <v:group style="position:absolute;left:7802;top:1457;width:840;height:10648" coordorigin="7802,1457" coordsize="840,10648">
              <v:shape style="position:absolute;left:7802;top:1457;width:840;height:10648" coordorigin="7802,1457" coordsize="840,10648" path="m7802,12104l8642,12104,8642,1457,7802,1457,7802,12104xe" filled="true" fillcolor="#ffffff" stroked="false">
                <v:path arrowok="t"/>
                <v:fill type="solid"/>
              </v:shape>
            </v:group>
            <v:group style="position:absolute;left:7802;top:12114;width:840;height:1229" coordorigin="7802,12114" coordsize="840,1229">
              <v:shape style="position:absolute;left:7802;top:12114;width:840;height:1229" coordorigin="7802,12114" coordsize="840,1229" path="m7802,13343l8642,13343,8642,12114,7802,12114,7802,1334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10"/>
      </w:tblGrid>
      <w:tr>
        <w:trPr>
          <w:trHeight w:val="10658"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竞争的其他企业；如本人及本人控制的 企业与美亚柏科及其下属子公司现有销 售的产品线及其提供的服务产生竞争， 则本人及本人控制的企业将采取停止经 营产生竞争的业务的方式，或者采取将 竞争的业务纳入美亚柏科的方式，或者 采取将产生竞争的业务转让给无关联关 系第三方等合法方式，使本人及本人控 制的企业不再从事与美亚柏科及其下属 子公司现有销售的产品线及其提供的服 </w:t>
            </w:r>
            <w:r>
              <w:rPr>
                <w:rFonts w:ascii="宋体" w:hAnsi="宋体" w:cs="宋体" w:eastAsia="宋体" w:hint="default"/>
                <w:spacing w:val="-7"/>
                <w:sz w:val="18"/>
                <w:szCs w:val="18"/>
              </w:rPr>
              <w:t>务相同或类似的业务，以避免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、如违反上述承诺给美亚柏科造成损失</w:t>
            </w:r>
            <w:r>
              <w:rPr>
                <w:rFonts w:ascii="宋体" w:hAnsi="宋体" w:cs="宋体" w:eastAsia="宋体" w:hint="default"/>
                <w:sz w:val="18"/>
                <w:szCs w:val="18"/>
              </w:rPr>
              <w:t> </w:t>
            </w:r>
            <w:r>
              <w:rPr>
                <w:rFonts w:ascii="宋体" w:hAnsi="宋体" w:cs="宋体" w:eastAsia="宋体" w:hint="default"/>
                <w:spacing w:val="-3"/>
                <w:sz w:val="18"/>
                <w:szCs w:val="18"/>
              </w:rPr>
              <w:t>的，本人将依法作出赔偿。</w:t>
            </w:r>
            <w:r>
              <w:rPr>
                <w:rFonts w:ascii="宋体" w:hAnsi="宋体" w:cs="宋体" w:eastAsia="宋体" w:hint="default"/>
                <w:spacing w:val="-23"/>
                <w:sz w:val="18"/>
                <w:szCs w:val="18"/>
              </w:rPr>
              <w:t> </w:t>
            </w:r>
            <w:r>
              <w:rPr>
                <w:rFonts w:ascii="宋体" w:hAnsi="宋体" w:cs="宋体" w:eastAsia="宋体" w:hint="default"/>
                <w:spacing w:val="-6"/>
                <w:sz w:val="18"/>
                <w:szCs w:val="18"/>
              </w:rPr>
              <w:t>二、关于规</w:t>
            </w:r>
            <w:r>
              <w:rPr>
                <w:rFonts w:ascii="宋体" w:hAnsi="宋体" w:cs="宋体" w:eastAsia="宋体" w:hint="default"/>
                <w:sz w:val="18"/>
                <w:szCs w:val="18"/>
              </w:rPr>
              <w:t> 范及减少关联交易的承诺</w:t>
            </w:r>
            <w:r>
              <w:rPr>
                <w:rFonts w:ascii="宋体" w:hAnsi="宋体" w:cs="宋体" w:eastAsia="宋体" w:hint="default"/>
                <w:spacing w:val="2"/>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、本次重组</w:t>
            </w:r>
            <w:r>
              <w:rPr>
                <w:rFonts w:ascii="宋体" w:hAnsi="宋体" w:cs="宋体" w:eastAsia="宋体" w:hint="default"/>
                <w:sz w:val="18"/>
                <w:szCs w:val="18"/>
              </w:rPr>
              <w:t> 完成后，本人及本人的关联企业与美亚 柏科及其包括目标公司在内的合并报表 范围内各级控股公司将尽可能的避免和 减少关联交易。 </w:t>
            </w:r>
            <w:r>
              <w:rPr>
                <w:rFonts w:ascii="Times New Roman" w:hAnsi="Times New Roman" w:cs="Times New Roman" w:eastAsia="Times New Roman" w:hint="default"/>
                <w:sz w:val="18"/>
                <w:szCs w:val="18"/>
              </w:rPr>
              <w:t>2</w:t>
            </w:r>
            <w:r>
              <w:rPr>
                <w:rFonts w:ascii="宋体" w:hAnsi="宋体" w:cs="宋体" w:eastAsia="宋体" w:hint="default"/>
                <w:sz w:val="18"/>
                <w:szCs w:val="18"/>
              </w:rPr>
              <w:t>、对于确有必要且无 法避免的关联交易，本人及本人的关联 企业将遵循市场化的公正、公平、公开 的原则，按照有关法律法规、规范性文 件和章程等有关规定，履行包括回避表 决等合法程序，不通过关联关系谋求特 殊的利益，不会进行任何有损美亚柏科 和美亚柏科其他股东利益、特别是中小 股东利益的关联交易。 </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、本人及本人 的关联企业将不以任何方式违法违规占 用美亚柏科及其包括目标公司在内的合 并报表范围内各级控股公司的资金、资 产，亦不要求美亚柏科及其包括目标公 司在内的合并报表范围内各级控股公司 为本人及本人的关联企业进行违规担 保。 </w:t>
            </w:r>
            <w:r>
              <w:rPr>
                <w:rFonts w:ascii="Times New Roman" w:hAnsi="Times New Roman" w:cs="Times New Roman" w:eastAsia="Times New Roman" w:hint="default"/>
                <w:sz w:val="18"/>
                <w:szCs w:val="18"/>
              </w:rPr>
              <w:t>4</w:t>
            </w:r>
            <w:r>
              <w:rPr>
                <w:rFonts w:ascii="宋体" w:hAnsi="宋体" w:cs="宋体" w:eastAsia="宋体" w:hint="default"/>
                <w:sz w:val="18"/>
                <w:szCs w:val="18"/>
              </w:rPr>
              <w:t>、如违反上述承诺给美亚柏科造 成损失的，本人将依法作出赔偿。</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170"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滕达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tabs>
                <w:tab w:pos="2977" w:val="right" w:leader="none"/>
              </w:tabs>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保证上市公司独立性的承诺</w:t>
            </w:r>
            <w:r>
              <w:rPr>
                <w:rFonts w:ascii="Times New Roman" w:hAnsi="Times New Roman" w:cs="Times New Roman" w:eastAsia="Times New Roman" w:hint="default"/>
                <w:sz w:val="18"/>
                <w:szCs w:val="18"/>
              </w:rPr>
              <w:tab/>
              <w:t>1</w:t>
            </w:r>
          </w:p>
          <w:p>
            <w:pPr>
              <w:pStyle w:val="TableParagraph"/>
              <w:spacing w:line="316" w:lineRule="auto" w:before="63"/>
              <w:ind w:left="23" w:right="24"/>
              <w:jc w:val="both"/>
              <w:rPr>
                <w:rFonts w:ascii="宋体" w:hAnsi="宋体" w:cs="宋体" w:eastAsia="宋体" w:hint="default"/>
                <w:sz w:val="18"/>
                <w:szCs w:val="18"/>
              </w:rPr>
            </w:pPr>
            <w:r>
              <w:rPr>
                <w:rFonts w:ascii="宋体" w:hAnsi="宋体" w:cs="宋体" w:eastAsia="宋体" w:hint="default"/>
                <w:sz w:val="18"/>
                <w:szCs w:val="18"/>
              </w:rPr>
              <w:t>本人（包括本人的一致行动人）与公司 的人员、资产、财务分开，机构、业务 独立，公司能够自主经营管理。公司最 近十二个月内不存在违规对外提供担保 或者资金被本人（包括本人的一致行动 人）及其控制的其他企业以借款、代偿 债务、代垫款项或者其他方式占用的情 形。 </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、在本次交易完成后，将保证美 亚柏科的人员独立性、资产独立性、财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383.820007pt;margin-top:137.699982pt;width:48.3pt;height:187.2pt;mso-position-horizontal-relative:page;mso-position-vertical-relative:page;z-index:-1178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57pt;margin-top:547.799988pt;width:75.150pt;height:84.85pt;mso-position-horizontal-relative:page;mso-position-vertical-relative:page;z-index:-1178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6"/>
                    <w:ind w:left="0" w:right="0" w:firstLine="0"/>
                    <w:jc w:val="left"/>
                    <w:rPr>
                      <w:rFonts w:ascii="宋体" w:hAnsi="宋体" w:cs="宋体" w:eastAsia="宋体" w:hint="default"/>
                      <w:sz w:val="18"/>
                      <w:szCs w:val="18"/>
                    </w:rPr>
                  </w:pPr>
                  <w:r>
                    <w:rPr>
                      <w:rFonts w:ascii="宋体" w:hAnsi="宋体" w:cs="宋体" w:eastAsia="宋体" w:hint="default"/>
                      <w:sz w:val="18"/>
                      <w:szCs w:val="18"/>
                    </w:rPr>
                    <w:t>准确性、</w:t>
                  </w:r>
                </w:p>
              </w:txbxContent>
            </v:textbox>
            <w10:wrap type="none"/>
          </v:shape>
        </w:pict>
      </w:r>
      <w:r>
        <w:rPr/>
        <w:pict>
          <v:group style="position:absolute;margin-left:390.119995pt;margin-top:137.699982pt;width:42pt;height:187.2pt;mso-position-horizontal-relative:page;mso-position-vertical-relative:page;z-index:-1178152" coordorigin="7802,2754" coordsize="840,3744">
            <v:shape style="position:absolute;left:7802;top:2754;width:840;height:3744" coordorigin="7802,2754" coordsize="840,3744" path="m7802,6498l8642,6498,8642,2754,7802,2754,7802,6498xe" filled="true" fillcolor="#ffffff" stroked="false">
              <v:path arrowok="t"/>
              <v:fill type="solid"/>
            </v:shape>
            <w10:wrap type="none"/>
          </v:group>
        </w:pict>
      </w:r>
      <w:r>
        <w:rPr/>
        <w:pict>
          <v:group style="position:absolute;margin-left:390.119995pt;margin-top:547.799988pt;width:42pt;height:84.85pt;mso-position-horizontal-relative:page;mso-position-vertical-relative:page;z-index:-1178128" coordorigin="7802,10956" coordsize="840,1697">
            <v:shape style="position:absolute;left:7802;top:10956;width:840;height:1697" coordorigin="7802,10956" coordsize="840,1697" path="m7802,12653l8642,12653,8642,10956,7802,10956,7802,1265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18"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务独立性、机构独立性和业务独立性，</w:t>
            </w:r>
          </w:p>
        </w:tc>
        <w:tc>
          <w:tcPr>
            <w:tcW w:w="850" w:type="dxa"/>
            <w:vMerge w:val="restart"/>
            <w:tcBorders>
              <w:top w:val="single" w:sz="4" w:space="0" w:color="000000"/>
              <w:left w:val="single" w:sz="4" w:space="0" w:color="000000"/>
              <w:right w:val="single" w:sz="4" w:space="0" w:color="000000"/>
            </w:tcBorders>
          </w:tcPr>
          <w:p>
            <w:pPr/>
          </w:p>
        </w:tc>
        <w:tc>
          <w:tcPr>
            <w:tcW w:w="947"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使之符合《上市公司重大资产重组管理</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办法》第十一条第（六）项之规定和第</w:t>
            </w:r>
          </w:p>
        </w:tc>
        <w:tc>
          <w:tcPr>
            <w:tcW w:w="850" w:type="dxa"/>
            <w:vMerge/>
            <w:tcBorders>
              <w:left w:val="single" w:sz="4" w:space="0" w:color="000000"/>
              <w:right w:val="single" w:sz="4" w:space="0" w:color="000000"/>
            </w:tcBorders>
          </w:tcPr>
          <w:p>
            <w:pPr/>
          </w:p>
        </w:tc>
        <w:tc>
          <w:tcPr>
            <w:tcW w:w="947"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6" w:hRule="exact"/>
        </w:trPr>
        <w:tc>
          <w:tcPr>
            <w:tcW w:w="1134" w:type="dxa"/>
            <w:vMerge/>
            <w:tcBorders>
              <w:left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四十三条第一款第（一）项之规定。</w:t>
            </w:r>
            <w:r>
              <w:rPr>
                <w:rFonts w:ascii="Times New Roman" w:hAnsi="Times New Roman" w:cs="Times New Roman" w:eastAsia="Times New Roman" w:hint="default"/>
                <w:sz w:val="18"/>
                <w:szCs w:val="18"/>
              </w:rPr>
              <w:t>"</w:t>
            </w:r>
          </w:p>
        </w:tc>
        <w:tc>
          <w:tcPr>
            <w:tcW w:w="850" w:type="dxa"/>
            <w:vMerge/>
            <w:tcBorders>
              <w:left w:val="single" w:sz="4" w:space="0" w:color="000000"/>
              <w:bottom w:val="single" w:sz="4" w:space="0" w:color="000000"/>
              <w:right w:val="single" w:sz="4" w:space="0" w:color="000000"/>
            </w:tcBorders>
          </w:tcPr>
          <w:p>
            <w:pPr/>
          </w:p>
        </w:tc>
        <w:tc>
          <w:tcPr>
            <w:tcW w:w="947"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63" w:hRule="exact"/>
        </w:trPr>
        <w:tc>
          <w:tcPr>
            <w:tcW w:w="1134" w:type="dxa"/>
            <w:vMerge/>
            <w:tcBorders>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tabs>
                <w:tab w:pos="2977" w:val="right" w:leader="none"/>
              </w:tabs>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标的资产历史沿革事项的承诺</w:t>
            </w:r>
            <w:r>
              <w:rPr>
                <w:rFonts w:ascii="Times New Roman" w:hAnsi="Times New Roman" w:cs="Times New Roman" w:eastAsia="Times New Roman" w:hint="default"/>
                <w:sz w:val="18"/>
                <w:szCs w:val="18"/>
              </w:rPr>
              <w:tab/>
              <w:t>1</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新德汇成立于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日，成立</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时股东为贺湘权（现已更名为贺湘荃）</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贺湘生、崔丹梅，贺湘生、贺湘荃各以</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现金出资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崔丹梅以</w:t>
            </w:r>
            <w:r>
              <w:rPr>
                <w:rFonts w:ascii="宋体" w:hAnsi="宋体" w:cs="宋体" w:eastAsia="宋体" w:hint="default"/>
                <w:spacing w:val="-2"/>
                <w:sz w:val="18"/>
                <w:szCs w:val="18"/>
              </w:rPr>
              <w:t>房</w:t>
            </w:r>
            <w:r>
              <w:rPr>
                <w:rFonts w:ascii="宋体" w:hAnsi="宋体" w:cs="宋体" w:eastAsia="宋体" w:hint="default"/>
                <w:sz w:val="18"/>
                <w:szCs w:val="18"/>
              </w:rPr>
              <w:t>产作价出</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贺湘生与苏学武签订《珠海经济特区新</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德汇企业有限公司法定代表人、经营场</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所变更协议书》将新德汇法定代表人由</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贺湘生变更为苏学武，贺湘荃作为股东</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在该协议书下方签字。同时，三位原股</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东即将新德汇股权全部转让给苏学武和</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钟鹰，苏学武、钟鹰各受让新德汇</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的股权。但相关转股工商档案由于主管</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5"/>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06"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工商机关变更时遗失且年代久远，现已</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无法取得。该次股权转让的转让价款已</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经全部由苏学武、钟鹰付清，股权已经</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全部过户给苏学武、钟鹰，交易各方没</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有争议。 </w:t>
            </w:r>
            <w:r>
              <w:rPr>
                <w:rFonts w:ascii="Times New Roman" w:hAnsi="Times New Roman" w:cs="Times New Roman" w:eastAsia="Times New Roman" w:hint="default"/>
                <w:sz w:val="18"/>
                <w:szCs w:val="18"/>
              </w:rPr>
              <w:t>3</w:t>
            </w:r>
            <w:r>
              <w:rPr>
                <w:rFonts w:ascii="宋体" w:hAnsi="宋体" w:cs="宋体" w:eastAsia="宋体" w:hint="default"/>
                <w:sz w:val="18"/>
                <w:szCs w:val="18"/>
              </w:rPr>
              <w:t>、自受让股权至今，本人及</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新德汇从未收到且亦未预见将收到任何</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第三方对新德汇股权的任何权利主张或</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异议。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、本人承诺若新德汇及</w:t>
            </w:r>
            <w:r>
              <w:rPr>
                <w:rFonts w:ascii="Times New Roman" w:hAnsi="Times New Roman" w:cs="Times New Roman" w:eastAsia="Times New Roman" w:hint="default"/>
                <w:sz w:val="18"/>
                <w:szCs w:val="18"/>
              </w:rPr>
              <w:t>/</w:t>
            </w:r>
            <w:r>
              <w:rPr>
                <w:rFonts w:ascii="宋体" w:hAnsi="宋体" w:cs="宋体" w:eastAsia="宋体" w:hint="default"/>
                <w:sz w:val="18"/>
                <w:szCs w:val="18"/>
              </w:rPr>
              <w:t>或美亚</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柏科因上述股东变更的相关资料缺失而</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造成受到任何损失，本人将就该等损失</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向新德汇及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或美亚柏科予以及时、充分</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补偿，使新德汇及美亚柏科不受损失。</w:t>
            </w:r>
            <w:r>
              <w:rPr>
                <w:rFonts w:ascii="Times New Roman" w:hAnsi="Times New Roman" w:cs="Times New Roman" w:eastAsia="Times New Roman" w:hint="default"/>
                <w:spacing w:val="-4"/>
                <w:sz w:val="18"/>
                <w:szCs w:val="18"/>
              </w:rPr>
              <w:t>"</w:t>
            </w:r>
          </w:p>
        </w:tc>
        <w:tc>
          <w:tcPr>
            <w:tcW w:w="850"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134" w:type="dxa"/>
            <w:vMerge/>
            <w:tcBorders>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美亚柏科及其全体董事、监事及高级管</w:t>
            </w:r>
          </w:p>
        </w:tc>
        <w:tc>
          <w:tcPr>
            <w:tcW w:w="850"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42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2" w:lineRule="auto" w:before="142"/>
              <w:ind w:left="22" w:right="35"/>
              <w:jc w:val="left"/>
              <w:rPr>
                <w:rFonts w:ascii="宋体" w:hAnsi="宋体" w:cs="宋体" w:eastAsia="宋体" w:hint="default"/>
                <w:sz w:val="18"/>
                <w:szCs w:val="18"/>
              </w:rPr>
            </w:pPr>
            <w:r>
              <w:rPr>
                <w:rFonts w:ascii="宋体" w:hAnsi="宋体" w:cs="宋体" w:eastAsia="宋体" w:hint="default"/>
                <w:sz w:val="18"/>
                <w:szCs w:val="18"/>
              </w:rPr>
              <w:t>厦门市美亚柏科信 息股份有限公司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郭 永芳</w:t>
            </w:r>
            <w:r>
              <w:rPr>
                <w:rFonts w:ascii="Times New Roman" w:hAnsi="Times New Roman" w:cs="Times New Roman" w:eastAsia="Times New Roman" w:hint="default"/>
                <w:sz w:val="18"/>
                <w:szCs w:val="18"/>
              </w:rPr>
              <w:t>;</w:t>
            </w:r>
            <w:r>
              <w:rPr>
                <w:rFonts w:ascii="宋体" w:hAnsi="宋体" w:cs="宋体" w:eastAsia="宋体" w:hint="default"/>
                <w:sz w:val="18"/>
                <w:szCs w:val="18"/>
              </w:rPr>
              <w:t>滕达</w:t>
            </w:r>
            <w:r>
              <w:rPr>
                <w:rFonts w:ascii="Times New Roman" w:hAnsi="Times New Roman" w:cs="Times New Roman" w:eastAsia="Times New Roman" w:hint="default"/>
                <w:sz w:val="18"/>
                <w:szCs w:val="18"/>
              </w:rPr>
              <w:t>;</w:t>
            </w:r>
            <w:r>
              <w:rPr>
                <w:rFonts w:ascii="宋体" w:hAnsi="宋体" w:cs="宋体" w:eastAsia="宋体" w:hint="default"/>
                <w:sz w:val="18"/>
                <w:szCs w:val="18"/>
              </w:rPr>
              <w:t>李国林</w:t>
            </w:r>
            <w:r>
              <w:rPr>
                <w:rFonts w:ascii="Times New Roman" w:hAnsi="Times New Roman" w:cs="Times New Roman" w:eastAsia="Times New Roman" w:hint="default"/>
                <w:sz w:val="18"/>
                <w:szCs w:val="18"/>
              </w:rPr>
              <w:t>; </w:t>
            </w:r>
            <w:r>
              <w:rPr>
                <w:rFonts w:ascii="宋体" w:hAnsi="宋体" w:cs="宋体" w:eastAsia="宋体" w:hint="default"/>
                <w:sz w:val="18"/>
                <w:szCs w:val="18"/>
              </w:rPr>
              <w:t>申强</w:t>
            </w:r>
            <w:r>
              <w:rPr>
                <w:rFonts w:ascii="Times New Roman" w:hAnsi="Times New Roman" w:cs="Times New Roman" w:eastAsia="Times New Roman" w:hint="default"/>
                <w:sz w:val="18"/>
                <w:szCs w:val="18"/>
              </w:rPr>
              <w:t>;</w:t>
            </w:r>
            <w:r>
              <w:rPr>
                <w:rFonts w:ascii="宋体" w:hAnsi="宋体" w:cs="宋体" w:eastAsia="宋体" w:hint="default"/>
                <w:sz w:val="18"/>
                <w:szCs w:val="18"/>
              </w:rPr>
              <w:t>廖明宏</w:t>
            </w:r>
            <w:r>
              <w:rPr>
                <w:rFonts w:ascii="Times New Roman" w:hAnsi="Times New Roman" w:cs="Times New Roman" w:eastAsia="Times New Roman" w:hint="default"/>
                <w:sz w:val="18"/>
                <w:szCs w:val="18"/>
              </w:rPr>
              <w:t>;</w:t>
            </w:r>
            <w:r>
              <w:rPr>
                <w:rFonts w:ascii="宋体" w:hAnsi="宋体" w:cs="宋体" w:eastAsia="宋体" w:hint="default"/>
                <w:sz w:val="18"/>
                <w:szCs w:val="18"/>
              </w:rPr>
              <w:t>曲晓</w:t>
            </w:r>
            <w:r>
              <w:rPr>
                <w:rFonts w:ascii="宋体" w:hAnsi="宋体" w:cs="宋体" w:eastAsia="宋体" w:hint="default"/>
                <w:spacing w:val="-2"/>
                <w:sz w:val="18"/>
                <w:szCs w:val="18"/>
              </w:rPr>
              <w:t> </w:t>
            </w:r>
            <w:r>
              <w:rPr>
                <w:rFonts w:ascii="宋体" w:hAnsi="宋体" w:cs="宋体" w:eastAsia="宋体" w:hint="default"/>
                <w:sz w:val="18"/>
                <w:szCs w:val="18"/>
              </w:rPr>
              <w:t>辉</w:t>
            </w:r>
            <w:r>
              <w:rPr>
                <w:rFonts w:ascii="Times New Roman" w:hAnsi="Times New Roman" w:cs="Times New Roman" w:eastAsia="Times New Roman" w:hint="default"/>
                <w:sz w:val="18"/>
                <w:szCs w:val="18"/>
              </w:rPr>
              <w:t>;</w:t>
            </w:r>
            <w:r>
              <w:rPr>
                <w:rFonts w:ascii="宋体" w:hAnsi="宋体" w:cs="宋体" w:eastAsia="宋体" w:hint="default"/>
                <w:sz w:val="18"/>
                <w:szCs w:val="18"/>
              </w:rPr>
              <w:t>卢永华</w:t>
            </w:r>
            <w:r>
              <w:rPr>
                <w:rFonts w:ascii="Times New Roman" w:hAnsi="Times New Roman" w:cs="Times New Roman" w:eastAsia="Times New Roman" w:hint="default"/>
                <w:sz w:val="18"/>
                <w:szCs w:val="18"/>
              </w:rPr>
              <w:t>;</w:t>
            </w:r>
            <w:r>
              <w:rPr>
                <w:rFonts w:ascii="宋体" w:hAnsi="宋体" w:cs="宋体" w:eastAsia="宋体" w:hint="default"/>
                <w:sz w:val="18"/>
                <w:szCs w:val="18"/>
              </w:rPr>
              <w:t>刘冬颖</w:t>
            </w:r>
            <w:r>
              <w:rPr>
                <w:rFonts w:ascii="Times New Roman" w:hAnsi="Times New Roman" w:cs="Times New Roman" w:eastAsia="Times New Roman" w:hint="default"/>
                <w:sz w:val="18"/>
                <w:szCs w:val="18"/>
              </w:rPr>
              <w:t>; </w:t>
            </w:r>
            <w:r>
              <w:rPr>
                <w:rFonts w:ascii="宋体" w:hAnsi="宋体" w:cs="宋体" w:eastAsia="宋体" w:hint="default"/>
                <w:sz w:val="18"/>
                <w:szCs w:val="18"/>
              </w:rPr>
              <w:t>屈文洲</w:t>
            </w:r>
            <w:r>
              <w:rPr>
                <w:rFonts w:ascii="Times New Roman" w:hAnsi="Times New Roman" w:cs="Times New Roman" w:eastAsia="Times New Roman" w:hint="default"/>
                <w:sz w:val="18"/>
                <w:szCs w:val="18"/>
              </w:rPr>
              <w:t>;</w:t>
            </w:r>
            <w:r>
              <w:rPr>
                <w:rFonts w:ascii="宋体" w:hAnsi="宋体" w:cs="宋体" w:eastAsia="宋体" w:hint="default"/>
                <w:sz w:val="18"/>
                <w:szCs w:val="18"/>
              </w:rPr>
              <w:t>仲丽华</w:t>
            </w:r>
            <w:r>
              <w:rPr>
                <w:rFonts w:ascii="Times New Roman" w:hAnsi="Times New Roman" w:cs="Times New Roman" w:eastAsia="Times New Roman" w:hint="default"/>
                <w:sz w:val="18"/>
                <w:szCs w:val="18"/>
              </w:rPr>
              <w:t>;</w:t>
            </w:r>
            <w:r>
              <w:rPr>
                <w:rFonts w:ascii="宋体" w:hAnsi="宋体" w:cs="宋体" w:eastAsia="宋体" w:hint="default"/>
                <w:sz w:val="18"/>
                <w:szCs w:val="18"/>
              </w:rPr>
              <w:t>高 峰</w:t>
            </w:r>
            <w:r>
              <w:rPr>
                <w:rFonts w:ascii="Times New Roman" w:hAnsi="Times New Roman" w:cs="Times New Roman" w:eastAsia="Times New Roman" w:hint="default"/>
                <w:sz w:val="18"/>
                <w:szCs w:val="18"/>
              </w:rPr>
              <w:t>;</w:t>
            </w:r>
            <w:r>
              <w:rPr>
                <w:rFonts w:ascii="宋体" w:hAnsi="宋体" w:cs="宋体" w:eastAsia="宋体" w:hint="default"/>
                <w:sz w:val="18"/>
                <w:szCs w:val="18"/>
              </w:rPr>
              <w:t>葛鹏</w:t>
            </w:r>
            <w:r>
              <w:rPr>
                <w:rFonts w:ascii="Times New Roman" w:hAnsi="Times New Roman" w:cs="Times New Roman" w:eastAsia="Times New Roman" w:hint="default"/>
                <w:sz w:val="18"/>
                <w:szCs w:val="18"/>
              </w:rPr>
              <w:t>;</w:t>
            </w:r>
            <w:r>
              <w:rPr>
                <w:rFonts w:ascii="宋体" w:hAnsi="宋体" w:cs="宋体" w:eastAsia="宋体" w:hint="default"/>
                <w:sz w:val="18"/>
                <w:szCs w:val="18"/>
              </w:rPr>
              <w:t>李滢雪</w:t>
            </w:r>
            <w:r>
              <w:rPr>
                <w:rFonts w:ascii="Times New Roman" w:hAnsi="Times New Roman" w:cs="Times New Roman" w:eastAsia="Times New Roman" w:hint="default"/>
                <w:sz w:val="18"/>
                <w:szCs w:val="18"/>
              </w:rPr>
              <w:t>;</w:t>
            </w:r>
            <w:r>
              <w:rPr>
                <w:rFonts w:ascii="宋体" w:hAnsi="宋体" w:cs="宋体" w:eastAsia="宋体" w:hint="default"/>
                <w:sz w:val="18"/>
                <w:szCs w:val="18"/>
              </w:rPr>
              <w:t>栾 江霞</w:t>
            </w:r>
            <w:r>
              <w:rPr>
                <w:rFonts w:ascii="Times New Roman" w:hAnsi="Times New Roman" w:cs="Times New Roman" w:eastAsia="Times New Roman" w:hint="default"/>
                <w:sz w:val="18"/>
                <w:szCs w:val="18"/>
              </w:rPr>
              <w:t>;</w:t>
            </w:r>
            <w:r>
              <w:rPr>
                <w:rFonts w:ascii="宋体" w:hAnsi="宋体" w:cs="宋体" w:eastAsia="宋体" w:hint="default"/>
                <w:sz w:val="18"/>
                <w:szCs w:val="18"/>
              </w:rPr>
              <w:t>吴鸿伟</w:t>
            </w:r>
            <w:r>
              <w:rPr>
                <w:rFonts w:ascii="Times New Roman" w:hAnsi="Times New Roman" w:cs="Times New Roman" w:eastAsia="Times New Roman" w:hint="default"/>
                <w:sz w:val="18"/>
                <w:szCs w:val="18"/>
              </w:rPr>
              <w:t>;</w:t>
            </w:r>
            <w:r>
              <w:rPr>
                <w:rFonts w:ascii="宋体" w:hAnsi="宋体" w:cs="宋体" w:eastAsia="宋体" w:hint="default"/>
                <w:sz w:val="18"/>
                <w:szCs w:val="18"/>
              </w:rPr>
              <w:t>吴世</w:t>
            </w:r>
            <w:r>
              <w:rPr>
                <w:rFonts w:ascii="宋体" w:hAnsi="宋体" w:cs="宋体" w:eastAsia="宋体" w:hint="default"/>
                <w:spacing w:val="-2"/>
                <w:sz w:val="18"/>
                <w:szCs w:val="18"/>
              </w:rPr>
              <w:t> </w:t>
            </w:r>
            <w:r>
              <w:rPr>
                <w:rFonts w:ascii="宋体" w:hAnsi="宋体" w:cs="宋体" w:eastAsia="宋体" w:hint="default"/>
                <w:sz w:val="18"/>
                <w:szCs w:val="18"/>
              </w:rPr>
              <w:t>雄</w:t>
            </w:r>
            <w:r>
              <w:rPr>
                <w:rFonts w:ascii="Times New Roman" w:hAnsi="Times New Roman" w:cs="Times New Roman" w:eastAsia="Times New Roman" w:hint="default"/>
                <w:sz w:val="18"/>
                <w:szCs w:val="18"/>
              </w:rPr>
              <w:t>;</w:t>
            </w:r>
            <w:r>
              <w:rPr>
                <w:rFonts w:ascii="宋体" w:hAnsi="宋体" w:cs="宋体" w:eastAsia="宋体" w:hint="default"/>
                <w:sz w:val="18"/>
                <w:szCs w:val="18"/>
              </w:rPr>
              <w:t>张乃军</w:t>
            </w:r>
            <w:r>
              <w:rPr>
                <w:rFonts w:ascii="Times New Roman" w:hAnsi="Times New Roman" w:cs="Times New Roman" w:eastAsia="Times New Roman" w:hint="default"/>
                <w:sz w:val="18"/>
                <w:szCs w:val="18"/>
              </w:rPr>
              <w:t>;</w:t>
            </w:r>
            <w:r>
              <w:rPr>
                <w:rFonts w:ascii="宋体" w:hAnsi="宋体" w:cs="宋体" w:eastAsia="宋体" w:hint="default"/>
                <w:sz w:val="18"/>
                <w:szCs w:val="18"/>
              </w:rPr>
              <w:t>张雪峰</w:t>
            </w:r>
            <w:r>
              <w:rPr>
                <w:rFonts w:ascii="Times New Roman" w:hAnsi="Times New Roman" w:cs="Times New Roman" w:eastAsia="Times New Roman" w:hint="default"/>
                <w:sz w:val="18"/>
                <w:szCs w:val="18"/>
              </w:rPr>
              <w:t>; </w:t>
            </w:r>
            <w:r>
              <w:rPr>
                <w:rFonts w:ascii="宋体" w:hAnsi="宋体" w:cs="宋体" w:eastAsia="宋体" w:hint="default"/>
                <w:sz w:val="18"/>
                <w:szCs w:val="18"/>
              </w:rPr>
              <w:t>赵庸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4"/>
              <w:jc w:val="left"/>
              <w:rPr>
                <w:rFonts w:ascii="宋体" w:hAnsi="宋体" w:cs="宋体" w:eastAsia="宋体" w:hint="default"/>
                <w:sz w:val="18"/>
                <w:szCs w:val="18"/>
              </w:rPr>
            </w:pPr>
            <w:r>
              <w:rPr>
                <w:rFonts w:ascii="宋体" w:hAnsi="宋体" w:cs="宋体" w:eastAsia="宋体" w:hint="default"/>
                <w:spacing w:val="-4"/>
                <w:sz w:val="18"/>
                <w:szCs w:val="18"/>
              </w:rPr>
              <w:t>理人员：关于提供材料真实性、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完整性的承诺 本公司及董事会全体成员、监事会全体 成员、全部高级管理人员保证本次交易 的信息披露和申请文件的内容真实、准 确和完整，不存在虚假记载、误导性陈 述或重大遗漏，并对本次交易的信息披 露和申请文件中的虚假记载、误导性陈 述或者重大遗漏承担个别及连带的法律 责任。如本次交易因涉嫌所提供或者披 露的信息存在虚假记载、误导性陈述或</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5"/>
              <w:jc w:val="center"/>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者重大遗漏，被司法机关立案侦查或者</w:t>
            </w:r>
          </w:p>
        </w:tc>
        <w:tc>
          <w:tcPr>
            <w:tcW w:w="850"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10"/>
      </w:tblGrid>
      <w:tr>
        <w:trPr>
          <w:trHeight w:val="986"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3" w:right="24"/>
              <w:jc w:val="both"/>
              <w:rPr>
                <w:rFonts w:ascii="宋体" w:hAnsi="宋体" w:cs="宋体" w:eastAsia="宋体" w:hint="default"/>
                <w:sz w:val="18"/>
                <w:szCs w:val="18"/>
              </w:rPr>
            </w:pPr>
            <w:r>
              <w:rPr>
                <w:rFonts w:ascii="宋体" w:hAnsi="宋体" w:cs="宋体" w:eastAsia="宋体" w:hint="default"/>
                <w:sz w:val="18"/>
                <w:szCs w:val="18"/>
              </w:rPr>
              <w:t>被中国证监会立案调查的，在案件调查 结论明确之前，将暂停转让其在上市公 司拥有权益的股份。</w:t>
            </w:r>
          </w:p>
        </w:tc>
        <w:tc>
          <w:tcPr>
            <w:tcW w:w="85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1134" w:type="dxa"/>
            <w:vMerge/>
            <w:tcBorders>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滕达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2"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、本人未直接或间接从事与美亚柏科 及其下属子公司相同或相似业务的情 形。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、本人及本人直接或间接控制的 其他企业不会直接或间接经营任何与美 亚柏科及其下属子公司经营业务构成竞 争或可能构成竞争的业务，亦不会投资 任何与美亚柏科及其下属子公司经营的 业务构成竞争或可能构成竞争的其他企 业；如本人及本人控制的企业与美亚柏 科及其下属子公司经营的业务产生竞 争，则本人及本人控制的企业将采取停 止经营产生竞争的业务的方式，或者采 取将竞争的业务纳入美亚柏科的方式， 或者采取将产生竞争的业务转让给无关 联第三方等合法方式，使本人及本人控 制的企业不再从事与美亚柏科及其下属 子公司主营业务相同或类似的业务，以 避免同业竞争。 </w:t>
            </w:r>
            <w:r>
              <w:rPr>
                <w:rFonts w:ascii="Times New Roman" w:hAnsi="Times New Roman" w:cs="Times New Roman" w:eastAsia="Times New Roman" w:hint="default"/>
                <w:sz w:val="18"/>
                <w:szCs w:val="18"/>
              </w:rPr>
              <w:t>3</w:t>
            </w:r>
            <w:r>
              <w:rPr>
                <w:rFonts w:ascii="宋体" w:hAnsi="宋体" w:cs="宋体" w:eastAsia="宋体" w:hint="default"/>
                <w:sz w:val="18"/>
                <w:szCs w:val="18"/>
              </w:rPr>
              <w:t>、如违反上述承诺给 美亚柏科造成损失的，本人将依法作出 赔偿。 </w:t>
            </w:r>
            <w:r>
              <w:rPr>
                <w:rFonts w:ascii="Times New Roman" w:hAnsi="Times New Roman" w:cs="Times New Roman" w:eastAsia="Times New Roman" w:hint="default"/>
                <w:sz w:val="18"/>
                <w:szCs w:val="18"/>
              </w:rPr>
              <w:t>4</w:t>
            </w:r>
            <w:r>
              <w:rPr>
                <w:rFonts w:ascii="宋体" w:hAnsi="宋体" w:cs="宋体" w:eastAsia="宋体" w:hint="default"/>
                <w:sz w:val="18"/>
                <w:szCs w:val="18"/>
              </w:rPr>
              <w:t>、上述承诺至本人不再作为本 公司的实际控制人满两年之日终止。</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3"/>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770" w:hRule="exact"/>
        </w:trPr>
        <w:tc>
          <w:tcPr>
            <w:tcW w:w="1134" w:type="dxa"/>
            <w:vMerge/>
            <w:tcBorders>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2" w:right="115"/>
              <w:jc w:val="both"/>
              <w:rPr>
                <w:rFonts w:ascii="宋体" w:hAnsi="宋体" w:cs="宋体" w:eastAsia="宋体" w:hint="default"/>
                <w:sz w:val="18"/>
                <w:szCs w:val="18"/>
              </w:rPr>
            </w:pPr>
            <w:r>
              <w:rPr>
                <w:rFonts w:ascii="宋体" w:hAnsi="宋体" w:cs="宋体" w:eastAsia="宋体" w:hint="default"/>
                <w:sz w:val="18"/>
                <w:szCs w:val="18"/>
              </w:rPr>
              <w:t>邓炽成</w:t>
            </w:r>
            <w:r>
              <w:rPr>
                <w:rFonts w:ascii="Times New Roman" w:hAnsi="Times New Roman" w:cs="Times New Roman" w:eastAsia="Times New Roman" w:hint="default"/>
                <w:sz w:val="18"/>
                <w:szCs w:val="18"/>
              </w:rPr>
              <w:t>;</w:t>
            </w:r>
            <w:r>
              <w:rPr>
                <w:rFonts w:ascii="宋体" w:hAnsi="宋体" w:cs="宋体" w:eastAsia="宋体" w:hint="default"/>
                <w:sz w:val="18"/>
                <w:szCs w:val="18"/>
              </w:rPr>
              <w:t>水军</w:t>
            </w:r>
            <w:r>
              <w:rPr>
                <w:rFonts w:ascii="Times New Roman" w:hAnsi="Times New Roman" w:cs="Times New Roman" w:eastAsia="Times New Roman" w:hint="default"/>
                <w:sz w:val="18"/>
                <w:szCs w:val="18"/>
              </w:rPr>
              <w:t>;</w:t>
            </w:r>
            <w:r>
              <w:rPr>
                <w:rFonts w:ascii="宋体" w:hAnsi="宋体" w:cs="宋体" w:eastAsia="宋体" w:hint="default"/>
                <w:sz w:val="18"/>
                <w:szCs w:val="18"/>
              </w:rPr>
              <w:t>苏学</w:t>
            </w:r>
            <w:r>
              <w:rPr>
                <w:rFonts w:ascii="宋体" w:hAnsi="宋体" w:cs="宋体" w:eastAsia="宋体" w:hint="default"/>
                <w:spacing w:val="-2"/>
                <w:sz w:val="18"/>
                <w:szCs w:val="18"/>
              </w:rPr>
              <w:t> </w:t>
            </w:r>
            <w:r>
              <w:rPr>
                <w:rFonts w:ascii="宋体" w:hAnsi="宋体" w:cs="宋体" w:eastAsia="宋体" w:hint="default"/>
                <w:sz w:val="18"/>
                <w:szCs w:val="18"/>
              </w:rPr>
              <w:t>武</w:t>
            </w:r>
            <w:r>
              <w:rPr>
                <w:rFonts w:ascii="Times New Roman" w:hAnsi="Times New Roman" w:cs="Times New Roman" w:eastAsia="Times New Roman" w:hint="default"/>
                <w:sz w:val="18"/>
                <w:szCs w:val="18"/>
              </w:rPr>
              <w:t>;</w:t>
            </w:r>
            <w:r>
              <w:rPr>
                <w:rFonts w:ascii="宋体" w:hAnsi="宋体" w:cs="宋体" w:eastAsia="宋体" w:hint="default"/>
                <w:sz w:val="18"/>
                <w:szCs w:val="18"/>
              </w:rPr>
              <w:t>韦玉荣</w:t>
            </w:r>
            <w:r>
              <w:rPr>
                <w:rFonts w:ascii="Times New Roman" w:hAnsi="Times New Roman" w:cs="Times New Roman" w:eastAsia="Times New Roman" w:hint="default"/>
                <w:sz w:val="18"/>
                <w:szCs w:val="18"/>
              </w:rPr>
              <w:t>;</w:t>
            </w:r>
            <w:r>
              <w:rPr>
                <w:rFonts w:ascii="宋体" w:hAnsi="宋体" w:cs="宋体" w:eastAsia="宋体" w:hint="default"/>
                <w:sz w:val="18"/>
                <w:szCs w:val="18"/>
              </w:rPr>
              <w:t>陈燕</w:t>
            </w:r>
            <w:r>
              <w:rPr>
                <w:rFonts w:ascii="Times New Roman" w:hAnsi="Times New Roman" w:cs="Times New Roman" w:eastAsia="Times New Roman" w:hint="default"/>
                <w:sz w:val="18"/>
                <w:szCs w:val="18"/>
              </w:rPr>
              <w:t>;</w:t>
            </w:r>
            <w:r>
              <w:rPr>
                <w:rFonts w:ascii="宋体" w:hAnsi="宋体" w:cs="宋体" w:eastAsia="宋体" w:hint="default"/>
                <w:sz w:val="18"/>
                <w:szCs w:val="18"/>
              </w:rPr>
              <w:t>黄 新</w:t>
            </w:r>
            <w:r>
              <w:rPr>
                <w:rFonts w:ascii="Times New Roman" w:hAnsi="Times New Roman" w:cs="Times New Roman" w:eastAsia="Times New Roman" w:hint="default"/>
                <w:sz w:val="18"/>
                <w:szCs w:val="18"/>
              </w:rPr>
              <w:t>;</w:t>
            </w:r>
            <w:r>
              <w:rPr>
                <w:rFonts w:ascii="宋体" w:hAnsi="宋体" w:cs="宋体" w:eastAsia="宋体" w:hint="default"/>
                <w:sz w:val="18"/>
                <w:szCs w:val="18"/>
              </w:rPr>
              <w:t>李江</w:t>
            </w:r>
            <w:r>
              <w:rPr>
                <w:rFonts w:ascii="Times New Roman" w:hAnsi="Times New Roman" w:cs="Times New Roman" w:eastAsia="Times New Roman" w:hint="default"/>
                <w:sz w:val="18"/>
                <w:szCs w:val="18"/>
              </w:rPr>
              <w:t>;</w:t>
            </w:r>
            <w:r>
              <w:rPr>
                <w:rFonts w:ascii="宋体" w:hAnsi="宋体" w:cs="宋体" w:eastAsia="宋体" w:hint="default"/>
                <w:sz w:val="18"/>
                <w:szCs w:val="18"/>
              </w:rPr>
              <w:t>郭玉智</w:t>
            </w:r>
            <w:r>
              <w:rPr>
                <w:rFonts w:ascii="Times New Roman" w:hAnsi="Times New Roman" w:cs="Times New Roman" w:eastAsia="Times New Roman" w:hint="default"/>
                <w:sz w:val="18"/>
                <w:szCs w:val="18"/>
              </w:rPr>
              <w:t>;</w:t>
            </w:r>
            <w:r>
              <w:rPr>
                <w:rFonts w:ascii="宋体" w:hAnsi="宋体" w:cs="宋体" w:eastAsia="宋体" w:hint="default"/>
                <w:sz w:val="18"/>
                <w:szCs w:val="18"/>
              </w:rPr>
              <w:t>李 佳</w:t>
            </w:r>
            <w:r>
              <w:rPr>
                <w:rFonts w:ascii="Times New Roman" w:hAnsi="Times New Roman" w:cs="Times New Roman" w:eastAsia="Times New Roman" w:hint="default"/>
                <w:sz w:val="18"/>
                <w:szCs w:val="18"/>
              </w:rPr>
              <w:t>;</w:t>
            </w:r>
            <w:r>
              <w:rPr>
                <w:rFonts w:ascii="宋体" w:hAnsi="宋体" w:cs="宋体" w:eastAsia="宋体" w:hint="default"/>
                <w:sz w:val="18"/>
                <w:szCs w:val="18"/>
              </w:rPr>
              <w:t>韩海青</w:t>
            </w:r>
            <w:r>
              <w:rPr>
                <w:rFonts w:ascii="Times New Roman" w:hAnsi="Times New Roman" w:cs="Times New Roman" w:eastAsia="Times New Roman" w:hint="default"/>
                <w:sz w:val="18"/>
                <w:szCs w:val="18"/>
              </w:rPr>
              <w:t>;</w:t>
            </w:r>
            <w:r>
              <w:rPr>
                <w:rFonts w:ascii="宋体" w:hAnsi="宋体" w:cs="宋体" w:eastAsia="宋体" w:hint="default"/>
                <w:sz w:val="18"/>
                <w:szCs w:val="18"/>
              </w:rPr>
              <w:t>王亚明</w:t>
            </w:r>
            <w:r>
              <w:rPr>
                <w:rFonts w:ascii="Times New Roman" w:hAnsi="Times New Roman" w:cs="Times New Roman" w:eastAsia="Times New Roman" w:hint="default"/>
                <w:sz w:val="18"/>
                <w:szCs w:val="18"/>
              </w:rPr>
              <w:t>; </w:t>
            </w:r>
            <w:r>
              <w:rPr>
                <w:rFonts w:ascii="宋体" w:hAnsi="宋体" w:cs="宋体" w:eastAsia="宋体" w:hint="default"/>
                <w:sz w:val="18"/>
                <w:szCs w:val="18"/>
              </w:rPr>
              <w:t>任炜</w:t>
            </w:r>
            <w:r>
              <w:rPr>
                <w:rFonts w:ascii="Times New Roman" w:hAnsi="Times New Roman" w:cs="Times New Roman" w:eastAsia="Times New Roman" w:hint="default"/>
                <w:sz w:val="18"/>
                <w:szCs w:val="18"/>
              </w:rPr>
              <w:t>;</w:t>
            </w:r>
            <w:r>
              <w:rPr>
                <w:rFonts w:ascii="宋体" w:hAnsi="宋体" w:cs="宋体" w:eastAsia="宋体" w:hint="default"/>
                <w:sz w:val="18"/>
                <w:szCs w:val="18"/>
              </w:rPr>
              <w:t>安林冲</w:t>
            </w:r>
            <w:r>
              <w:rPr>
                <w:rFonts w:ascii="Times New Roman" w:hAnsi="Times New Roman" w:cs="Times New Roman" w:eastAsia="Times New Roman" w:hint="default"/>
                <w:sz w:val="18"/>
                <w:szCs w:val="18"/>
              </w:rPr>
              <w:t>;</w:t>
            </w:r>
            <w:r>
              <w:rPr>
                <w:rFonts w:ascii="宋体" w:hAnsi="宋体" w:cs="宋体" w:eastAsia="宋体" w:hint="default"/>
                <w:sz w:val="18"/>
                <w:szCs w:val="18"/>
              </w:rPr>
              <w:t>仇宏</w:t>
            </w:r>
            <w:r>
              <w:rPr>
                <w:rFonts w:ascii="宋体" w:hAnsi="宋体" w:cs="宋体" w:eastAsia="宋体" w:hint="default"/>
                <w:spacing w:val="-2"/>
                <w:sz w:val="18"/>
                <w:szCs w:val="18"/>
              </w:rPr>
              <w:t> </w:t>
            </w:r>
            <w:r>
              <w:rPr>
                <w:rFonts w:ascii="宋体" w:hAnsi="宋体" w:cs="宋体" w:eastAsia="宋体" w:hint="default"/>
                <w:sz w:val="18"/>
                <w:szCs w:val="18"/>
              </w:rPr>
              <w:t>远</w:t>
            </w:r>
            <w:r>
              <w:rPr>
                <w:rFonts w:ascii="Times New Roman" w:hAnsi="Times New Roman" w:cs="Times New Roman" w:eastAsia="Times New Roman" w:hint="default"/>
                <w:sz w:val="18"/>
                <w:szCs w:val="18"/>
              </w:rPr>
              <w:t>;</w:t>
            </w:r>
            <w:r>
              <w:rPr>
                <w:rFonts w:ascii="宋体" w:hAnsi="宋体" w:cs="宋体" w:eastAsia="宋体" w:hint="default"/>
                <w:sz w:val="18"/>
                <w:szCs w:val="18"/>
              </w:rPr>
              <w:t>包志翔</w:t>
            </w:r>
            <w:r>
              <w:rPr>
                <w:rFonts w:ascii="Times New Roman" w:hAnsi="Times New Roman" w:cs="Times New Roman" w:eastAsia="Times New Roman" w:hint="default"/>
                <w:sz w:val="18"/>
                <w:szCs w:val="18"/>
              </w:rPr>
              <w:t>;</w:t>
            </w:r>
            <w:r>
              <w:rPr>
                <w:rFonts w:ascii="宋体" w:hAnsi="宋体" w:cs="宋体" w:eastAsia="宋体" w:hint="default"/>
                <w:sz w:val="18"/>
                <w:szCs w:val="18"/>
              </w:rPr>
              <w:t>张红光</w:t>
            </w:r>
            <w:r>
              <w:rPr>
                <w:rFonts w:ascii="Times New Roman" w:hAnsi="Times New Roman" w:cs="Times New Roman" w:eastAsia="Times New Roman" w:hint="default"/>
                <w:sz w:val="18"/>
                <w:szCs w:val="18"/>
              </w:rPr>
              <w:t>; </w:t>
            </w:r>
            <w:r>
              <w:rPr>
                <w:rFonts w:ascii="宋体" w:hAnsi="宋体" w:cs="宋体" w:eastAsia="宋体" w:hint="default"/>
                <w:sz w:val="18"/>
                <w:szCs w:val="18"/>
              </w:rPr>
              <w:t>叶树军</w:t>
            </w:r>
            <w:r>
              <w:rPr>
                <w:rFonts w:ascii="Times New Roman" w:hAnsi="Times New Roman" w:cs="Times New Roman" w:eastAsia="Times New Roman" w:hint="default"/>
                <w:sz w:val="18"/>
                <w:szCs w:val="18"/>
              </w:rPr>
              <w:t>;</w:t>
            </w:r>
            <w:r>
              <w:rPr>
                <w:rFonts w:ascii="宋体" w:hAnsi="宋体" w:cs="宋体" w:eastAsia="宋体" w:hint="default"/>
                <w:sz w:val="18"/>
                <w:szCs w:val="18"/>
              </w:rPr>
              <w:t>卢晓英</w:t>
            </w:r>
            <w:r>
              <w:rPr>
                <w:rFonts w:ascii="Times New Roman" w:hAnsi="Times New Roman" w:cs="Times New Roman" w:eastAsia="Times New Roman" w:hint="default"/>
                <w:sz w:val="18"/>
                <w:szCs w:val="18"/>
              </w:rPr>
              <w:t>;</w:t>
            </w:r>
            <w:r>
              <w:rPr>
                <w:rFonts w:ascii="宋体" w:hAnsi="宋体" w:cs="宋体" w:eastAsia="宋体" w:hint="default"/>
                <w:sz w:val="18"/>
                <w:szCs w:val="18"/>
              </w:rPr>
              <w:t>孙 士玉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江苏税软及新德汇交易对方</w:t>
            </w:r>
            <w:r>
              <w:rPr>
                <w:rFonts w:ascii="Times New Roman" w:hAnsi="Times New Roman" w:cs="Times New Roman" w:eastAsia="Times New Roman" w:hint="default"/>
                <w:sz w:val="18"/>
                <w:szCs w:val="18"/>
              </w:rPr>
              <w:t>:</w:t>
            </w:r>
            <w:r>
              <w:rPr>
                <w:rFonts w:ascii="宋体" w:hAnsi="宋体" w:cs="宋体" w:eastAsia="宋体" w:hint="default"/>
                <w:sz w:val="18"/>
                <w:szCs w:val="18"/>
              </w:rPr>
              <w:t>关于提供 </w:t>
            </w:r>
            <w:r>
              <w:rPr>
                <w:rFonts w:ascii="宋体" w:hAnsi="宋体" w:cs="宋体" w:eastAsia="宋体" w:hint="default"/>
                <w:spacing w:val="-6"/>
                <w:sz w:val="18"/>
                <w:szCs w:val="18"/>
              </w:rPr>
              <w:t>材料真实性、准确性、完整性的承诺</w:t>
            </w:r>
            <w:r>
              <w:rPr>
                <w:rFonts w:ascii="宋体" w:hAnsi="宋体" w:cs="宋体" w:eastAsia="宋体" w:hint="default"/>
                <w:spacing w:val="6"/>
                <w:sz w:val="18"/>
                <w:szCs w:val="18"/>
              </w:rPr>
              <w:t> </w:t>
            </w:r>
            <w:r>
              <w:rPr>
                <w:rFonts w:ascii="宋体" w:hAnsi="宋体" w:cs="宋体" w:eastAsia="宋体" w:hint="default"/>
                <w:sz w:val="18"/>
                <w:szCs w:val="18"/>
              </w:rPr>
              <w:t>本</w:t>
            </w:r>
            <w:r>
              <w:rPr>
                <w:rFonts w:ascii="宋体" w:hAnsi="宋体" w:cs="宋体" w:eastAsia="宋体" w:hint="default"/>
                <w:sz w:val="18"/>
                <w:szCs w:val="18"/>
              </w:rPr>
              <w:t> 人保证所提供的信息的真实性、准确性 和完整性，不存在虚假记载、误导性陈 述或重大遗漏；本人对所提供信息的真 实性、准确性和完整性承担个别和连带 的法律责任。如因提供的信息存在虚假 记载、误导性陈述或者重大遗漏，本人 将依法承担赔偿责任。如本次重组因涉 嫌所提供或者披露的信息存在虚假记 载、误导性陈述或者重大遗漏，被司法 机关立案侦查或者被中国证监会立案调 查的，在案件调查结论明确之前，本人 将暂停转让在上市公司拥有权益的股 份。</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3"/>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298"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新德汇股东苏学武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关于使用部分超募资金收购珠海市新德 汇信息技术有限公司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股权时的业绩 承诺：新德汇股东苏学武先生承诺，经 具有证券从业资格的审计机构审计后，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311.937012pt;margin-top:344.519989pt;width:120.2pt;height:46.8pt;mso-position-horizontal-relative:page;mso-position-vertical-relative:page;z-index:-1178056"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收购价格应不低于：</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794"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20"/>
              <w:jc w:val="both"/>
              <w:rPr>
                <w:rFonts w:ascii="宋体" w:hAnsi="宋体" w:cs="宋体" w:eastAsia="宋体" w:hint="default"/>
                <w:sz w:val="18"/>
                <w:szCs w:val="18"/>
              </w:rPr>
            </w:pPr>
            <w:r>
              <w:rPr>
                <w:rFonts w:ascii="宋体" w:hAnsi="宋体" w:cs="宋体" w:eastAsia="宋体" w:hint="default"/>
                <w:sz w:val="18"/>
                <w:szCs w:val="18"/>
              </w:rPr>
              <w:t>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年度经审计后的净利润不 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年度经审计后的 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 审计后的净利润不低于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1430</w:t>
            </w:r>
            <w:r>
              <w:rPr>
                <w:rFonts w:ascii="Times New Roman" w:hAnsi="Times New Roman" w:cs="Times New Roman" w:eastAsia="Times New Roman" w:hint="default"/>
                <w:spacing w:val="1"/>
                <w:sz w:val="18"/>
                <w:szCs w:val="18"/>
              </w:rPr>
              <w:t> </w:t>
            </w:r>
            <w:r>
              <w:rPr>
                <w:rFonts w:ascii="宋体" w:hAnsi="宋体" w:cs="宋体" w:eastAsia="宋体" w:hint="default"/>
                <w:spacing w:val="-18"/>
                <w:sz w:val="18"/>
                <w:szCs w:val="18"/>
              </w:rPr>
              <w:t>万元。各方</w:t>
            </w:r>
          </w:p>
          <w:p>
            <w:pPr>
              <w:pStyle w:val="TableParagraph"/>
              <w:spacing w:line="307" w:lineRule="auto" w:before="13"/>
              <w:ind w:left="23" w:right="19"/>
              <w:jc w:val="left"/>
              <w:rPr>
                <w:rFonts w:ascii="宋体" w:hAnsi="宋体" w:cs="宋体" w:eastAsia="宋体" w:hint="default"/>
                <w:sz w:val="18"/>
                <w:szCs w:val="18"/>
              </w:rPr>
            </w:pPr>
            <w:r>
              <w:rPr>
                <w:rFonts w:ascii="宋体" w:hAnsi="宋体" w:cs="宋体" w:eastAsia="宋体" w:hint="default"/>
                <w:sz w:val="18"/>
                <w:szCs w:val="18"/>
              </w:rPr>
              <w:t>一致同意，对新德汇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2014 </w:t>
            </w:r>
            <w:r>
              <w:rPr>
                <w:rFonts w:ascii="宋体" w:hAnsi="宋体" w:cs="宋体" w:eastAsia="宋体" w:hint="default"/>
                <w:spacing w:val="-6"/>
                <w:sz w:val="18"/>
                <w:szCs w:val="18"/>
              </w:rPr>
              <w:t>年度、</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年度经审计后的净利润进行 累计考核，如果三年经审计后的累计实 际净利润总额未达到承诺净利润总额 的，苏学武先生应对收购方给予现金补 </w:t>
            </w:r>
            <w:r>
              <w:rPr>
                <w:rFonts w:ascii="宋体" w:hAnsi="宋体" w:cs="宋体" w:eastAsia="宋体" w:hint="default"/>
                <w:spacing w:val="-9"/>
                <w:sz w:val="18"/>
                <w:szCs w:val="18"/>
              </w:rPr>
              <w:t>偿，补偿计算公式如下：现金补偿</w:t>
            </w:r>
            <w:r>
              <w:rPr>
                <w:rFonts w:ascii="宋体" w:hAnsi="宋体" w:cs="宋体" w:eastAsia="宋体" w:hint="default"/>
                <w:spacing w:val="8"/>
                <w:sz w:val="18"/>
                <w:szCs w:val="18"/>
              </w:rPr>
              <w:t> </w:t>
            </w:r>
            <w:r>
              <w:rPr>
                <w:rFonts w:ascii="Times New Roman" w:hAnsi="Times New Roman" w:cs="Times New Roman" w:eastAsia="Times New Roman" w:hint="default"/>
                <w:spacing w:val="-21"/>
                <w:sz w:val="18"/>
                <w:szCs w:val="18"/>
              </w:rPr>
              <w:t>=</w:t>
            </w:r>
            <w:r>
              <w:rPr>
                <w:rFonts w:ascii="宋体" w:hAnsi="宋体" w:cs="宋体" w:eastAsia="宋体" w:hint="default"/>
                <w:spacing w:val="-21"/>
                <w:sz w:val="18"/>
                <w:szCs w:val="18"/>
              </w:rPr>
              <w:t>（三</w:t>
            </w:r>
            <w:r>
              <w:rPr>
                <w:rFonts w:ascii="宋体" w:hAnsi="宋体" w:cs="宋体" w:eastAsia="宋体" w:hint="default"/>
                <w:sz w:val="18"/>
                <w:szCs w:val="18"/>
              </w:rPr>
              <w:t> 年累计承诺净利润总额 </w:t>
            </w:r>
            <w:r>
              <w:rPr>
                <w:rFonts w:ascii="Times New Roman" w:hAnsi="Times New Roman" w:cs="Times New Roman" w:eastAsia="Times New Roman" w:hint="default"/>
                <w:sz w:val="18"/>
                <w:szCs w:val="18"/>
              </w:rPr>
              <w:t>- </w:t>
            </w:r>
            <w:r>
              <w:rPr>
                <w:rFonts w:ascii="宋体" w:hAnsi="宋体" w:cs="宋体" w:eastAsia="宋体" w:hint="default"/>
                <w:sz w:val="18"/>
                <w:szCs w:val="18"/>
              </w:rPr>
              <w:t>三年累计实 际净利润总额）</w:t>
            </w:r>
            <w:r>
              <w:rPr>
                <w:rFonts w:ascii="Times New Roman" w:hAnsi="Times New Roman" w:cs="Times New Roman" w:eastAsia="Times New Roman" w:hint="default"/>
                <w:sz w:val="18"/>
                <w:szCs w:val="18"/>
              </w:rPr>
              <w:t>×51%</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1134" w:type="dxa"/>
            <w:vMerge/>
            <w:tcBorders>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85"/>
              <w:jc w:val="left"/>
              <w:rPr>
                <w:rFonts w:ascii="宋体" w:hAnsi="宋体" w:cs="宋体" w:eastAsia="宋体" w:hint="default"/>
                <w:sz w:val="18"/>
                <w:szCs w:val="18"/>
              </w:rPr>
            </w:pPr>
            <w:r>
              <w:rPr>
                <w:rFonts w:ascii="宋体" w:hAnsi="宋体" w:cs="宋体" w:eastAsia="宋体" w:hint="default"/>
                <w:sz w:val="18"/>
                <w:szCs w:val="18"/>
              </w:rPr>
              <w:t>厦门市美亚柏科信 息股份有限公司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关于使用部分超募资金收购珠海市新德 汇信息技术有限公司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股权时对剩余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股权收购的承诺：公司承诺在满足</w:t>
            </w:r>
          </w:p>
          <w:p>
            <w:pPr>
              <w:pStyle w:val="TableParagraph"/>
              <w:spacing w:line="316" w:lineRule="auto" w:before="5"/>
              <w:ind w:left="23" w:right="24"/>
              <w:jc w:val="both"/>
              <w:rPr>
                <w:rFonts w:ascii="宋体" w:hAnsi="宋体" w:cs="宋体" w:eastAsia="宋体" w:hint="default"/>
                <w:sz w:val="18"/>
                <w:szCs w:val="18"/>
              </w:rPr>
            </w:pPr>
            <w:r>
              <w:rPr>
                <w:rFonts w:ascii="宋体" w:hAnsi="宋体" w:cs="宋体" w:eastAsia="宋体" w:hint="default"/>
                <w:sz w:val="18"/>
                <w:szCs w:val="18"/>
              </w:rPr>
              <w:t>《投资协议》约定的业绩考核期满，达 到收购前提条件时立即启动收购新德汇 剩余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股权程序。</w:t>
            </w:r>
          </w:p>
          <w:p>
            <w:pPr>
              <w:pStyle w:val="TableParagraph"/>
              <w:spacing w:line="302" w:lineRule="auto"/>
              <w:ind w:left="23" w:right="15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年新德汇经审计的扣除非经常性 损益后的净利润</w:t>
            </w:r>
            <w:r>
              <w:rPr>
                <w:rFonts w:ascii="Times New Roman" w:hAnsi="Times New Roman" w:cs="Times New Roman" w:eastAsia="Times New Roman" w:hint="default"/>
                <w:sz w:val="18"/>
                <w:szCs w:val="18"/>
              </w:rPr>
              <w:t>×10×49%</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93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42pt;height:46.8pt;mso-position-horizontal-relative:char;mso-position-vertical-relative:line" coordorigin="0,0" coordsize="840,936">
                  <v:group style="position:absolute;left:0;top:0;width:840;height:936" coordorigin="0,0" coordsize="840,936">
                    <v:shape style="position:absolute;left:0;top:0;width:840;height:936" coordorigin="0,0" coordsize="840,936" path="m0,936l840,936,840,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已履行完毕， 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 权已于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02"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 收购完成。</w:t>
            </w:r>
          </w:p>
        </w:tc>
      </w:tr>
      <w:tr>
        <w:trPr>
          <w:trHeight w:val="1650"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85"/>
              <w:jc w:val="left"/>
              <w:rPr>
                <w:rFonts w:ascii="宋体" w:hAnsi="宋体" w:cs="宋体" w:eastAsia="宋体" w:hint="default"/>
                <w:sz w:val="18"/>
                <w:szCs w:val="18"/>
              </w:rPr>
            </w:pPr>
            <w:r>
              <w:rPr>
                <w:rFonts w:ascii="宋体" w:hAnsi="宋体" w:cs="宋体" w:eastAsia="宋体" w:hint="default"/>
                <w:sz w:val="18"/>
                <w:szCs w:val="18"/>
              </w:rPr>
              <w:t>厦门市美亚柏科信 息股份有限公司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5"/>
              <w:jc w:val="both"/>
              <w:rPr>
                <w:rFonts w:ascii="宋体" w:hAnsi="宋体" w:cs="宋体" w:eastAsia="宋体" w:hint="default"/>
                <w:sz w:val="18"/>
                <w:szCs w:val="18"/>
              </w:rPr>
            </w:pPr>
            <w:r>
              <w:rPr>
                <w:rFonts w:ascii="宋体" w:hAnsi="宋体" w:cs="宋体" w:eastAsia="宋体" w:hint="default"/>
                <w:sz w:val="18"/>
                <w:szCs w:val="18"/>
              </w:rPr>
              <w:t>不进行重 大资产重 组承诺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关于不进行重大资产重组的承诺：公司 承诺，在终止筹划本次重大资产重组事 </w:t>
            </w:r>
            <w:r>
              <w:rPr>
                <w:rFonts w:ascii="宋体" w:hAnsi="宋体" w:cs="宋体" w:eastAsia="宋体" w:hint="default"/>
                <w:spacing w:val="-3"/>
                <w:sz w:val="18"/>
                <w:szCs w:val="18"/>
              </w:rPr>
              <w:t>项暨股票复牌之日（</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ind w:left="23" w:right="204"/>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个月内不再筹划重大资产重组事 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03" w:lineRule="exact"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150"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727" w:lineRule="exact"/>
              <w:ind w:right="-13"/>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group style="width:40.8pt;height:36.4pt;mso-position-horizontal-relative:char;mso-position-vertical-relative:line" coordorigin="0,0" coordsize="816,728">
                  <v:group style="position:absolute;left:11;top:11;width:2;height:705" coordorigin="11,11" coordsize="2,705">
                    <v:shape style="position:absolute;left:11;top:11;width:2;height:705" coordorigin="11,11" coordsize="0,705" path="m11,11l11,716e" filled="false" stroked="true" strokeweight="1.140pt" strokecolor="#ffffff">
                      <v:path arrowok="t"/>
                    </v:shape>
                  </v:group>
                  <v:group style="position:absolute;left:23;top:11;width:794;height:353" coordorigin="23,11" coordsize="794,353">
                    <v:shape style="position:absolute;left:23;top:11;width:794;height:353" coordorigin="23,11" coordsize="794,353" path="m23,364l816,364,816,11,23,11,23,364xe" filled="true" fillcolor="#ffffff" stroked="false">
                      <v:path arrowok="t"/>
                      <v:fill type="solid"/>
                    </v:shape>
                  </v:group>
                  <v:group style="position:absolute;left:23;top:364;width:794;height:352" coordorigin="23,364" coordsize="794,352">
                    <v:shape style="position:absolute;left:23;top:364;width:794;height:352" coordorigin="23,364" coordsize="794,352" path="m23,716l816,716,816,364,23,364,23,716xe" filled="true" fillcolor="#ffffff" stroked="false">
                      <v:path arrowok="t"/>
                      <v:fill type="solid"/>
                    </v:shape>
                  </v:group>
                </v:group>
              </w:pict>
            </w:r>
            <w:r>
              <w:rPr>
                <w:rFonts w:ascii="Times New Roman" w:hAnsi="Times New Roman" w:cs="Times New Roman" w:eastAsia="Times New Roman" w:hint="default"/>
                <w:position w:val="-1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2015-02-06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
              <w:jc w:val="left"/>
              <w:rPr>
                <w:rFonts w:ascii="宋体" w:hAnsi="宋体" w:cs="宋体" w:eastAsia="宋体" w:hint="default"/>
                <w:sz w:val="18"/>
                <w:szCs w:val="18"/>
              </w:rPr>
            </w:pPr>
            <w:r>
              <w:rPr>
                <w:rFonts w:ascii="宋体" w:hAnsi="宋体" w:cs="宋体" w:eastAsia="宋体" w:hint="default"/>
                <w:sz w:val="18"/>
                <w:szCs w:val="18"/>
              </w:rPr>
              <w:t>已履行完毕， 未发现违反 承诺的情况。</w:t>
            </w:r>
          </w:p>
        </w:tc>
      </w:tr>
      <w:tr>
        <w:trPr>
          <w:trHeight w:val="5706"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2" w:right="199"/>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11"/>
              <w:ind w:left="22" w:right="35"/>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滕达</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宋体" w:hAnsi="宋体" w:cs="宋体" w:eastAsia="宋体" w:hint="default"/>
                <w:spacing w:val="-2"/>
                <w:sz w:val="18"/>
                <w:szCs w:val="18"/>
              </w:rPr>
              <w:t> </w:t>
            </w:r>
            <w:r>
              <w:rPr>
                <w:rFonts w:ascii="宋体" w:hAnsi="宋体" w:cs="宋体" w:eastAsia="宋体" w:hint="default"/>
                <w:sz w:val="18"/>
                <w:szCs w:val="18"/>
              </w:rPr>
              <w:t>南</w:t>
            </w:r>
            <w:r>
              <w:rPr>
                <w:rFonts w:ascii="Times New Roman" w:hAnsi="Times New Roman" w:cs="Times New Roman" w:eastAsia="Times New Roman" w:hint="default"/>
                <w:sz w:val="18"/>
                <w:szCs w:val="18"/>
              </w:rPr>
              <w:t>;</w:t>
            </w:r>
            <w:r>
              <w:rPr>
                <w:rFonts w:ascii="宋体" w:hAnsi="宋体" w:cs="宋体" w:eastAsia="宋体" w:hint="default"/>
                <w:sz w:val="18"/>
                <w:szCs w:val="18"/>
              </w:rPr>
              <w:t>李国林</w:t>
            </w:r>
            <w:r>
              <w:rPr>
                <w:rFonts w:ascii="Times New Roman" w:hAnsi="Times New Roman" w:cs="Times New Roman" w:eastAsia="Times New Roman" w:hint="default"/>
                <w:sz w:val="18"/>
                <w:szCs w:val="18"/>
              </w:rPr>
              <w:t>;</w:t>
            </w:r>
            <w:r>
              <w:rPr>
                <w:rFonts w:ascii="宋体" w:hAnsi="宋体" w:cs="宋体" w:eastAsia="宋体" w:hint="default"/>
                <w:sz w:val="18"/>
                <w:szCs w:val="18"/>
              </w:rPr>
              <w:t>拉萨经 济技术开发区通连 投资咨询有限公司</w:t>
            </w:r>
            <w:r>
              <w:rPr>
                <w:rFonts w:ascii="Times New Roman" w:hAnsi="Times New Roman" w:cs="Times New Roman" w:eastAsia="Times New Roman" w:hint="default"/>
                <w:sz w:val="18"/>
                <w:szCs w:val="18"/>
              </w:rPr>
              <w:t>; </w:t>
            </w:r>
            <w:r>
              <w:rPr>
                <w:rFonts w:ascii="宋体" w:hAnsi="宋体" w:cs="宋体" w:eastAsia="宋体" w:hint="default"/>
                <w:sz w:val="18"/>
                <w:szCs w:val="18"/>
              </w:rPr>
              <w:t>申强</w:t>
            </w:r>
            <w:r>
              <w:rPr>
                <w:rFonts w:ascii="Times New Roman" w:hAnsi="Times New Roman" w:cs="Times New Roman" w:eastAsia="Times New Roman" w:hint="default"/>
                <w:sz w:val="18"/>
                <w:szCs w:val="18"/>
              </w:rPr>
              <w:t>;</w:t>
            </w:r>
            <w:r>
              <w:rPr>
                <w:rFonts w:ascii="宋体" w:hAnsi="宋体" w:cs="宋体" w:eastAsia="宋体" w:hint="default"/>
                <w:sz w:val="18"/>
                <w:szCs w:val="18"/>
              </w:rPr>
              <w:t>吴鸿伟</w:t>
            </w:r>
            <w:r>
              <w:rPr>
                <w:rFonts w:ascii="Times New Roman" w:hAnsi="Times New Roman" w:cs="Times New Roman" w:eastAsia="Times New Roman" w:hint="default"/>
                <w:sz w:val="18"/>
                <w:szCs w:val="18"/>
              </w:rPr>
              <w:t>;</w:t>
            </w:r>
            <w:r>
              <w:rPr>
                <w:rFonts w:ascii="宋体" w:hAnsi="宋体" w:cs="宋体" w:eastAsia="宋体" w:hint="default"/>
                <w:sz w:val="18"/>
                <w:szCs w:val="18"/>
              </w:rPr>
              <w:t>丛艳</w:t>
            </w:r>
            <w:r>
              <w:rPr>
                <w:rFonts w:ascii="宋体" w:hAnsi="宋体" w:cs="宋体" w:eastAsia="宋体" w:hint="default"/>
                <w:spacing w:val="-2"/>
                <w:sz w:val="18"/>
                <w:szCs w:val="18"/>
              </w:rPr>
              <w:t> </w:t>
            </w:r>
            <w:r>
              <w:rPr>
                <w:rFonts w:ascii="宋体" w:hAnsi="宋体" w:cs="宋体" w:eastAsia="宋体" w:hint="default"/>
                <w:sz w:val="18"/>
                <w:szCs w:val="18"/>
              </w:rPr>
              <w:t>芬</w:t>
            </w:r>
            <w:r>
              <w:rPr>
                <w:rFonts w:ascii="Times New Roman" w:hAnsi="Times New Roman" w:cs="Times New Roman" w:eastAsia="Times New Roman" w:hint="default"/>
                <w:sz w:val="18"/>
                <w:szCs w:val="18"/>
              </w:rPr>
              <w:t>;</w:t>
            </w:r>
            <w:r>
              <w:rPr>
                <w:rFonts w:ascii="宋体" w:hAnsi="宋体" w:cs="宋体" w:eastAsia="宋体" w:hint="default"/>
                <w:sz w:val="18"/>
                <w:szCs w:val="18"/>
              </w:rPr>
              <w:t>黄基鹏</w:t>
            </w:r>
            <w:r>
              <w:rPr>
                <w:rFonts w:ascii="Times New Roman" w:hAnsi="Times New Roman" w:cs="Times New Roman" w:eastAsia="Times New Roman" w:hint="default"/>
                <w:sz w:val="18"/>
                <w:szCs w:val="18"/>
              </w:rPr>
              <w:t>;</w:t>
            </w:r>
            <w:r>
              <w:rPr>
                <w:rFonts w:ascii="宋体" w:hAnsi="宋体" w:cs="宋体" w:eastAsia="宋体" w:hint="default"/>
                <w:sz w:val="18"/>
                <w:szCs w:val="18"/>
              </w:rPr>
              <w:t>张雪峰</w:t>
            </w:r>
            <w:r>
              <w:rPr>
                <w:rFonts w:ascii="Times New Roman" w:hAnsi="Times New Roman" w:cs="Times New Roman" w:eastAsia="Times New Roman" w:hint="default"/>
                <w:sz w:val="18"/>
                <w:szCs w:val="18"/>
              </w:rPr>
              <w:t>; </w:t>
            </w:r>
            <w:r>
              <w:rPr>
                <w:rFonts w:ascii="宋体" w:hAnsi="宋体" w:cs="宋体" w:eastAsia="宋体" w:hint="default"/>
                <w:sz w:val="18"/>
                <w:szCs w:val="18"/>
              </w:rPr>
              <w:t>高峰</w:t>
            </w:r>
            <w:r>
              <w:rPr>
                <w:rFonts w:ascii="Times New Roman" w:hAnsi="Times New Roman" w:cs="Times New Roman" w:eastAsia="Times New Roman" w:hint="default"/>
                <w:sz w:val="18"/>
                <w:szCs w:val="18"/>
              </w:rPr>
              <w:t>;</w:t>
            </w:r>
            <w:r>
              <w:rPr>
                <w:rFonts w:ascii="宋体" w:hAnsi="宋体" w:cs="宋体" w:eastAsia="宋体" w:hint="default"/>
                <w:sz w:val="18"/>
                <w:szCs w:val="18"/>
              </w:rPr>
              <w:t>赵庸</w:t>
            </w:r>
            <w:r>
              <w:rPr>
                <w:rFonts w:ascii="Times New Roman" w:hAnsi="Times New Roman" w:cs="Times New Roman" w:eastAsia="Times New Roman" w:hint="default"/>
                <w:sz w:val="18"/>
                <w:szCs w:val="18"/>
              </w:rPr>
              <w:t>;</w:t>
            </w:r>
            <w:r>
              <w:rPr>
                <w:rFonts w:ascii="宋体" w:hAnsi="宋体" w:cs="宋体" w:eastAsia="宋体" w:hint="default"/>
                <w:sz w:val="18"/>
                <w:szCs w:val="18"/>
              </w:rPr>
              <w:t>张乃军</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《避免同业竞争承诺函》承诺：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确认及</w:t>
            </w:r>
            <w:r>
              <w:rPr>
                <w:rFonts w:ascii="宋体" w:hAnsi="宋体" w:cs="宋体" w:eastAsia="宋体" w:hint="default"/>
                <w:sz w:val="18"/>
                <w:szCs w:val="18"/>
              </w:rPr>
              <w:t> 保证在承诺函签署之日前与美亚柏科不 存在直接或间接的同业竞争情形；承诺 不直接或间接从事或发展与美亚柏科经 营范围相同或相类似的业务或项目，也 不为自身或代表任何第三方与美亚柏科 进行直接或间接的竞争；承诺不利用从 美亚柏科获取的信息从事、直接或间接 参与与美亚柏科相竞争的活动，并承诺 不进行任何损害或可能损害美亚柏科利 益的其他竞争行为；从任何第三方获得 的任何商业机会与美亚柏科所从事的业 务有实质性竞争或可能有实质性竞争， 将立即通知美亚柏科，并将该商业机会 让与美亚柏科；如出现违反上述承诺与 保证而导致美亚柏科或其他股东权益受 到损害的情况，承诺人将依法承担相应 的赔偿责任。</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4"/>
              <w:ind w:left="22" w:right="23"/>
              <w:jc w:val="left"/>
              <w:rPr>
                <w:rFonts w:ascii="宋体" w:hAnsi="宋体" w:cs="宋体" w:eastAsia="宋体" w:hint="default"/>
                <w:sz w:val="18"/>
                <w:szCs w:val="18"/>
              </w:rPr>
            </w:pPr>
            <w:r>
              <w:rPr>
                <w:rFonts w:ascii="宋体" w:hAnsi="宋体" w:cs="宋体" w:eastAsia="宋体" w:hint="default"/>
                <w:spacing w:val="-5"/>
                <w:sz w:val="18"/>
                <w:szCs w:val="18"/>
              </w:rPr>
              <w:t>正在履行，未</w:t>
            </w:r>
            <w:r>
              <w:rPr>
                <w:rFonts w:ascii="宋体" w:hAnsi="宋体" w:cs="宋体" w:eastAsia="宋体" w:hint="default"/>
                <w:sz w:val="18"/>
                <w:szCs w:val="18"/>
              </w:rPr>
              <w:t> 发现违反承 诺的情况</w:t>
            </w:r>
          </w:p>
        </w:tc>
      </w:tr>
    </w:tbl>
    <w:p>
      <w:pPr>
        <w:spacing w:after="0" w:line="319"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293.937012pt;margin-top:280.139984pt;width:138.2pt;height:202.8pt;mso-position-horizontal-relative:page;mso-position-vertical-relative:page;z-index:-11780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致行动人为公司股东的，</w:t>
                  </w:r>
                </w:p>
              </w:txbxContent>
            </v:textbox>
            <w10:wrap type="none"/>
          </v:shape>
        </w:pict>
      </w:r>
      <w:r>
        <w:rPr/>
        <w:pict>
          <v:shape style="position:absolute;margin-left:293.937012pt;margin-top:518.099976pt;width:138.2pt;height:202.8pt;mso-position-horizontal-relative:page;mso-position-vertical-relative:page;z-index:-1178008" type="#_x0000_t202" filled="false" stroked="false">
            <v:textbox inset="0,0,0,0">
              <w:txbxContent>
                <w:p>
                  <w:pPr>
                    <w:spacing w:line="240" w:lineRule="auto" w:before="7"/>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交易需要回避的情形外，</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180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90.119995pt;margin-top:280.139984pt;width:42pt;height:202.8pt;mso-position-horizontal-relative:page;mso-position-vertical-relative:page;z-index:-1177984" coordorigin="7802,5603" coordsize="840,4056">
            <v:shape style="position:absolute;left:7802;top:5603;width:840;height:4056" coordorigin="7802,5603" coordsize="840,4056" path="m7802,9659l8642,9659,8642,5603,7802,5603,7802,9659xe" filled="true" fillcolor="#ffffff" stroked="false">
              <v:path arrowok="t"/>
              <v:fill type="solid"/>
            </v:shape>
            <w10:wrap type="none"/>
          </v:group>
        </w:pict>
      </w:r>
      <w:r>
        <w:rPr/>
        <w:pict>
          <v:group style="position:absolute;margin-left:390.119995pt;margin-top:518.099976pt;width:42pt;height:202.8pt;mso-position-horizontal-relative:page;mso-position-vertical-relative:page;z-index:-1177960" coordorigin="7802,10362" coordsize="840,4056">
            <v:shape style="position:absolute;left:7802;top:10362;width:840;height:4056" coordorigin="7802,10362" coordsize="840,4056" path="m7802,14418l8642,14418,8642,10362,7802,10362,7802,1441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363"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3"/>
                <w:sz w:val="18"/>
                <w:szCs w:val="18"/>
              </w:rPr>
              <w:t>关于关联交易的承诺：在本人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本公司持</w:t>
            </w:r>
          </w:p>
        </w:tc>
        <w:tc>
          <w:tcPr>
            <w:tcW w:w="850"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有美亚柏科股份期间，本人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本公司及本</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本公司投资的全资、控股子企业或公</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2179"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07" w:lineRule="auto"/>
              <w:ind w:left="22" w:right="35"/>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刘祥南</w:t>
            </w:r>
            <w:r>
              <w:rPr>
                <w:rFonts w:ascii="Times New Roman" w:hAnsi="Times New Roman" w:cs="Times New Roman" w:eastAsia="Times New Roman" w:hint="default"/>
                <w:sz w:val="18"/>
                <w:szCs w:val="18"/>
              </w:rPr>
              <w:t>;</w:t>
            </w:r>
            <w:r>
              <w:rPr>
                <w:rFonts w:ascii="宋体" w:hAnsi="宋体" w:cs="宋体" w:eastAsia="宋体" w:hint="default"/>
                <w:sz w:val="18"/>
                <w:szCs w:val="18"/>
              </w:rPr>
              <w:t>李 国林</w:t>
            </w:r>
            <w:r>
              <w:rPr>
                <w:rFonts w:ascii="Times New Roman" w:hAnsi="Times New Roman" w:cs="Times New Roman" w:eastAsia="Times New Roman" w:hint="default"/>
                <w:sz w:val="18"/>
                <w:szCs w:val="18"/>
              </w:rPr>
              <w:t>;</w:t>
            </w:r>
            <w:r>
              <w:rPr>
                <w:rFonts w:ascii="宋体" w:hAnsi="宋体" w:cs="宋体" w:eastAsia="宋体" w:hint="default"/>
                <w:sz w:val="18"/>
                <w:szCs w:val="18"/>
              </w:rPr>
              <w:t>拉萨经济技术 开发区通连投资咨 询有限公司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司将尽量避免与美亚柏科发生关联交 易，如与美亚柏科发生不可避免的关联 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本公司下属 </w:t>
            </w:r>
            <w:r>
              <w:rPr>
                <w:rFonts w:ascii="宋体" w:hAnsi="宋体" w:cs="宋体" w:eastAsia="宋体" w:hint="default"/>
                <w:spacing w:val="-10"/>
                <w:sz w:val="18"/>
                <w:szCs w:val="18"/>
              </w:rPr>
              <w:t>全资、控股子企业或公司将严格按照《公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9"/>
                <w:sz w:val="18"/>
                <w:szCs w:val="18"/>
              </w:rPr>
              <w:t>司法》、《证券法》、《厦门市美亚柏科信</w:t>
            </w:r>
            <w:r>
              <w:rPr>
                <w:rFonts w:ascii="宋体" w:hAnsi="宋体" w:cs="宋体" w:eastAsia="宋体" w:hint="default"/>
                <w:sz w:val="18"/>
                <w:szCs w:val="18"/>
              </w:rPr>
              <w:t> 息股份有限公司章程》和《厦门市美亚 柏科信息股份有限公司关联交易管理制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9999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5"/>
                <w:sz w:val="18"/>
                <w:szCs w:val="18"/>
              </w:rPr>
              <w:t>正在履行，未</w:t>
            </w:r>
            <w:r>
              <w:rPr>
                <w:rFonts w:ascii="宋体" w:hAnsi="宋体" w:cs="宋体" w:eastAsia="宋体" w:hint="default"/>
                <w:sz w:val="18"/>
                <w:szCs w:val="18"/>
              </w:rPr>
              <w:t> 发现违反承 诺的情况</w:t>
            </w: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度》的规定规范关联交易行为。如违反</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上述承诺，本人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本公司愿承担由此产生</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的一切法律责任。</w:t>
            </w:r>
          </w:p>
        </w:tc>
        <w:tc>
          <w:tcPr>
            <w:tcW w:w="850"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134" w:type="dxa"/>
            <w:vMerge/>
            <w:tcBorders>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31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为保持公司经营决策的一致性，郭永</w:t>
            </w:r>
          </w:p>
        </w:tc>
        <w:tc>
          <w:tcPr>
            <w:tcW w:w="850" w:type="dxa"/>
            <w:tcBorders>
              <w:top w:val="single" w:sz="4" w:space="0" w:color="000000"/>
              <w:left w:val="single" w:sz="4" w:space="0" w:color="000000"/>
              <w:bottom w:val="nil" w:sz="6" w:space="0" w:color="auto"/>
              <w:right w:val="single" w:sz="4" w:space="0" w:color="000000"/>
            </w:tcBorders>
          </w:tcPr>
          <w:p>
            <w:pPr/>
          </w:p>
        </w:tc>
        <w:tc>
          <w:tcPr>
            <w:tcW w:w="947"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芳、滕达、刘祥南三人签订了《一致行</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动协议</w:t>
            </w:r>
            <w:r>
              <w:rPr>
                <w:rFonts w:ascii="宋体" w:hAnsi="宋体" w:cs="宋体" w:eastAsia="宋体" w:hint="default"/>
                <w:spacing w:val="-90"/>
                <w:sz w:val="18"/>
                <w:szCs w:val="18"/>
              </w:rPr>
              <w:t>》</w:t>
            </w:r>
            <w:r>
              <w:rPr>
                <w:rFonts w:ascii="宋体" w:hAnsi="宋体" w:cs="宋体" w:eastAsia="宋体" w:hint="default"/>
                <w:sz w:val="18"/>
                <w:szCs w:val="18"/>
              </w:rPr>
              <w:t>，互为一致行动人</w:t>
            </w:r>
            <w:r>
              <w:rPr>
                <w:rFonts w:ascii="宋体" w:hAnsi="宋体" w:cs="宋体" w:eastAsia="宋体" w:hint="default"/>
                <w:spacing w:val="-90"/>
                <w:sz w:val="18"/>
                <w:szCs w:val="18"/>
              </w:rPr>
              <w:t>。</w:t>
            </w:r>
            <w:r>
              <w:rPr>
                <w:rFonts w:ascii="宋体" w:hAnsi="宋体" w:cs="宋体" w:eastAsia="宋体" w:hint="default"/>
                <w:sz w:val="18"/>
                <w:szCs w:val="18"/>
              </w:rPr>
              <w:t>《一致行动</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协议》具体内容如下：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、根据公司法等</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有关法律法规和公司章程需要由公司股</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东大会、董事会作出决议的事项，均为</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8"/>
                <w:sz w:val="18"/>
                <w:szCs w:val="18"/>
              </w:rPr>
              <w:t>各方应一致行动进行表决的内容。</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、各</w:t>
            </w:r>
            <w:r>
              <w:rPr>
                <w:rFonts w:ascii="宋体" w:hAnsi="宋体" w:cs="宋体" w:eastAsia="宋体" w:hint="default"/>
                <w:sz w:val="18"/>
                <w:szCs w:val="18"/>
              </w:rPr>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李国林承诺</w:t>
            </w: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方遵照有关法律、法规的规定和协议的</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履行完毕；实</w:t>
            </w: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约定以及各自所作出的承诺行使权利。</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际控制人郭</w:t>
            </w: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、在协议有效期内，除关联交易需要回</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永芳、滕达继</w:t>
            </w: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避的情形外</w:t>
            </w:r>
            <w:r>
              <w:rPr>
                <w:rFonts w:ascii="宋体" w:hAnsi="宋体" w:cs="宋体" w:eastAsia="宋体" w:hint="default"/>
                <w:spacing w:val="-87"/>
                <w:sz w:val="18"/>
                <w:szCs w:val="18"/>
              </w:rPr>
              <w:t>，</w:t>
            </w:r>
            <w:r>
              <w:rPr>
                <w:rFonts w:ascii="宋体" w:hAnsi="宋体" w:cs="宋体" w:eastAsia="宋体" w:hint="default"/>
                <w:sz w:val="18"/>
                <w:szCs w:val="18"/>
              </w:rPr>
              <w:t>一</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续履行《一致</w:t>
            </w: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各方保证在参加公司股东大会行使表决</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行动协议</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权时与本协议他方保持一致。在协议有</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刘祥南先生</w:t>
            </w:r>
          </w:p>
        </w:tc>
      </w:tr>
      <w:tr>
        <w:trPr>
          <w:trHeight w:val="630"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166"/>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刘祥南</w:t>
            </w:r>
            <w:r>
              <w:rPr>
                <w:rFonts w:ascii="Times New Roman" w:hAnsi="Times New Roman" w:cs="Times New Roman" w:eastAsia="Times New Roman" w:hint="default"/>
                <w:sz w:val="18"/>
                <w:szCs w:val="18"/>
              </w:rPr>
              <w:t>;</w:t>
            </w:r>
            <w:r>
              <w:rPr>
                <w:rFonts w:ascii="宋体" w:hAnsi="宋体" w:cs="宋体" w:eastAsia="宋体" w:hint="default"/>
                <w:sz w:val="18"/>
                <w:szCs w:val="18"/>
              </w:rPr>
              <w:t>滕 达</w:t>
            </w:r>
            <w:r>
              <w:rPr>
                <w:rFonts w:ascii="Times New Roman" w:hAnsi="Times New Roman" w:cs="Times New Roman" w:eastAsia="Times New Roman" w:hint="default"/>
                <w:sz w:val="18"/>
                <w:szCs w:val="18"/>
              </w:rPr>
              <w:t>;</w:t>
            </w:r>
            <w:r>
              <w:rPr>
                <w:rFonts w:ascii="宋体" w:hAnsi="宋体" w:cs="宋体" w:eastAsia="宋体" w:hint="default"/>
                <w:sz w:val="18"/>
                <w:szCs w:val="18"/>
              </w:rPr>
              <w:t>李国林</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5"/>
              <w:jc w:val="left"/>
              <w:rPr>
                <w:rFonts w:ascii="宋体" w:hAnsi="宋体" w:cs="宋体" w:eastAsia="宋体" w:hint="default"/>
                <w:sz w:val="18"/>
                <w:szCs w:val="18"/>
              </w:rPr>
            </w:pPr>
            <w:r>
              <w:rPr>
                <w:rFonts w:ascii="宋体" w:hAnsi="宋体" w:cs="宋体" w:eastAsia="宋体" w:hint="default"/>
                <w:sz w:val="18"/>
                <w:szCs w:val="18"/>
              </w:rPr>
              <w:t>股东一致 行动承诺</w:t>
            </w: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4"/>
              <w:jc w:val="left"/>
              <w:rPr>
                <w:rFonts w:ascii="宋体" w:hAnsi="宋体" w:cs="宋体" w:eastAsia="宋体" w:hint="default"/>
                <w:sz w:val="18"/>
                <w:szCs w:val="18"/>
              </w:rPr>
            </w:pPr>
            <w:r>
              <w:rPr>
                <w:rFonts w:ascii="宋体" w:hAnsi="宋体" w:cs="宋体" w:eastAsia="宋体" w:hint="default"/>
                <w:sz w:val="18"/>
                <w:szCs w:val="18"/>
              </w:rPr>
              <w:t>效期内，各方可以亲自参加公司召开的 股东大会，也可以委托协议他方代为参</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2017-03-15</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w:t>
            </w:r>
          </w:p>
        </w:tc>
      </w:tr>
      <w:tr>
        <w:trPr>
          <w:trHeight w:val="311"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5"/>
                <w:sz w:val="18"/>
                <w:szCs w:val="18"/>
              </w:rPr>
              <w:t>加股东大会并行使表决权。</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、在协议有</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病逝世，导致</w:t>
            </w: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效期内</w:t>
            </w:r>
            <w:r>
              <w:rPr>
                <w:rFonts w:ascii="宋体" w:hAnsi="宋体" w:cs="宋体" w:eastAsia="宋体" w:hint="default"/>
                <w:spacing w:val="-87"/>
                <w:sz w:val="18"/>
                <w:szCs w:val="18"/>
              </w:rPr>
              <w:t>，</w:t>
            </w:r>
            <w:r>
              <w:rPr>
                <w:rFonts w:ascii="宋体" w:hAnsi="宋体" w:cs="宋体" w:eastAsia="宋体" w:hint="default"/>
                <w:sz w:val="18"/>
                <w:szCs w:val="18"/>
              </w:rPr>
              <w:t>除关联</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其在《一致行</w:t>
            </w: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在董事会召开会议表决时，各方亦与协</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动协议》中的</w:t>
            </w: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议他方保持一致。如担任董事的一方不</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权利、义务终</w:t>
            </w: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能参加董事会需要委托其他董事参加会</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止；未发现违</w:t>
            </w: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议时</w:t>
            </w:r>
            <w:r>
              <w:rPr>
                <w:rFonts w:ascii="宋体" w:hAnsi="宋体" w:cs="宋体" w:eastAsia="宋体" w:hint="default"/>
                <w:spacing w:val="-89"/>
                <w:sz w:val="18"/>
                <w:szCs w:val="18"/>
              </w:rPr>
              <w:t>，</w:t>
            </w:r>
            <w:r>
              <w:rPr>
                <w:rFonts w:ascii="宋体" w:hAnsi="宋体" w:cs="宋体" w:eastAsia="宋体" w:hint="default"/>
                <w:sz w:val="18"/>
                <w:szCs w:val="18"/>
              </w:rPr>
              <w:t>应委托协议他方代为投票表决</w:t>
            </w:r>
            <w:r>
              <w:rPr>
                <w:rFonts w:ascii="宋体" w:hAnsi="宋体" w:cs="宋体" w:eastAsia="宋体" w:hint="default"/>
                <w:spacing w:val="-89"/>
                <w:sz w:val="18"/>
                <w:szCs w:val="18"/>
              </w:rPr>
              <w:t>。</w:t>
            </w:r>
            <w:r>
              <w:rPr>
                <w:rFonts w:ascii="Times New Roman" w:hAnsi="Times New Roman" w:cs="Times New Roman" w:eastAsia="Times New Roman" w:hint="default"/>
                <w:sz w:val="18"/>
                <w:szCs w:val="18"/>
              </w:rPr>
              <w:t>5</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反承诺的情</w:t>
            </w:r>
          </w:p>
        </w:tc>
      </w:tr>
      <w:tr>
        <w:trPr>
          <w:trHeight w:val="308"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协议自签署之日起生效，至公司股票上</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况。</w:t>
            </w:r>
          </w:p>
        </w:tc>
      </w:tr>
      <w:tr>
        <w:trPr>
          <w:trHeight w:val="316"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个月时止</w:t>
            </w:r>
            <w:r>
              <w:rPr>
                <w:rFonts w:ascii="宋体" w:hAnsi="宋体" w:cs="宋体" w:eastAsia="宋体" w:hint="default"/>
                <w:spacing w:val="-87"/>
                <w:sz w:val="18"/>
                <w:szCs w:val="18"/>
              </w:rPr>
              <w:t>。</w:t>
            </w:r>
            <w:r>
              <w:rPr>
                <w:rFonts w:ascii="宋体" w:hAnsi="宋体" w:cs="宋体" w:eastAsia="宋体" w:hint="default"/>
                <w:sz w:val="18"/>
                <w:szCs w:val="18"/>
              </w:rPr>
              <w:t>协</w:t>
            </w:r>
            <w:r>
              <w:rPr>
                <w:rFonts w:ascii="宋体" w:hAnsi="宋体" w:cs="宋体" w:eastAsia="宋体" w:hint="default"/>
                <w:spacing w:val="-2"/>
                <w:sz w:val="18"/>
                <w:szCs w:val="18"/>
              </w:rPr>
              <w:t>议</w:t>
            </w:r>
            <w:r>
              <w:rPr>
                <w:rFonts w:ascii="宋体" w:hAnsi="宋体" w:cs="宋体" w:eastAsia="宋体" w:hint="default"/>
                <w:sz w:val="18"/>
                <w:szCs w:val="18"/>
              </w:rPr>
              <w:t>一经签订</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即不可撤销，除非协议所规定的期限届</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满。除上述《一致行动协议》外，李国</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林也承诺公司股票上市之日起满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31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月内在股东大会、董事会行使表决权时</w:t>
            </w:r>
          </w:p>
        </w:tc>
        <w:tc>
          <w:tcPr>
            <w:tcW w:w="850" w:type="dxa"/>
            <w:tcBorders>
              <w:top w:val="nil" w:sz="6" w:space="0" w:color="auto"/>
              <w:left w:val="single" w:sz="4" w:space="0" w:color="000000"/>
              <w:bottom w:val="nil" w:sz="6" w:space="0" w:color="auto"/>
              <w:right w:val="single" w:sz="4" w:space="0" w:color="000000"/>
            </w:tcBorders>
          </w:tcPr>
          <w:p>
            <w:pPr/>
          </w:p>
        </w:tc>
        <w:tc>
          <w:tcPr>
            <w:tcW w:w="947"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134" w:type="dxa"/>
            <w:vMerge/>
            <w:tcBorders>
              <w:left w:val="single" w:sz="4" w:space="0" w:color="000000"/>
              <w:right w:val="single" w:sz="4" w:space="0" w:color="000000"/>
            </w:tcBorders>
            <w:shd w:val="clear" w:color="auto" w:fill="D4D4D4"/>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31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与郭永芳保持一致。</w:t>
            </w:r>
          </w:p>
        </w:tc>
        <w:tc>
          <w:tcPr>
            <w:tcW w:w="850" w:type="dxa"/>
            <w:tcBorders>
              <w:top w:val="nil" w:sz="6" w:space="0" w:color="auto"/>
              <w:left w:val="single" w:sz="4" w:space="0" w:color="000000"/>
              <w:bottom w:val="single" w:sz="4" w:space="0" w:color="000000"/>
              <w:right w:val="single" w:sz="4" w:space="0" w:color="000000"/>
            </w:tcBorders>
          </w:tcPr>
          <w:p>
            <w:pPr/>
          </w:p>
        </w:tc>
        <w:tc>
          <w:tcPr>
            <w:tcW w:w="947"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116"/>
              <w:jc w:val="left"/>
              <w:rPr>
                <w:rFonts w:ascii="Times New Roman" w:hAnsi="Times New Roman" w:cs="Times New Roman" w:eastAsia="Times New Roman"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刘祥南</w:t>
            </w:r>
            <w:r>
              <w:rPr>
                <w:rFonts w:ascii="Times New Roman" w:hAnsi="Times New Roman" w:cs="Times New Roman" w:eastAsia="Times New Roman" w:hint="default"/>
                <w:sz w:val="18"/>
                <w:szCs w:val="18"/>
              </w:rPr>
              <w:t>;</w:t>
            </w:r>
            <w:r>
              <w:rPr>
                <w:rFonts w:ascii="宋体" w:hAnsi="宋体" w:cs="宋体" w:eastAsia="宋体" w:hint="default"/>
                <w:sz w:val="18"/>
                <w:szCs w:val="18"/>
              </w:rPr>
              <w:t>李 国林</w:t>
            </w:r>
            <w:r>
              <w:rPr>
                <w:rFonts w:ascii="Times New Roman" w:hAnsi="Times New Roman" w:cs="Times New Roman" w:eastAsia="Times New Roman" w:hint="default"/>
                <w:sz w:val="18"/>
                <w:szCs w:val="18"/>
              </w:rPr>
              <w:t>;</w:t>
            </w:r>
            <w:r>
              <w:rPr>
                <w:rFonts w:ascii="宋体" w:hAnsi="宋体" w:cs="宋体" w:eastAsia="宋体" w:hint="default"/>
                <w:sz w:val="18"/>
                <w:szCs w:val="18"/>
              </w:rPr>
              <w:t>申强</w:t>
            </w:r>
            <w:r>
              <w:rPr>
                <w:rFonts w:ascii="Times New Roman" w:hAnsi="Times New Roman" w:cs="Times New Roman" w:eastAsia="Times New Roman" w:hint="default"/>
                <w:sz w:val="18"/>
                <w:szCs w:val="18"/>
              </w:rPr>
              <w:t>;</w:t>
            </w:r>
            <w:r>
              <w:rPr>
                <w:rFonts w:ascii="宋体" w:hAnsi="宋体" w:cs="宋体" w:eastAsia="宋体" w:hint="default"/>
                <w:sz w:val="18"/>
                <w:szCs w:val="18"/>
              </w:rPr>
              <w:t>丛艳芬</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24"/>
              <w:jc w:val="left"/>
              <w:rPr>
                <w:rFonts w:ascii="宋体" w:hAnsi="宋体" w:cs="宋体" w:eastAsia="宋体" w:hint="default"/>
                <w:sz w:val="18"/>
                <w:szCs w:val="18"/>
              </w:rPr>
            </w:pPr>
            <w:r>
              <w:rPr>
                <w:rFonts w:ascii="宋体" w:hAnsi="宋体" w:cs="宋体" w:eastAsia="宋体" w:hint="default"/>
                <w:sz w:val="18"/>
                <w:szCs w:val="18"/>
              </w:rPr>
              <w:t>任职期间每年转让直接或间接持有的发 行人股份不超过其所持有发行人股份总</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9999-12-31</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pacing w:val="-5"/>
                <w:sz w:val="18"/>
                <w:szCs w:val="18"/>
              </w:rPr>
              <w:t>正在履行，未</w:t>
            </w:r>
            <w:r>
              <w:rPr>
                <w:rFonts w:ascii="宋体" w:hAnsi="宋体" w:cs="宋体" w:eastAsia="宋体" w:hint="default"/>
                <w:sz w:val="18"/>
                <w:szCs w:val="18"/>
              </w:rPr>
              <w:t> 发现违反承</w:t>
            </w:r>
          </w:p>
        </w:tc>
      </w:tr>
    </w:tbl>
    <w:p>
      <w:pPr>
        <w:spacing w:after="0" w:line="316"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2546"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2" w:right="115"/>
              <w:jc w:val="both"/>
              <w:rPr>
                <w:rFonts w:ascii="宋体" w:hAnsi="宋体" w:cs="宋体" w:eastAsia="宋体" w:hint="default"/>
                <w:sz w:val="18"/>
                <w:szCs w:val="18"/>
              </w:rPr>
            </w:pPr>
            <w:r>
              <w:rPr>
                <w:rFonts w:ascii="宋体" w:hAnsi="宋体" w:cs="宋体" w:eastAsia="宋体" w:hint="default"/>
                <w:sz w:val="18"/>
                <w:szCs w:val="18"/>
              </w:rPr>
              <w:t>张雪峰</w:t>
            </w:r>
            <w:r>
              <w:rPr>
                <w:rFonts w:ascii="Times New Roman" w:hAnsi="Times New Roman" w:cs="Times New Roman" w:eastAsia="Times New Roman" w:hint="default"/>
                <w:sz w:val="18"/>
                <w:szCs w:val="18"/>
              </w:rPr>
              <w:t>;</w:t>
            </w:r>
            <w:r>
              <w:rPr>
                <w:rFonts w:ascii="宋体" w:hAnsi="宋体" w:cs="宋体" w:eastAsia="宋体" w:hint="default"/>
                <w:sz w:val="18"/>
                <w:szCs w:val="18"/>
              </w:rPr>
              <w:t>吴鸿伟</w:t>
            </w:r>
            <w:r>
              <w:rPr>
                <w:rFonts w:ascii="Times New Roman" w:hAnsi="Times New Roman" w:cs="Times New Roman" w:eastAsia="Times New Roman" w:hint="default"/>
                <w:sz w:val="18"/>
                <w:szCs w:val="18"/>
              </w:rPr>
              <w:t>;</w:t>
            </w:r>
            <w:r>
              <w:rPr>
                <w:rFonts w:ascii="宋体" w:hAnsi="宋体" w:cs="宋体" w:eastAsia="宋体" w:hint="default"/>
                <w:sz w:val="18"/>
                <w:szCs w:val="18"/>
              </w:rPr>
              <w:t>赵 庸</w:t>
            </w:r>
            <w:r>
              <w:rPr>
                <w:rFonts w:ascii="Times New Roman" w:hAnsi="Times New Roman" w:cs="Times New Roman" w:eastAsia="Times New Roman" w:hint="default"/>
                <w:sz w:val="18"/>
                <w:szCs w:val="18"/>
              </w:rPr>
              <w:t>;</w:t>
            </w:r>
            <w:r>
              <w:rPr>
                <w:rFonts w:ascii="宋体" w:hAnsi="宋体" w:cs="宋体" w:eastAsia="宋体" w:hint="default"/>
                <w:sz w:val="18"/>
                <w:szCs w:val="18"/>
              </w:rPr>
              <w:t>高峰</w:t>
            </w:r>
            <w:r>
              <w:rPr>
                <w:rFonts w:ascii="Times New Roman" w:hAnsi="Times New Roman" w:cs="Times New Roman" w:eastAsia="Times New Roman" w:hint="default"/>
                <w:sz w:val="18"/>
                <w:szCs w:val="18"/>
              </w:rPr>
              <w:t>;</w:t>
            </w:r>
            <w:r>
              <w:rPr>
                <w:rFonts w:ascii="宋体" w:hAnsi="宋体" w:cs="宋体" w:eastAsia="宋体" w:hint="default"/>
                <w:sz w:val="18"/>
                <w:szCs w:val="18"/>
              </w:rPr>
              <w:t>黄基鹏</w:t>
            </w:r>
            <w:r>
              <w:rPr>
                <w:rFonts w:ascii="Times New Roman" w:hAnsi="Times New Roman" w:cs="Times New Roman" w:eastAsia="Times New Roman" w:hint="default"/>
                <w:sz w:val="18"/>
                <w:szCs w:val="18"/>
              </w:rPr>
              <w:t>;</w:t>
            </w:r>
            <w:r>
              <w:rPr>
                <w:rFonts w:ascii="宋体" w:hAnsi="宋体" w:cs="宋体" w:eastAsia="宋体" w:hint="default"/>
                <w:sz w:val="18"/>
                <w:szCs w:val="18"/>
              </w:rPr>
              <w:t>张 乃军</w:t>
            </w:r>
            <w:r>
              <w:rPr>
                <w:rFonts w:ascii="Times New Roman" w:hAnsi="Times New Roman" w:cs="Times New Roman" w:eastAsia="Times New Roman" w:hint="default"/>
                <w:sz w:val="18"/>
                <w:szCs w:val="18"/>
              </w:rPr>
              <w:t>;</w:t>
            </w:r>
            <w:r>
              <w:rPr>
                <w:rFonts w:ascii="宋体" w:hAnsi="宋体" w:cs="宋体" w:eastAsia="宋体" w:hint="default"/>
                <w:sz w:val="18"/>
                <w:szCs w:val="18"/>
              </w:rPr>
              <w:t>郭泓</w:t>
            </w:r>
          </w:p>
        </w:tc>
        <w:tc>
          <w:tcPr>
            <w:tcW w:w="850"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1"/>
              <w:ind w:left="23" w:right="21"/>
              <w:jc w:val="left"/>
              <w:rPr>
                <w:rFonts w:ascii="宋体" w:hAnsi="宋体" w:cs="宋体" w:eastAsia="宋体" w:hint="default"/>
                <w:sz w:val="18"/>
                <w:szCs w:val="18"/>
              </w:rPr>
            </w:pPr>
            <w:r>
              <w:rPr>
                <w:rFonts w:ascii="宋体" w:hAnsi="宋体" w:cs="宋体" w:eastAsia="宋体" w:hint="default"/>
                <w:sz w:val="18"/>
                <w:szCs w:val="18"/>
              </w:rPr>
              <w:t>数的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；离职后半年内，不转让其直 接或间接持有的发行人股份。</w:t>
            </w:r>
          </w:p>
        </w:tc>
        <w:tc>
          <w:tcPr>
            <w:tcW w:w="85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pacing w:val="-5"/>
                <w:sz w:val="18"/>
                <w:szCs w:val="18"/>
              </w:rPr>
              <w:t>诺的情况；其</w:t>
            </w:r>
            <w:r>
              <w:rPr>
                <w:rFonts w:ascii="宋体" w:hAnsi="宋体" w:cs="宋体" w:eastAsia="宋体" w:hint="default"/>
                <w:sz w:val="18"/>
                <w:szCs w:val="18"/>
              </w:rPr>
              <w:t> </w:t>
            </w:r>
            <w:r>
              <w:rPr>
                <w:rFonts w:ascii="宋体" w:hAnsi="宋体" w:cs="宋体" w:eastAsia="宋体" w:hint="default"/>
                <w:spacing w:val="-5"/>
                <w:sz w:val="18"/>
                <w:szCs w:val="18"/>
              </w:rPr>
              <w:t>中：刘祥南于</w:t>
            </w:r>
            <w:r>
              <w:rPr>
                <w:rFonts w:ascii="宋体" w:hAnsi="宋体" w:cs="宋体" w:eastAsia="宋体" w:hint="default"/>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日因病逝 世，丛艳芬、 黄基鹏于</w:t>
            </w:r>
          </w:p>
          <w:p>
            <w:pPr>
              <w:pStyle w:val="TableParagraph"/>
              <w:spacing w:line="240" w:lineRule="auto" w:before="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p>
        </w:tc>
      </w:tr>
      <w:tr>
        <w:trPr>
          <w:trHeight w:val="6954"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9" w:lineRule="auto"/>
              <w:ind w:left="22" w:right="199"/>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9" w:lineRule="auto"/>
              <w:ind w:left="22" w:right="85"/>
              <w:jc w:val="left"/>
              <w:rPr>
                <w:rFonts w:ascii="宋体" w:hAnsi="宋体" w:cs="宋体" w:eastAsia="宋体" w:hint="default"/>
                <w:sz w:val="18"/>
                <w:szCs w:val="18"/>
              </w:rPr>
            </w:pPr>
            <w:r>
              <w:rPr>
                <w:rFonts w:ascii="宋体" w:hAnsi="宋体" w:cs="宋体" w:eastAsia="宋体" w:hint="default"/>
                <w:sz w:val="18"/>
                <w:szCs w:val="18"/>
              </w:rPr>
              <w:t>厦门市美亚柏科信 息股份有限公司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本次限制性股票激励计划有效期为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年，自限制性股票授予日起计，其中锁 定期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年，解锁期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）自董事会</w:t>
            </w:r>
            <w:r>
              <w:rPr>
                <w:rFonts w:ascii="宋体" w:hAnsi="宋体" w:cs="宋体" w:eastAsia="宋体" w:hint="default"/>
                <w:sz w:val="18"/>
                <w:szCs w:val="18"/>
              </w:rPr>
              <w:t> 确定的限制性股票授予日起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为锁定期。在锁定期内，激励对象根据 本计划获授的限制性股票予以锁定，不 </w:t>
            </w:r>
            <w:r>
              <w:rPr>
                <w:rFonts w:ascii="宋体" w:hAnsi="宋体" w:cs="宋体" w:eastAsia="宋体" w:hint="default"/>
                <w:spacing w:val="-5"/>
                <w:sz w:val="18"/>
                <w:szCs w:val="18"/>
              </w:rPr>
              <w:t>得转让；（</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）自限制性股票激励计划授</w:t>
            </w:r>
            <w:r>
              <w:rPr>
                <w:rFonts w:ascii="宋体" w:hAnsi="宋体" w:cs="宋体" w:eastAsia="宋体" w:hint="default"/>
                <w:sz w:val="18"/>
                <w:szCs w:val="18"/>
              </w:rPr>
              <w:t> 予日起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7"/>
                <w:sz w:val="18"/>
                <w:szCs w:val="18"/>
              </w:rPr>
              <w:t>个月后，满足解锁条件的，激</w:t>
            </w:r>
            <w:r>
              <w:rPr>
                <w:rFonts w:ascii="宋体" w:hAnsi="宋体" w:cs="宋体" w:eastAsia="宋体" w:hint="default"/>
                <w:sz w:val="18"/>
                <w:szCs w:val="18"/>
              </w:rPr>
              <w:t> 励对象可以分三期申请解锁，分别自授 予日起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个月后、</w:t>
            </w:r>
            <w:r>
              <w:rPr>
                <w:rFonts w:ascii="Times New Roman" w:hAnsi="Times New Roman" w:cs="Times New Roman" w:eastAsia="Times New Roman" w:hint="default"/>
                <w:spacing w:val="-7"/>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后分别申请解锁所获授限制性股票总量 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40%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）激励对象获</w:t>
            </w:r>
            <w:r>
              <w:rPr>
                <w:rFonts w:ascii="宋体" w:hAnsi="宋体" w:cs="宋体" w:eastAsia="宋体" w:hint="default"/>
                <w:spacing w:val="-85"/>
                <w:sz w:val="18"/>
                <w:szCs w:val="18"/>
              </w:rPr>
              <w:t> </w:t>
            </w:r>
            <w:r>
              <w:rPr>
                <w:rFonts w:ascii="宋体" w:hAnsi="宋体" w:cs="宋体" w:eastAsia="宋体" w:hint="default"/>
                <w:sz w:val="18"/>
                <w:szCs w:val="18"/>
              </w:rPr>
              <w:t>授限制性股票的授予条件为：激励对象 当年个人绩效考核合格。对于按照股权 激励计划授予的限制性股票，激励对象 每一次申请标的股票解锁的公司业绩条 </w:t>
            </w:r>
            <w:r>
              <w:rPr>
                <w:rFonts w:ascii="宋体" w:hAnsi="宋体" w:cs="宋体" w:eastAsia="宋体" w:hint="default"/>
                <w:spacing w:val="-14"/>
                <w:sz w:val="18"/>
                <w:szCs w:val="18"/>
              </w:rPr>
              <w:t>件为：（</w:t>
            </w: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 公司加权平均净资产收益率分别不低于 </w:t>
            </w:r>
            <w:r>
              <w:rPr>
                <w:rFonts w:ascii="Times New Roman" w:hAnsi="Times New Roman" w:cs="Times New Roman" w:eastAsia="Times New Roman" w:hint="default"/>
                <w:spacing w:val="-7"/>
                <w:sz w:val="18"/>
                <w:szCs w:val="18"/>
              </w:rPr>
              <w:t>8%</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8.5%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）以</w:t>
            </w:r>
            <w:r>
              <w:rPr>
                <w:rFonts w:ascii="宋体" w:hAnsi="宋体" w:cs="宋体" w:eastAsia="宋体" w:hint="default"/>
                <w:spacing w:val="5"/>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年度净</w:t>
            </w:r>
            <w:r>
              <w:rPr>
                <w:rFonts w:ascii="宋体" w:hAnsi="宋体" w:cs="宋体" w:eastAsia="宋体" w:hint="default"/>
                <w:spacing w:val="-87"/>
                <w:sz w:val="18"/>
                <w:szCs w:val="18"/>
              </w:rPr>
              <w:t> </w:t>
            </w:r>
            <w:r>
              <w:rPr>
                <w:rFonts w:ascii="宋体" w:hAnsi="宋体" w:cs="宋体" w:eastAsia="宋体" w:hint="default"/>
                <w:spacing w:val="-9"/>
                <w:sz w:val="18"/>
                <w:szCs w:val="18"/>
              </w:rPr>
              <w:t>利润为基数，</w:t>
            </w:r>
            <w:r>
              <w:rPr>
                <w:rFonts w:ascii="Times New Roman" w:hAnsi="Times New Roman" w:cs="Times New Roman" w:eastAsia="Times New Roman" w:hint="default"/>
                <w:spacing w:val="-9"/>
                <w:sz w:val="18"/>
                <w:szCs w:val="18"/>
              </w:rPr>
              <w:t>2012</w:t>
            </w:r>
            <w:r>
              <w:rPr>
                <w:rFonts w:ascii="Times New Roman" w:hAnsi="Times New Roman" w:cs="Times New Roman" w:eastAsia="Times New Roman" w:hint="default"/>
                <w:sz w:val="18"/>
                <w:szCs w:val="18"/>
              </w:rPr>
              <w:t>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2013</w:t>
            </w:r>
            <w:r>
              <w:rPr>
                <w:rFonts w:ascii="Times New Roman" w:hAnsi="Times New Roman" w:cs="Times New Roman" w:eastAsia="Times New Roman" w:hint="default"/>
                <w:sz w:val="18"/>
                <w:szCs w:val="18"/>
              </w:rPr>
              <w:t>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公司每年净利润不低于基准年净利润的 </w:t>
            </w:r>
            <w:r>
              <w:rPr>
                <w:rFonts w:ascii="Times New Roman" w:hAnsi="Times New Roman" w:cs="Times New Roman" w:eastAsia="Times New Roman" w:hint="default"/>
                <w:sz w:val="18"/>
                <w:szCs w:val="18"/>
              </w:rPr>
              <w:t>120%</w:t>
            </w:r>
            <w:r>
              <w:rPr>
                <w:rFonts w:ascii="宋体" w:hAnsi="宋体" w:cs="宋体" w:eastAsia="宋体" w:hint="default"/>
                <w:sz w:val="18"/>
                <w:szCs w:val="18"/>
              </w:rPr>
              <w:t>、</w:t>
            </w:r>
            <w:r>
              <w:rPr>
                <w:rFonts w:ascii="Times New Roman" w:hAnsi="Times New Roman" w:cs="Times New Roman" w:eastAsia="Times New Roman" w:hint="default"/>
                <w:sz w:val="18"/>
                <w:szCs w:val="18"/>
              </w:rPr>
              <w:t>140%</w:t>
            </w:r>
            <w:r>
              <w:rPr>
                <w:rFonts w:ascii="宋体" w:hAnsi="宋体" w:cs="宋体" w:eastAsia="宋体" w:hint="default"/>
                <w:sz w:val="18"/>
                <w:szCs w:val="18"/>
              </w:rPr>
              <w:t>、</w:t>
            </w:r>
            <w:r>
              <w:rPr>
                <w:rFonts w:ascii="Times New Roman" w:hAnsi="Times New Roman" w:cs="Times New Roman" w:eastAsia="Times New Roman" w:hint="default"/>
                <w:sz w:val="18"/>
                <w:szCs w:val="18"/>
              </w:rPr>
              <w:t>160%</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2015-09-22</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第三期限制 性股票已于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日完成解 </w:t>
            </w:r>
            <w:r>
              <w:rPr>
                <w:rFonts w:ascii="宋体" w:hAnsi="宋体" w:cs="宋体" w:eastAsia="宋体" w:hint="default"/>
                <w:spacing w:val="-5"/>
                <w:sz w:val="18"/>
                <w:szCs w:val="18"/>
              </w:rPr>
              <w:t>锁，承诺履行</w:t>
            </w:r>
            <w:r>
              <w:rPr>
                <w:rFonts w:ascii="宋体" w:hAnsi="宋体" w:cs="宋体" w:eastAsia="宋体" w:hint="default"/>
                <w:sz w:val="18"/>
                <w:szCs w:val="18"/>
              </w:rPr>
              <w:t> </w:t>
            </w:r>
            <w:r>
              <w:rPr>
                <w:rFonts w:ascii="宋体" w:hAnsi="宋体" w:cs="宋体" w:eastAsia="宋体" w:hint="default"/>
                <w:spacing w:val="-5"/>
                <w:sz w:val="18"/>
                <w:szCs w:val="18"/>
              </w:rPr>
              <w:t>完毕，未发现</w:t>
            </w:r>
            <w:r>
              <w:rPr>
                <w:rFonts w:ascii="宋体" w:hAnsi="宋体" w:cs="宋体" w:eastAsia="宋体" w:hint="default"/>
                <w:sz w:val="18"/>
                <w:szCs w:val="18"/>
              </w:rPr>
              <w:t> 违反承诺的 情况。</w:t>
            </w:r>
          </w:p>
        </w:tc>
      </w:tr>
      <w:tr>
        <w:trPr>
          <w:trHeight w:val="1650" w:hRule="exact"/>
        </w:trPr>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99"/>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85"/>
              <w:jc w:val="left"/>
              <w:rPr>
                <w:rFonts w:ascii="宋体" w:hAnsi="宋体" w:cs="宋体" w:eastAsia="宋体" w:hint="default"/>
                <w:sz w:val="18"/>
                <w:szCs w:val="18"/>
              </w:rPr>
            </w:pPr>
            <w:r>
              <w:rPr>
                <w:rFonts w:ascii="宋体" w:hAnsi="宋体" w:cs="宋体" w:eastAsia="宋体" w:hint="default"/>
                <w:sz w:val="18"/>
                <w:szCs w:val="18"/>
              </w:rPr>
              <w:t>厦门市美亚柏科信 息股份有限公司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5"/>
              <w:jc w:val="left"/>
              <w:rPr>
                <w:rFonts w:ascii="宋体" w:hAnsi="宋体" w:cs="宋体" w:eastAsia="宋体" w:hint="default"/>
                <w:sz w:val="18"/>
                <w:szCs w:val="18"/>
              </w:rPr>
            </w:pPr>
            <w:r>
              <w:rPr>
                <w:rFonts w:ascii="宋体" w:hAnsi="宋体" w:cs="宋体" w:eastAsia="宋体" w:hint="default"/>
                <w:sz w:val="18"/>
                <w:szCs w:val="18"/>
              </w:rPr>
              <w:t>募集资金 使用承诺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both"/>
              <w:rPr>
                <w:rFonts w:ascii="宋体" w:hAnsi="宋体" w:cs="宋体" w:eastAsia="宋体" w:hint="default"/>
                <w:sz w:val="18"/>
                <w:szCs w:val="18"/>
              </w:rPr>
            </w:pPr>
            <w:r>
              <w:rPr>
                <w:rFonts w:ascii="宋体" w:hAnsi="宋体" w:cs="宋体" w:eastAsia="宋体" w:hint="default"/>
                <w:sz w:val="18"/>
                <w:szCs w:val="18"/>
              </w:rPr>
              <w:t>公司将节余募集资金永久补充流动资金 </w:t>
            </w:r>
            <w:r>
              <w:rPr>
                <w:rFonts w:ascii="宋体" w:hAnsi="宋体" w:cs="宋体" w:eastAsia="宋体" w:hint="default"/>
                <w:spacing w:val="-3"/>
                <w:sz w:val="18"/>
                <w:szCs w:val="18"/>
              </w:rPr>
              <w:t>时的承诺：承诺本次补充流动资金后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个月内，不进行证券投资、委托理财、 衍生品投资、创业投资等高风险投资以 及为他人提供财务资助。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3"/>
              <w:jc w:val="left"/>
              <w:rPr>
                <w:rFonts w:ascii="宋体" w:hAnsi="宋体" w:cs="宋体" w:eastAsia="宋体" w:hint="default"/>
                <w:sz w:val="18"/>
                <w:szCs w:val="18"/>
              </w:rPr>
            </w:pPr>
            <w:r>
              <w:rPr>
                <w:rFonts w:ascii="宋体" w:hAnsi="宋体" w:cs="宋体" w:eastAsia="宋体" w:hint="default"/>
                <w:spacing w:val="-5"/>
                <w:sz w:val="18"/>
                <w:szCs w:val="18"/>
              </w:rPr>
              <w:t>履行完毕，未</w:t>
            </w:r>
            <w:r>
              <w:rPr>
                <w:rFonts w:ascii="宋体" w:hAnsi="宋体" w:cs="宋体" w:eastAsia="宋体" w:hint="default"/>
                <w:sz w:val="18"/>
                <w:szCs w:val="18"/>
              </w:rPr>
              <w:t> 发现违反承 诺的情况。</w:t>
            </w:r>
          </w:p>
        </w:tc>
      </w:tr>
      <w:tr>
        <w:trPr>
          <w:trHeight w:val="2586"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59"/>
              <w:ind w:left="22" w:right="166"/>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李国林</w:t>
            </w:r>
            <w:r>
              <w:rPr>
                <w:rFonts w:ascii="Times New Roman" w:hAnsi="Times New Roman" w:cs="Times New Roman" w:eastAsia="Times New Roman" w:hint="default"/>
                <w:sz w:val="18"/>
                <w:szCs w:val="18"/>
              </w:rPr>
              <w:t>;</w:t>
            </w:r>
            <w:r>
              <w:rPr>
                <w:rFonts w:ascii="宋体" w:hAnsi="宋体" w:cs="宋体" w:eastAsia="宋体" w:hint="default"/>
                <w:sz w:val="18"/>
                <w:szCs w:val="18"/>
              </w:rPr>
              <w:t>黄 基鹏</w:t>
            </w:r>
            <w:r>
              <w:rPr>
                <w:rFonts w:ascii="Times New Roman" w:hAnsi="Times New Roman" w:cs="Times New Roman" w:eastAsia="Times New Roman" w:hint="default"/>
                <w:sz w:val="18"/>
                <w:szCs w:val="18"/>
              </w:rPr>
              <w:t>;</w:t>
            </w:r>
            <w:r>
              <w:rPr>
                <w:rFonts w:ascii="宋体" w:hAnsi="宋体" w:cs="宋体" w:eastAsia="宋体" w:hint="default"/>
                <w:sz w:val="18"/>
                <w:szCs w:val="18"/>
              </w:rPr>
              <w:t>王斌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95"/>
              <w:jc w:val="left"/>
              <w:rPr>
                <w:rFonts w:ascii="宋体" w:hAnsi="宋体" w:cs="宋体" w:eastAsia="宋体" w:hint="default"/>
                <w:sz w:val="18"/>
                <w:szCs w:val="18"/>
              </w:rPr>
            </w:pPr>
            <w:r>
              <w:rPr>
                <w:rFonts w:ascii="宋体" w:hAnsi="宋体" w:cs="宋体" w:eastAsia="宋体" w:hint="default"/>
                <w:sz w:val="18"/>
                <w:szCs w:val="18"/>
              </w:rPr>
              <w:t>股份增持 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4"/>
              <w:jc w:val="both"/>
              <w:rPr>
                <w:rFonts w:ascii="宋体" w:hAnsi="宋体" w:cs="宋体" w:eastAsia="宋体" w:hint="default"/>
                <w:sz w:val="18"/>
                <w:szCs w:val="18"/>
              </w:rPr>
            </w:pPr>
            <w:r>
              <w:rPr>
                <w:rFonts w:ascii="宋体" w:hAnsi="宋体" w:cs="宋体" w:eastAsia="宋体" w:hint="default"/>
                <w:sz w:val="18"/>
                <w:szCs w:val="18"/>
              </w:rPr>
              <w:t>因对公司未来充满信心，并看好公司的 长期投资价值，拟于公司股票复牌之日 起三个月内，根据中国证监会和深圳证 券交易所的有关规定，通过证券公司、 基金管理公司定向资产管理等方式购买 公司股份市值不低于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万元，并承 诺在增持期间及在增持完成后六个月内 不转让本次所增持的公司股份。</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上述增持计 划已实施完 </w:t>
            </w:r>
            <w:r>
              <w:rPr>
                <w:rFonts w:ascii="宋体" w:hAnsi="宋体" w:cs="宋体" w:eastAsia="宋体" w:hint="default"/>
                <w:spacing w:val="-5"/>
                <w:sz w:val="18"/>
                <w:szCs w:val="18"/>
              </w:rPr>
              <w:t>毕，共计增持</w:t>
            </w:r>
            <w:r>
              <w:rPr>
                <w:rFonts w:ascii="宋体" w:hAnsi="宋体" w:cs="宋体" w:eastAsia="宋体" w:hint="default"/>
                <w:sz w:val="18"/>
                <w:szCs w:val="18"/>
              </w:rPr>
              <w:t> 金额为 </w:t>
            </w:r>
            <w:r>
              <w:rPr>
                <w:rFonts w:ascii="Times New Roman" w:hAnsi="Times New Roman" w:cs="Times New Roman" w:eastAsia="Times New Roman" w:hint="default"/>
                <w:sz w:val="18"/>
                <w:szCs w:val="18"/>
              </w:rPr>
              <w:t>1,370.6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pacing w:val="-5"/>
                <w:sz w:val="18"/>
                <w:szCs w:val="18"/>
              </w:rPr>
              <w:t>人民币。增持</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348pt;margin-top:168.899979pt;width:84.15pt;height:62.4pt;mso-position-horizontal-relative:page;mso-position-vertical-relative:page;z-index:-11779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股为基数，</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134"/>
        <w:gridCol w:w="1560"/>
        <w:gridCol w:w="850"/>
        <w:gridCol w:w="3120"/>
        <w:gridCol w:w="850"/>
        <w:gridCol w:w="947"/>
        <w:gridCol w:w="1108"/>
      </w:tblGrid>
      <w:tr>
        <w:trPr>
          <w:trHeight w:val="1922" w:hRule="exact"/>
        </w:trPr>
        <w:tc>
          <w:tcPr>
            <w:tcW w:w="1134" w:type="dxa"/>
            <w:vMerge w:val="restart"/>
            <w:tcBorders>
              <w:top w:val="single" w:sz="4" w:space="0" w:color="000000"/>
              <w:left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312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173"/>
              <w:jc w:val="both"/>
              <w:rPr>
                <w:rFonts w:ascii="宋体" w:hAnsi="宋体" w:cs="宋体" w:eastAsia="宋体" w:hint="default"/>
                <w:sz w:val="18"/>
                <w:szCs w:val="18"/>
              </w:rPr>
            </w:pPr>
            <w:r>
              <w:rPr>
                <w:rFonts w:ascii="宋体" w:hAnsi="宋体" w:cs="宋体" w:eastAsia="宋体" w:hint="default"/>
                <w:sz w:val="18"/>
                <w:szCs w:val="18"/>
              </w:rPr>
              <w:t>完成后六个 月内不转让 本次所增持 的公司股份 的承诺正在 履行中。</w:t>
            </w:r>
          </w:p>
        </w:tc>
      </w:tr>
      <w:tr>
        <w:trPr>
          <w:trHeight w:val="3210"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02" w:lineRule="auto"/>
              <w:ind w:left="22" w:right="166"/>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w:t>
            </w:r>
            <w:r>
              <w:rPr>
                <w:rFonts w:ascii="宋体" w:hAnsi="宋体" w:cs="宋体" w:eastAsia="宋体" w:hint="default"/>
                <w:sz w:val="18"/>
                <w:szCs w:val="18"/>
              </w:rPr>
              <w:t>刘祥南</w:t>
            </w:r>
            <w:r>
              <w:rPr>
                <w:rFonts w:ascii="Times New Roman" w:hAnsi="Times New Roman" w:cs="Times New Roman" w:eastAsia="Times New Roman" w:hint="default"/>
                <w:sz w:val="18"/>
                <w:szCs w:val="18"/>
              </w:rPr>
              <w:t>;</w:t>
            </w:r>
            <w:r>
              <w:rPr>
                <w:rFonts w:ascii="宋体" w:hAnsi="宋体" w:cs="宋体" w:eastAsia="宋体" w:hint="default"/>
                <w:sz w:val="18"/>
                <w:szCs w:val="18"/>
              </w:rPr>
              <w:t>滕 达</w:t>
            </w:r>
            <w:r>
              <w:rPr>
                <w:rFonts w:ascii="Times New Roman" w:hAnsi="Times New Roman" w:cs="Times New Roman" w:eastAsia="Times New Roman" w:hint="default"/>
                <w:sz w:val="18"/>
                <w:szCs w:val="18"/>
              </w:rPr>
              <w:t>;</w:t>
            </w:r>
            <w:r>
              <w:rPr>
                <w:rFonts w:ascii="宋体" w:hAnsi="宋体" w:cs="宋体" w:eastAsia="宋体" w:hint="default"/>
                <w:sz w:val="18"/>
                <w:szCs w:val="18"/>
              </w:rPr>
              <w:t>陈少华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年度利润分配及资本公积金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转增股本预案为：以截至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221,581,600</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向全体股东按每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股派发现金股利人</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；同时，以资本公</w:t>
            </w:r>
          </w:p>
          <w:p>
            <w:pPr>
              <w:pStyle w:val="TableParagraph"/>
              <w:spacing w:line="314" w:lineRule="auto" w:before="63"/>
              <w:ind w:left="23"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股。董 事郭永芳、刘祥南、滕达、陈少华书面 承诺，在公司董事会、股东大会审议上 述利润分配及资本公积金转增股本预案 时，投赞成票。</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42pt;height:62.4pt;mso-position-horizontal-relative:char;mso-position-vertical-relative:line" coordorigin="0,0" coordsize="840,1248">
                  <v:group style="position:absolute;left:0;top:0;width:840;height:1248" coordorigin="0,0" coordsize="840,1248">
                    <v:shape style="position:absolute;left:0;top:0;width:840;height:1248" coordorigin="0,0" coordsize="840,1248" path="m0,1248l840,1248,840,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5"/>
              <w:jc w:val="left"/>
              <w:rPr>
                <w:rFonts w:ascii="宋体" w:hAnsi="宋体" w:cs="宋体" w:eastAsia="宋体" w:hint="default"/>
                <w:sz w:val="18"/>
                <w:szCs w:val="18"/>
              </w:rPr>
            </w:pPr>
            <w:r>
              <w:rPr>
                <w:rFonts w:ascii="宋体" w:hAnsi="宋体" w:cs="宋体" w:eastAsia="宋体" w:hint="default"/>
                <w:sz w:val="18"/>
                <w:szCs w:val="18"/>
              </w:rPr>
              <w:t>已履行完毕， 未发现违反 承诺的情形。</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586" w:hRule="exact"/>
        </w:trPr>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 未履行完毕 的，应当详细 说明未完成 履行的具体 原因及下一 步的工作计 划</w:t>
            </w:r>
          </w:p>
        </w:tc>
        <w:tc>
          <w:tcPr>
            <w:tcW w:w="843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w:t>
      </w:r>
      <w:bookmarkStart w:name="2、公司资产或项目存在盈利预测，且报告期仍处在盈利预测期间，公司就资产或项目达到" w:id="65"/>
      <w:bookmarkEnd w:id="65"/>
      <w:r>
        <w:rPr/>
        <w:t>盈利</w:t>
      </w:r>
      <w:r>
        <w:rPr/>
        <w:t>预测及</w:t>
      </w:r>
      <w:r>
        <w:rPr>
          <w:spacing w:val="-74"/>
        </w:rPr>
        <w:t> </w:t>
      </w:r>
      <w:r>
        <w:rPr>
          <w:spacing w:val="-74"/>
        </w:rPr>
      </w:r>
      <w:r>
        <w:rPr/>
        <w:t>其原因做出说明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06"/>
        <w:gridCol w:w="822"/>
        <w:gridCol w:w="850"/>
        <w:gridCol w:w="992"/>
        <w:gridCol w:w="1134"/>
        <w:gridCol w:w="1134"/>
        <w:gridCol w:w="851"/>
        <w:gridCol w:w="2477"/>
      </w:tblGrid>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8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5" w:right="44"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11" w:right="11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1" w:right="110"/>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150" w:right="59" w:hanging="90"/>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24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03"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33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9"/>
              <w:ind w:left="22" w:right="21"/>
              <w:jc w:val="left"/>
              <w:rPr>
                <w:rFonts w:ascii="宋体" w:hAnsi="宋体" w:cs="宋体" w:eastAsia="宋体" w:hint="default"/>
                <w:sz w:val="18"/>
                <w:szCs w:val="18"/>
              </w:rPr>
            </w:pPr>
            <w:r>
              <w:rPr>
                <w:rFonts w:ascii="宋体" w:hAnsi="宋体" w:cs="宋体" w:eastAsia="宋体" w:hint="default"/>
                <w:spacing w:val="26"/>
                <w:sz w:val="18"/>
                <w:szCs w:val="18"/>
              </w:rPr>
              <w:t>武汉大千信</w:t>
            </w:r>
            <w:r>
              <w:rPr>
                <w:rFonts w:ascii="宋体" w:hAnsi="宋体" w:cs="宋体" w:eastAsia="宋体" w:hint="default"/>
                <w:spacing w:val="-55"/>
                <w:sz w:val="18"/>
                <w:szCs w:val="18"/>
              </w:rPr>
              <w:t> </w:t>
            </w:r>
            <w:r>
              <w:rPr>
                <w:rFonts w:ascii="宋体" w:hAnsi="宋体" w:cs="宋体" w:eastAsia="宋体" w:hint="default"/>
                <w:sz w:val="18"/>
                <w:szCs w:val="18"/>
              </w:rPr>
              <w:t>息</w:t>
            </w:r>
            <w:r>
              <w:rPr>
                <w:rFonts w:ascii="宋体" w:hAnsi="宋体" w:cs="宋体" w:eastAsia="宋体" w:hint="default"/>
                <w:sz w:val="18"/>
                <w:szCs w:val="18"/>
              </w:rPr>
              <w:t> 技术有限公司</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693.61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1"/>
              <w:jc w:val="both"/>
              <w:rPr>
                <w:rFonts w:ascii="宋体" w:hAnsi="宋体" w:cs="宋体" w:eastAsia="宋体" w:hint="default"/>
                <w:sz w:val="18"/>
                <w:szCs w:val="18"/>
              </w:rPr>
            </w:pPr>
            <w:r>
              <w:rPr>
                <w:rFonts w:ascii="宋体" w:hAnsi="宋体" w:cs="宋体" w:eastAsia="宋体" w:hint="default"/>
                <w:spacing w:val="5"/>
                <w:sz w:val="18"/>
                <w:szCs w:val="18"/>
              </w:rPr>
              <w:t>《关于收购武汉大千信息技术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有限公司</w:t>
            </w:r>
            <w:r>
              <w:rPr>
                <w:rFonts w:ascii="宋体" w:hAnsi="宋体" w:cs="宋体" w:eastAsia="宋体" w:hint="default"/>
                <w:spacing w:val="-41"/>
                <w:sz w:val="18"/>
                <w:szCs w:val="18"/>
              </w:rPr>
              <w:t> </w:t>
            </w:r>
            <w:r>
              <w:rPr>
                <w:rFonts w:ascii="Times New Roman" w:hAnsi="Times New Roman" w:cs="Times New Roman" w:eastAsia="Times New Roman" w:hint="default"/>
                <w:spacing w:val="-11"/>
                <w:sz w:val="18"/>
                <w:szCs w:val="18"/>
              </w:rPr>
              <w:t>51%</w:t>
            </w:r>
            <w:r>
              <w:rPr>
                <w:rFonts w:ascii="宋体" w:hAnsi="宋体" w:cs="宋体" w:eastAsia="宋体" w:hint="default"/>
                <w:spacing w:val="-11"/>
                <w:sz w:val="18"/>
                <w:szCs w:val="18"/>
              </w:rPr>
              <w:t>股权的公告》（公</w:t>
            </w:r>
            <w:r>
              <w:rPr>
                <w:rFonts w:ascii="宋体" w:hAnsi="宋体" w:cs="宋体" w:eastAsia="宋体" w:hint="default"/>
                <w:sz w:val="18"/>
                <w:szCs w:val="18"/>
              </w:rPr>
              <w:t> 告编号：</w:t>
            </w:r>
            <w:r>
              <w:rPr>
                <w:rFonts w:ascii="Times New Roman" w:hAnsi="Times New Roman" w:cs="Times New Roman" w:eastAsia="Times New Roman" w:hint="default"/>
                <w:sz w:val="18"/>
                <w:szCs w:val="18"/>
              </w:rPr>
              <w:t>2015-44</w:t>
            </w:r>
            <w:r>
              <w:rPr>
                <w:rFonts w:ascii="宋体" w:hAnsi="宋体" w:cs="宋体" w:eastAsia="宋体" w:hint="default"/>
                <w:sz w:val="18"/>
                <w:szCs w:val="18"/>
              </w:rPr>
              <w:t>）披露在巨潮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资讯网上</w:t>
            </w: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6"/>
                <w:sz w:val="18"/>
                <w:szCs w:val="18"/>
              </w:rPr>
              <w:t>江苏税软软</w:t>
            </w:r>
            <w:r>
              <w:rPr>
                <w:rFonts w:ascii="宋体" w:hAnsi="宋体" w:cs="宋体" w:eastAsia="宋体" w:hint="default"/>
                <w:spacing w:val="-55"/>
                <w:sz w:val="18"/>
                <w:szCs w:val="18"/>
              </w:rPr>
              <w:t> </w:t>
            </w:r>
            <w:r>
              <w:rPr>
                <w:rFonts w:ascii="宋体" w:hAnsi="宋体" w:cs="宋体" w:eastAsia="宋体" w:hint="default"/>
                <w:sz w:val="18"/>
                <w:szCs w:val="18"/>
              </w:rPr>
              <w:t>件</w:t>
            </w:r>
            <w:r>
              <w:rPr>
                <w:rFonts w:ascii="宋体" w:hAnsi="宋体" w:cs="宋体" w:eastAsia="宋体" w:hint="default"/>
                <w:sz w:val="18"/>
                <w:szCs w:val="18"/>
              </w:rPr>
              <w:t> 科技有限公司</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2,886.05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5"/>
                <w:sz w:val="18"/>
                <w:szCs w:val="18"/>
              </w:rPr>
              <w:t>发行股份购买资产报告书（草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案）披露在巨潮资讯网上</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
              <w:jc w:val="both"/>
              <w:rPr>
                <w:rFonts w:ascii="宋体" w:hAnsi="宋体" w:cs="宋体" w:eastAsia="宋体" w:hint="default"/>
                <w:sz w:val="18"/>
                <w:szCs w:val="18"/>
              </w:rPr>
            </w:pPr>
            <w:r>
              <w:rPr>
                <w:rFonts w:ascii="宋体" w:hAnsi="宋体" w:cs="宋体" w:eastAsia="宋体" w:hint="default"/>
                <w:spacing w:val="26"/>
                <w:sz w:val="18"/>
                <w:szCs w:val="18"/>
              </w:rPr>
              <w:t>珠海市新德</w:t>
            </w:r>
            <w:r>
              <w:rPr>
                <w:rFonts w:ascii="宋体" w:hAnsi="宋体" w:cs="宋体" w:eastAsia="宋体" w:hint="default"/>
                <w:spacing w:val="-56"/>
                <w:sz w:val="18"/>
                <w:szCs w:val="18"/>
              </w:rPr>
              <w:t> </w:t>
            </w:r>
            <w:r>
              <w:rPr>
                <w:rFonts w:ascii="宋体" w:hAnsi="宋体" w:cs="宋体" w:eastAsia="宋体" w:hint="default"/>
                <w:sz w:val="18"/>
                <w:szCs w:val="18"/>
              </w:rPr>
              <w:t>汇</w:t>
            </w:r>
            <w:r>
              <w:rPr>
                <w:rFonts w:ascii="宋体" w:hAnsi="宋体" w:cs="宋体" w:eastAsia="宋体" w:hint="default"/>
                <w:sz w:val="18"/>
                <w:szCs w:val="18"/>
              </w:rPr>
              <w:t> </w:t>
            </w:r>
            <w:r>
              <w:rPr>
                <w:rFonts w:ascii="宋体" w:hAnsi="宋体" w:cs="宋体" w:eastAsia="宋体" w:hint="default"/>
                <w:spacing w:val="24"/>
                <w:sz w:val="18"/>
                <w:szCs w:val="18"/>
              </w:rPr>
              <w:t>信息技术</w:t>
            </w:r>
            <w:r>
              <w:rPr>
                <w:rFonts w:ascii="宋体" w:hAnsi="宋体" w:cs="宋体" w:eastAsia="宋体" w:hint="default"/>
                <w:spacing w:val="-56"/>
                <w:sz w:val="18"/>
                <w:szCs w:val="18"/>
              </w:rPr>
              <w:t> </w:t>
            </w:r>
            <w:r>
              <w:rPr>
                <w:rFonts w:ascii="宋体" w:hAnsi="宋体" w:cs="宋体" w:eastAsia="宋体" w:hint="default"/>
                <w:spacing w:val="17"/>
                <w:sz w:val="18"/>
                <w:szCs w:val="18"/>
              </w:rPr>
              <w:t>有限</w:t>
            </w:r>
            <w:r>
              <w:rPr>
                <w:rFonts w:ascii="宋体" w:hAnsi="宋体" w:cs="宋体" w:eastAsia="宋体" w:hint="default"/>
                <w:spacing w:val="-56"/>
                <w:sz w:val="18"/>
                <w:szCs w:val="18"/>
              </w:rPr>
              <w:t> </w:t>
            </w:r>
            <w:r>
              <w:rPr>
                <w:rFonts w:ascii="宋体" w:hAnsi="宋体" w:cs="宋体" w:eastAsia="宋体" w:hint="default"/>
                <w:sz w:val="18"/>
                <w:szCs w:val="18"/>
              </w:rPr>
              <w:t>公司</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3,253.81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hAnsi="宋体" w:cs="宋体" w:eastAsia="宋体" w:hint="default"/>
                <w:sz w:val="18"/>
                <w:szCs w:val="18"/>
              </w:rPr>
              <w:t>不适用</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5"/>
                <w:sz w:val="18"/>
                <w:szCs w:val="18"/>
              </w:rPr>
              <w:t>发行股份购买资产报告书（草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案）披露在巨潮资讯网上</w:t>
            </w:r>
          </w:p>
        </w:tc>
      </w:tr>
    </w:tbl>
    <w:p>
      <w:pPr>
        <w:spacing w:after="0" w:line="316"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5"/>
        <w:rPr>
          <w:rFonts w:ascii="宋体" w:hAnsi="宋体" w:cs="宋体" w:eastAsia="宋体" w:hint="default"/>
          <w:b/>
          <w:bCs/>
          <w:sz w:val="20"/>
          <w:szCs w:val="20"/>
        </w:rPr>
      </w:pPr>
    </w:p>
    <w:p>
      <w:pPr>
        <w:pStyle w:val="BodyText"/>
        <w:spacing w:line="432" w:lineRule="auto" w:before="35"/>
        <w:ind w:right="97"/>
        <w:jc w:val="left"/>
      </w:pPr>
      <w:bookmarkStart w:name="七、与上年度财务报告相比，合并报表范围发生变化的情况说明" w:id="66"/>
      <w:bookmarkEnd w:id="66"/>
      <w:r>
        <w:rPr/>
      </w:r>
      <w:r>
        <w:rPr/>
        <w:t>注：当期实际业绩为扣除非经常性损益后净利润。 公司股东、交易对手方对公司或相关资产年度经营业绩作出的承诺情况：</w:t>
      </w:r>
    </w:p>
    <w:p>
      <w:pPr>
        <w:pStyle w:val="BodyText"/>
        <w:spacing w:line="240" w:lineRule="auto" w:before="51"/>
        <w:ind w:right="97"/>
        <w:jc w:val="left"/>
      </w:pPr>
      <w:r>
        <w:rPr/>
        <w:t>武汉大千承诺，经具有证券从业资格的审计机构审计后，武汉大千</w:t>
      </w:r>
      <w:r>
        <w:rPr>
          <w:rFonts w:ascii="Times New Roman" w:hAnsi="Times New Roman" w:cs="Times New Roman" w:eastAsia="Times New Roman" w:hint="default"/>
        </w:rPr>
        <w:t>2015</w:t>
      </w:r>
      <w:r>
        <w:rPr/>
        <w:t>年度经审计后的净利润不低于</w:t>
      </w:r>
    </w:p>
    <w:p>
      <w:pPr>
        <w:pStyle w:val="BodyText"/>
        <w:spacing w:line="240" w:lineRule="auto" w:before="83"/>
        <w:ind w:left="153" w:right="0"/>
        <w:jc w:val="both"/>
      </w:pPr>
      <w:r>
        <w:rPr>
          <w:rFonts w:ascii="Times New Roman" w:hAnsi="Times New Roman" w:cs="Times New Roman" w:eastAsia="Times New Roman" w:hint="default"/>
        </w:rPr>
        <w:t>660</w:t>
      </w:r>
      <w:r>
        <w:rPr/>
        <w:t>万元，</w:t>
      </w:r>
      <w:r>
        <w:rPr>
          <w:rFonts w:ascii="Times New Roman" w:hAnsi="Times New Roman" w:cs="Times New Roman" w:eastAsia="Times New Roman" w:hint="default"/>
        </w:rPr>
        <w:t>2016</w:t>
      </w:r>
      <w:r>
        <w:rPr/>
        <w:t>年度经审计后的净利润不低于</w:t>
      </w:r>
      <w:r>
        <w:rPr>
          <w:rFonts w:ascii="Times New Roman" w:hAnsi="Times New Roman" w:cs="Times New Roman" w:eastAsia="Times New Roman" w:hint="default"/>
        </w:rPr>
        <w:t>792</w:t>
      </w:r>
      <w:r>
        <w:rPr/>
        <w:t>万元，</w:t>
      </w:r>
      <w:r>
        <w:rPr>
          <w:rFonts w:ascii="Times New Roman" w:hAnsi="Times New Roman" w:cs="Times New Roman" w:eastAsia="Times New Roman" w:hint="default"/>
        </w:rPr>
        <w:t>2017</w:t>
      </w:r>
      <w:r>
        <w:rPr/>
        <w:t>年度经审计后的净利润不低于</w:t>
      </w:r>
      <w:r>
        <w:rPr>
          <w:rFonts w:ascii="Times New Roman" w:hAnsi="Times New Roman" w:cs="Times New Roman" w:eastAsia="Times New Roman" w:hint="default"/>
        </w:rPr>
        <w:t>950</w:t>
      </w:r>
      <w:r>
        <w:rPr/>
        <w:t>万元。</w:t>
      </w:r>
    </w:p>
    <w:p>
      <w:pPr>
        <w:spacing w:line="240" w:lineRule="auto" w:before="7"/>
        <w:rPr>
          <w:rFonts w:ascii="宋体" w:hAnsi="宋体" w:cs="宋体" w:eastAsia="宋体" w:hint="default"/>
          <w:sz w:val="15"/>
          <w:szCs w:val="15"/>
        </w:rPr>
      </w:pPr>
    </w:p>
    <w:p>
      <w:pPr>
        <w:pStyle w:val="BodyText"/>
        <w:spacing w:line="309" w:lineRule="auto"/>
        <w:ind w:left="154" w:right="97" w:firstLine="419"/>
        <w:jc w:val="left"/>
      </w:pPr>
      <w:r>
        <w:rPr>
          <w:spacing w:val="-1"/>
        </w:rPr>
        <w:t>根据经审核的盈利预测，江苏税软</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2016</w:t>
      </w:r>
      <w:r>
        <w:rPr>
          <w:spacing w:val="-1"/>
        </w:rPr>
        <w:t>年及</w:t>
      </w:r>
      <w:r>
        <w:rPr>
          <w:rFonts w:ascii="Times New Roman" w:hAnsi="Times New Roman" w:cs="Times New Roman" w:eastAsia="Times New Roman" w:hint="default"/>
          <w:spacing w:val="-1"/>
        </w:rPr>
        <w:t>2017</w:t>
      </w:r>
      <w:r>
        <w:rPr>
          <w:spacing w:val="-1"/>
        </w:rPr>
        <w:t>年当期扣除非经常性损益后归属于母公司的</w:t>
      </w:r>
      <w:r>
        <w:rPr/>
        <w:t> 预测净利润额分别为</w:t>
      </w:r>
      <w:r>
        <w:rPr>
          <w:rFonts w:ascii="Times New Roman" w:hAnsi="Times New Roman" w:cs="Times New Roman" w:eastAsia="Times New Roman" w:hint="default"/>
        </w:rPr>
        <w:t>2,800</w:t>
      </w:r>
      <w:r>
        <w:rPr/>
        <w:t>万元、</w:t>
      </w:r>
      <w:r>
        <w:rPr>
          <w:rFonts w:ascii="Times New Roman" w:hAnsi="Times New Roman" w:cs="Times New Roman" w:eastAsia="Times New Roman" w:hint="default"/>
        </w:rPr>
        <w:t>3,750</w:t>
      </w:r>
      <w:r>
        <w:rPr/>
        <w:t>万元及</w:t>
      </w:r>
      <w:r>
        <w:rPr>
          <w:rFonts w:ascii="Times New Roman" w:hAnsi="Times New Roman" w:cs="Times New Roman" w:eastAsia="Times New Roman" w:hint="default"/>
        </w:rPr>
        <w:t>4,560</w:t>
      </w:r>
      <w:r>
        <w:rPr/>
        <w:t>万元。</w:t>
      </w:r>
    </w:p>
    <w:p>
      <w:pPr>
        <w:pStyle w:val="BodyText"/>
        <w:spacing w:line="309" w:lineRule="auto" w:before="136"/>
        <w:ind w:left="154" w:right="97" w:firstLine="419"/>
        <w:jc w:val="left"/>
      </w:pPr>
      <w:r>
        <w:rPr>
          <w:spacing w:val="-1"/>
        </w:rPr>
        <w:t>根据经审核的盈利预测，新德汇</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2016</w:t>
      </w:r>
      <w:r>
        <w:rPr>
          <w:spacing w:val="-1"/>
        </w:rPr>
        <w:t>年及</w:t>
      </w:r>
      <w:r>
        <w:rPr>
          <w:rFonts w:ascii="Times New Roman" w:hAnsi="Times New Roman" w:cs="Times New Roman" w:eastAsia="Times New Roman" w:hint="default"/>
          <w:spacing w:val="-1"/>
        </w:rPr>
        <w:t>2017</w:t>
      </w:r>
      <w:r>
        <w:rPr>
          <w:spacing w:val="-1"/>
        </w:rPr>
        <w:t>年当期扣除非经常性损益后归属于母公司的预</w:t>
      </w:r>
      <w:r>
        <w:rPr/>
        <w:t> 测净利润额分别为</w:t>
      </w:r>
      <w:r>
        <w:rPr>
          <w:rFonts w:ascii="Times New Roman" w:hAnsi="Times New Roman" w:cs="Times New Roman" w:eastAsia="Times New Roman" w:hint="default"/>
        </w:rPr>
        <w:t>3,000</w:t>
      </w:r>
      <w:r>
        <w:rPr/>
        <w:t>万元、</w:t>
      </w:r>
      <w:r>
        <w:rPr>
          <w:rFonts w:ascii="Times New Roman" w:hAnsi="Times New Roman" w:cs="Times New Roman" w:eastAsia="Times New Roman" w:hint="default"/>
        </w:rPr>
        <w:t>3,900</w:t>
      </w:r>
      <w:r>
        <w:rPr/>
        <w:t>万元及</w:t>
      </w:r>
      <w:r>
        <w:rPr>
          <w:rFonts w:ascii="Times New Roman" w:hAnsi="Times New Roman" w:cs="Times New Roman" w:eastAsia="Times New Roman" w:hint="default"/>
        </w:rPr>
        <w:t>4,860</w:t>
      </w:r>
      <w:r>
        <w:rPr/>
        <w:t>万元。</w:t>
      </w:r>
    </w:p>
    <w:p>
      <w:pPr>
        <w:pStyle w:val="BodyText"/>
        <w:spacing w:line="240" w:lineRule="auto" w:before="136"/>
        <w:ind w:left="573" w:right="97"/>
        <w:jc w:val="left"/>
      </w:pPr>
      <w:r>
        <w:rPr/>
        <w:t>武汉大千、江苏税软和新德汇相关方关于</w:t>
      </w:r>
      <w:r>
        <w:rPr>
          <w:rFonts w:ascii="Times New Roman" w:hAnsi="Times New Roman" w:cs="Times New Roman" w:eastAsia="Times New Roman" w:hint="default"/>
        </w:rPr>
        <w:t>2015</w:t>
      </w:r>
      <w:r>
        <w:rPr/>
        <w:t>年度的经营业绩承诺均已达成。</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三、控股股东及其关联方对上市公司</w:t>
      </w:r>
      <w:bookmarkStart w:name="三、控股股东及其关联方对上市公司的非经营性占用资金情况" w:id="67"/>
      <w:bookmarkEnd w:id="67"/>
      <w:r>
        <w:rPr/>
        <w:t>的非经营</w:t>
      </w:r>
      <w:r>
        <w:rPr/>
        <w:t>性占用资金情况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2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公司报告期不存在控股股东及其关联方对上市公司的非经营性占用资金。</w:t>
      </w:r>
    </w:p>
    <w:p>
      <w:pPr>
        <w:spacing w:line="240" w:lineRule="auto" w:before="3"/>
        <w:rPr>
          <w:rFonts w:ascii="宋体" w:hAnsi="宋体" w:cs="宋体" w:eastAsia="宋体" w:hint="default"/>
          <w:sz w:val="15"/>
          <w:szCs w:val="15"/>
        </w:rPr>
      </w:pPr>
    </w:p>
    <w:p>
      <w:pPr>
        <w:pStyle w:val="Heading2"/>
        <w:spacing w:line="240" w:lineRule="auto"/>
        <w:ind w:right="0"/>
        <w:jc w:val="both"/>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7"/>
        <w:rPr>
          <w:rFonts w:ascii="宋体" w:hAnsi="宋体" w:cs="宋体" w:eastAsia="宋体" w:hint="default"/>
          <w:b/>
          <w:bCs/>
          <w:sz w:val="25"/>
          <w:szCs w:val="25"/>
        </w:rPr>
      </w:pPr>
    </w:p>
    <w:p>
      <w:pPr>
        <w:pStyle w:val="BodyText"/>
        <w:spacing w:line="240" w:lineRule="auto"/>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五、董事会、监事会、独立董事（如有）对会计</w:t>
      </w:r>
      <w:bookmarkStart w:name="四、董事会对最近一期“非标准审计报告”相关情况的说明" w:id="68"/>
      <w:bookmarkEnd w:id="68"/>
      <w:r>
        <w:rPr/>
        <w:t>师事务所</w:t>
      </w:r>
      <w:r>
        <w:rPr/>
        <w:t>本报告期</w:t>
      </w:r>
      <w:r>
        <w:rPr>
          <w:rFonts w:ascii="Times New Roman" w:hAnsi="Times New Roman" w:cs="Times New Roman" w:eastAsia="Times New Roman" w:hint="default"/>
        </w:rPr>
        <w:t>“</w:t>
      </w:r>
      <w:bookmarkStart w:name="五、董事会、监事会、独立董事（如有）对会计师事务所本报告期“非标准审计报告”的说" w:id="69"/>
      <w:bookmarkEnd w:id="69"/>
      <w:r>
        <w:rPr>
          <w:rFonts w:ascii="Times New Roman" w:hAnsi="Times New Roman" w:cs="Times New Roman" w:eastAsia="Times New Roman" w:hint="default"/>
        </w:rPr>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8"/>
        <w:rPr>
          <w:rFonts w:ascii="宋体" w:hAnsi="宋体" w:cs="宋体" w:eastAsia="宋体" w:hint="default"/>
          <w:b/>
          <w:bCs/>
          <w:sz w:val="25"/>
          <w:szCs w:val="25"/>
        </w:rPr>
      </w:pPr>
    </w:p>
    <w:p>
      <w:pPr>
        <w:pStyle w:val="BodyText"/>
        <w:spacing w:line="240" w:lineRule="auto"/>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六、董事会关于报告期会计政策、会计估计变更或重大会计差错更正的说明</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日召开了第三届董事会第九次会议，审议通过了《关于公司</w:t>
      </w:r>
      <w:bookmarkStart w:name="六、董事会关于报告期会计政策、会计估计变更或重大会计差错更正的说明" w:id="70"/>
      <w:bookmarkEnd w:id="70"/>
      <w:r>
        <w:rPr/>
        <w:t>会计政策变更的议案》根据</w:t>
      </w:r>
    </w:p>
    <w:p>
      <w:pPr>
        <w:pStyle w:val="BodyText"/>
        <w:spacing w:line="314" w:lineRule="auto" w:before="83"/>
        <w:ind w:left="154" w:right="21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日，中国财政部发布了《企业会计准则解释第</w:t>
      </w:r>
      <w:r>
        <w:rPr>
          <w:rFonts w:ascii="Times New Roman" w:hAnsi="Times New Roman" w:cs="Times New Roman" w:eastAsia="Times New Roman" w:hint="default"/>
        </w:rPr>
        <w:t>7</w:t>
      </w:r>
      <w:r>
        <w:rPr/>
        <w:t>号》的通知（财会</w:t>
      </w:r>
      <w:r>
        <w:rPr>
          <w:rFonts w:ascii="Times New Roman" w:hAnsi="Times New Roman" w:cs="Times New Roman" w:eastAsia="Times New Roman" w:hint="default"/>
        </w:rPr>
        <w:t>[2015]19</w:t>
      </w:r>
      <w:r>
        <w:rPr/>
        <w:t>号）。根据《企业 会计准则解释第</w:t>
      </w:r>
      <w:r>
        <w:rPr>
          <w:rFonts w:ascii="Times New Roman" w:hAnsi="Times New Roman" w:cs="Times New Roman" w:eastAsia="Times New Roman" w:hint="default"/>
        </w:rPr>
        <w:t>7</w:t>
      </w:r>
      <w:r>
        <w:rPr/>
        <w:t>号》中关于授予限制性股票激励计划的会计处理，本公司变更限制性股票在等待期内发 </w:t>
      </w:r>
      <w:r>
        <w:rPr>
          <w:spacing w:val="-1"/>
        </w:rPr>
        <w:t>放现金股利的会计处理和基本每股收益、稀释每股收益的计算方法，本公司对上述会计政策变更采用追溯</w:t>
      </w:r>
      <w:r>
        <w:rPr>
          <w:spacing w:val="-81"/>
        </w:rPr>
        <w:t> </w:t>
      </w:r>
      <w:r>
        <w:rPr>
          <w:spacing w:val="-81"/>
        </w:rPr>
      </w:r>
      <w:r>
        <w:rPr/>
        <w:t>调整法处理。</w:t>
      </w:r>
    </w:p>
    <w:p>
      <w:pPr>
        <w:spacing w:line="240" w:lineRule="auto" w:before="7"/>
        <w:rPr>
          <w:rFonts w:ascii="宋体" w:hAnsi="宋体" w:cs="宋体" w:eastAsia="宋体" w:hint="default"/>
          <w:sz w:val="21"/>
          <w:szCs w:val="21"/>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12"/>
        <w:rPr>
          <w:rFonts w:ascii="宋体" w:hAnsi="宋体" w:cs="宋体" w:eastAsia="宋体" w:hint="default"/>
          <w:b/>
          <w:bCs/>
          <w:sz w:val="26"/>
          <w:szCs w:val="26"/>
        </w:rPr>
      </w:pPr>
    </w:p>
    <w:p>
      <w:pPr>
        <w:pStyle w:val="BodyText"/>
        <w:spacing w:line="309" w:lineRule="auto"/>
        <w:ind w:left="153" w:right="97" w:firstLine="420"/>
        <w:jc w:val="left"/>
      </w:pPr>
      <w:r>
        <w:rPr>
          <w:rFonts w:ascii="Times New Roman" w:hAnsi="Times New Roman" w:cs="Times New Roman" w:eastAsia="Times New Roman" w:hint="default"/>
          <w:spacing w:val="-4"/>
        </w:rPr>
        <w:t>1</w:t>
      </w:r>
      <w:r>
        <w:rPr>
          <w:spacing w:val="-4"/>
        </w:rPr>
        <w:t>、根据本公司</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24</w:t>
      </w:r>
      <w:r>
        <w:rPr>
          <w:spacing w:val="-4"/>
        </w:rPr>
        <w:t>日董事会决议，本公司拟以自有资金人民币</w:t>
      </w:r>
      <w:r>
        <w:rPr>
          <w:rFonts w:ascii="Times New Roman" w:hAnsi="Times New Roman" w:cs="Times New Roman" w:eastAsia="Times New Roman" w:hint="default"/>
          <w:spacing w:val="-4"/>
        </w:rPr>
        <w:t>1,000</w:t>
      </w:r>
      <w:r>
        <w:rPr>
          <w:spacing w:val="-4"/>
        </w:rPr>
        <w:t>万元对武汉大千进行增资，</w:t>
      </w:r>
      <w:r>
        <w:rPr/>
        <w:t> 其中新增注册资本</w:t>
      </w:r>
      <w:r>
        <w:rPr>
          <w:rFonts w:ascii="Times New Roman" w:hAnsi="Times New Roman" w:cs="Times New Roman" w:eastAsia="Times New Roman" w:hint="default"/>
        </w:rPr>
        <w:t>43.2727</w:t>
      </w:r>
      <w:r>
        <w:rPr/>
        <w:t>万元，余额</w:t>
      </w:r>
      <w:r>
        <w:rPr>
          <w:rFonts w:ascii="Times New Roman" w:hAnsi="Times New Roman" w:cs="Times New Roman" w:eastAsia="Times New Roman" w:hint="default"/>
        </w:rPr>
        <w:t>956.7273</w:t>
      </w:r>
      <w:r>
        <w:rPr/>
        <w:t>万元计入资本公积，获得武汉大千</w:t>
      </w:r>
      <w:r>
        <w:rPr>
          <w:rFonts w:ascii="Times New Roman" w:hAnsi="Times New Roman" w:cs="Times New Roman" w:eastAsia="Times New Roman" w:hint="default"/>
        </w:rPr>
        <w:t>15.3846%</w:t>
      </w:r>
      <w:r>
        <w:rPr/>
        <w:t>的股权；并以自 </w:t>
      </w:r>
      <w:r>
        <w:rPr>
          <w:spacing w:val="-2"/>
        </w:rPr>
        <w:t>有资金人民币</w:t>
      </w:r>
      <w:r>
        <w:rPr>
          <w:rFonts w:ascii="Times New Roman" w:hAnsi="Times New Roman" w:cs="Times New Roman" w:eastAsia="Times New Roman" w:hint="default"/>
          <w:spacing w:val="-2"/>
        </w:rPr>
        <w:t>2,315</w:t>
      </w:r>
      <w:r>
        <w:rPr>
          <w:spacing w:val="-2"/>
        </w:rPr>
        <w:t>万元受让严国建先生、杨捷女士、王彬先生和熊子松先生持有的武汉大千</w:t>
      </w:r>
      <w:r>
        <w:rPr>
          <w:rFonts w:ascii="Times New Roman" w:hAnsi="Times New Roman" w:cs="Times New Roman" w:eastAsia="Times New Roman" w:hint="default"/>
          <w:spacing w:val="-2"/>
        </w:rPr>
        <w:t>35.6154%</w:t>
      </w:r>
      <w:r>
        <w:rPr>
          <w:spacing w:val="-2"/>
        </w:rPr>
        <w:t>的股</w:t>
      </w:r>
      <w:r>
        <w:rPr>
          <w:spacing w:val="-97"/>
        </w:rPr>
        <w:t> </w:t>
      </w:r>
      <w:r>
        <w:rPr/>
        <w:t>权；增资及受让股权后本公司共获取武汉大千</w:t>
      </w:r>
      <w:r>
        <w:rPr>
          <w:rFonts w:ascii="Times New Roman" w:hAnsi="Times New Roman" w:cs="Times New Roman" w:eastAsia="Times New Roman" w:hint="default"/>
        </w:rPr>
        <w:t>51%</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月本公司对武汉大千派驻董事</w:t>
      </w:r>
      <w:r>
        <w:rPr>
          <w:rFonts w:ascii="Times New Roman" w:hAnsi="Times New Roman" w:cs="Times New Roman" w:eastAsia="Times New Roman" w:hint="default"/>
        </w:rPr>
        <w:t>2</w:t>
      </w:r>
      <w:r>
        <w:rPr/>
        <w:t>名（武汉 </w:t>
      </w:r>
      <w:r>
        <w:rPr>
          <w:spacing w:val="-2"/>
        </w:rPr>
        <w:t>大千共有董事</w:t>
      </w:r>
      <w:r>
        <w:rPr>
          <w:rFonts w:ascii="Times New Roman" w:hAnsi="Times New Roman" w:cs="Times New Roman" w:eastAsia="Times New Roman" w:hint="default"/>
          <w:spacing w:val="-2"/>
        </w:rPr>
        <w:t>3</w:t>
      </w:r>
      <w:r>
        <w:rPr>
          <w:spacing w:val="-2"/>
        </w:rPr>
        <w:t>名），</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w:t>
      </w:r>
      <w:r>
        <w:rPr>
          <w:spacing w:val="-2"/>
        </w:rPr>
        <w:t>日按协议约定支付增资款</w:t>
      </w:r>
      <w:r>
        <w:rPr>
          <w:rFonts w:ascii="Times New Roman" w:hAnsi="Times New Roman" w:cs="Times New Roman" w:eastAsia="Times New Roman" w:hint="default"/>
          <w:spacing w:val="-2"/>
        </w:rPr>
        <w:t>1,000</w:t>
      </w:r>
      <w:r>
        <w:rPr>
          <w:spacing w:val="-2"/>
        </w:rPr>
        <w:t>万元及</w:t>
      </w:r>
      <w:r>
        <w:rPr>
          <w:rFonts w:ascii="Times New Roman" w:hAnsi="Times New Roman" w:cs="Times New Roman" w:eastAsia="Times New Roman" w:hint="default"/>
          <w:spacing w:val="-2"/>
        </w:rPr>
        <w:t>30%</w:t>
      </w:r>
      <w:r>
        <w:rPr>
          <w:spacing w:val="-2"/>
        </w:rPr>
        <w:t>股权转让款</w:t>
      </w:r>
      <w:r>
        <w:rPr>
          <w:rFonts w:ascii="Times New Roman" w:hAnsi="Times New Roman" w:cs="Times New Roman" w:eastAsia="Times New Roman" w:hint="default"/>
          <w:spacing w:val="-2"/>
        </w:rPr>
        <w:t>694.50</w:t>
      </w:r>
      <w:r>
        <w:rPr>
          <w:spacing w:val="-2"/>
        </w:rPr>
        <w:t>万元，本公司</w:t>
      </w:r>
    </w:p>
    <w:p>
      <w:pPr>
        <w:spacing w:after="0" w:line="309" w:lineRule="auto"/>
        <w:jc w:val="left"/>
        <w:sectPr>
          <w:pgSz w:w="11910" w:h="16840"/>
          <w:pgMar w:header="918" w:footer="1267" w:top="1160" w:bottom="1460" w:left="980" w:right="920"/>
        </w:sectPr>
      </w:pPr>
    </w:p>
    <w:p>
      <w:pPr>
        <w:spacing w:line="240" w:lineRule="auto" w:before="5"/>
        <w:rPr>
          <w:rFonts w:ascii="宋体" w:hAnsi="宋体" w:cs="宋体" w:eastAsia="宋体" w:hint="default"/>
          <w:sz w:val="20"/>
          <w:szCs w:val="20"/>
        </w:rPr>
      </w:pPr>
    </w:p>
    <w:p>
      <w:pPr>
        <w:pStyle w:val="BodyText"/>
        <w:spacing w:line="240" w:lineRule="auto" w:before="35"/>
        <w:ind w:left="154" w:right="0"/>
        <w:jc w:val="left"/>
      </w:pPr>
      <w:bookmarkStart w:name="九、年度报告披露后面临暂停上市和终止上市情况" w:id="71"/>
      <w:bookmarkEnd w:id="71"/>
      <w:r>
        <w:rPr/>
      </w:r>
      <w:r>
        <w:rPr/>
        <w:t>对武汉大千的财务和经营决策拥有控制权，享有相应的收益并承担相应的风险，故以武汉大千购买日为</w:t>
      </w:r>
    </w:p>
    <w:p>
      <w:pPr>
        <w:pStyle w:val="BodyText"/>
        <w:spacing w:line="240" w:lineRule="auto" w:before="99"/>
        <w:ind w:left="15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日纳入公司合并财务报表范围。</w:t>
      </w:r>
    </w:p>
    <w:p>
      <w:pPr>
        <w:spacing w:line="240" w:lineRule="auto" w:before="7"/>
        <w:rPr>
          <w:rFonts w:ascii="宋体" w:hAnsi="宋体" w:cs="宋体" w:eastAsia="宋体" w:hint="default"/>
          <w:sz w:val="15"/>
          <w:szCs w:val="15"/>
        </w:rPr>
      </w:pPr>
    </w:p>
    <w:p>
      <w:pPr>
        <w:pStyle w:val="BodyText"/>
        <w:spacing w:line="309" w:lineRule="auto"/>
        <w:ind w:left="153" w:right="131" w:firstLine="42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日与厦门市聚恩信息咨询合伙企业共同投资设立厦门安胜网络科技有限公司， 公司占该合资公司的股权比例为</w:t>
      </w:r>
      <w:r>
        <w:rPr>
          <w:rFonts w:ascii="Times New Roman" w:hAnsi="Times New Roman" w:cs="Times New Roman" w:eastAsia="Times New Roman" w:hint="default"/>
        </w:rPr>
        <w:t>75%</w:t>
      </w:r>
      <w:r>
        <w:rPr/>
        <w:t>。该合资公司已于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日完成工商登记，纳入公司合并财务报 表范围。</w:t>
      </w:r>
    </w:p>
    <w:p>
      <w:pPr>
        <w:pStyle w:val="BodyText"/>
        <w:spacing w:line="309" w:lineRule="auto" w:before="158"/>
        <w:ind w:left="153" w:right="153" w:firstLine="420"/>
        <w:jc w:val="both"/>
      </w:pPr>
      <w:r>
        <w:rPr>
          <w:rFonts w:ascii="Times New Roman" w:hAnsi="Times New Roman" w:cs="Times New Roman" w:eastAsia="Times New Roman" w:hint="default"/>
          <w:spacing w:val="-1"/>
        </w:rPr>
        <w:t>3</w:t>
      </w:r>
      <w:r>
        <w:rPr>
          <w:spacing w:val="-1"/>
        </w:rPr>
        <w:t>、公司于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25</w:t>
      </w:r>
      <w:r>
        <w:rPr>
          <w:spacing w:val="-1"/>
        </w:rPr>
        <w:t>日，公司与嘉兴宏数信息科技合伙企业、公司副总经理高峰共同出资设立北京</w:t>
      </w:r>
      <w:r>
        <w:rPr/>
        <w:t> </w:t>
      </w:r>
      <w:r>
        <w:rPr>
          <w:spacing w:val="-2"/>
        </w:rPr>
        <w:t>美亚宏数科技有限责任公司，公司占该合资公司的股权比例为</w:t>
      </w:r>
      <w:r>
        <w:rPr>
          <w:rFonts w:ascii="Times New Roman" w:hAnsi="Times New Roman" w:cs="Times New Roman" w:eastAsia="Times New Roman" w:hint="default"/>
          <w:spacing w:val="-2"/>
        </w:rPr>
        <w:t>55%</w:t>
      </w:r>
      <w:r>
        <w:rPr>
          <w:spacing w:val="-2"/>
        </w:rPr>
        <w:t>。该合资公司于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8</w:t>
      </w:r>
      <w:r>
        <w:rPr>
          <w:spacing w:val="-2"/>
        </w:rPr>
        <w:t>日完成公司</w:t>
      </w:r>
      <w:r>
        <w:rPr/>
        <w:t> 登记，纳入公司合并财务报表范围。</w:t>
      </w:r>
    </w:p>
    <w:p>
      <w:pPr>
        <w:pStyle w:val="BodyText"/>
        <w:spacing w:line="309" w:lineRule="auto" w:before="158"/>
        <w:ind w:left="153" w:right="0" w:firstLine="420"/>
        <w:jc w:val="left"/>
      </w:pPr>
      <w:r>
        <w:rPr>
          <w:rFonts w:ascii="Times New Roman" w:hAnsi="Times New Roman" w:cs="Times New Roman" w:eastAsia="Times New Roman" w:hint="default"/>
          <w:spacing w:val="-1"/>
        </w:rPr>
        <w:t>4</w:t>
      </w:r>
      <w:r>
        <w:rPr>
          <w:spacing w:val="-1"/>
        </w:rPr>
        <w:t>、根据公司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月董事会决议及</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月股东会决议，本公司拟向江苏税软原股</w:t>
      </w:r>
      <w:r>
        <w:rPr/>
        <w:t> </w:t>
      </w:r>
      <w:r>
        <w:rPr>
          <w:spacing w:val="-2"/>
        </w:rPr>
        <w:t>东韦玉荣等</w:t>
      </w:r>
      <w:r>
        <w:rPr>
          <w:rFonts w:ascii="Times New Roman" w:hAnsi="Times New Roman" w:cs="Times New Roman" w:eastAsia="Times New Roman" w:hint="default"/>
          <w:spacing w:val="-2"/>
        </w:rPr>
        <w:t>16</w:t>
      </w:r>
      <w:r>
        <w:rPr>
          <w:spacing w:val="-2"/>
        </w:rPr>
        <w:t>人非公开发行股份</w:t>
      </w:r>
      <w:r>
        <w:rPr>
          <w:rFonts w:ascii="Times New Roman" w:hAnsi="Times New Roman" w:cs="Times New Roman" w:eastAsia="Times New Roman" w:hint="default"/>
          <w:spacing w:val="-2"/>
        </w:rPr>
        <w:t>29,666,848</w:t>
      </w:r>
      <w:r>
        <w:rPr>
          <w:spacing w:val="-2"/>
        </w:rPr>
        <w:t>股购买江苏税软</w:t>
      </w:r>
      <w:r>
        <w:rPr>
          <w:rFonts w:ascii="Times New Roman" w:hAnsi="Times New Roman" w:cs="Times New Roman" w:eastAsia="Times New Roman" w:hint="default"/>
          <w:spacing w:val="-2"/>
        </w:rPr>
        <w:t>100%</w:t>
      </w:r>
      <w:r>
        <w:rPr>
          <w:spacing w:val="-2"/>
        </w:rPr>
        <w:t>股权（包括江苏税软持有无锡博盾</w:t>
      </w:r>
      <w:r>
        <w:rPr>
          <w:rFonts w:ascii="Times New Roman" w:hAnsi="Times New Roman" w:cs="Times New Roman" w:eastAsia="Times New Roman" w:hint="default"/>
          <w:spacing w:val="-2"/>
        </w:rPr>
        <w:t>100%</w:t>
      </w:r>
      <w:r>
        <w:rPr>
          <w:spacing w:val="-2"/>
        </w:rPr>
        <w:t>的</w:t>
      </w:r>
      <w:r>
        <w:rPr>
          <w:spacing w:val="-62"/>
        </w:rPr>
        <w:t> </w:t>
      </w:r>
      <w:r>
        <w:rPr/>
        <w:t>股权），发行价格为定价基准日前</w:t>
      </w:r>
      <w:r>
        <w:rPr>
          <w:rFonts w:ascii="Times New Roman" w:hAnsi="Times New Roman" w:cs="Times New Roman" w:eastAsia="Times New Roman" w:hint="default"/>
        </w:rPr>
        <w:t>120</w:t>
      </w:r>
      <w:r>
        <w:rPr/>
        <w:t>个交易日本公司</w:t>
      </w:r>
      <w:r>
        <w:rPr>
          <w:rFonts w:ascii="Times New Roman" w:hAnsi="Times New Roman" w:cs="Times New Roman" w:eastAsia="Times New Roman" w:hint="default"/>
        </w:rPr>
        <w:t>A</w:t>
      </w:r>
      <w:r>
        <w:rPr/>
        <w:t>股股票交易均价的</w:t>
      </w:r>
      <w:r>
        <w:rPr>
          <w:rFonts w:ascii="Times New Roman" w:hAnsi="Times New Roman" w:cs="Times New Roman" w:eastAsia="Times New Roman" w:hint="default"/>
        </w:rPr>
        <w:t>90%</w:t>
      </w:r>
      <w:r>
        <w:rPr/>
        <w:t>，即</w:t>
      </w:r>
      <w:r>
        <w:rPr>
          <w:rFonts w:ascii="Times New Roman" w:hAnsi="Times New Roman" w:cs="Times New Roman" w:eastAsia="Times New Roman" w:hint="default"/>
        </w:rPr>
        <w:t>18.31</w:t>
      </w:r>
      <w:r>
        <w:rPr/>
        <w:t>元</w:t>
      </w:r>
      <w:r>
        <w:rPr>
          <w:rFonts w:ascii="Times New Roman" w:hAnsi="Times New Roman" w:cs="Times New Roman" w:eastAsia="Times New Roman" w:hint="default"/>
        </w:rPr>
        <w:t>/</w:t>
      </w:r>
      <w:r>
        <w:rPr/>
        <w:t>股，购买成本 为</w:t>
      </w:r>
      <w:r>
        <w:rPr>
          <w:rFonts w:ascii="Times New Roman" w:hAnsi="Times New Roman" w:cs="Times New Roman" w:eastAsia="Times New Roman" w:hint="default"/>
        </w:rPr>
        <w:t>543,200,000.00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日，公司发行股份购买资产重组事项获得中国证监会核准通过，</w:t>
      </w:r>
      <w:r>
        <w:rPr>
          <w:rFonts w:ascii="Times New Roman" w:hAnsi="Times New Roman" w:cs="Times New Roman" w:eastAsia="Times New Roman" w:hint="default"/>
        </w:rPr>
        <w:t>2015 </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日江苏税软完成企业类型变更和股东变更相关手续，故江苏税软购买日确定为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65"/>
        </w:rPr>
        <w:t> </w:t>
      </w:r>
      <w:r>
        <w:rPr/>
        <w:t>纳入公司合并财务报表范围。</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八、聘任、解聘会计师事务所情况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3" w:right="0"/>
              <w:jc w:val="left"/>
              <w:rPr>
                <w:rFonts w:ascii="宋体" w:hAnsi="宋体" w:cs="宋体" w:eastAsia="宋体" w:hint="default"/>
                <w:sz w:val="18"/>
                <w:szCs w:val="18"/>
              </w:rPr>
            </w:pPr>
            <w:bookmarkStart w:name="八、聘任、解聘会计师事务所情况" w:id="72"/>
            <w:bookmarkEnd w:id="72"/>
            <w:r>
              <w:rPr/>
            </w:r>
            <w:r>
              <w:rPr>
                <w:rFonts w:ascii="宋体" w:hAnsi="宋体" w:cs="宋体" w:eastAsia="宋体" w:hint="default"/>
                <w:sz w:val="18"/>
                <w:szCs w:val="18"/>
              </w:rPr>
              <w:t>致同会计师事务所（特殊普通合伙）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4</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3" w:right="0"/>
              <w:jc w:val="left"/>
              <w:rPr>
                <w:rFonts w:ascii="宋体" w:hAnsi="宋体" w:cs="宋体" w:eastAsia="宋体" w:hint="default"/>
                <w:sz w:val="18"/>
                <w:szCs w:val="18"/>
              </w:rPr>
            </w:pPr>
            <w:r>
              <w:rPr>
                <w:rFonts w:ascii="宋体" w:hAnsi="宋体" w:cs="宋体" w:eastAsia="宋体" w:hint="default"/>
                <w:sz w:val="18"/>
                <w:szCs w:val="18"/>
              </w:rPr>
              <w:t>周俊超、余道前</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是否改聘会计师事务所</w:t>
      </w:r>
    </w:p>
    <w:p>
      <w:pPr>
        <w:spacing w:line="240" w:lineRule="auto" w:before="10"/>
        <w:rPr>
          <w:rFonts w:ascii="宋体" w:hAnsi="宋体" w:cs="宋体" w:eastAsia="宋体" w:hint="default"/>
          <w:sz w:val="16"/>
          <w:szCs w:val="16"/>
        </w:rPr>
      </w:pPr>
    </w:p>
    <w:p>
      <w:pPr>
        <w:pStyle w:val="BodyText"/>
        <w:spacing w:line="408" w:lineRule="auto"/>
        <w:ind w:right="410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聘请内部控制审计会计师事务所、财务顾问或保荐人情况</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2"/>
        </w:rPr>
        <w:t>不适用</w:t>
      </w:r>
      <w:r>
        <w:rPr/>
      </w:r>
    </w:p>
    <w:p>
      <w:pPr>
        <w:spacing w:line="240" w:lineRule="auto" w:before="7"/>
        <w:rPr>
          <w:rFonts w:ascii="宋体" w:hAnsi="宋体" w:cs="宋体" w:eastAsia="宋体" w:hint="default"/>
          <w:sz w:val="15"/>
          <w:szCs w:val="15"/>
        </w:rPr>
      </w:pPr>
    </w:p>
    <w:p>
      <w:pPr>
        <w:pStyle w:val="BodyText"/>
        <w:spacing w:line="309" w:lineRule="auto"/>
        <w:ind w:left="154" w:right="164" w:firstLine="420"/>
        <w:jc w:val="left"/>
      </w:pPr>
      <w:r>
        <w:rPr/>
        <w:t>本年度，公司因重大资产重组事项，聘请中金公司为独立财务顾问，财务顾问费</w:t>
      </w:r>
      <w:r>
        <w:rPr>
          <w:rFonts w:ascii="Times New Roman" w:hAnsi="Times New Roman" w:cs="Times New Roman" w:eastAsia="Times New Roman" w:hint="default"/>
        </w:rPr>
        <w:t>807.31</w:t>
      </w:r>
      <w:r>
        <w:rPr/>
        <w:t>万元，以上费 用于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4</w:t>
      </w:r>
      <w:r>
        <w:rPr/>
        <w:t>日支付。</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九、年度报告披露后面临暂停上市和终止上市情况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after="0" w:line="240" w:lineRule="auto"/>
        <w:jc w:val="left"/>
        <w:sectPr>
          <w:pgSz w:w="11910" w:h="16840"/>
          <w:pgMar w:header="918" w:footer="1267" w:top="1160" w:bottom="1460" w:left="980" w:right="980"/>
        </w:sectPr>
      </w:pPr>
    </w:p>
    <w:p>
      <w:pPr>
        <w:spacing w:line="240" w:lineRule="auto" w:before="0"/>
        <w:rPr>
          <w:rFonts w:ascii="宋体" w:hAnsi="宋体" w:cs="宋体" w:eastAsia="宋体" w:hint="default"/>
          <w:sz w:val="17"/>
          <w:szCs w:val="17"/>
        </w:rPr>
      </w:pPr>
    </w:p>
    <w:p>
      <w:pPr>
        <w:pStyle w:val="Heading2"/>
        <w:spacing w:line="240" w:lineRule="auto" w:before="26"/>
        <w:ind w:right="97"/>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58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公司报告期未发生破产重整相关事项。</w:t>
      </w:r>
    </w:p>
    <w:p>
      <w:pPr>
        <w:spacing w:line="240" w:lineRule="auto" w:before="3"/>
        <w:rPr>
          <w:rFonts w:ascii="宋体" w:hAnsi="宋体" w:cs="宋体" w:eastAsia="宋体" w:hint="default"/>
          <w:sz w:val="15"/>
          <w:szCs w:val="15"/>
        </w:rPr>
      </w:pPr>
    </w:p>
    <w:p>
      <w:pPr>
        <w:pStyle w:val="Heading2"/>
        <w:spacing w:line="240" w:lineRule="auto"/>
        <w:ind w:right="97"/>
        <w:jc w:val="left"/>
        <w:rPr>
          <w:b w:val="0"/>
          <w:bCs w:val="0"/>
        </w:rPr>
      </w:pPr>
      <w:r>
        <w:rPr/>
        <w:t>十一、重大诉</w:t>
      </w:r>
      <w:bookmarkStart w:name="十一、重大诉讼、仲裁事项" w:id="74"/>
      <w:bookmarkEnd w:id="74"/>
      <w:r>
        <w:rPr/>
        <w:t>讼、仲裁</w:t>
      </w:r>
      <w:r>
        <w:rPr/>
        <w:t>事项</w:t>
      </w:r>
      <w:r>
        <w:rPr>
          <w:b w:val="0"/>
          <w:bCs w:val="0"/>
        </w:rPr>
      </w:r>
    </w:p>
    <w:p>
      <w:pPr>
        <w:spacing w:line="240" w:lineRule="auto" w:before="0"/>
        <w:rPr>
          <w:rFonts w:ascii="宋体" w:hAnsi="宋体" w:cs="宋体" w:eastAsia="宋体" w:hint="default"/>
          <w:b/>
          <w:bCs/>
          <w:sz w:val="27"/>
          <w:szCs w:val="27"/>
        </w:rPr>
      </w:pPr>
    </w:p>
    <w:p>
      <w:pPr>
        <w:pStyle w:val="BodyText"/>
        <w:spacing w:line="408" w:lineRule="auto"/>
        <w:ind w:right="584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本报告期公司无重大诉讼、仲裁事项。</w:t>
      </w:r>
    </w:p>
    <w:p>
      <w:pPr>
        <w:spacing w:line="240" w:lineRule="auto" w:before="3"/>
        <w:rPr>
          <w:rFonts w:ascii="宋体" w:hAnsi="宋体" w:cs="宋体" w:eastAsia="宋体" w:hint="default"/>
          <w:sz w:val="15"/>
          <w:szCs w:val="15"/>
        </w:rPr>
      </w:pPr>
    </w:p>
    <w:p>
      <w:pPr>
        <w:pStyle w:val="Heading2"/>
        <w:spacing w:line="240" w:lineRule="auto"/>
        <w:ind w:right="97"/>
        <w:jc w:val="left"/>
        <w:rPr>
          <w:b w:val="0"/>
          <w:bCs w:val="0"/>
        </w:rPr>
      </w:pPr>
      <w:r>
        <w:rPr/>
        <w:t>十二、处罚及整改情况</w:t>
      </w:r>
      <w:r>
        <w:rPr>
          <w:b w:val="0"/>
          <w:bCs w:val="0"/>
        </w:rPr>
      </w:r>
    </w:p>
    <w:p>
      <w:pPr>
        <w:spacing w:line="240" w:lineRule="auto" w:before="0"/>
        <w:rPr>
          <w:rFonts w:ascii="宋体" w:hAnsi="宋体" w:cs="宋体" w:eastAsia="宋体" w:hint="default"/>
          <w:b/>
          <w:bCs/>
          <w:sz w:val="27"/>
          <w:szCs w:val="27"/>
        </w:rPr>
      </w:pPr>
    </w:p>
    <w:p>
      <w:pPr>
        <w:pStyle w:val="BodyText"/>
        <w:spacing w:line="408" w:lineRule="auto"/>
        <w:ind w:right="6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bookmarkStart w:name="十二、处罚及整改情况" w:id="75"/>
      <w:bookmarkEnd w:id="75"/>
      <w:r>
        <w:rPr/>
        <w:t>公司报告期不存在处罚及整改情况。</w:t>
      </w:r>
    </w:p>
    <w:p>
      <w:pPr>
        <w:spacing w:line="240" w:lineRule="auto" w:before="3"/>
        <w:rPr>
          <w:rFonts w:ascii="宋体" w:hAnsi="宋体" w:cs="宋体" w:eastAsia="宋体" w:hint="default"/>
          <w:sz w:val="15"/>
          <w:szCs w:val="15"/>
        </w:rPr>
      </w:pPr>
    </w:p>
    <w:p>
      <w:pPr>
        <w:pStyle w:val="Heading2"/>
        <w:spacing w:line="240" w:lineRule="auto"/>
        <w:ind w:right="97"/>
        <w:jc w:val="left"/>
        <w:rPr>
          <w:b w:val="0"/>
          <w:bCs w:val="0"/>
        </w:rPr>
      </w:pPr>
      <w:r>
        <w:rPr/>
        <w:t>十三、公司及其控股股东、实际控制人的诚信状况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4"/>
        <w:rPr>
          <w:rFonts w:ascii="宋体" w:hAnsi="宋体" w:cs="宋体" w:eastAsia="宋体" w:hint="default"/>
          <w:sz w:val="25"/>
          <w:szCs w:val="25"/>
        </w:rPr>
      </w:pPr>
    </w:p>
    <w:p>
      <w:pPr>
        <w:pStyle w:val="Heading2"/>
        <w:spacing w:line="240" w:lineRule="auto"/>
        <w:ind w:right="97"/>
        <w:jc w:val="left"/>
        <w:rPr>
          <w:b w:val="0"/>
          <w:bCs w:val="0"/>
        </w:rPr>
      </w:pPr>
      <w:r>
        <w:rPr/>
        <w:t>十四、公司股权激励计划、员工持股计划或其他</w:t>
      </w:r>
      <w:bookmarkStart w:name="十三、公司及其控股股东、实际控制人的诚信状况" w:id="76"/>
      <w:bookmarkEnd w:id="76"/>
      <w:r>
        <w:rPr/>
        <w:t>员工激励</w:t>
      </w:r>
      <w:r>
        <w:rPr/>
        <w:t>措</w:t>
      </w:r>
      <w:bookmarkStart w:name="十四、公司股权激励计划、员工持股计划或其他员工激励措施的实施情况" w:id="77"/>
      <w:bookmarkEnd w:id="77"/>
      <w:r>
        <w:rPr/>
        <w:t>施的实施</w:t>
      </w:r>
      <w:r>
        <w:rPr/>
        <w:t>情况</w:t>
      </w:r>
      <w:r>
        <w:rPr>
          <w:b w:val="0"/>
          <w:bCs w:val="0"/>
        </w:rPr>
      </w:r>
    </w:p>
    <w:p>
      <w:pPr>
        <w:spacing w:line="240" w:lineRule="auto" w:before="12"/>
        <w:rPr>
          <w:rFonts w:ascii="宋体" w:hAnsi="宋体" w:cs="宋体" w:eastAsia="宋体" w:hint="default"/>
          <w:b/>
          <w:bCs/>
          <w:sz w:val="26"/>
          <w:szCs w:val="26"/>
        </w:rPr>
      </w:pPr>
    </w:p>
    <w:p>
      <w:pPr>
        <w:pStyle w:val="Heading4"/>
        <w:spacing w:line="240" w:lineRule="auto"/>
        <w:ind w:left="576" w:right="97"/>
        <w:jc w:val="left"/>
        <w:rPr>
          <w:b w:val="0"/>
          <w:bCs w:val="0"/>
        </w:rPr>
      </w:pPr>
      <w:r>
        <w:rPr/>
        <w:t>（一）股权激励计划</w:t>
      </w:r>
      <w:r>
        <w:rPr>
          <w:b w:val="0"/>
          <w:bCs w:val="0"/>
        </w:rPr>
      </w:r>
    </w:p>
    <w:p>
      <w:pPr>
        <w:spacing w:line="240" w:lineRule="auto" w:before="10"/>
        <w:rPr>
          <w:rFonts w:ascii="宋体" w:hAnsi="宋体" w:cs="宋体" w:eastAsia="宋体" w:hint="default"/>
          <w:b/>
          <w:bCs/>
          <w:sz w:val="16"/>
          <w:szCs w:val="16"/>
        </w:rPr>
      </w:pPr>
    </w:p>
    <w:p>
      <w:pPr>
        <w:pStyle w:val="BodyText"/>
        <w:spacing w:line="309" w:lineRule="auto"/>
        <w:ind w:left="153" w:right="97" w:firstLine="420"/>
        <w:jc w:val="left"/>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r>
        <w:rPr>
          <w:spacing w:val="-1"/>
        </w:rPr>
        <w:t>月公司实施了首次限制性股票激励计划，首次限制性股票授予登记工作于</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6</w:t>
      </w:r>
      <w:r>
        <w:rPr>
          <w:spacing w:val="-1"/>
        </w:rPr>
        <w:t>日完成，</w:t>
      </w:r>
      <w:r>
        <w:rPr/>
        <w:t> 首批限制性股票授予对象共</w:t>
      </w:r>
      <w:r>
        <w:rPr>
          <w:rFonts w:ascii="Times New Roman" w:hAnsi="Times New Roman" w:cs="Times New Roman" w:eastAsia="Times New Roman" w:hint="default"/>
        </w:rPr>
        <w:t>201</w:t>
      </w:r>
      <w:r>
        <w:rPr/>
        <w:t>名，授予的限制性股票数量为</w:t>
      </w:r>
      <w:r>
        <w:rPr>
          <w:rFonts w:ascii="Times New Roman" w:hAnsi="Times New Roman" w:cs="Times New Roman" w:eastAsia="Times New Roman" w:hint="default"/>
        </w:rPr>
        <w:t>390.66</w:t>
      </w:r>
      <w:r>
        <w:rPr/>
        <w:t>万股，授予价格为每股</w:t>
      </w:r>
      <w:r>
        <w:rPr>
          <w:rFonts w:ascii="Times New Roman" w:hAnsi="Times New Roman" w:cs="Times New Roman" w:eastAsia="Times New Roman" w:hint="default"/>
        </w:rPr>
        <w:t>8.58</w:t>
      </w:r>
      <w:r>
        <w:rPr/>
        <w:t>元。</w:t>
      </w:r>
    </w:p>
    <w:p>
      <w:pPr>
        <w:pStyle w:val="BodyText"/>
        <w:spacing w:line="314" w:lineRule="auto" w:before="136"/>
        <w:ind w:left="153" w:right="211" w:firstLine="420"/>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日，公司第二届董事会第三次（临时）会议审议通过了《关于回购注销已不符合激励条</w:t>
      </w:r>
      <w:r>
        <w:rPr/>
        <w:t> </w:t>
      </w:r>
      <w:r>
        <w:rPr>
          <w:spacing w:val="-1"/>
        </w:rPr>
        <w:t>件的原激励对象已获授的限制性股票的议案》，公司董事会决定将已离职的激励对象胡荣已获授但尚未解</w:t>
      </w:r>
      <w:r>
        <w:rPr>
          <w:spacing w:val="-81"/>
        </w:rPr>
        <w:t> </w:t>
      </w:r>
      <w:r>
        <w:rPr>
          <w:spacing w:val="-81"/>
        </w:rPr>
      </w:r>
      <w:r>
        <w:rPr>
          <w:spacing w:val="-2"/>
        </w:rPr>
        <w:t>锁的全部限制性股票</w:t>
      </w:r>
      <w:r>
        <w:rPr>
          <w:rFonts w:ascii="Times New Roman" w:hAnsi="Times New Roman" w:cs="Times New Roman" w:eastAsia="Times New Roman" w:hint="default"/>
          <w:spacing w:val="-2"/>
        </w:rPr>
        <w:t>1.4</w:t>
      </w:r>
      <w:r>
        <w:rPr>
          <w:spacing w:val="-2"/>
        </w:rPr>
        <w:t>万股进行回购注销，回购价格为授予价格</w:t>
      </w:r>
      <w:r>
        <w:rPr>
          <w:rFonts w:ascii="Times New Roman" w:hAnsi="Times New Roman" w:cs="Times New Roman" w:eastAsia="Times New Roman" w:hint="default"/>
          <w:spacing w:val="-2"/>
        </w:rPr>
        <w:t>8.58</w:t>
      </w:r>
      <w:r>
        <w:rPr>
          <w:spacing w:val="-2"/>
        </w:rPr>
        <w:t>元</w:t>
      </w:r>
      <w:r>
        <w:rPr>
          <w:rFonts w:ascii="Times New Roman" w:hAnsi="Times New Roman" w:cs="Times New Roman" w:eastAsia="Times New Roman" w:hint="default"/>
          <w:spacing w:val="-2"/>
        </w:rPr>
        <w:t>/</w:t>
      </w:r>
      <w:r>
        <w:rPr>
          <w:spacing w:val="-2"/>
        </w:rPr>
        <w:t>股。回购注销后公司首次限制性股</w:t>
      </w:r>
      <w:r>
        <w:rPr>
          <w:spacing w:val="-90"/>
        </w:rPr>
        <w:t> </w:t>
      </w:r>
      <w:r>
        <w:rPr>
          <w:spacing w:val="-90"/>
        </w:rPr>
      </w:r>
      <w:r>
        <w:rPr/>
        <w:t>票授予对象变为</w:t>
      </w:r>
      <w:r>
        <w:rPr>
          <w:rFonts w:ascii="Times New Roman" w:hAnsi="Times New Roman" w:cs="Times New Roman" w:eastAsia="Times New Roman" w:hint="default"/>
        </w:rPr>
        <w:t>200</w:t>
      </w:r>
      <w:r>
        <w:rPr/>
        <w:t>名，授予的限制性股票数量为</w:t>
      </w:r>
      <w:r>
        <w:rPr>
          <w:rFonts w:ascii="Times New Roman" w:hAnsi="Times New Roman" w:cs="Times New Roman" w:eastAsia="Times New Roman" w:hint="default"/>
        </w:rPr>
        <w:t>389.26</w:t>
      </w:r>
      <w:r>
        <w:rPr/>
        <w:t>万股。</w:t>
      </w:r>
    </w:p>
    <w:p>
      <w:pPr>
        <w:pStyle w:val="BodyText"/>
        <w:spacing w:line="309" w:lineRule="auto" w:before="131"/>
        <w:ind w:left="153" w:right="97" w:firstLine="420"/>
        <w:jc w:val="left"/>
      </w:pP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7</w:t>
      </w:r>
      <w:r>
        <w:rPr>
          <w:spacing w:val="-1"/>
        </w:rPr>
        <w:t>日，公司实施了</w:t>
      </w:r>
      <w:r>
        <w:rPr>
          <w:rFonts w:ascii="Times New Roman" w:hAnsi="Times New Roman" w:cs="Times New Roman" w:eastAsia="Times New Roman" w:hint="default"/>
          <w:spacing w:val="-1"/>
        </w:rPr>
        <w:t>2012</w:t>
      </w:r>
      <w:r>
        <w:rPr>
          <w:spacing w:val="-1"/>
        </w:rPr>
        <w:t>年年度权益分派方案：以公司总股本</w:t>
      </w:r>
      <w:r>
        <w:rPr>
          <w:rFonts w:ascii="Times New Roman" w:hAnsi="Times New Roman" w:cs="Times New Roman" w:eastAsia="Times New Roman" w:hint="default"/>
          <w:spacing w:val="-1"/>
        </w:rPr>
        <w:t>110,906,600</w:t>
      </w:r>
      <w:r>
        <w:rPr>
          <w:spacing w:val="-1"/>
        </w:rPr>
        <w:t>股为基数，向全体股</w:t>
      </w:r>
      <w:r>
        <w:rPr/>
        <w:t> 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1.50</w:t>
      </w:r>
      <w:r>
        <w:rPr/>
        <w:t>元人民币（含税）；同时，以资本公积金向全体股东每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w:t>
      </w:r>
    </w:p>
    <w:p>
      <w:pPr>
        <w:pStyle w:val="BodyText"/>
        <w:spacing w:line="314" w:lineRule="auto" w:before="136"/>
        <w:ind w:left="153" w:right="97"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日，公司第二届董事会第七次（临时）会议审议通过了《关于回购注销已不符合激励条 </w:t>
      </w:r>
      <w:r>
        <w:rPr>
          <w:spacing w:val="-1"/>
        </w:rPr>
        <w:t>件的原激励对象已获授的限制性股票的议案》，公司董事会决定将已离职的激励对象苏玉海已获授但尚未</w:t>
      </w:r>
      <w:r>
        <w:rPr>
          <w:spacing w:val="-81"/>
        </w:rPr>
        <w:t> </w:t>
      </w:r>
      <w:r>
        <w:rPr>
          <w:spacing w:val="-81"/>
        </w:rPr>
      </w:r>
      <w:r>
        <w:rPr/>
        <w:t>解锁的全部限制性股票</w:t>
      </w:r>
      <w:r>
        <w:rPr>
          <w:rFonts w:ascii="Times New Roman" w:hAnsi="Times New Roman" w:cs="Times New Roman" w:eastAsia="Times New Roman" w:hint="default"/>
        </w:rPr>
        <w:t>3.2</w:t>
      </w:r>
      <w:r>
        <w:rPr/>
        <w:t>万股进行回购注销，回购价格为</w:t>
      </w:r>
      <w:r>
        <w:rPr>
          <w:rFonts w:ascii="Times New Roman" w:hAnsi="Times New Roman" w:cs="Times New Roman" w:eastAsia="Times New Roman" w:hint="default"/>
        </w:rPr>
        <w:t>4.215</w:t>
      </w:r>
      <w:r>
        <w:rPr/>
        <w:t>元</w:t>
      </w:r>
      <w:r>
        <w:rPr>
          <w:rFonts w:ascii="Times New Roman" w:hAnsi="Times New Roman" w:cs="Times New Roman" w:eastAsia="Times New Roman" w:hint="default"/>
        </w:rPr>
        <w:t>/</w:t>
      </w:r>
      <w:r>
        <w:rPr/>
        <w:t>股。本次回购注销完成后，公司首次限 </w:t>
      </w:r>
      <w:r>
        <w:rPr>
          <w:spacing w:val="-2"/>
        </w:rPr>
        <w:t>制性股票授予对象调整为</w:t>
      </w:r>
      <w:r>
        <w:rPr>
          <w:rFonts w:ascii="Times New Roman" w:hAnsi="Times New Roman" w:cs="Times New Roman" w:eastAsia="Times New Roman" w:hint="default"/>
          <w:spacing w:val="-2"/>
        </w:rPr>
        <w:t>199</w:t>
      </w:r>
      <w:r>
        <w:rPr>
          <w:spacing w:val="-2"/>
        </w:rPr>
        <w:t>名，授予的限制性股票数量将调整为</w:t>
      </w:r>
      <w:r>
        <w:rPr>
          <w:rFonts w:ascii="Times New Roman" w:hAnsi="Times New Roman" w:cs="Times New Roman" w:eastAsia="Times New Roman" w:hint="default"/>
          <w:spacing w:val="-2"/>
        </w:rPr>
        <w:t>775.32</w:t>
      </w:r>
      <w:r>
        <w:rPr>
          <w:spacing w:val="-2"/>
        </w:rPr>
        <w:t>万股（根据</w:t>
      </w:r>
      <w:r>
        <w:rPr>
          <w:rFonts w:ascii="Times New Roman" w:hAnsi="Times New Roman" w:cs="Times New Roman" w:eastAsia="Times New Roman" w:hint="default"/>
          <w:spacing w:val="-2"/>
        </w:rPr>
        <w:t>2012</w:t>
      </w:r>
      <w:r>
        <w:rPr>
          <w:spacing w:val="-2"/>
        </w:rPr>
        <w:t>年年度权益分派实</w:t>
      </w:r>
      <w:r>
        <w:rPr>
          <w:spacing w:val="-84"/>
        </w:rPr>
        <w:t> </w:t>
      </w:r>
      <w:r>
        <w:rPr>
          <w:spacing w:val="-84"/>
        </w:rPr>
      </w:r>
      <w:r>
        <w:rPr/>
        <w:t>施结果相应调整）。</w:t>
      </w:r>
    </w:p>
    <w:p>
      <w:pPr>
        <w:pStyle w:val="BodyText"/>
        <w:spacing w:line="309" w:lineRule="auto" w:before="154"/>
        <w:ind w:left="153" w:right="97" w:firstLine="42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日，公司第二届董事会第八次（临时）会议文件审议通过了《关于第一期限制性股票解 </w:t>
      </w:r>
      <w:r>
        <w:rPr>
          <w:spacing w:val="-1"/>
        </w:rPr>
        <w:t>锁的议案》，同意按照公司《限制性股票激励计划（草案修订稿）》的相关规定办理第一期限制性股票的</w:t>
      </w:r>
    </w:p>
    <w:p>
      <w:pPr>
        <w:spacing w:after="0" w:line="309" w:lineRule="auto"/>
        <w:jc w:val="left"/>
        <w:sectPr>
          <w:pgSz w:w="11910" w:h="16840"/>
          <w:pgMar w:header="918" w:footer="1267" w:top="1160" w:bottom="1460" w:left="980" w:right="920"/>
        </w:sectPr>
      </w:pPr>
    </w:p>
    <w:p>
      <w:pPr>
        <w:spacing w:line="240" w:lineRule="auto" w:before="5"/>
        <w:rPr>
          <w:rFonts w:ascii="宋体" w:hAnsi="宋体" w:cs="宋体" w:eastAsia="宋体" w:hint="default"/>
          <w:sz w:val="20"/>
          <w:szCs w:val="20"/>
        </w:rPr>
      </w:pPr>
    </w:p>
    <w:p>
      <w:pPr>
        <w:pStyle w:val="BodyText"/>
        <w:spacing w:line="309" w:lineRule="auto" w:before="35"/>
        <w:ind w:left="153" w:right="225"/>
        <w:jc w:val="left"/>
      </w:pPr>
      <w:r>
        <w:rPr/>
        <w:t>解锁事宜，本次符合解锁条件的激励对象共计</w:t>
      </w:r>
      <w:r>
        <w:rPr>
          <w:rFonts w:ascii="Times New Roman" w:hAnsi="Times New Roman" w:cs="Times New Roman" w:eastAsia="Times New Roman" w:hint="default"/>
        </w:rPr>
        <w:t>199</w:t>
      </w:r>
      <w:r>
        <w:rPr/>
        <w:t>人，可申请解锁的限制性股票数量为</w:t>
      </w:r>
      <w:r>
        <w:rPr>
          <w:rFonts w:ascii="Times New Roman" w:hAnsi="Times New Roman" w:cs="Times New Roman" w:eastAsia="Times New Roman" w:hint="default"/>
        </w:rPr>
        <w:t>310.128</w:t>
      </w:r>
      <w:r>
        <w:rPr/>
        <w:t>万股，占股 权激励授予限制性股票总数的</w:t>
      </w:r>
      <w:r>
        <w:rPr>
          <w:rFonts w:ascii="Times New Roman" w:hAnsi="Times New Roman" w:cs="Times New Roman" w:eastAsia="Times New Roman" w:hint="default"/>
        </w:rPr>
        <w:t>40%</w:t>
      </w:r>
      <w:r>
        <w:rPr/>
        <w:t>，占公司股本总额的</w:t>
      </w:r>
      <w:r>
        <w:rPr>
          <w:rFonts w:ascii="Times New Roman" w:hAnsi="Times New Roman" w:cs="Times New Roman" w:eastAsia="Times New Roman" w:hint="default"/>
        </w:rPr>
        <w:t>1.40%</w:t>
      </w:r>
      <w:r>
        <w:rPr/>
        <w:t>。</w:t>
      </w:r>
    </w:p>
    <w:p>
      <w:pPr>
        <w:pStyle w:val="BodyText"/>
        <w:spacing w:line="314" w:lineRule="auto" w:before="136"/>
        <w:ind w:left="153" w:right="211" w:firstLine="420"/>
        <w:jc w:val="both"/>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5</w:t>
      </w:r>
      <w:r>
        <w:rPr>
          <w:spacing w:val="-1"/>
        </w:rPr>
        <w:t>日，公司第二届董事会第十三次（临时）会议审议通过了《关于回购注销已不符合激励条</w:t>
      </w:r>
      <w:r>
        <w:rPr/>
        <w:t> </w:t>
      </w:r>
      <w:r>
        <w:rPr>
          <w:spacing w:val="-1"/>
        </w:rPr>
        <w:t>件的原激励对象已获授尚未解锁的限制性股票的议案》，公司董事会决定将已离职的激励对象王雄科、王</w:t>
      </w:r>
      <w:r>
        <w:rPr>
          <w:spacing w:val="-83"/>
        </w:rPr>
        <w:t> </w:t>
      </w:r>
      <w:r>
        <w:rPr>
          <w:spacing w:val="-83"/>
        </w:rPr>
      </w:r>
      <w:r>
        <w:rPr>
          <w:spacing w:val="-2"/>
        </w:rPr>
        <w:t>志君、王迪、陈健洋、郑汉军、陈洵鑫等</w:t>
      </w:r>
      <w:r>
        <w:rPr>
          <w:rFonts w:ascii="Times New Roman" w:hAnsi="Times New Roman" w:cs="Times New Roman" w:eastAsia="Times New Roman" w:hint="default"/>
          <w:spacing w:val="-2"/>
        </w:rPr>
        <w:t>6</w:t>
      </w:r>
      <w:r>
        <w:rPr>
          <w:spacing w:val="-2"/>
        </w:rPr>
        <w:t>人已获授但尚未解锁的限制性股票共计</w:t>
      </w:r>
      <w:r>
        <w:rPr>
          <w:rFonts w:ascii="Times New Roman" w:hAnsi="Times New Roman" w:cs="Times New Roman" w:eastAsia="Times New Roman" w:hint="default"/>
          <w:spacing w:val="-2"/>
        </w:rPr>
        <w:t>4.68</w:t>
      </w:r>
      <w:r>
        <w:rPr>
          <w:spacing w:val="-2"/>
        </w:rPr>
        <w:t>万股（占其已获授限</w:t>
      </w:r>
      <w:r>
        <w:rPr>
          <w:spacing w:val="-88"/>
        </w:rPr>
        <w:t> </w:t>
      </w:r>
      <w:r>
        <w:rPr>
          <w:spacing w:val="-88"/>
        </w:rPr>
      </w:r>
      <w:r>
        <w:rPr>
          <w:spacing w:val="-3"/>
        </w:rPr>
        <w:t>制性股票总数的</w:t>
      </w:r>
      <w:r>
        <w:rPr>
          <w:rFonts w:ascii="Times New Roman" w:hAnsi="Times New Roman" w:cs="Times New Roman" w:eastAsia="Times New Roman" w:hint="default"/>
          <w:spacing w:val="-3"/>
        </w:rPr>
        <w:t>60%</w:t>
      </w:r>
      <w:r>
        <w:rPr>
          <w:spacing w:val="-3"/>
        </w:rPr>
        <w:t>）进行回购注销，回购价格</w:t>
      </w:r>
      <w:r>
        <w:rPr>
          <w:rFonts w:ascii="Times New Roman" w:hAnsi="Times New Roman" w:cs="Times New Roman" w:eastAsia="Times New Roman" w:hint="default"/>
          <w:spacing w:val="-3"/>
        </w:rPr>
        <w:t>4.215</w:t>
      </w:r>
      <w:r>
        <w:rPr>
          <w:spacing w:val="-3"/>
        </w:rPr>
        <w:t>元</w:t>
      </w:r>
      <w:r>
        <w:rPr>
          <w:rFonts w:ascii="Times New Roman" w:hAnsi="Times New Roman" w:cs="Times New Roman" w:eastAsia="Times New Roman" w:hint="default"/>
          <w:spacing w:val="-3"/>
        </w:rPr>
        <w:t>/</w:t>
      </w:r>
      <w:r>
        <w:rPr>
          <w:spacing w:val="-3"/>
        </w:rPr>
        <w:t>股。回购注销后公司首次限制性股票授予对象变为</w:t>
      </w:r>
      <w:r>
        <w:rPr>
          <w:spacing w:val="-57"/>
        </w:rPr>
        <w:t> </w:t>
      </w:r>
      <w:r>
        <w:rPr>
          <w:spacing w:val="-57"/>
        </w:rPr>
      </w:r>
      <w:r>
        <w:rPr>
          <w:rFonts w:ascii="Times New Roman" w:hAnsi="Times New Roman" w:cs="Times New Roman" w:eastAsia="Times New Roman" w:hint="default"/>
        </w:rPr>
        <w:t>193</w:t>
      </w:r>
      <w:r>
        <w:rPr/>
        <w:t>名，尚未解锁的限制性股票数量为</w:t>
      </w:r>
      <w:r>
        <w:rPr>
          <w:rFonts w:ascii="Times New Roman" w:hAnsi="Times New Roman" w:cs="Times New Roman" w:eastAsia="Times New Roman" w:hint="default"/>
        </w:rPr>
        <w:t>460.512</w:t>
      </w:r>
      <w:r>
        <w:rPr/>
        <w:t>万股。</w:t>
      </w:r>
    </w:p>
    <w:p>
      <w:pPr>
        <w:pStyle w:val="BodyText"/>
        <w:spacing w:line="309" w:lineRule="auto" w:before="131"/>
        <w:ind w:left="153" w:right="97" w:firstLine="420"/>
        <w:jc w:val="left"/>
      </w:pP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24</w:t>
      </w:r>
      <w:r>
        <w:rPr>
          <w:spacing w:val="-1"/>
        </w:rPr>
        <w:t>日，公司实施了</w:t>
      </w:r>
      <w:r>
        <w:rPr>
          <w:rFonts w:ascii="Times New Roman" w:hAnsi="Times New Roman" w:cs="Times New Roman" w:eastAsia="Times New Roman" w:hint="default"/>
          <w:spacing w:val="-1"/>
        </w:rPr>
        <w:t>2013</w:t>
      </w:r>
      <w:r>
        <w:rPr>
          <w:spacing w:val="-1"/>
        </w:rPr>
        <w:t>年年度权益分派方案：以公司总股本</w:t>
      </w:r>
      <w:r>
        <w:rPr>
          <w:rFonts w:ascii="Times New Roman" w:hAnsi="Times New Roman" w:cs="Times New Roman" w:eastAsia="Times New Roman" w:hint="default"/>
          <w:spacing w:val="-1"/>
        </w:rPr>
        <w:t>221,706,400</w:t>
      </w:r>
      <w:r>
        <w:rPr>
          <w:spacing w:val="-1"/>
        </w:rPr>
        <w:t>股为基数，向全体</w:t>
      </w:r>
      <w:r>
        <w:rPr/>
        <w:t> 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w:t>
      </w:r>
      <w:r>
        <w:rPr/>
        <w:t>元人民币（含税）。</w:t>
      </w:r>
    </w:p>
    <w:p>
      <w:pPr>
        <w:pStyle w:val="BodyText"/>
        <w:spacing w:line="312" w:lineRule="auto" w:before="136"/>
        <w:ind w:left="153" w:right="97" w:firstLine="42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日，公司第二届董事会第十七次（临时）会议审议通过了《关于回购注销已不符合激励 条件的原激励对象已获授尚未解锁的限制性股票的议案》，公司董事会决定将已离职的激励对象卓婧、向 东升、胡海斌、毛宪标、赵明文、侯绍东、徐吉兵、方均滩、叶炳悦等</w:t>
      </w:r>
      <w:r>
        <w:rPr>
          <w:rFonts w:ascii="Times New Roman" w:hAnsi="Times New Roman" w:cs="Times New Roman" w:eastAsia="Times New Roman" w:hint="default"/>
        </w:rPr>
        <w:t>9</w:t>
      </w:r>
      <w:r>
        <w:rPr/>
        <w:t>人已获授但尚未解锁的限制性股 票共计</w:t>
      </w:r>
      <w:r>
        <w:rPr>
          <w:rFonts w:ascii="Times New Roman" w:hAnsi="Times New Roman" w:cs="Times New Roman" w:eastAsia="Times New Roman" w:hint="default"/>
        </w:rPr>
        <w:t>12.48</w:t>
      </w:r>
      <w:r>
        <w:rPr/>
        <w:t>万股股（占其已获授限制性股票总数的</w:t>
      </w:r>
      <w:r>
        <w:rPr>
          <w:rFonts w:ascii="Times New Roman" w:hAnsi="Times New Roman" w:cs="Times New Roman" w:eastAsia="Times New Roman" w:hint="default"/>
        </w:rPr>
        <w:t>60%</w:t>
      </w:r>
      <w:r>
        <w:rPr/>
        <w:t>）进行回购注销，回购价格元</w:t>
      </w:r>
      <w:r>
        <w:rPr>
          <w:rFonts w:ascii="Times New Roman" w:hAnsi="Times New Roman" w:cs="Times New Roman" w:eastAsia="Times New Roman" w:hint="default"/>
        </w:rPr>
        <w:t>4.185/</w:t>
      </w:r>
      <w:r>
        <w:rPr/>
        <w:t>股（根据</w:t>
      </w:r>
      <w:r>
        <w:rPr>
          <w:rFonts w:ascii="Times New Roman" w:hAnsi="Times New Roman" w:cs="Times New Roman" w:eastAsia="Times New Roman" w:hint="default"/>
        </w:rPr>
        <w:t>2013 </w:t>
      </w:r>
      <w:r>
        <w:rPr>
          <w:spacing w:val="-1"/>
        </w:rPr>
        <w:t>年年度权益分派实施结果相应调整）。本次回购注销完成后，公司首次限制性股票授予对象调整为</w:t>
      </w:r>
      <w:r>
        <w:rPr>
          <w:rFonts w:ascii="Times New Roman" w:hAnsi="Times New Roman" w:cs="Times New Roman" w:eastAsia="Times New Roman" w:hint="default"/>
          <w:spacing w:val="-1"/>
        </w:rPr>
        <w:t>184</w:t>
      </w:r>
      <w:r>
        <w:rPr>
          <w:spacing w:val="-1"/>
        </w:rPr>
        <w:t>名，</w:t>
      </w:r>
      <w:r>
        <w:rPr>
          <w:spacing w:val="-86"/>
        </w:rPr>
        <w:t> </w:t>
      </w:r>
      <w:r>
        <w:rPr/>
        <w:t>尚未解锁的限制性股票数量为</w:t>
      </w:r>
      <w:r>
        <w:rPr>
          <w:rFonts w:ascii="Times New Roman" w:hAnsi="Times New Roman" w:cs="Times New Roman" w:eastAsia="Times New Roman" w:hint="default"/>
        </w:rPr>
        <w:t>448.032</w:t>
      </w:r>
      <w:r>
        <w:rPr/>
        <w:t>万股。</w:t>
      </w:r>
    </w:p>
    <w:p>
      <w:pPr>
        <w:pStyle w:val="BodyText"/>
        <w:spacing w:line="309" w:lineRule="auto" w:before="134"/>
        <w:ind w:left="153" w:right="97" w:firstLine="420"/>
        <w:jc w:val="left"/>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12</w:t>
      </w:r>
      <w:r>
        <w:rPr>
          <w:spacing w:val="-4"/>
        </w:rPr>
        <w:t>日，公司完成了</w:t>
      </w:r>
      <w:r>
        <w:rPr>
          <w:rFonts w:ascii="Times New Roman" w:hAnsi="Times New Roman" w:cs="Times New Roman" w:eastAsia="Times New Roman" w:hint="default"/>
          <w:spacing w:val="-4"/>
        </w:rPr>
        <w:t>2014</w:t>
      </w:r>
      <w:r>
        <w:rPr>
          <w:spacing w:val="-4"/>
        </w:rPr>
        <w:t>年年度权益分派的实施，每</w:t>
      </w:r>
      <w:r>
        <w:rPr>
          <w:rFonts w:ascii="Times New Roman" w:hAnsi="Times New Roman" w:cs="Times New Roman" w:eastAsia="Times New Roman" w:hint="default"/>
          <w:spacing w:val="-4"/>
        </w:rPr>
        <w:t>10</w:t>
      </w:r>
      <w:r>
        <w:rPr>
          <w:spacing w:val="-4"/>
        </w:rPr>
        <w:t>股派发现金股利</w:t>
      </w:r>
      <w:r>
        <w:rPr>
          <w:rFonts w:ascii="Times New Roman" w:hAnsi="Times New Roman" w:cs="Times New Roman" w:eastAsia="Times New Roman" w:hint="default"/>
          <w:spacing w:val="-4"/>
        </w:rPr>
        <w:t>0.45</w:t>
      </w:r>
      <w:r>
        <w:rPr>
          <w:spacing w:val="-4"/>
        </w:rPr>
        <w:t>元人民币（含税），</w:t>
      </w:r>
      <w:r>
        <w:rPr/>
        <w:t> 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股。本次权益分派实施后，尚未解锁的限制性股票数量相应调整 为</w:t>
      </w:r>
      <w:r>
        <w:rPr>
          <w:rFonts w:ascii="Times New Roman" w:hAnsi="Times New Roman" w:cs="Times New Roman" w:eastAsia="Times New Roman" w:hint="default"/>
        </w:rPr>
        <w:t>896.064</w:t>
      </w:r>
      <w:r>
        <w:rPr/>
        <w:t>万股。</w:t>
      </w:r>
    </w:p>
    <w:p>
      <w:pPr>
        <w:pStyle w:val="BodyText"/>
        <w:spacing w:line="314" w:lineRule="auto" w:before="136"/>
        <w:ind w:left="153" w:right="97"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日，公司召开了第三届董事会第二次会议，审议通过了《关于第三期限制性股票解锁的 议案》，全体董事一致同意按照公司《限制性股票激励计划（草案修订稿）》的相关规定办理本次限制性 </w:t>
      </w:r>
      <w:r>
        <w:rPr>
          <w:spacing w:val="-2"/>
        </w:rPr>
        <w:t>股票的解锁事宜，本次符合解锁条件的激励对象共计</w:t>
      </w:r>
      <w:r>
        <w:rPr>
          <w:rFonts w:ascii="Times New Roman" w:hAnsi="Times New Roman" w:cs="Times New Roman" w:eastAsia="Times New Roman" w:hint="default"/>
          <w:spacing w:val="-2"/>
        </w:rPr>
        <w:t>184</w:t>
      </w:r>
      <w:r>
        <w:rPr>
          <w:spacing w:val="-2"/>
        </w:rPr>
        <w:t>人，可申请解锁的限制性股票数量为</w:t>
      </w:r>
      <w:r>
        <w:rPr>
          <w:rFonts w:ascii="Times New Roman" w:hAnsi="Times New Roman" w:cs="Times New Roman" w:eastAsia="Times New Roman" w:hint="default"/>
          <w:spacing w:val="-2"/>
        </w:rPr>
        <w:t>896.064</w:t>
      </w:r>
      <w:r>
        <w:rPr>
          <w:spacing w:val="-2"/>
        </w:rPr>
        <w:t>万股，</w:t>
      </w:r>
      <w:r>
        <w:rPr>
          <w:spacing w:val="-82"/>
        </w:rPr>
        <w:t> </w:t>
      </w:r>
      <w:r>
        <w:rPr/>
        <w:t>占公司股本总额的</w:t>
      </w:r>
      <w:r>
        <w:rPr>
          <w:rFonts w:ascii="Times New Roman" w:hAnsi="Times New Roman" w:cs="Times New Roman" w:eastAsia="Times New Roman" w:hint="default"/>
        </w:rPr>
        <w:t>2.02%</w:t>
      </w:r>
      <w:r>
        <w:rPr/>
        <w:t>，本次解锁的制性股票的上市流通日为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日。详见公司披露于巨潮资讯 网</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hyperlink>
      <w:r>
        <w:rPr/>
        <w:t>的相关公告。</w:t>
      </w:r>
    </w:p>
    <w:p>
      <w:pPr>
        <w:pStyle w:val="BodyText"/>
        <w:spacing w:line="240" w:lineRule="auto" w:before="131"/>
        <w:ind w:right="97"/>
        <w:jc w:val="left"/>
      </w:pPr>
      <w:r>
        <w:rPr/>
        <w:t>至此，公司首次限制性股票激励计划已全部实施完毕。</w:t>
      </w:r>
    </w:p>
    <w:p>
      <w:pPr>
        <w:spacing w:line="240" w:lineRule="auto" w:before="10"/>
        <w:rPr>
          <w:rFonts w:ascii="宋体" w:hAnsi="宋体" w:cs="宋体" w:eastAsia="宋体" w:hint="default"/>
          <w:sz w:val="16"/>
          <w:szCs w:val="16"/>
        </w:rPr>
      </w:pPr>
    </w:p>
    <w:p>
      <w:pPr>
        <w:pStyle w:val="Heading4"/>
        <w:spacing w:line="240" w:lineRule="auto"/>
        <w:ind w:left="576" w:right="97"/>
        <w:jc w:val="left"/>
        <w:rPr>
          <w:b w:val="0"/>
          <w:bCs w:val="0"/>
        </w:rPr>
      </w:pPr>
      <w:r>
        <w:rPr/>
        <w:t>（二）员工持股计划</w:t>
      </w:r>
      <w:r>
        <w:rPr>
          <w:b w:val="0"/>
          <w:bCs w:val="0"/>
        </w:rPr>
      </w:r>
    </w:p>
    <w:p>
      <w:pPr>
        <w:spacing w:line="240" w:lineRule="auto" w:before="10"/>
        <w:rPr>
          <w:rFonts w:ascii="宋体" w:hAnsi="宋体" w:cs="宋体" w:eastAsia="宋体" w:hint="default"/>
          <w:b/>
          <w:bCs/>
          <w:sz w:val="16"/>
          <w:szCs w:val="16"/>
        </w:rPr>
      </w:pPr>
    </w:p>
    <w:p>
      <w:pPr>
        <w:pStyle w:val="BodyText"/>
        <w:spacing w:line="312" w:lineRule="auto"/>
        <w:ind w:left="153" w:right="202"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7</w:t>
      </w:r>
      <w:r>
        <w:rPr/>
        <w:t>日，公司召开了第二届董事会第二十三次会议审议通过了《关于</w:t>
      </w:r>
      <w:r>
        <w:rPr>
          <w:rFonts w:ascii="Times New Roman" w:hAnsi="Times New Roman" w:cs="Times New Roman" w:eastAsia="Times New Roman" w:hint="default"/>
        </w:rPr>
        <w:t>&lt;</w:t>
      </w:r>
      <w:r>
        <w:rPr/>
        <w:t>厦门市美亚柏科信息股 </w:t>
      </w:r>
      <w:r>
        <w:rPr>
          <w:spacing w:val="-1"/>
        </w:rPr>
        <w:t>份有限公司第</w:t>
      </w:r>
      <w:r>
        <w:rPr>
          <w:rFonts w:ascii="Times New Roman" w:hAnsi="Times New Roman" w:cs="Times New Roman" w:eastAsia="Times New Roman" w:hint="default"/>
          <w:spacing w:val="-1"/>
        </w:rPr>
        <w:t>1</w:t>
      </w:r>
      <w:r>
        <w:rPr>
          <w:spacing w:val="-1"/>
        </w:rPr>
        <w:t>期员工持股计划（草案）（非公开发行方式认购）</w:t>
      </w:r>
      <w:r>
        <w:rPr>
          <w:rFonts w:ascii="Times New Roman" w:hAnsi="Times New Roman" w:cs="Times New Roman" w:eastAsia="Times New Roman" w:hint="default"/>
          <w:spacing w:val="-1"/>
        </w:rPr>
        <w:t>&gt;</w:t>
      </w:r>
      <w:r>
        <w:rPr>
          <w:spacing w:val="-1"/>
        </w:rPr>
        <w:t>及其摘要的议案》，本员工持股计划的</w:t>
      </w:r>
      <w:r>
        <w:rPr>
          <w:spacing w:val="-99"/>
        </w:rPr>
        <w:t> </w:t>
      </w:r>
      <w:r>
        <w:rPr>
          <w:spacing w:val="-99"/>
        </w:rPr>
      </w:r>
      <w:r>
        <w:rPr/>
        <w:t>股票来源拟为认购本公司重大资产重组募集配套资金中非公开发行的股票，认购股份金额不超过人民币 </w:t>
      </w:r>
      <w:r>
        <w:rPr>
          <w:rFonts w:ascii="Times New Roman" w:hAnsi="Times New Roman" w:cs="Times New Roman" w:eastAsia="Times New Roman" w:hint="default"/>
          <w:spacing w:val="-1"/>
        </w:rPr>
        <w:t>171,920,000</w:t>
      </w:r>
      <w:r>
        <w:rPr>
          <w:spacing w:val="-1"/>
        </w:rPr>
        <w:t>元，对应认购股份不超过</w:t>
      </w:r>
      <w:r>
        <w:rPr>
          <w:rFonts w:ascii="Times New Roman" w:hAnsi="Times New Roman" w:cs="Times New Roman" w:eastAsia="Times New Roman" w:hint="default"/>
          <w:spacing w:val="-1"/>
        </w:rPr>
        <w:t>7,000,000</w:t>
      </w:r>
      <w:r>
        <w:rPr>
          <w:spacing w:val="-1"/>
        </w:rPr>
        <w:t>股，价格以公司董事会做出本次重大资产重组及募集配套资</w:t>
      </w:r>
      <w:r>
        <w:rPr>
          <w:spacing w:val="-79"/>
        </w:rPr>
        <w:t> </w:t>
      </w:r>
      <w:r>
        <w:rPr>
          <w:spacing w:val="-79"/>
        </w:rPr>
      </w:r>
      <w:r>
        <w:rPr/>
        <w:t>金决议公告日前二十个交易日股票均价的</w:t>
      </w:r>
      <w:r>
        <w:rPr>
          <w:rFonts w:ascii="Times New Roman" w:hAnsi="Times New Roman" w:cs="Times New Roman" w:eastAsia="Times New Roman" w:hint="default"/>
        </w:rPr>
        <w:t>90%</w:t>
      </w:r>
      <w:r>
        <w:rPr/>
        <w:t>确定，即</w:t>
      </w:r>
      <w:r>
        <w:rPr>
          <w:rFonts w:ascii="Times New Roman" w:hAnsi="Times New Roman" w:cs="Times New Roman" w:eastAsia="Times New Roman" w:hint="default"/>
        </w:rPr>
        <w:t>24.56</w:t>
      </w:r>
      <w:r>
        <w:rPr/>
        <w:t>元</w:t>
      </w:r>
      <w:r>
        <w:rPr>
          <w:rFonts w:ascii="Times New Roman" w:hAnsi="Times New Roman" w:cs="Times New Roman" w:eastAsia="Times New Roman" w:hint="default"/>
        </w:rPr>
        <w:t>/</w:t>
      </w:r>
      <w:r>
        <w:rPr/>
        <w:t>股。详见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日公司披露于巨潮资 讯网</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hyperlink>
      <w:r>
        <w:rPr/>
        <w:t>的相关公告。</w:t>
      </w:r>
    </w:p>
    <w:p>
      <w:pPr>
        <w:pStyle w:val="BodyText"/>
        <w:spacing w:line="309" w:lineRule="auto" w:before="133"/>
        <w:ind w:left="154" w:right="97" w:firstLine="419"/>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日，公司召开了第三届董事会第五次会议审议通过了《关于厦门市美亚柏科信息股份有</w:t>
      </w:r>
      <w:r>
        <w:rPr/>
        <w:t> 限公司取消募集配套资金的议案》及《关于取消厦门市美亚柏科信息股份有限公司第</w:t>
      </w:r>
      <w:r>
        <w:rPr>
          <w:rFonts w:ascii="Times New Roman" w:hAnsi="Times New Roman" w:cs="Times New Roman" w:eastAsia="Times New Roman" w:hint="default"/>
        </w:rPr>
        <w:t>1</w:t>
      </w:r>
      <w:r>
        <w:rPr/>
        <w:t>期员工持股计划的 </w:t>
      </w:r>
      <w:r>
        <w:rPr>
          <w:spacing w:val="-1"/>
        </w:rPr>
        <w:t>议案》，结合资本市场情况和公司资金状况，公司决定取消重大资产重组项目募集配套资金安排，因此同</w:t>
      </w:r>
    </w:p>
    <w:p>
      <w:pPr>
        <w:spacing w:after="0" w:line="309" w:lineRule="auto"/>
        <w:jc w:val="left"/>
        <w:sectPr>
          <w:footerReference w:type="default" r:id="rId17"/>
          <w:pgSz w:w="11910" w:h="16840"/>
          <w:pgMar w:footer="1267" w:header="918" w:top="1160" w:bottom="1460" w:left="980" w:right="920"/>
          <w:pgNumType w:start="63"/>
        </w:sectPr>
      </w:pPr>
    </w:p>
    <w:p>
      <w:pPr>
        <w:spacing w:line="240" w:lineRule="auto" w:before="5"/>
        <w:rPr>
          <w:rFonts w:ascii="宋体" w:hAnsi="宋体" w:cs="宋体" w:eastAsia="宋体" w:hint="default"/>
          <w:sz w:val="20"/>
          <w:szCs w:val="20"/>
        </w:rPr>
      </w:pPr>
    </w:p>
    <w:p>
      <w:pPr>
        <w:pStyle w:val="BodyText"/>
        <w:spacing w:line="309" w:lineRule="auto" w:before="35"/>
        <w:ind w:left="153" w:right="953"/>
        <w:jc w:val="left"/>
      </w:pPr>
      <w:r>
        <w:rPr/>
        <w:t>时取消拟参与认购募集配套资金的本次员工持股计划。详见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日公司披露于巨潮资讯 网</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hyperlink>
      <w:r>
        <w:rPr/>
        <w:t>的相关公告。</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w:t>
      </w:r>
      <w:bookmarkStart w:name="1、与日常经营相关的关联交易" w:id="79"/>
      <w:bookmarkEnd w:id="79"/>
      <w:r>
        <w:rPr/>
        <w:t>相关的关</w:t>
      </w:r>
      <w:r>
        <w:rPr/>
        <w:t>联交易</w:t>
      </w:r>
      <w:r>
        <w:rPr>
          <w:b w:val="0"/>
          <w:bCs w:val="0"/>
        </w:rPr>
      </w:r>
    </w:p>
    <w:p>
      <w:pPr>
        <w:spacing w:line="240" w:lineRule="auto" w:before="0"/>
        <w:rPr>
          <w:rFonts w:ascii="宋体" w:hAnsi="宋体" w:cs="宋体" w:eastAsia="宋体" w:hint="default"/>
          <w:b/>
          <w:bCs/>
          <w:sz w:val="27"/>
          <w:szCs w:val="27"/>
        </w:rPr>
      </w:pPr>
    </w:p>
    <w:p>
      <w:pPr>
        <w:pStyle w:val="BodyText"/>
        <w:spacing w:line="408" w:lineRule="auto"/>
        <w:ind w:right="45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公司报告期未发生与日常经营相关的重大关联交易。</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w:t>
      </w:r>
      <w:r>
        <w:rPr/>
        <w:t>、资产或股权收购、出售发生的关联</w:t>
      </w:r>
      <w:bookmarkStart w:name="2、资产或股权收购、出售发生的关联交易" w:id="80"/>
      <w:bookmarkEnd w:id="80"/>
      <w:r>
        <w:rPr/>
        <w:t>交易</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50"/>
        <w:gridCol w:w="751"/>
        <w:gridCol w:w="798"/>
        <w:gridCol w:w="800"/>
        <w:gridCol w:w="798"/>
        <w:gridCol w:w="796"/>
        <w:gridCol w:w="798"/>
        <w:gridCol w:w="797"/>
        <w:gridCol w:w="796"/>
        <w:gridCol w:w="796"/>
        <w:gridCol w:w="798"/>
        <w:gridCol w:w="796"/>
      </w:tblGrid>
      <w:tr>
        <w:trPr>
          <w:trHeight w:val="1026" w:hRule="exact"/>
        </w:trPr>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4"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33" w:firstLine="9"/>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37" w:firstLine="10"/>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8"/>
                <w:sz w:val="18"/>
                <w:szCs w:val="18"/>
              </w:rPr>
              <w:t>值（万元</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2" w:right="95"/>
              <w:jc w:val="both"/>
              <w:rPr>
                <w:rFonts w:ascii="宋体" w:hAnsi="宋体" w:cs="宋体" w:eastAsia="宋体" w:hint="default"/>
                <w:sz w:val="18"/>
                <w:szCs w:val="18"/>
              </w:rPr>
            </w:pPr>
            <w:r>
              <w:rPr>
                <w:rFonts w:ascii="宋体" w:hAnsi="宋体" w:cs="宋体" w:eastAsia="宋体" w:hint="default"/>
                <w:sz w:val="18"/>
                <w:szCs w:val="18"/>
              </w:rPr>
              <w:t>厦门市锐 享信息咨 询合伙企 业</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合伙企 业合伙 人涉及 公司高 管栾江 </w:t>
            </w:r>
            <w:r>
              <w:rPr>
                <w:rFonts w:ascii="宋体" w:hAnsi="宋体" w:cs="宋体" w:eastAsia="宋体" w:hint="default"/>
                <w:spacing w:val="-7"/>
                <w:sz w:val="18"/>
                <w:szCs w:val="18"/>
              </w:rPr>
              <w:t>霞、吴鸿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伟</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4"/>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转让厦门 服云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319" w:lineRule="auto" w:before="63"/>
              <w:ind w:left="22" w:right="43"/>
              <w:jc w:val="both"/>
              <w:rPr>
                <w:rFonts w:ascii="宋体" w:hAnsi="宋体" w:cs="宋体" w:eastAsia="宋体" w:hint="default"/>
                <w:sz w:val="18"/>
                <w:szCs w:val="18"/>
              </w:rPr>
            </w:pPr>
            <w:r>
              <w:rPr>
                <w:rFonts w:ascii="宋体" w:hAnsi="宋体" w:cs="宋体" w:eastAsia="宋体" w:hint="default"/>
                <w:sz w:val="18"/>
                <w:szCs w:val="18"/>
              </w:rPr>
              <w:t>日服云经 审计后的 净资产</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18.66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41.72</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23.06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38" w:lineRule="auto"/>
              <w:ind w:left="22"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 网 </w:t>
            </w:r>
            <w:r>
              <w:rPr>
                <w:rFonts w:ascii="Times New Roman" w:hAnsi="Times New Roman" w:cs="Times New Roman" w:eastAsia="Times New Roman" w:hint="default"/>
                <w:spacing w:val="-2"/>
                <w:sz w:val="18"/>
                <w:szCs w:val="18"/>
              </w:rPr>
              <w:t>www.cnin</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fo.com.cn</w:t>
            </w:r>
          </w:p>
        </w:tc>
      </w:tr>
      <w:tr>
        <w:trPr>
          <w:trHeight w:val="714" w:hRule="exact"/>
        </w:trPr>
        <w:tc>
          <w:tcPr>
            <w:tcW w:w="319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3" w:type="dxa"/>
            <w:gridSpan w:val="8"/>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3" w:type="dxa"/>
            <w:gridSpan w:val="8"/>
            <w:tcBorders>
              <w:top w:val="single" w:sz="4" w:space="0" w:color="000000"/>
              <w:left w:val="single" w:sz="10" w:space="0" w:color="D4D4D4"/>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对公司经营成果与财务状况无重大影响</w:t>
            </w:r>
          </w:p>
        </w:tc>
      </w:tr>
      <w:tr>
        <w:trPr>
          <w:trHeight w:val="714" w:hRule="exact"/>
        </w:trPr>
        <w:tc>
          <w:tcPr>
            <w:tcW w:w="3199"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2" w:right="104"/>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3" w:type="dxa"/>
            <w:gridSpan w:val="8"/>
            <w:tcBorders>
              <w:top w:val="single" w:sz="4" w:space="0" w:color="000000"/>
              <w:left w:val="single" w:sz="10" w:space="0" w:color="D4D4D4"/>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76"/>
        <w:gridCol w:w="1073"/>
        <w:gridCol w:w="1076"/>
        <w:gridCol w:w="1224"/>
        <w:gridCol w:w="1080"/>
        <w:gridCol w:w="1350"/>
        <w:gridCol w:w="1346"/>
        <w:gridCol w:w="1342"/>
      </w:tblGrid>
      <w:tr>
        <w:trPr>
          <w:trHeight w:val="714" w:hRule="exact"/>
        </w:trPr>
        <w:tc>
          <w:tcPr>
            <w:tcW w:w="1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28" w:right="36" w:hanging="90"/>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26" w:right="35" w:hanging="90"/>
              <w:jc w:val="left"/>
              <w:rPr>
                <w:rFonts w:ascii="宋体" w:hAnsi="宋体" w:cs="宋体" w:eastAsia="宋体" w:hint="default"/>
                <w:sz w:val="18"/>
                <w:szCs w:val="18"/>
              </w:rPr>
            </w:pPr>
            <w:bookmarkStart w:name="3、共同对外投资的关联交易" w:id="81"/>
            <w:bookmarkEnd w:id="81"/>
            <w:r>
              <w:rPr/>
            </w:r>
            <w:r>
              <w:rPr>
                <w:rFonts w:ascii="宋体" w:hAnsi="宋体" w:cs="宋体" w:eastAsia="宋体" w:hint="default"/>
                <w:sz w:val="18"/>
                <w:szCs w:val="18"/>
              </w:rPr>
              <w:t>被投资企业的净 利润（万元）</w:t>
            </w:r>
          </w:p>
        </w:tc>
      </w:tr>
      <w:tr>
        <w:trPr>
          <w:trHeight w:val="1962"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2" w:right="-7"/>
              <w:jc w:val="both"/>
              <w:rPr>
                <w:rFonts w:ascii="宋体" w:hAnsi="宋体" w:cs="宋体" w:eastAsia="宋体" w:hint="default"/>
                <w:sz w:val="18"/>
                <w:szCs w:val="18"/>
              </w:rPr>
            </w:pPr>
            <w:r>
              <w:rPr>
                <w:rFonts w:ascii="宋体" w:hAnsi="宋体" w:cs="宋体" w:eastAsia="宋体" w:hint="default"/>
                <w:spacing w:val="24"/>
                <w:sz w:val="18"/>
                <w:szCs w:val="18"/>
              </w:rPr>
              <w:t>厦门市聚恩</w:t>
            </w:r>
            <w:r>
              <w:rPr>
                <w:rFonts w:ascii="宋体" w:hAnsi="宋体" w:cs="宋体" w:eastAsia="宋体" w:hint="default"/>
                <w:spacing w:val="-60"/>
                <w:sz w:val="18"/>
                <w:szCs w:val="18"/>
              </w:rPr>
              <w:t> </w:t>
            </w:r>
            <w:r>
              <w:rPr>
                <w:rFonts w:ascii="宋体" w:hAnsi="宋体" w:cs="宋体" w:eastAsia="宋体" w:hint="default"/>
                <w:spacing w:val="24"/>
                <w:sz w:val="18"/>
                <w:szCs w:val="18"/>
              </w:rPr>
              <w:t>信息咨询合</w:t>
            </w:r>
            <w:r>
              <w:rPr>
                <w:rFonts w:ascii="宋体" w:hAnsi="宋体" w:cs="宋体" w:eastAsia="宋体" w:hint="default"/>
                <w:spacing w:val="-60"/>
                <w:sz w:val="18"/>
                <w:szCs w:val="18"/>
              </w:rPr>
              <w:t> </w:t>
            </w:r>
            <w:r>
              <w:rPr>
                <w:rFonts w:ascii="宋体" w:hAnsi="宋体" w:cs="宋体" w:eastAsia="宋体" w:hint="default"/>
                <w:spacing w:val="-10"/>
                <w:sz w:val="18"/>
                <w:szCs w:val="18"/>
              </w:rPr>
              <w:t>伙企业（有限</w:t>
            </w:r>
            <w:r>
              <w:rPr>
                <w:rFonts w:ascii="宋体" w:hAnsi="宋体" w:cs="宋体" w:eastAsia="宋体" w:hint="default"/>
                <w:sz w:val="18"/>
                <w:szCs w:val="18"/>
              </w:rPr>
              <w:t> 合伙）</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both"/>
              <w:rPr>
                <w:rFonts w:ascii="宋体" w:hAnsi="宋体" w:cs="宋体" w:eastAsia="宋体" w:hint="default"/>
                <w:sz w:val="18"/>
                <w:szCs w:val="18"/>
              </w:rPr>
            </w:pPr>
            <w:r>
              <w:rPr>
                <w:rFonts w:ascii="宋体" w:hAnsi="宋体" w:cs="宋体" w:eastAsia="宋体" w:hint="default"/>
                <w:spacing w:val="22"/>
                <w:sz w:val="18"/>
                <w:szCs w:val="18"/>
              </w:rPr>
              <w:t>合伙企业合</w:t>
            </w:r>
            <w:r>
              <w:rPr>
                <w:rFonts w:ascii="宋体" w:hAnsi="宋体" w:cs="宋体" w:eastAsia="宋体" w:hint="default"/>
                <w:spacing w:val="-62"/>
                <w:sz w:val="18"/>
                <w:szCs w:val="18"/>
              </w:rPr>
              <w:t> </w:t>
            </w:r>
            <w:r>
              <w:rPr>
                <w:rFonts w:ascii="宋体" w:hAnsi="宋体" w:cs="宋体" w:eastAsia="宋体" w:hint="default"/>
                <w:spacing w:val="22"/>
                <w:sz w:val="18"/>
                <w:szCs w:val="18"/>
              </w:rPr>
              <w:t>伙人吴鸿伟</w:t>
            </w:r>
            <w:r>
              <w:rPr>
                <w:rFonts w:ascii="宋体" w:hAnsi="宋体" w:cs="宋体" w:eastAsia="宋体" w:hint="default"/>
                <w:spacing w:val="-62"/>
                <w:sz w:val="18"/>
                <w:szCs w:val="18"/>
              </w:rPr>
              <w:t> </w:t>
            </w:r>
            <w:r>
              <w:rPr>
                <w:rFonts w:ascii="宋体" w:hAnsi="宋体" w:cs="宋体" w:eastAsia="宋体" w:hint="default"/>
                <w:spacing w:val="22"/>
                <w:sz w:val="18"/>
                <w:szCs w:val="18"/>
              </w:rPr>
              <w:t>现任公司副</w:t>
            </w:r>
            <w:r>
              <w:rPr>
                <w:rFonts w:ascii="宋体" w:hAnsi="宋体" w:cs="宋体" w:eastAsia="宋体" w:hint="default"/>
                <w:spacing w:val="-62"/>
                <w:sz w:val="18"/>
                <w:szCs w:val="18"/>
              </w:rPr>
              <w:t> </w:t>
            </w:r>
            <w:r>
              <w:rPr>
                <w:rFonts w:ascii="宋体" w:hAnsi="宋体" w:cs="宋体" w:eastAsia="宋体" w:hint="default"/>
                <w:spacing w:val="-11"/>
                <w:sz w:val="18"/>
                <w:szCs w:val="18"/>
              </w:rPr>
              <w:t>总经理，为公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2"/>
                <w:sz w:val="18"/>
                <w:szCs w:val="18"/>
              </w:rPr>
              <w:t>司高级管理</w:t>
            </w:r>
            <w:r>
              <w:rPr>
                <w:rFonts w:ascii="宋体" w:hAnsi="宋体" w:cs="宋体" w:eastAsia="宋体" w:hint="default"/>
                <w:spacing w:val="-62"/>
                <w:sz w:val="18"/>
                <w:szCs w:val="18"/>
              </w:rPr>
              <w:t> </w:t>
            </w:r>
            <w:r>
              <w:rPr>
                <w:rFonts w:ascii="宋体" w:hAnsi="宋体" w:cs="宋体" w:eastAsia="宋体" w:hint="default"/>
                <w:sz w:val="18"/>
                <w:szCs w:val="18"/>
              </w:rPr>
              <w:t>人员</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7"/>
              <w:jc w:val="both"/>
              <w:rPr>
                <w:rFonts w:ascii="宋体" w:hAnsi="宋体" w:cs="宋体" w:eastAsia="宋体" w:hint="default"/>
                <w:sz w:val="18"/>
                <w:szCs w:val="18"/>
              </w:rPr>
            </w:pPr>
            <w:r>
              <w:rPr>
                <w:rFonts w:ascii="宋体" w:hAnsi="宋体" w:cs="宋体" w:eastAsia="宋体" w:hint="default"/>
                <w:spacing w:val="24"/>
                <w:sz w:val="18"/>
                <w:szCs w:val="18"/>
              </w:rPr>
              <w:t>厦门安胜网</w:t>
            </w:r>
            <w:r>
              <w:rPr>
                <w:rFonts w:ascii="宋体" w:hAnsi="宋体" w:cs="宋体" w:eastAsia="宋体" w:hint="default"/>
                <w:spacing w:val="-60"/>
                <w:sz w:val="18"/>
                <w:szCs w:val="18"/>
              </w:rPr>
              <w:t> </w:t>
            </w:r>
            <w:r>
              <w:rPr>
                <w:rFonts w:ascii="宋体" w:hAnsi="宋体" w:cs="宋体" w:eastAsia="宋体" w:hint="default"/>
                <w:spacing w:val="24"/>
                <w:sz w:val="18"/>
                <w:szCs w:val="18"/>
              </w:rPr>
              <w:t>络科技有限</w:t>
            </w:r>
            <w:r>
              <w:rPr>
                <w:rFonts w:ascii="宋体" w:hAnsi="宋体" w:cs="宋体" w:eastAsia="宋体" w:hint="default"/>
                <w:spacing w:val="-60"/>
                <w:sz w:val="18"/>
                <w:szCs w:val="18"/>
              </w:rPr>
              <w:t> </w:t>
            </w:r>
            <w:r>
              <w:rPr>
                <w:rFonts w:ascii="宋体" w:hAnsi="宋体" w:cs="宋体" w:eastAsia="宋体" w:hint="default"/>
                <w:sz w:val="18"/>
                <w:szCs w:val="18"/>
              </w:rPr>
              <w:t>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3" w:right="1"/>
              <w:jc w:val="both"/>
              <w:rPr>
                <w:rFonts w:ascii="宋体" w:hAnsi="宋体" w:cs="宋体" w:eastAsia="宋体" w:hint="default"/>
                <w:sz w:val="18"/>
                <w:szCs w:val="18"/>
              </w:rPr>
            </w:pPr>
            <w:r>
              <w:rPr>
                <w:rFonts w:ascii="宋体" w:hAnsi="宋体" w:cs="宋体" w:eastAsia="宋体" w:hint="default"/>
                <w:spacing w:val="14"/>
                <w:sz w:val="18"/>
                <w:szCs w:val="18"/>
              </w:rPr>
              <w:t>提供网络安全</w:t>
            </w:r>
            <w:r>
              <w:rPr>
                <w:rFonts w:ascii="宋体" w:hAnsi="宋体" w:cs="宋体" w:eastAsia="宋体" w:hint="default"/>
                <w:spacing w:val="-87"/>
                <w:sz w:val="18"/>
                <w:szCs w:val="18"/>
              </w:rPr>
              <w:t> </w:t>
            </w:r>
            <w:r>
              <w:rPr>
                <w:rFonts w:ascii="宋体" w:hAnsi="宋体" w:cs="宋体" w:eastAsia="宋体" w:hint="default"/>
                <w:spacing w:val="14"/>
                <w:sz w:val="18"/>
                <w:szCs w:val="18"/>
              </w:rPr>
              <w:t>防护和软件安</w:t>
            </w:r>
            <w:r>
              <w:rPr>
                <w:rFonts w:ascii="宋体" w:hAnsi="宋体" w:cs="宋体" w:eastAsia="宋体" w:hint="default"/>
                <w:spacing w:val="-87"/>
                <w:sz w:val="18"/>
                <w:szCs w:val="18"/>
              </w:rPr>
              <w:t> </w:t>
            </w:r>
            <w:r>
              <w:rPr>
                <w:rFonts w:ascii="宋体" w:hAnsi="宋体" w:cs="宋体" w:eastAsia="宋体" w:hint="default"/>
                <w:sz w:val="18"/>
                <w:szCs w:val="18"/>
              </w:rPr>
              <w:t>全性检测服务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3,548.00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599.62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99.62</w:t>
            </w:r>
          </w:p>
        </w:tc>
      </w:tr>
      <w:tr>
        <w:trPr>
          <w:trHeight w:val="1026"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0"/>
              <w:jc w:val="both"/>
              <w:rPr>
                <w:rFonts w:ascii="宋体" w:hAnsi="宋体" w:cs="宋体" w:eastAsia="宋体" w:hint="default"/>
                <w:sz w:val="18"/>
                <w:szCs w:val="18"/>
              </w:rPr>
            </w:pPr>
            <w:r>
              <w:rPr>
                <w:rFonts w:ascii="宋体" w:hAnsi="宋体" w:cs="宋体" w:eastAsia="宋体" w:hint="default"/>
                <w:spacing w:val="14"/>
                <w:sz w:val="18"/>
                <w:szCs w:val="18"/>
              </w:rPr>
              <w:t>高峰</w:t>
            </w:r>
            <w:r>
              <w:rPr>
                <w:rFonts w:ascii="宋体" w:hAnsi="宋体" w:cs="宋体" w:eastAsia="宋体" w:hint="default"/>
                <w:spacing w:val="-62"/>
                <w:sz w:val="18"/>
                <w:szCs w:val="18"/>
              </w:rPr>
              <w:t> </w:t>
            </w:r>
            <w:r>
              <w:rPr>
                <w:rFonts w:ascii="宋体" w:hAnsi="宋体" w:cs="宋体" w:eastAsia="宋体" w:hint="default"/>
                <w:spacing w:val="18"/>
                <w:sz w:val="18"/>
                <w:szCs w:val="18"/>
              </w:rPr>
              <w:t>现任公</w:t>
            </w:r>
            <w:r>
              <w:rPr>
                <w:rFonts w:ascii="宋体" w:hAnsi="宋体" w:cs="宋体" w:eastAsia="宋体" w:hint="default"/>
                <w:spacing w:val="-62"/>
                <w:sz w:val="18"/>
                <w:szCs w:val="18"/>
              </w:rPr>
              <w:t> </w:t>
            </w:r>
            <w:r>
              <w:rPr>
                <w:rFonts w:ascii="宋体" w:hAnsi="宋体" w:cs="宋体" w:eastAsia="宋体" w:hint="default"/>
                <w:sz w:val="18"/>
                <w:szCs w:val="18"/>
              </w:rPr>
              <w:t>司副总经理，</w:t>
            </w:r>
            <w:r>
              <w:rPr>
                <w:rFonts w:ascii="宋体" w:hAnsi="宋体" w:cs="宋体" w:eastAsia="宋体" w:hint="default"/>
                <w:sz w:val="18"/>
                <w:szCs w:val="18"/>
              </w:rPr>
              <w:t> </w:t>
            </w:r>
            <w:r>
              <w:rPr>
                <w:rFonts w:ascii="宋体" w:hAnsi="宋体" w:cs="宋体" w:eastAsia="宋体" w:hint="default"/>
                <w:spacing w:val="22"/>
                <w:sz w:val="18"/>
                <w:szCs w:val="18"/>
              </w:rPr>
              <w:t>为公司高级</w:t>
            </w:r>
            <w:r>
              <w:rPr>
                <w:rFonts w:ascii="宋体" w:hAnsi="宋体" w:cs="宋体" w:eastAsia="宋体" w:hint="default"/>
                <w:spacing w:val="-62"/>
                <w:sz w:val="18"/>
                <w:szCs w:val="18"/>
              </w:rPr>
              <w:t> </w:t>
            </w:r>
            <w:r>
              <w:rPr>
                <w:rFonts w:ascii="宋体" w:hAnsi="宋体" w:cs="宋体" w:eastAsia="宋体" w:hint="default"/>
                <w:sz w:val="18"/>
                <w:szCs w:val="18"/>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
              <w:jc w:val="both"/>
              <w:rPr>
                <w:rFonts w:ascii="宋体" w:hAnsi="宋体" w:cs="宋体" w:eastAsia="宋体" w:hint="default"/>
                <w:sz w:val="18"/>
                <w:szCs w:val="18"/>
              </w:rPr>
            </w:pPr>
            <w:r>
              <w:rPr>
                <w:rFonts w:ascii="宋体" w:hAnsi="宋体" w:cs="宋体" w:eastAsia="宋体" w:hint="default"/>
                <w:spacing w:val="24"/>
                <w:sz w:val="18"/>
                <w:szCs w:val="18"/>
              </w:rPr>
              <w:t>北京市美亚</w:t>
            </w:r>
            <w:r>
              <w:rPr>
                <w:rFonts w:ascii="宋体" w:hAnsi="宋体" w:cs="宋体" w:eastAsia="宋体" w:hint="default"/>
                <w:spacing w:val="-60"/>
                <w:sz w:val="18"/>
                <w:szCs w:val="18"/>
              </w:rPr>
              <w:t> </w:t>
            </w:r>
            <w:r>
              <w:rPr>
                <w:rFonts w:ascii="宋体" w:hAnsi="宋体" w:cs="宋体" w:eastAsia="宋体" w:hint="default"/>
                <w:spacing w:val="24"/>
                <w:sz w:val="18"/>
                <w:szCs w:val="18"/>
              </w:rPr>
              <w:t>宏数有限责</w:t>
            </w:r>
            <w:r>
              <w:rPr>
                <w:rFonts w:ascii="宋体" w:hAnsi="宋体" w:cs="宋体" w:eastAsia="宋体" w:hint="default"/>
                <w:spacing w:val="-60"/>
                <w:sz w:val="18"/>
                <w:szCs w:val="18"/>
              </w:rPr>
              <w:t> </w:t>
            </w:r>
            <w:r>
              <w:rPr>
                <w:rFonts w:ascii="宋体" w:hAnsi="宋体" w:cs="宋体" w:eastAsia="宋体" w:hint="default"/>
                <w:sz w:val="18"/>
                <w:szCs w:val="18"/>
              </w:rPr>
              <w:t>任公司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1"/>
              <w:jc w:val="left"/>
              <w:rPr>
                <w:rFonts w:ascii="宋体" w:hAnsi="宋体" w:cs="宋体" w:eastAsia="宋体" w:hint="default"/>
                <w:sz w:val="18"/>
                <w:szCs w:val="18"/>
              </w:rPr>
            </w:pPr>
            <w:r>
              <w:rPr>
                <w:rFonts w:ascii="宋体" w:hAnsi="宋体" w:cs="宋体" w:eastAsia="宋体" w:hint="default"/>
                <w:spacing w:val="14"/>
                <w:sz w:val="18"/>
                <w:szCs w:val="18"/>
              </w:rPr>
              <w:t>政务大数据业</w:t>
            </w:r>
            <w:r>
              <w:rPr>
                <w:rFonts w:ascii="宋体" w:hAnsi="宋体" w:cs="宋体" w:eastAsia="宋体" w:hint="default"/>
                <w:spacing w:val="-87"/>
                <w:sz w:val="18"/>
                <w:szCs w:val="18"/>
              </w:rPr>
              <w:t> </w:t>
            </w:r>
            <w:r>
              <w:rPr>
                <w:rFonts w:ascii="宋体" w:hAnsi="宋体" w:cs="宋体" w:eastAsia="宋体" w:hint="default"/>
                <w:sz w:val="18"/>
                <w:szCs w:val="18"/>
              </w:rPr>
              <w:t>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650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-4.89</w:t>
            </w:r>
            <w:r>
              <w:rPr>
                <w:rFonts w:ascii="Times New Roman"/>
                <w:sz w:val="18"/>
              </w:rPr>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-4.89</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267" w:top="1160" w:bottom="1460" w:left="980" w:right="980"/>
        </w:sectPr>
      </w:pPr>
    </w:p>
    <w:p>
      <w:pPr>
        <w:spacing w:line="240" w:lineRule="auto" w:before="11"/>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1076"/>
        <w:gridCol w:w="1073"/>
        <w:gridCol w:w="1076"/>
        <w:gridCol w:w="1224"/>
        <w:gridCol w:w="1080"/>
        <w:gridCol w:w="1350"/>
        <w:gridCol w:w="1346"/>
        <w:gridCol w:w="1342"/>
      </w:tblGrid>
      <w:tr>
        <w:trPr>
          <w:trHeight w:val="362" w:hRule="exact"/>
        </w:trPr>
        <w:tc>
          <w:tcPr>
            <w:tcW w:w="1076"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1076" w:type="dxa"/>
            <w:tcBorders>
              <w:top w:val="single" w:sz="4" w:space="0" w:color="000000"/>
              <w:left w:val="single" w:sz="4" w:space="0" w:color="000000"/>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b/>
          <w:bCs/>
          <w:sz w:val="7"/>
          <w:szCs w:val="7"/>
        </w:rPr>
      </w:pPr>
    </w:p>
    <w:p>
      <w:pPr>
        <w:pStyle w:val="BodyText"/>
        <w:spacing w:line="240" w:lineRule="auto" w:before="35"/>
        <w:ind w:right="0"/>
        <w:jc w:val="left"/>
      </w:pPr>
      <w:bookmarkStart w:name="十六、重大合同及其履行情况" w:id="82"/>
      <w:bookmarkEnd w:id="82"/>
      <w:r>
        <w:rPr/>
      </w:r>
      <w:bookmarkStart w:name="1、托管、承包、租赁事项情况" w:id="83"/>
      <w:bookmarkEnd w:id="83"/>
      <w:r>
        <w:rPr/>
      </w:r>
      <w:bookmarkStart w:name="（1）托管情况" w:id="84"/>
      <w:bookmarkEnd w:id="84"/>
      <w:r>
        <w:rPr/>
      </w:r>
      <w:bookmarkStart w:name="（2）承包情况" w:id="85"/>
      <w:bookmarkEnd w:id="85"/>
      <w:r>
        <w:rPr/>
      </w:r>
      <w:bookmarkStart w:name="（3）租赁情况" w:id="86"/>
      <w:bookmarkEnd w:id="86"/>
      <w:r>
        <w:rPr/>
      </w:r>
      <w:bookmarkStart w:name="2、重大担保" w:id="87"/>
      <w:bookmarkEnd w:id="87"/>
      <w:r>
        <w:rPr/>
      </w:r>
      <w:r>
        <w:rPr/>
        <w:t>注：截至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日北京市美亚宏数有限责任公司公司尚未完成出资。</w:t>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w:t>
      </w:r>
      <w:bookmarkStart w:name="4、关联债权债务往来" w:id="88"/>
      <w:bookmarkEnd w:id="88"/>
      <w:r>
        <w:rPr/>
        <w:t>权</w:t>
      </w:r>
      <w:r>
        <w:rPr/>
        <w:t>债务往来</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57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公司报告期不存在关联债权债务往来。</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62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bookmarkStart w:name="5、其他重大关联交易" w:id="89"/>
      <w:bookmarkEnd w:id="89"/>
      <w:r>
        <w:rPr/>
        <w:t>公司报告期无其他重大关联交易。</w:t>
      </w:r>
    </w:p>
    <w:p>
      <w:pPr>
        <w:spacing w:line="240" w:lineRule="auto" w:before="3"/>
        <w:rPr>
          <w:rFonts w:ascii="宋体" w:hAnsi="宋体" w:cs="宋体" w:eastAsia="宋体" w:hint="default"/>
          <w:sz w:val="15"/>
          <w:szCs w:val="15"/>
        </w:rPr>
      </w:pPr>
    </w:p>
    <w:p>
      <w:pPr>
        <w:pStyle w:val="Heading2"/>
        <w:spacing w:line="240" w:lineRule="auto"/>
        <w:ind w:right="0"/>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6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公司报告期不存在托管情况。</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6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公司报告期不存在承包情况。</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6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公司报告期不存在租赁情况。</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6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公司报告期不存在担保情况。</w:t>
      </w:r>
    </w:p>
    <w:p>
      <w:pPr>
        <w:spacing w:after="0" w:line="408" w:lineRule="auto"/>
        <w:jc w:val="left"/>
        <w:sectPr>
          <w:pgSz w:w="11910" w:h="16840"/>
          <w:pgMar w:header="918" w:footer="1267" w:top="1160" w:bottom="1460" w:left="980" w:right="980"/>
        </w:sectPr>
      </w:pPr>
    </w:p>
    <w:p>
      <w:pPr>
        <w:spacing w:line="240" w:lineRule="auto" w:before="1"/>
        <w:rPr>
          <w:rFonts w:ascii="宋体" w:hAnsi="宋体" w:cs="宋体" w:eastAsia="宋体" w:hint="default"/>
          <w:sz w:val="18"/>
          <w:szCs w:val="18"/>
        </w:rPr>
      </w:pPr>
    </w:p>
    <w:p>
      <w:pPr>
        <w:pStyle w:val="Heading4"/>
        <w:spacing w:line="240" w:lineRule="auto" w:before="35"/>
        <w:ind w:right="0"/>
        <w:jc w:val="left"/>
        <w:rPr>
          <w:b w:val="0"/>
          <w:bCs w:val="0"/>
        </w:rPr>
      </w:pPr>
      <w:r>
        <w:rPr>
          <w:rFonts w:ascii="Times New Roman" w:hAnsi="Times New Roman" w:cs="Times New Roman" w:eastAsia="Times New Roman" w:hint="default"/>
        </w:rPr>
        <w:t>3</w:t>
      </w:r>
      <w:bookmarkStart w:name="3、委托他人进行现金资产管理情况" w:id="90"/>
      <w:bookmarkEnd w:id="90"/>
      <w:r>
        <w:rPr>
          <w:rFonts w:ascii="Times New Roman" w:hAnsi="Times New Roman" w:cs="Times New Roman" w:eastAsia="Times New Roman" w:hint="default"/>
        </w:rPr>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1）委托理财情况" w:id="91"/>
      <w:bookmarkEnd w:id="91"/>
      <w:r>
        <w:rPr>
          <w:rFonts w:ascii="Times New Roman" w:hAnsi="Times New Roman" w:cs="Times New Roman" w:eastAsia="Times New Roman" w:hint="default"/>
        </w:rPr>
      </w:r>
      <w:r>
        <w:rPr/>
        <w:t>）委托理财情况</w:t>
      </w:r>
      <w:r>
        <w:rPr>
          <w:b w:val="0"/>
          <w:bCs w:val="0"/>
        </w:rPr>
      </w:r>
    </w:p>
    <w:p>
      <w:pPr>
        <w:spacing w:line="240" w:lineRule="auto" w:before="0"/>
        <w:rPr>
          <w:rFonts w:ascii="宋体" w:hAnsi="宋体" w:cs="宋体" w:eastAsia="宋体" w:hint="default"/>
          <w:b/>
          <w:bCs/>
          <w:sz w:val="27"/>
          <w:szCs w:val="27"/>
        </w:rPr>
      </w:pPr>
    </w:p>
    <w:p>
      <w:pPr>
        <w:pStyle w:val="BodyText"/>
        <w:spacing w:line="408" w:lineRule="auto"/>
        <w:ind w:right="6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公司报告期不存在委托理财。</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66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bookmarkStart w:name="（2）委托贷款情况" w:id="92"/>
      <w:bookmarkEnd w:id="92"/>
      <w:r>
        <w:rPr/>
        <w:t>公司报告期不存在委托贷款。</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62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公司报告期不存在其他重大合同。</w:t>
      </w:r>
    </w:p>
    <w:p>
      <w:pPr>
        <w:spacing w:line="240" w:lineRule="auto" w:before="3"/>
        <w:rPr>
          <w:rFonts w:ascii="宋体" w:hAnsi="宋体" w:cs="宋体" w:eastAsia="宋体" w:hint="default"/>
          <w:sz w:val="15"/>
          <w:szCs w:val="15"/>
        </w:rPr>
      </w:pPr>
    </w:p>
    <w:p>
      <w:pPr>
        <w:pStyle w:val="Heading2"/>
        <w:spacing w:line="240" w:lineRule="auto"/>
        <w:ind w:right="0"/>
        <w:jc w:val="left"/>
        <w:rPr>
          <w:b w:val="0"/>
          <w:bCs w:val="0"/>
        </w:rPr>
      </w:pPr>
      <w:r>
        <w:rPr/>
        <w:t>十七、其他重大事项的说明</w:t>
      </w:r>
      <w:r>
        <w:rPr>
          <w:b w:val="0"/>
          <w:bCs w:val="0"/>
        </w:rPr>
      </w:r>
    </w:p>
    <w:p>
      <w:pPr>
        <w:pStyle w:val="BodyText"/>
        <w:spacing w:line="490" w:lineRule="atLeast" w:before="153"/>
        <w:ind w:left="573" w:right="288"/>
        <w:jc w:val="left"/>
      </w:pPr>
      <w:r>
        <w:rPr>
          <w:rFonts w:ascii="Times New Roman" w:hAnsi="Times New Roman" w:cs="Times New Roman" w:eastAsia="Times New Roman" w:hint="default"/>
        </w:rPr>
        <w:t>1</w:t>
      </w:r>
      <w:r>
        <w:rPr/>
        <w:t>、发行股份购买江苏税软</w:t>
      </w:r>
      <w:r>
        <w:rPr>
          <w:rFonts w:ascii="Times New Roman" w:hAnsi="Times New Roman" w:cs="Times New Roman" w:eastAsia="Times New Roman" w:hint="default"/>
        </w:rPr>
        <w:t>100%</w:t>
      </w:r>
      <w:r>
        <w:rPr/>
        <w:t>股权</w:t>
      </w:r>
      <w:bookmarkStart w:name="4、其他重大合同" w:id="93"/>
      <w:bookmarkEnd w:id="93"/>
      <w:r>
        <w:rPr/>
        <w:t>及新德汇</w:t>
      </w:r>
      <w:r>
        <w:rPr>
          <w:rFonts w:ascii="Times New Roman" w:hAnsi="Times New Roman" w:cs="Times New Roman" w:eastAsia="Times New Roman" w:hint="default"/>
        </w:rPr>
        <w:t>49%</w:t>
      </w:r>
      <w:r>
        <w:rPr/>
        <w:t>股权事项</w:t>
      </w:r>
      <w:bookmarkStart w:name="十七、其他重大事项的说明" w:id="94"/>
      <w:bookmarkEnd w:id="94"/>
      <w:r>
        <w:rPr/>
        <w:t>实施完毕</w:t>
      </w:r>
      <w:r>
        <w:rPr/>
        <w:t> 公司发行股份购买江苏税软</w:t>
      </w:r>
      <w:r>
        <w:rPr>
          <w:rFonts w:ascii="Times New Roman" w:hAnsi="Times New Roman" w:cs="Times New Roman" w:eastAsia="Times New Roman" w:hint="default"/>
        </w:rPr>
        <w:t>100%</w:t>
      </w:r>
      <w:r>
        <w:rPr/>
        <w:t>股权及新德汇</w:t>
      </w:r>
      <w:r>
        <w:rPr>
          <w:rFonts w:ascii="Times New Roman" w:hAnsi="Times New Roman" w:cs="Times New Roman" w:eastAsia="Times New Roman" w:hint="default"/>
        </w:rPr>
        <w:t>49%</w:t>
      </w:r>
      <w:r>
        <w:rPr/>
        <w:t>股权的事项已于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日获得中国证监会</w:t>
      </w:r>
    </w:p>
    <w:p>
      <w:pPr>
        <w:pStyle w:val="BodyText"/>
        <w:spacing w:line="309" w:lineRule="auto" w:before="83"/>
        <w:ind w:left="153" w:right="0"/>
        <w:jc w:val="left"/>
      </w:pPr>
      <w:r>
        <w:rPr/>
        <w:t>核准，相关标的资产已于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日完成过户及工商变更登记，本次新增的股份已于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 </w:t>
      </w:r>
      <w:r>
        <w:rPr>
          <w:spacing w:val="-1"/>
        </w:rPr>
        <w:t>在深交所上市。本次非公开发行新股数量为</w:t>
      </w:r>
      <w:r>
        <w:rPr>
          <w:rFonts w:ascii="Times New Roman" w:hAnsi="Times New Roman" w:cs="Times New Roman" w:eastAsia="Times New Roman" w:hint="default"/>
          <w:spacing w:val="-1"/>
        </w:rPr>
        <w:t>44,091,206</w:t>
      </w:r>
      <w:r>
        <w:rPr>
          <w:spacing w:val="-1"/>
        </w:rPr>
        <w:t>股（其中有限售条件流通股数量</w:t>
      </w:r>
      <w:r>
        <w:rPr>
          <w:rFonts w:ascii="Times New Roman" w:hAnsi="Times New Roman" w:cs="Times New Roman" w:eastAsia="Times New Roman" w:hint="default"/>
          <w:spacing w:val="-1"/>
        </w:rPr>
        <w:t>44,091,206</w:t>
      </w:r>
      <w:r>
        <w:rPr>
          <w:spacing w:val="-1"/>
        </w:rPr>
        <w:t>股），非</w:t>
      </w:r>
      <w:r>
        <w:rPr>
          <w:spacing w:val="-92"/>
        </w:rPr>
        <w:t> </w:t>
      </w:r>
      <w:r>
        <w:rPr>
          <w:spacing w:val="-92"/>
        </w:rPr>
      </w:r>
      <w:r>
        <w:rPr/>
        <w:t>公开发行后公司股本总额为</w:t>
      </w:r>
      <w:r>
        <w:rPr>
          <w:rFonts w:ascii="Times New Roman" w:hAnsi="Times New Roman" w:cs="Times New Roman" w:eastAsia="Times New Roman" w:hint="default"/>
        </w:rPr>
        <w:t>487,254,406</w:t>
      </w:r>
      <w:r>
        <w:rPr/>
        <w:t>股。详见公司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日发布在巨潮资讯网</w:t>
      </w:r>
      <w:hyperlink r:id="rId11">
        <w:r>
          <w:rPr>
            <w:rFonts w:ascii="Times New Roman" w:hAnsi="Times New Roman" w:cs="Times New Roman" w:eastAsia="Times New Roman" w:hint="default"/>
          </w:rPr>
          <w:t>www.cninfo.com.cn</w:t>
        </w:r>
      </w:hyperlink>
      <w:r>
        <w:rPr>
          <w:rFonts w:ascii="Times New Roman" w:hAnsi="Times New Roman" w:cs="Times New Roman" w:eastAsia="Times New Roman" w:hint="default"/>
        </w:rPr>
        <w:t> </w:t>
      </w:r>
      <w:r>
        <w:rPr/>
        <w:t>的相关公告。</w:t>
      </w:r>
    </w:p>
    <w:p>
      <w:pPr>
        <w:pStyle w:val="BodyText"/>
        <w:spacing w:line="494" w:lineRule="exact" w:before="8"/>
        <w:ind w:left="573" w:right="218"/>
        <w:jc w:val="left"/>
      </w:pPr>
      <w:r>
        <w:rPr>
          <w:rFonts w:ascii="Times New Roman" w:hAnsi="Times New Roman" w:cs="Times New Roman" w:eastAsia="Times New Roman" w:hint="default"/>
        </w:rPr>
        <w:t>2</w:t>
      </w:r>
      <w:r>
        <w:rPr/>
        <w:t>、董事会、监事会换届选举、高管选聘 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日召开公司</w:t>
      </w:r>
      <w:r>
        <w:rPr>
          <w:rFonts w:ascii="Times New Roman" w:hAnsi="Times New Roman" w:cs="Times New Roman" w:eastAsia="Times New Roman" w:hint="default"/>
        </w:rPr>
        <w:t>2015</w:t>
      </w:r>
      <w:r>
        <w:rPr/>
        <w:t>年第一次临时股东大会，会议顺利完成了董事会、监事会的换届</w:t>
      </w:r>
    </w:p>
    <w:p>
      <w:pPr>
        <w:pStyle w:val="BodyText"/>
        <w:spacing w:line="319" w:lineRule="auto" w:before="30"/>
        <w:ind w:left="153" w:right="0"/>
        <w:jc w:val="left"/>
      </w:pPr>
      <w:r>
        <w:rPr>
          <w:spacing w:val="-2"/>
        </w:rPr>
        <w:t>选举，详见公司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日在巨潮资讯网</w:t>
      </w:r>
      <w:hyperlink r:id="rId18">
        <w:r>
          <w:rPr>
            <w:rFonts w:ascii="Times New Roman" w:hAnsi="Times New Roman" w:cs="Times New Roman" w:eastAsia="Times New Roman" w:hint="default"/>
            <w:spacing w:val="-2"/>
          </w:rPr>
          <w:t>www.cninfo.com.cn</w:t>
        </w:r>
        <w:r>
          <w:rPr>
            <w:spacing w:val="-2"/>
          </w:rPr>
          <w:t>的相关公告。</w:t>
        </w:r>
      </w:hyperlink>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27</w:t>
      </w:r>
      <w:r>
        <w:rPr>
          <w:spacing w:val="-2"/>
        </w:rPr>
        <w:t>日，第三届董事</w:t>
      </w:r>
      <w:r>
        <w:rPr>
          <w:spacing w:val="-53"/>
        </w:rPr>
        <w:t> </w:t>
      </w:r>
      <w:r>
        <w:rPr>
          <w:spacing w:val="-53"/>
        </w:rPr>
      </w:r>
      <w:r>
        <w:rPr>
          <w:spacing w:val="-1"/>
        </w:rPr>
        <w:t>会第一次会议，选举滕达为公司第三届董事会董事长、郭永芳为公司第三届董事会副董事长，聘任申强为</w:t>
      </w:r>
      <w:r>
        <w:rPr>
          <w:spacing w:val="-83"/>
        </w:rPr>
        <w:t> </w:t>
      </w:r>
      <w:r>
        <w:rPr>
          <w:spacing w:val="-83"/>
        </w:rPr>
      </w:r>
      <w:r>
        <w:rPr>
          <w:spacing w:val="-1"/>
        </w:rPr>
        <w:t>公司总经理，聘任吴鸿伟、赵庸、张雪峰、高峰、栾江霞、吴世雄、葛鹏为公司副总经理，聘任李滢雪为</w:t>
      </w:r>
      <w:r>
        <w:rPr>
          <w:spacing w:val="-85"/>
        </w:rPr>
        <w:t> </w:t>
      </w:r>
      <w:r>
        <w:rPr>
          <w:spacing w:val="-85"/>
        </w:rPr>
      </w:r>
      <w:r>
        <w:rPr/>
        <w:t>公司副总经理及公司董事会秘书，聘任张乃军为公司财务总监，详见公司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日发布在巨潮资讯 网</w:t>
      </w:r>
      <w:hyperlink r:id="rId18">
        <w:r>
          <w:rPr>
            <w:rFonts w:ascii="Times New Roman" w:hAnsi="Times New Roman" w:cs="Times New Roman" w:eastAsia="Times New Roman" w:hint="default"/>
          </w:rPr>
          <w:t>www.cninfo.com.cn</w:t>
        </w:r>
        <w:r>
          <w:rPr/>
          <w:t>的相关公告。</w:t>
        </w:r>
      </w:hyperlink>
    </w:p>
    <w:p>
      <w:pPr>
        <w:pStyle w:val="BodyText"/>
        <w:spacing w:line="240" w:lineRule="auto" w:before="127"/>
        <w:ind w:left="573" w:right="0"/>
        <w:jc w:val="left"/>
      </w:pPr>
      <w:r>
        <w:rPr>
          <w:rFonts w:ascii="Times New Roman" w:hAnsi="Times New Roman" w:cs="Times New Roman" w:eastAsia="Times New Roman" w:hint="default"/>
        </w:rPr>
        <w:t>3</w:t>
      </w:r>
      <w:r>
        <w:rPr/>
        <w:t>、第三期限制性股票解锁</w:t>
      </w:r>
    </w:p>
    <w:p>
      <w:pPr>
        <w:spacing w:line="240" w:lineRule="auto" w:before="7"/>
        <w:rPr>
          <w:rFonts w:ascii="宋体" w:hAnsi="宋体" w:cs="宋体" w:eastAsia="宋体" w:hint="default"/>
          <w:sz w:val="15"/>
          <w:szCs w:val="15"/>
        </w:rPr>
      </w:pPr>
    </w:p>
    <w:p>
      <w:pPr>
        <w:pStyle w:val="BodyText"/>
        <w:spacing w:line="309" w:lineRule="auto"/>
        <w:ind w:left="153" w:right="165" w:firstLine="420"/>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日召开第三届董事会第二次会议，会议审议通过了《关于第三期限制性股票解锁 的议案》，本次符合解锁条件的激励对象共计</w:t>
      </w:r>
      <w:r>
        <w:rPr>
          <w:rFonts w:ascii="Times New Roman" w:hAnsi="Times New Roman" w:cs="Times New Roman" w:eastAsia="Times New Roman" w:hint="default"/>
        </w:rPr>
        <w:t>184</w:t>
      </w:r>
      <w:r>
        <w:rPr/>
        <w:t>人，可申请解锁的限制性股票数量为</w:t>
      </w:r>
      <w:r>
        <w:rPr>
          <w:rFonts w:ascii="Times New Roman" w:hAnsi="Times New Roman" w:cs="Times New Roman" w:eastAsia="Times New Roman" w:hint="default"/>
        </w:rPr>
        <w:t>896.064</w:t>
      </w:r>
      <w:r>
        <w:rPr/>
        <w:t>万股，占公 司股本总额的</w:t>
      </w:r>
      <w:r>
        <w:rPr>
          <w:rFonts w:ascii="Times New Roman" w:hAnsi="Times New Roman" w:cs="Times New Roman" w:eastAsia="Times New Roman" w:hint="default"/>
        </w:rPr>
        <w:t>2.02%</w:t>
      </w:r>
      <w:r>
        <w:rPr/>
        <w:t>。其中，可上市流通的限制性股票数量为</w:t>
      </w:r>
      <w:r>
        <w:rPr>
          <w:rFonts w:ascii="Times New Roman" w:hAnsi="Times New Roman" w:cs="Times New Roman" w:eastAsia="Times New Roman" w:hint="default"/>
        </w:rPr>
        <w:t>702.564</w:t>
      </w:r>
      <w:r>
        <w:rPr/>
        <w:t>万股，本期限制性股票的上市流通日</w:t>
      </w:r>
    </w:p>
    <w:p>
      <w:pPr>
        <w:spacing w:after="0" w:line="309" w:lineRule="auto"/>
        <w:jc w:val="both"/>
        <w:sectPr>
          <w:pgSz w:w="11910" w:h="16840"/>
          <w:pgMar w:header="918" w:footer="1267" w:top="1160" w:bottom="1460" w:left="980" w:right="980"/>
        </w:sectPr>
      </w:pPr>
    </w:p>
    <w:p>
      <w:pPr>
        <w:spacing w:line="240" w:lineRule="auto" w:before="5"/>
        <w:rPr>
          <w:rFonts w:ascii="宋体" w:hAnsi="宋体" w:cs="宋体" w:eastAsia="宋体" w:hint="default"/>
          <w:sz w:val="20"/>
          <w:szCs w:val="20"/>
        </w:rPr>
      </w:pPr>
    </w:p>
    <w:p>
      <w:pPr>
        <w:pStyle w:val="BodyText"/>
        <w:spacing w:line="309" w:lineRule="auto" w:before="35"/>
        <w:ind w:left="154" w:right="97"/>
        <w:jc w:val="left"/>
      </w:pPr>
      <w:r>
        <w:rPr>
          <w:spacing w:val="-1"/>
        </w:rPr>
        <w:t>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22</w:t>
      </w:r>
      <w:r>
        <w:rPr>
          <w:spacing w:val="-1"/>
        </w:rPr>
        <w:t>日。本次实施的股权激励计划与已披露的股权激励计划不存在差异。详见公司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19</w:t>
      </w:r>
      <w:r>
        <w:rPr>
          <w:rFonts w:ascii="Times New Roman" w:hAnsi="Times New Roman" w:cs="Times New Roman" w:eastAsia="Times New Roman" w:hint="default"/>
          <w:spacing w:val="-33"/>
        </w:rPr>
        <w:t> </w:t>
      </w:r>
      <w:r>
        <w:rPr/>
        <w:t>日发布在巨潮资讯网</w:t>
      </w:r>
      <w:hyperlink r:id="rId18">
        <w:r>
          <w:rPr>
            <w:rFonts w:ascii="Times New Roman" w:hAnsi="Times New Roman" w:cs="Times New Roman" w:eastAsia="Times New Roman" w:hint="default"/>
          </w:rPr>
          <w:t>www.cninfo.com.cn</w:t>
        </w:r>
        <w:r>
          <w:rPr/>
          <w:t>的相关公告。</w:t>
        </w:r>
      </w:hyperlink>
    </w:p>
    <w:p>
      <w:pPr>
        <w:pStyle w:val="BodyText"/>
        <w:spacing w:line="240" w:lineRule="auto" w:before="136"/>
        <w:ind w:right="97"/>
        <w:jc w:val="left"/>
      </w:pPr>
      <w:r>
        <w:rPr>
          <w:rFonts w:ascii="Times New Roman" w:hAnsi="Times New Roman" w:cs="Times New Roman" w:eastAsia="Times New Roman" w:hint="default"/>
        </w:rPr>
        <w:t>4</w:t>
      </w:r>
      <w:r>
        <w:rPr/>
        <w:t>、发起设立产业并购基金暨关联交易事项</w:t>
      </w:r>
    </w:p>
    <w:p>
      <w:pPr>
        <w:spacing w:line="240" w:lineRule="auto" w:before="7"/>
        <w:rPr>
          <w:rFonts w:ascii="宋体" w:hAnsi="宋体" w:cs="宋体" w:eastAsia="宋体" w:hint="default"/>
          <w:sz w:val="15"/>
          <w:szCs w:val="15"/>
        </w:rPr>
      </w:pPr>
    </w:p>
    <w:p>
      <w:pPr>
        <w:pStyle w:val="BodyText"/>
        <w:spacing w:line="314" w:lineRule="auto"/>
        <w:ind w:left="153" w:right="97"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日，公司召开第三届董事会第七次会议，审议通过了《关于发起设立产业并购基金的议</w:t>
      </w:r>
      <w:r>
        <w:rPr/>
        <w:t> </w:t>
      </w:r>
      <w:r>
        <w:rPr>
          <w:spacing w:val="-1"/>
        </w:rPr>
        <w:t>案》，公司与前海梧桐并购拟共同出资设立厦门市美亚梧桐投资管理有限公司，并发起设立美亚梧桐产业</w:t>
      </w:r>
      <w:r>
        <w:rPr>
          <w:spacing w:val="-83"/>
        </w:rPr>
        <w:t> </w:t>
      </w:r>
      <w:r>
        <w:rPr>
          <w:spacing w:val="-83"/>
        </w:rPr>
      </w:r>
      <w:r>
        <w:rPr/>
        <w:t>并购基金（暂定名，最终以工商注册登记为准）。该基金规模为人民币</w:t>
      </w:r>
      <w:r>
        <w:rPr>
          <w:rFonts w:ascii="Times New Roman" w:hAnsi="Times New Roman" w:cs="Times New Roman" w:eastAsia="Times New Roman" w:hint="default"/>
        </w:rPr>
        <w:t>2</w:t>
      </w:r>
      <w:r>
        <w:rPr/>
        <w:t>亿元，公司出资</w:t>
      </w:r>
      <w:r>
        <w:rPr>
          <w:rFonts w:ascii="Times New Roman" w:hAnsi="Times New Roman" w:cs="Times New Roman" w:eastAsia="Times New Roman" w:hint="default"/>
        </w:rPr>
        <w:t>3000</w:t>
      </w:r>
      <w:r>
        <w:rPr/>
        <w:t>万元人民币 </w:t>
      </w:r>
      <w:r>
        <w:rPr>
          <w:spacing w:val="-1"/>
        </w:rPr>
        <w:t>作为劣后资金，前海梧桐并购母基金出资</w:t>
      </w:r>
      <w:r>
        <w:rPr>
          <w:rFonts w:ascii="Times New Roman" w:hAnsi="Times New Roman" w:cs="Times New Roman" w:eastAsia="Times New Roman" w:hint="default"/>
          <w:spacing w:val="-1"/>
        </w:rPr>
        <w:t>5000</w:t>
      </w:r>
      <w:r>
        <w:rPr>
          <w:spacing w:val="-1"/>
        </w:rPr>
        <w:t>万元，其中</w:t>
      </w:r>
      <w:r>
        <w:rPr>
          <w:rFonts w:ascii="Times New Roman" w:hAnsi="Times New Roman" w:cs="Times New Roman" w:eastAsia="Times New Roman" w:hint="default"/>
          <w:spacing w:val="-1"/>
        </w:rPr>
        <w:t>2000</w:t>
      </w:r>
      <w:r>
        <w:rPr>
          <w:spacing w:val="-1"/>
        </w:rPr>
        <w:t>万元作为劣后资金，</w:t>
      </w:r>
      <w:r>
        <w:rPr>
          <w:rFonts w:ascii="Times New Roman" w:hAnsi="Times New Roman" w:cs="Times New Roman" w:eastAsia="Times New Roman" w:hint="default"/>
          <w:spacing w:val="-1"/>
        </w:rPr>
        <w:t>3000</w:t>
      </w:r>
      <w:r>
        <w:rPr>
          <w:spacing w:val="-1"/>
        </w:rPr>
        <w:t>万元作为同股同权</w:t>
      </w:r>
      <w:r>
        <w:rPr>
          <w:spacing w:val="-86"/>
        </w:rPr>
        <w:t> </w:t>
      </w:r>
      <w:r>
        <w:rPr>
          <w:spacing w:val="-86"/>
        </w:rPr>
      </w:r>
      <w:r>
        <w:rPr/>
        <w:t>资金。剩余</w:t>
      </w:r>
      <w:r>
        <w:rPr>
          <w:rFonts w:ascii="Times New Roman" w:hAnsi="Times New Roman" w:cs="Times New Roman" w:eastAsia="Times New Roman" w:hint="default"/>
        </w:rPr>
        <w:t>1.2</w:t>
      </w:r>
      <w:r>
        <w:rPr/>
        <w:t>亿元资金优先采取结构化安排，于基金设立后</w:t>
      </w:r>
      <w:r>
        <w:rPr>
          <w:rFonts w:ascii="Times New Roman" w:hAnsi="Times New Roman" w:cs="Times New Roman" w:eastAsia="Times New Roman" w:hint="default"/>
        </w:rPr>
        <w:t>1</w:t>
      </w:r>
      <w:r>
        <w:rPr/>
        <w:t>年内向其他投资人募集。</w:t>
      </w:r>
    </w:p>
    <w:p>
      <w:pPr>
        <w:pStyle w:val="BodyText"/>
        <w:spacing w:line="316" w:lineRule="auto" w:before="131"/>
        <w:ind w:left="154" w:right="103" w:firstLine="42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日，公司第三届董事会第八次会议审议通过了《关于公司与部分董事、高级管理人员参 </w:t>
      </w:r>
      <w:r>
        <w:rPr>
          <w:spacing w:val="-3"/>
        </w:rPr>
        <w:t>与认购美亚梧桐产业并购基金暨关联交易的议案》，因公司董事滕达、申强，高级管理人员高峰、张雪峰、</w:t>
      </w:r>
      <w:r>
        <w:rPr>
          <w:spacing w:val="-94"/>
        </w:rPr>
        <w:t> </w:t>
      </w:r>
      <w:r>
        <w:rPr>
          <w:spacing w:val="-94"/>
        </w:rPr>
      </w:r>
      <w:r>
        <w:rPr/>
        <w:t>赵庸、葛鹏及全资子公司江苏税软软件科技有限公司总经理韦玉荣、全资子公司珠海市新德汇信息技术有</w:t>
      </w:r>
      <w:r>
        <w:rPr/>
        <w:t> 限公司总经理苏学武及美亚柏科资深顾问黄基鹏等</w:t>
      </w:r>
      <w:r>
        <w:rPr>
          <w:rFonts w:ascii="Times New Roman" w:hAnsi="Times New Roman" w:cs="Times New Roman" w:eastAsia="Times New Roman" w:hint="default"/>
        </w:rPr>
        <w:t>9</w:t>
      </w:r>
      <w:r>
        <w:rPr/>
        <w:t>人拟通过成立合伙企业形式参与认购美亚梧桐产业并 购基金</w:t>
      </w:r>
      <w:r>
        <w:rPr>
          <w:rFonts w:ascii="Times New Roman" w:hAnsi="Times New Roman" w:cs="Times New Roman" w:eastAsia="Times New Roman" w:hint="default"/>
        </w:rPr>
        <w:t>2700</w:t>
      </w:r>
      <w:r>
        <w:rPr/>
        <w:t>万元劣后级基金份额，其中公司现任董事滕达、申强，高级管理人员高峰、张雪峰、赵庸、葛 鹏等</w:t>
      </w:r>
      <w:r>
        <w:rPr>
          <w:rFonts w:ascii="Times New Roman" w:hAnsi="Times New Roman" w:cs="Times New Roman" w:eastAsia="Times New Roman" w:hint="default"/>
        </w:rPr>
        <w:t>6</w:t>
      </w:r>
      <w:r>
        <w:rPr/>
        <w:t>人认购份额共计</w:t>
      </w:r>
      <w:r>
        <w:rPr>
          <w:rFonts w:ascii="Times New Roman" w:hAnsi="Times New Roman" w:cs="Times New Roman" w:eastAsia="Times New Roman" w:hint="default"/>
        </w:rPr>
        <w:t>2200</w:t>
      </w:r>
      <w:r>
        <w:rPr/>
        <w:t>万元。根据《深圳证券交易所创业板股票上市规则》、《公司章程》及《关联 交易管理制度》等相关规定，公司与董事、高管参与成立的合伙企业共同对外投资，构成关联交易。该事 项已于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日经公司</w:t>
      </w:r>
      <w:r>
        <w:rPr>
          <w:rFonts w:ascii="Times New Roman" w:hAnsi="Times New Roman" w:cs="Times New Roman" w:eastAsia="Times New Roman" w:hint="default"/>
        </w:rPr>
        <w:t>2016</w:t>
      </w:r>
      <w:r>
        <w:rPr/>
        <w:t>年第一次临时股东大会审议通过。</w:t>
      </w:r>
    </w:p>
    <w:p>
      <w:pPr>
        <w:pStyle w:val="BodyText"/>
        <w:spacing w:line="314" w:lineRule="auto" w:before="129"/>
        <w:ind w:left="154" w:right="172" w:firstLine="420"/>
        <w:jc w:val="left"/>
      </w:pPr>
      <w:r>
        <w:rPr/>
        <w:t>截至目前，已先后完成了厦门市美亚梧桐投资管理公司、厦门市亚桐投资管理合伙企业（有限合伙） 暨（</w:t>
      </w:r>
      <w:r>
        <w:rPr>
          <w:rFonts w:ascii="Times New Roman" w:hAnsi="Times New Roman" w:cs="Times New Roman" w:eastAsia="Times New Roman" w:hint="default"/>
        </w:rPr>
        <w:t>SPV</w:t>
      </w:r>
      <w:r>
        <w:rPr/>
        <w:t>）、厦门市美桐股权投资基金合伙企业（有限合伙）的注册登记，同时，美亚梧桐产业并购基金 的募集工作也在有序推进。详见</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14</w:t>
      </w:r>
      <w:r>
        <w:rPr/>
        <w:t>日公司发布在巨潮资讯网</w:t>
      </w:r>
      <w:hyperlink r:id="rId19">
        <w:r>
          <w:rPr>
            <w:rFonts w:ascii="Times New Roman" w:hAnsi="Times New Roman" w:cs="Times New Roman" w:eastAsia="Times New Roman" w:hint="default"/>
          </w:rPr>
          <w:t>www.cninfo.com.cn</w:t>
        </w:r>
        <w:r>
          <w:rPr/>
          <w:t>的《关于美亚梧</w:t>
        </w:r>
      </w:hyperlink>
      <w:r>
        <w:rPr/>
        <w:t> 桐产业并购基金进展暨关联交易的公告》。</w:t>
      </w:r>
    </w:p>
    <w:p>
      <w:pPr>
        <w:pStyle w:val="BodyText"/>
        <w:spacing w:line="240" w:lineRule="auto" w:before="154"/>
        <w:ind w:right="97"/>
        <w:jc w:val="left"/>
      </w:pPr>
      <w:r>
        <w:rPr>
          <w:rFonts w:ascii="Times New Roman" w:hAnsi="Times New Roman" w:cs="Times New Roman" w:eastAsia="Times New Roman" w:hint="default"/>
        </w:rPr>
        <w:t>5</w:t>
      </w:r>
      <w:r>
        <w:rPr/>
        <w:t>、合资成立北京美亚宏数科技有限责任公司暨关联交易事项</w:t>
      </w:r>
    </w:p>
    <w:p>
      <w:pPr>
        <w:spacing w:line="240" w:lineRule="auto" w:before="7"/>
        <w:rPr>
          <w:rFonts w:ascii="宋体" w:hAnsi="宋体" w:cs="宋体" w:eastAsia="宋体" w:hint="default"/>
          <w:sz w:val="15"/>
          <w:szCs w:val="15"/>
        </w:rPr>
      </w:pPr>
    </w:p>
    <w:p>
      <w:pPr>
        <w:pStyle w:val="BodyText"/>
        <w:spacing w:line="319" w:lineRule="auto"/>
        <w:ind w:left="154" w:right="172"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25</w:t>
      </w:r>
      <w:r>
        <w:rPr/>
        <w:t>日公司第三届董事会第三次会议审议通过了《关于合资成立北京市美亚宏数有限责任公 司暨关联交易的议案》，为抓住市场机遇进一步拓展政务大数据业务，美亚柏科决定与由徐江、孙玉凤、 王守道、孟凡华等</w:t>
      </w:r>
      <w:r>
        <w:rPr>
          <w:rFonts w:ascii="Times New Roman" w:hAnsi="Times New Roman" w:cs="Times New Roman" w:eastAsia="Times New Roman" w:hint="default"/>
        </w:rPr>
        <w:t>4</w:t>
      </w:r>
      <w:r>
        <w:rPr/>
        <w:t>位自然人出资设立的嘉兴宏数信息科技合伙企业（以下简称“嘉兴宏数”）及公司副 </w:t>
      </w:r>
      <w:r>
        <w:rPr>
          <w:spacing w:val="-1"/>
        </w:rPr>
        <w:t>总经理高峰共同出资设立北京美亚宏数科技有限责任公司（以下简称“美亚宏数”）。合资公司将作为重</w:t>
      </w:r>
      <w:r>
        <w:rPr>
          <w:spacing w:val="-83"/>
        </w:rPr>
        <w:t> </w:t>
      </w:r>
      <w:r>
        <w:rPr>
          <w:spacing w:val="-83"/>
        </w:rPr>
      </w:r>
      <w:r>
        <w:rPr>
          <w:spacing w:val="-1"/>
        </w:rPr>
        <w:t>要平台切入政务大数据领域，配合国家和各地方发展改革部门开展互联网大数据分析业务，支撑“一带一</w:t>
      </w:r>
      <w:r>
        <w:rPr>
          <w:spacing w:val="-83"/>
        </w:rPr>
        <w:t> </w:t>
      </w:r>
      <w:r>
        <w:rPr>
          <w:spacing w:val="-83"/>
        </w:rPr>
      </w:r>
      <w:r>
        <w:rPr/>
        <w:t>路”数据库建设，拓展可服务于其他行业和地区以及企事业机构所需要的相关政务大数据业务。</w:t>
      </w:r>
    </w:p>
    <w:p>
      <w:pPr>
        <w:pStyle w:val="BodyText"/>
        <w:spacing w:line="494" w:lineRule="exact"/>
        <w:ind w:right="97"/>
        <w:jc w:val="left"/>
      </w:pPr>
      <w:r>
        <w:rPr/>
        <w:t>美亚宏数注册资本</w:t>
      </w:r>
      <w:r>
        <w:rPr>
          <w:rFonts w:ascii="Times New Roman" w:hAnsi="Times New Roman" w:cs="Times New Roman" w:eastAsia="Times New Roman" w:hint="default"/>
        </w:rPr>
        <w:t>650</w:t>
      </w:r>
      <w:r>
        <w:rPr/>
        <w:t>万元，美亚柏科以自有资金出资</w:t>
      </w:r>
      <w:r>
        <w:rPr>
          <w:rFonts w:ascii="Times New Roman" w:hAnsi="Times New Roman" w:cs="Times New Roman" w:eastAsia="Times New Roman" w:hint="default"/>
        </w:rPr>
        <w:t>357.5</w:t>
      </w:r>
      <w:r>
        <w:rPr/>
        <w:t>万元，持有美亚宏数</w:t>
      </w:r>
      <w:r>
        <w:rPr>
          <w:rFonts w:ascii="Times New Roman" w:hAnsi="Times New Roman" w:cs="Times New Roman" w:eastAsia="Times New Roman" w:hint="default"/>
        </w:rPr>
        <w:t>55%</w:t>
      </w:r>
      <w:r>
        <w:rPr/>
        <w:t>股权。 </w:t>
      </w:r>
      <w:r>
        <w:rPr>
          <w:spacing w:val="-1"/>
        </w:rPr>
        <w:t>本项目涉及与关联人高峰共同投资，构成关联交易，该事项于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16</w:t>
      </w:r>
      <w:r>
        <w:rPr>
          <w:spacing w:val="-1"/>
        </w:rPr>
        <w:t>日经公司</w:t>
      </w:r>
      <w:r>
        <w:rPr>
          <w:rFonts w:ascii="Times New Roman" w:hAnsi="Times New Roman" w:cs="Times New Roman" w:eastAsia="Times New Roman" w:hint="default"/>
          <w:spacing w:val="-1"/>
        </w:rPr>
        <w:t>2015</w:t>
      </w:r>
      <w:r>
        <w:rPr>
          <w:spacing w:val="-1"/>
        </w:rPr>
        <w:t>年第二次临</w:t>
      </w:r>
    </w:p>
    <w:p>
      <w:pPr>
        <w:pStyle w:val="BodyText"/>
        <w:spacing w:line="240" w:lineRule="auto" w:before="30"/>
        <w:ind w:left="154" w:right="97"/>
        <w:jc w:val="left"/>
      </w:pPr>
      <w:r>
        <w:rPr/>
        <w:t>时股东大会审议通过。详见公司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日在巨潮资讯网</w:t>
      </w:r>
      <w:r>
        <w:rPr>
          <w:rFonts w:ascii="Times New Roman" w:hAnsi="Times New Roman" w:cs="Times New Roman" w:eastAsia="Times New Roman" w:hint="default"/>
          <w:color w:val="0000FF"/>
        </w:rPr>
      </w:r>
      <w:hyperlink r:id="rId11">
        <w:r>
          <w:rPr>
            <w:rFonts w:ascii="Times New Roman" w:hAnsi="Times New Roman" w:cs="Times New Roman" w:eastAsia="Times New Roman" w:hint="default"/>
            <w:color w:val="0000FF"/>
            <w:u w:val="single" w:color="0000FF"/>
          </w:rPr>
          <w:t>www.cninfo.com.cn</w:t>
        </w:r>
        <w:r>
          <w:rPr>
            <w:rFonts w:ascii="Times New Roman" w:hAnsi="Times New Roman" w:cs="Times New Roman" w:eastAsia="Times New Roman" w:hint="default"/>
            <w:color w:val="0000FF"/>
          </w:rPr>
        </w:r>
      </w:hyperlink>
      <w:r>
        <w:rPr/>
        <w:t>上的相关公告。</w:t>
      </w:r>
    </w:p>
    <w:p>
      <w:pPr>
        <w:spacing w:line="240" w:lineRule="auto" w:before="7"/>
        <w:rPr>
          <w:rFonts w:ascii="宋体" w:hAnsi="宋体" w:cs="宋体" w:eastAsia="宋体" w:hint="default"/>
          <w:sz w:val="15"/>
          <w:szCs w:val="15"/>
        </w:rPr>
      </w:pPr>
    </w:p>
    <w:p>
      <w:pPr>
        <w:pStyle w:val="BodyText"/>
        <w:spacing w:line="309" w:lineRule="auto"/>
        <w:ind w:left="153" w:right="173" w:firstLine="420"/>
        <w:jc w:val="left"/>
      </w:pPr>
      <w:r>
        <w:rPr/>
        <w:t>北京美亚宏数科技有限责任公司于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8</w:t>
      </w:r>
      <w:r>
        <w:rPr/>
        <w:t>日注册设立，统一社会信用代码： </w:t>
      </w:r>
      <w:r>
        <w:rPr>
          <w:rFonts w:ascii="Times New Roman" w:hAnsi="Times New Roman" w:cs="Times New Roman" w:eastAsia="Times New Roman" w:hint="default"/>
          <w:spacing w:val="-2"/>
        </w:rPr>
        <w:t>91110108MA002BQK7T</w:t>
      </w:r>
      <w:r>
        <w:rPr>
          <w:spacing w:val="-2"/>
        </w:rPr>
        <w:t>，注册资本</w:t>
      </w:r>
      <w:r>
        <w:rPr>
          <w:rFonts w:ascii="Times New Roman" w:hAnsi="Times New Roman" w:cs="Times New Roman" w:eastAsia="Times New Roman" w:hint="default"/>
          <w:spacing w:val="-2"/>
        </w:rPr>
        <w:t>650</w:t>
      </w:r>
      <w:r>
        <w:rPr>
          <w:spacing w:val="-2"/>
        </w:rPr>
        <w:t>万元；法定代表人高峰；注册地址：北京市海淀区丰慧中路</w:t>
      </w:r>
      <w:r>
        <w:rPr>
          <w:rFonts w:ascii="Times New Roman" w:hAnsi="Times New Roman" w:cs="Times New Roman" w:eastAsia="Times New Roman" w:hint="default"/>
          <w:spacing w:val="-2"/>
        </w:rPr>
        <w:t>7</w:t>
      </w:r>
      <w:r>
        <w:rPr>
          <w:spacing w:val="-2"/>
        </w:rPr>
        <w:t>号新材</w:t>
      </w:r>
      <w:r>
        <w:rPr>
          <w:spacing w:val="-97"/>
        </w:rPr>
        <w:t> </w:t>
      </w:r>
      <w:r>
        <w:rPr/>
        <w:t>料创业大厦</w:t>
      </w:r>
      <w:r>
        <w:rPr>
          <w:rFonts w:ascii="Times New Roman" w:hAnsi="Times New Roman" w:cs="Times New Roman" w:eastAsia="Times New Roman" w:hint="default"/>
        </w:rPr>
        <w:t>10</w:t>
      </w:r>
      <w:r>
        <w:rPr/>
        <w:t>层北侧办公</w:t>
      </w:r>
      <w:r>
        <w:rPr>
          <w:rFonts w:ascii="Times New Roman" w:hAnsi="Times New Roman" w:cs="Times New Roman" w:eastAsia="Times New Roman" w:hint="default"/>
        </w:rPr>
        <w:t>1002</w:t>
      </w:r>
      <w:r>
        <w:rPr/>
        <w:t>室。经营范围为：技术开发；软件开发；计算机系统服务；基础软件服务； 应用软件服务；销售计算机、软件及辅助设备。</w:t>
      </w:r>
    </w:p>
    <w:p>
      <w:pPr>
        <w:spacing w:after="0" w:line="309" w:lineRule="auto"/>
        <w:jc w:val="left"/>
        <w:sectPr>
          <w:pgSz w:w="11910" w:h="16840"/>
          <w:pgMar w:header="918" w:footer="1267" w:top="1160" w:bottom="1460" w:left="980" w:right="920"/>
        </w:sectPr>
      </w:pPr>
    </w:p>
    <w:p>
      <w:pPr>
        <w:spacing w:line="240" w:lineRule="auto" w:before="5"/>
        <w:rPr>
          <w:rFonts w:ascii="宋体" w:hAnsi="宋体" w:cs="宋体" w:eastAsia="宋体" w:hint="default"/>
          <w:sz w:val="20"/>
          <w:szCs w:val="20"/>
        </w:rPr>
      </w:pPr>
    </w:p>
    <w:p>
      <w:pPr>
        <w:pStyle w:val="BodyText"/>
        <w:spacing w:line="314" w:lineRule="auto" w:before="35"/>
        <w:ind w:left="153" w:right="104"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月，美亚宏数与国信利信大数据服务有限公司（下称“国信利信”）签订合资协议，成立合 资公司北京国信宏数科技有限责任公司（下称“国信宏数”），国信宏数已于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日注册成立并 开始运营。国信宏数统一社会信用代码：</w:t>
      </w:r>
      <w:r>
        <w:rPr>
          <w:rFonts w:ascii="Times New Roman" w:hAnsi="Times New Roman" w:cs="Times New Roman" w:eastAsia="Times New Roman" w:hint="default"/>
        </w:rPr>
        <w:t>91110108MA0034AE2U</w:t>
      </w:r>
      <w:r>
        <w:rPr/>
        <w:t>，注册资本</w:t>
      </w:r>
      <w:r>
        <w:rPr>
          <w:rFonts w:ascii="Times New Roman" w:hAnsi="Times New Roman" w:cs="Times New Roman" w:eastAsia="Times New Roman" w:hint="default"/>
        </w:rPr>
        <w:t>1000</w:t>
      </w:r>
      <w:r>
        <w:rPr/>
        <w:t>万元，法定代表人滕达， 注册地址：北京市海淀区丰慧中路</w:t>
      </w:r>
      <w:r>
        <w:rPr>
          <w:rFonts w:ascii="Times New Roman" w:hAnsi="Times New Roman" w:cs="Times New Roman" w:eastAsia="Times New Roman" w:hint="default"/>
        </w:rPr>
        <w:t>7</w:t>
      </w:r>
      <w:r>
        <w:rPr/>
        <w:t>号新材料创业大厦</w:t>
      </w:r>
      <w:r>
        <w:rPr>
          <w:rFonts w:ascii="Times New Roman" w:hAnsi="Times New Roman" w:cs="Times New Roman" w:eastAsia="Times New Roman" w:hint="default"/>
        </w:rPr>
        <w:t>10</w:t>
      </w:r>
      <w:r>
        <w:rPr/>
        <w:t>层北侧办公</w:t>
      </w:r>
      <w:r>
        <w:rPr>
          <w:rFonts w:ascii="Times New Roman" w:hAnsi="Times New Roman" w:cs="Times New Roman" w:eastAsia="Times New Roman" w:hint="default"/>
        </w:rPr>
        <w:t>1018</w:t>
      </w:r>
      <w:r>
        <w:rPr/>
        <w:t>室。其中，美亚宏数出资</w:t>
      </w:r>
      <w:r>
        <w:rPr>
          <w:rFonts w:ascii="Times New Roman" w:hAnsi="Times New Roman" w:cs="Times New Roman" w:eastAsia="Times New Roman" w:hint="default"/>
        </w:rPr>
        <w:t>600</w:t>
      </w:r>
      <w:r>
        <w:rPr/>
        <w:t>万，</w:t>
      </w:r>
      <w:r>
        <w:rPr>
          <w:spacing w:val="1"/>
        </w:rPr>
        <w:t> </w:t>
      </w:r>
      <w:r>
        <w:rPr/>
        <w:t>持有</w:t>
      </w:r>
      <w:r>
        <w:rPr>
          <w:rFonts w:ascii="Times New Roman" w:hAnsi="Times New Roman" w:cs="Times New Roman" w:eastAsia="Times New Roman" w:hint="default"/>
        </w:rPr>
        <w:t>60%</w:t>
      </w:r>
      <w:r>
        <w:rPr/>
        <w:t>股权，国信利信出资</w:t>
      </w:r>
      <w:r>
        <w:rPr>
          <w:rFonts w:ascii="Times New Roman" w:hAnsi="Times New Roman" w:cs="Times New Roman" w:eastAsia="Times New Roman" w:hint="default"/>
        </w:rPr>
        <w:t>400</w:t>
      </w:r>
      <w:r>
        <w:rPr/>
        <w:t>万，持有</w:t>
      </w:r>
      <w:r>
        <w:rPr>
          <w:rFonts w:ascii="Times New Roman" w:hAnsi="Times New Roman" w:cs="Times New Roman" w:eastAsia="Times New Roman" w:hint="default"/>
        </w:rPr>
        <w:t>40%</w:t>
      </w:r>
      <w:r>
        <w:rPr/>
        <w:t>股权。国信宏数采用“云服务</w:t>
      </w:r>
      <w:r>
        <w:rPr>
          <w:rFonts w:ascii="Times New Roman" w:hAnsi="Times New Roman" w:cs="Times New Roman" w:eastAsia="Times New Roman" w:hint="default"/>
        </w:rPr>
        <w:t>+</w:t>
      </w:r>
      <w:r>
        <w:rPr/>
        <w:t>大数据”的技术体系，提供 基于云计算的大数据服务，主要业务包括：互联网全网数据采集、加工、运维服务；政府核心业务数据库 </w:t>
      </w:r>
      <w:r>
        <w:rPr>
          <w:spacing w:val="-3"/>
        </w:rPr>
        <w:t>建设与运维服务；大数据智能推送系统建设及运维；大数据可视化相关产品及服务；大数据分析报告编写；</w:t>
      </w:r>
      <w:r>
        <w:rPr>
          <w:spacing w:val="-90"/>
        </w:rPr>
        <w:t> </w:t>
      </w:r>
      <w:r>
        <w:rPr>
          <w:spacing w:val="-90"/>
        </w:rPr>
      </w:r>
      <w:r>
        <w:rPr/>
        <w:t>大数据业务培训、咨询、研究；政府大数据业务相关标准研发制定。</w:t>
      </w:r>
    </w:p>
    <w:p>
      <w:pPr>
        <w:spacing w:line="240" w:lineRule="auto" w:before="6"/>
        <w:rPr>
          <w:rFonts w:ascii="宋体" w:hAnsi="宋体" w:cs="宋体" w:eastAsia="宋体" w:hint="default"/>
          <w:sz w:val="21"/>
          <w:szCs w:val="21"/>
        </w:rPr>
      </w:pPr>
    </w:p>
    <w:p>
      <w:pPr>
        <w:pStyle w:val="Heading2"/>
        <w:spacing w:line="240" w:lineRule="auto"/>
        <w:ind w:right="97"/>
        <w:jc w:val="left"/>
        <w:rPr>
          <w:b w:val="0"/>
          <w:bCs w:val="0"/>
        </w:rPr>
      </w:pPr>
      <w:r>
        <w:rPr/>
        <w:t>十八、公司子公司重大事项</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4"/>
        <w:rPr>
          <w:rFonts w:ascii="宋体" w:hAnsi="宋体" w:cs="宋体" w:eastAsia="宋体" w:hint="default"/>
          <w:sz w:val="25"/>
          <w:szCs w:val="25"/>
        </w:rPr>
      </w:pPr>
    </w:p>
    <w:p>
      <w:pPr>
        <w:pStyle w:val="Heading2"/>
        <w:spacing w:line="240" w:lineRule="auto"/>
        <w:ind w:right="97"/>
        <w:jc w:val="left"/>
        <w:rPr>
          <w:b w:val="0"/>
          <w:bCs w:val="0"/>
        </w:rPr>
      </w:pPr>
      <w:r>
        <w:rPr/>
        <w:t>十九、社会责任情况</w:t>
      </w:r>
      <w:r>
        <w:rPr>
          <w:b w:val="0"/>
          <w:bCs w:val="0"/>
        </w:rPr>
      </w:r>
    </w:p>
    <w:p>
      <w:pPr>
        <w:spacing w:line="240" w:lineRule="auto" w:before="12"/>
        <w:rPr>
          <w:rFonts w:ascii="宋体" w:hAnsi="宋体" w:cs="宋体" w:eastAsia="宋体" w:hint="default"/>
          <w:b/>
          <w:bCs/>
          <w:sz w:val="26"/>
          <w:szCs w:val="26"/>
        </w:rPr>
      </w:pPr>
    </w:p>
    <w:p>
      <w:pPr>
        <w:pStyle w:val="BodyText"/>
        <w:spacing w:line="321" w:lineRule="auto"/>
        <w:ind w:left="154" w:right="211" w:firstLine="420"/>
        <w:jc w:val="both"/>
      </w:pPr>
      <w:bookmarkStart w:name="十八、公司子公司重大事项" w:id="95"/>
      <w:bookmarkEnd w:id="95"/>
      <w:r>
        <w:rPr/>
      </w:r>
      <w:r>
        <w:rPr>
          <w:spacing w:val="-1"/>
        </w:rPr>
        <w:t>公司是国内电子数据取证行业龙头企业，</w:t>
      </w:r>
      <w:bookmarkStart w:name="十九、社会责任情况" w:id="96"/>
      <w:bookmarkEnd w:id="96"/>
      <w:r>
        <w:rPr>
          <w:spacing w:val="-1"/>
        </w:rPr>
        <w:t>网络空间安全与大数据信息化专家</w:t>
      </w:r>
      <w:r>
        <w:rPr>
          <w:spacing w:val="-1"/>
        </w:rPr>
        <w:t>，主要围绕执法部门打击</w:t>
      </w:r>
      <w:r>
        <w:rPr/>
        <w:t> </w:t>
      </w:r>
      <w:r>
        <w:rPr>
          <w:spacing w:val="-1"/>
        </w:rPr>
        <w:t>犯罪及政府网络空间社会治理提供产品和服务。公司一直重视并切实履行社会责任，逐步建立和健全了社</w:t>
      </w:r>
      <w:r>
        <w:rPr>
          <w:spacing w:val="-81"/>
        </w:rPr>
        <w:t> </w:t>
      </w:r>
      <w:r>
        <w:rPr>
          <w:spacing w:val="-81"/>
        </w:rPr>
      </w:r>
      <w:r>
        <w:rPr>
          <w:spacing w:val="-1"/>
        </w:rPr>
        <w:t>会责任管理体系。</w:t>
      </w:r>
      <w:r>
        <w:rPr>
          <w:rFonts w:ascii="Times New Roman" w:hAnsi="Times New Roman" w:cs="Times New Roman" w:eastAsia="Times New Roman" w:hint="default"/>
          <w:spacing w:val="-1"/>
        </w:rPr>
        <w:t>2015</w:t>
      </w:r>
      <w:r>
        <w:rPr>
          <w:spacing w:val="-1"/>
        </w:rPr>
        <w:t>年度公司持续履行企业社会责任和社会公益方面的责任和义务。主要表现在以下方</w:t>
      </w:r>
      <w:r>
        <w:rPr>
          <w:spacing w:val="-81"/>
        </w:rPr>
        <w:t> </w:t>
      </w:r>
      <w:r>
        <w:rPr>
          <w:spacing w:val="-81"/>
        </w:rPr>
      </w:r>
      <w:r>
        <w:rPr/>
        <w:t>面：</w:t>
      </w:r>
    </w:p>
    <w:p>
      <w:pPr>
        <w:pStyle w:val="BodyText"/>
        <w:spacing w:line="321" w:lineRule="auto" w:before="148"/>
        <w:ind w:left="154" w:right="97" w:firstLine="420"/>
        <w:jc w:val="left"/>
      </w:pPr>
      <w:r>
        <w:rPr/>
        <w:t>（</w:t>
      </w:r>
      <w:r>
        <w:rPr>
          <w:rFonts w:ascii="Times New Roman" w:hAnsi="Times New Roman" w:cs="Times New Roman" w:eastAsia="Times New Roman" w:hint="default"/>
        </w:rPr>
        <w:t>1</w:t>
      </w:r>
      <w:r>
        <w:rPr/>
        <w:t>）严格执行《安全保密管理制度》，保障用户信息安全：作为信息安全行业的龙头企业，保护用 </w:t>
      </w:r>
      <w:r>
        <w:rPr>
          <w:spacing w:val="-1"/>
        </w:rPr>
        <w:t>户信息安全是公司义不容辞的责任和义务，公司非常重视安全保密工作，已建立了严格的安全保密管理体</w:t>
      </w:r>
      <w:r>
        <w:rPr>
          <w:spacing w:val="-81"/>
        </w:rPr>
        <w:t> </w:t>
      </w:r>
      <w:r>
        <w:rPr>
          <w:spacing w:val="-81"/>
        </w:rPr>
      </w:r>
      <w:r>
        <w:rPr>
          <w:spacing w:val="-1"/>
        </w:rPr>
        <w:t>系，制定了《安全保密管理制度》，定期对员工进行安全保密培训及考试，执行上岗签署保密承诺、在岗</w:t>
      </w:r>
      <w:r>
        <w:rPr>
          <w:spacing w:val="-83"/>
        </w:rPr>
        <w:t> </w:t>
      </w:r>
      <w:r>
        <w:rPr>
          <w:spacing w:val="-83"/>
        </w:rPr>
      </w:r>
      <w:r>
        <w:rPr/>
        <w:t>保密行为记录及审计、离岗脱密期管理，将安全保密责任落实到人。</w:t>
      </w:r>
    </w:p>
    <w:p>
      <w:pPr>
        <w:pStyle w:val="BodyText"/>
        <w:spacing w:line="316" w:lineRule="auto" w:before="148"/>
        <w:ind w:left="154" w:right="207" w:firstLine="420"/>
        <w:jc w:val="left"/>
      </w:pPr>
      <w:r>
        <w:rPr/>
        <w:t>（</w:t>
      </w:r>
      <w:r>
        <w:rPr>
          <w:rFonts w:ascii="Times New Roman" w:hAnsi="Times New Roman" w:cs="Times New Roman" w:eastAsia="Times New Roman" w:hint="default"/>
        </w:rPr>
        <w:t>2</w:t>
      </w:r>
      <w:r>
        <w:rPr/>
        <w:t>）完善《质量手册》，严把质量关：公司将客户作为企业存在的最大价值，把客户满意作为衡量 各项工作的准绳，严把产品质量关，重视与客户的共赢关系。公司已根据</w:t>
      </w:r>
      <w:r>
        <w:rPr>
          <w:rFonts w:ascii="Times New Roman" w:hAnsi="Times New Roman" w:cs="Times New Roman" w:eastAsia="Times New Roman" w:hint="default"/>
        </w:rPr>
        <w:t>ISO</w:t>
      </w:r>
      <w:r>
        <w:rPr>
          <w:rFonts w:ascii="Times New Roman" w:hAnsi="Times New Roman" w:cs="Times New Roman" w:eastAsia="Times New Roman" w:hint="default"/>
          <w:spacing w:val="-6"/>
        </w:rPr>
        <w:t> </w:t>
      </w:r>
      <w:r>
        <w:rPr>
          <w:rFonts w:ascii="Times New Roman" w:hAnsi="Times New Roman" w:cs="Times New Roman" w:eastAsia="Times New Roman" w:hint="default"/>
        </w:rPr>
        <w:t>9001</w:t>
      </w:r>
      <w:r>
        <w:rPr/>
        <w:t>：</w:t>
      </w:r>
      <w:r>
        <w:rPr>
          <w:rFonts w:ascii="Times New Roman" w:hAnsi="Times New Roman" w:cs="Times New Roman" w:eastAsia="Times New Roman" w:hint="default"/>
        </w:rPr>
        <w:t>2008</w:t>
      </w:r>
      <w:r>
        <w:rPr/>
        <w:t>、国家法律法规 </w:t>
      </w:r>
      <w:r>
        <w:rPr>
          <w:spacing w:val="-1"/>
        </w:rPr>
        <w:t>的要求及公司的实际情况制定并完善了《质量手册》，建立质量管理体系，从管理职责、资源管理、产品</w:t>
      </w:r>
      <w:r>
        <w:rPr>
          <w:spacing w:val="-83"/>
        </w:rPr>
        <w:t> </w:t>
      </w:r>
      <w:r>
        <w:rPr>
          <w:spacing w:val="-83"/>
        </w:rPr>
      </w:r>
      <w:r>
        <w:rPr>
          <w:spacing w:val="-1"/>
        </w:rPr>
        <w:t>实现、测量分析和改进四个维度保证公司能持续有效地运行及向客户提供满意的产品。为了提高管理水平</w:t>
      </w:r>
      <w:r>
        <w:rPr>
          <w:spacing w:val="-81"/>
        </w:rPr>
        <w:t> </w:t>
      </w:r>
      <w:r>
        <w:rPr>
          <w:spacing w:val="-81"/>
        </w:rPr>
      </w:r>
      <w:r>
        <w:rPr/>
        <w:t>并与国际环境管理体系接轨，公司依据</w:t>
      </w:r>
      <w:r>
        <w:rPr>
          <w:rFonts w:ascii="Times New Roman" w:hAnsi="Times New Roman" w:cs="Times New Roman" w:eastAsia="Times New Roman" w:hint="default"/>
        </w:rPr>
        <w:t>ISO</w:t>
      </w:r>
      <w:r>
        <w:rPr>
          <w:rFonts w:ascii="Times New Roman" w:hAnsi="Times New Roman" w:cs="Times New Roman" w:eastAsia="Times New Roman" w:hint="default"/>
          <w:spacing w:val="-4"/>
        </w:rPr>
        <w:t> </w:t>
      </w:r>
      <w:r>
        <w:rPr>
          <w:rFonts w:ascii="Times New Roman" w:hAnsi="Times New Roman" w:cs="Times New Roman" w:eastAsia="Times New Roman" w:hint="default"/>
        </w:rPr>
        <w:t>14001:2004</w:t>
      </w:r>
      <w:r>
        <w:rPr/>
        <w:t>环境管理体系的要求，结合公司的实际情况，建立 了环境管理体系，并于</w:t>
      </w:r>
      <w:r>
        <w:rPr>
          <w:rFonts w:ascii="Times New Roman" w:hAnsi="Times New Roman" w:cs="Times New Roman" w:eastAsia="Times New Roman" w:hint="default"/>
        </w:rPr>
        <w:t>2012</w:t>
      </w:r>
      <w:r>
        <w:rPr/>
        <w:t>年通过了环境管理体系认证。</w:t>
      </w:r>
    </w:p>
    <w:p>
      <w:pPr>
        <w:pStyle w:val="BodyText"/>
        <w:spacing w:line="319" w:lineRule="auto" w:before="129"/>
        <w:ind w:left="154" w:right="97" w:firstLine="420"/>
        <w:jc w:val="left"/>
      </w:pPr>
      <w:r>
        <w:rPr/>
        <w:t>（</w:t>
      </w:r>
      <w:r>
        <w:rPr>
          <w:rFonts w:ascii="Times New Roman" w:hAnsi="Times New Roman" w:cs="Times New Roman" w:eastAsia="Times New Roman" w:hint="default"/>
        </w:rPr>
        <w:t>3</w:t>
      </w:r>
      <w:r>
        <w:rPr/>
        <w:t>）规范运作、稳健经营：围绕公司战略方向和</w:t>
      </w:r>
      <w:r>
        <w:rPr>
          <w:rFonts w:ascii="Times New Roman" w:hAnsi="Times New Roman" w:cs="Times New Roman" w:eastAsia="Times New Roman" w:hint="default"/>
        </w:rPr>
        <w:t>2015</w:t>
      </w:r>
      <w:r>
        <w:rPr/>
        <w:t>年度经营计划积极开展产品研发和市场推广， </w:t>
      </w:r>
      <w:r>
        <w:rPr>
          <w:spacing w:val="-1"/>
        </w:rPr>
        <w:t>实现公司收入、利润稳定增长；公司规范运作、信息披露、股东回报等各项工作获得监管部门及广大投资</w:t>
      </w:r>
      <w:r>
        <w:rPr>
          <w:spacing w:val="-86"/>
        </w:rPr>
        <w:t> </w:t>
      </w:r>
      <w:r>
        <w:rPr>
          <w:spacing w:val="-86"/>
        </w:rPr>
      </w:r>
      <w:r>
        <w:rPr>
          <w:spacing w:val="-1"/>
        </w:rPr>
        <w:t>者认可，荣获国家工业和信息化部“知识产权运用标杆企业”、第四届“世界知识产权组织版权金奖（中</w:t>
      </w:r>
      <w:r>
        <w:rPr>
          <w:spacing w:val="-83"/>
        </w:rPr>
        <w:t> </w:t>
      </w:r>
      <w:r>
        <w:rPr>
          <w:spacing w:val="-83"/>
        </w:rPr>
      </w:r>
      <w:r>
        <w:rPr>
          <w:spacing w:val="-1"/>
        </w:rPr>
        <w:t>国）”保护奖、</w:t>
      </w:r>
      <w:r>
        <w:rPr>
          <w:rFonts w:ascii="Times New Roman" w:hAnsi="Times New Roman" w:cs="Times New Roman" w:eastAsia="Times New Roman" w:hint="default"/>
          <w:spacing w:val="-1"/>
        </w:rPr>
        <w:t>2015</w:t>
      </w:r>
      <w:r>
        <w:rPr>
          <w:spacing w:val="-1"/>
        </w:rPr>
        <w:t>年度中国上市公司市值管理绩效百佳企业、海西最具人气上市公司等多项殊荣，公司</w:t>
      </w:r>
      <w:r>
        <w:rPr>
          <w:spacing w:val="-84"/>
        </w:rPr>
        <w:t> </w:t>
      </w:r>
      <w:r>
        <w:rPr>
          <w:spacing w:val="-84"/>
        </w:rPr>
      </w:r>
      <w:r>
        <w:rPr/>
        <w:t>董事长滕达荣登“</w:t>
      </w:r>
      <w:r>
        <w:rPr>
          <w:rFonts w:ascii="Times New Roman" w:hAnsi="Times New Roman" w:cs="Times New Roman" w:eastAsia="Times New Roman" w:hint="default"/>
        </w:rPr>
        <w:t>2015</w:t>
      </w:r>
      <w:r>
        <w:rPr/>
        <w:t>福布斯中国上市公司最佳</w:t>
      </w:r>
      <w:r>
        <w:rPr>
          <w:rFonts w:ascii="Times New Roman" w:hAnsi="Times New Roman" w:cs="Times New Roman" w:eastAsia="Times New Roman" w:hint="default"/>
        </w:rPr>
        <w:t>CEO</w:t>
      </w:r>
      <w:r>
        <w:rPr/>
        <w:t>”榜单第</w:t>
      </w:r>
      <w:r>
        <w:rPr>
          <w:rFonts w:ascii="Times New Roman" w:hAnsi="Times New Roman" w:cs="Times New Roman" w:eastAsia="Times New Roman" w:hint="default"/>
        </w:rPr>
        <w:t>32</w:t>
      </w:r>
      <w:r>
        <w:rPr/>
        <w:t>位。</w:t>
      </w:r>
    </w:p>
    <w:p>
      <w:pPr>
        <w:pStyle w:val="BodyText"/>
        <w:spacing w:line="319" w:lineRule="auto" w:before="127"/>
        <w:ind w:left="154" w:right="172" w:firstLine="420"/>
        <w:jc w:val="left"/>
      </w:pPr>
      <w:r>
        <w:rPr/>
        <w:t>（</w:t>
      </w:r>
      <w:r>
        <w:rPr>
          <w:rFonts w:ascii="Times New Roman" w:hAnsi="Times New Roman" w:cs="Times New Roman" w:eastAsia="Times New Roman" w:hint="default"/>
        </w:rPr>
        <w:t>4</w:t>
      </w:r>
      <w:r>
        <w:rPr/>
        <w:t>）引领行业技术发展，促进国际交流合作：美亚柏科信息安全学院以“教学相长、用心传承”为 办学宗旨，依托美亚柏科产业资源和技术优势，不断完善多层次、多学科的课程体系，为各类政法机关、 高校、企事业单位提供电子数据取证、网络信息安全等各类行业技术培训，累计已培养</w:t>
      </w:r>
      <w:r>
        <w:rPr>
          <w:rFonts w:ascii="Times New Roman" w:hAnsi="Times New Roman" w:cs="Times New Roman" w:eastAsia="Times New Roman" w:hint="default"/>
        </w:rPr>
        <w:t>50000</w:t>
      </w:r>
      <w:r>
        <w:rPr/>
        <w:t>余名专业人</w:t>
      </w:r>
    </w:p>
    <w:p>
      <w:pPr>
        <w:spacing w:after="0" w:line="319" w:lineRule="auto"/>
        <w:jc w:val="left"/>
        <w:sectPr>
          <w:footerReference w:type="default" r:id="rId20"/>
          <w:pgSz w:w="11910" w:h="16840"/>
          <w:pgMar w:footer="1267" w:header="918" w:top="1160" w:bottom="1460" w:left="980" w:right="920"/>
          <w:pgNumType w:start="68"/>
        </w:sectPr>
      </w:pPr>
    </w:p>
    <w:p>
      <w:pPr>
        <w:spacing w:line="240" w:lineRule="auto" w:before="5"/>
        <w:rPr>
          <w:rFonts w:ascii="宋体" w:hAnsi="宋体" w:cs="宋体" w:eastAsia="宋体" w:hint="default"/>
          <w:sz w:val="20"/>
          <w:szCs w:val="20"/>
        </w:rPr>
      </w:pPr>
    </w:p>
    <w:p>
      <w:pPr>
        <w:pStyle w:val="BodyText"/>
        <w:spacing w:line="309" w:lineRule="auto" w:before="35"/>
        <w:ind w:left="154" w:right="97"/>
        <w:jc w:val="left"/>
      </w:pPr>
      <w:r>
        <w:rPr>
          <w:spacing w:val="-3"/>
        </w:rPr>
        <w:t>才；并已承办孟加拉国网警培训班、中国</w:t>
      </w:r>
      <w:r>
        <w:rPr>
          <w:rFonts w:ascii="Times New Roman" w:hAnsi="Times New Roman" w:cs="Times New Roman" w:eastAsia="Times New Roman" w:hint="default"/>
          <w:spacing w:val="-3"/>
        </w:rPr>
        <w:t>-</w:t>
      </w:r>
      <w:r>
        <w:rPr>
          <w:spacing w:val="-3"/>
        </w:rPr>
        <w:t>东盟十国计算机取证峰会、中亚打击网络犯罪培训班等</w:t>
      </w:r>
      <w:r>
        <w:rPr>
          <w:rFonts w:ascii="Times New Roman" w:hAnsi="Times New Roman" w:cs="Times New Roman" w:eastAsia="Times New Roman" w:hint="default"/>
          <w:spacing w:val="-3"/>
        </w:rPr>
        <w:t>30</w:t>
      </w:r>
      <w:r>
        <w:rPr>
          <w:spacing w:val="-3"/>
        </w:rPr>
        <w:t>余场外</w:t>
      </w:r>
      <w:r>
        <w:rPr>
          <w:spacing w:val="-59"/>
        </w:rPr>
        <w:t> </w:t>
      </w:r>
      <w:r>
        <w:rPr>
          <w:spacing w:val="-59"/>
        </w:rPr>
      </w:r>
      <w:r>
        <w:rPr/>
        <w:t>警培训和技术交流会，为促进国际技术交流与合作作出积极贡献。</w:t>
      </w:r>
    </w:p>
    <w:p>
      <w:pPr>
        <w:pStyle w:val="BodyText"/>
        <w:spacing w:line="321" w:lineRule="auto" w:before="158"/>
        <w:ind w:left="154" w:right="97" w:firstLine="420"/>
        <w:jc w:val="left"/>
      </w:pPr>
      <w:r>
        <w:rPr/>
        <w:t>（</w:t>
      </w:r>
      <w:r>
        <w:rPr>
          <w:rFonts w:ascii="Times New Roman" w:hAnsi="Times New Roman" w:cs="Times New Roman" w:eastAsia="Times New Roman" w:hint="default"/>
        </w:rPr>
        <w:t>5</w:t>
      </w:r>
      <w:r>
        <w:rPr/>
        <w:t>）美亚柏科爱心基金持续履行社会公益责任：美亚柏科爱心基金由公司和员工共同捐赠，自</w:t>
      </w:r>
      <w:r>
        <w:rPr>
          <w:rFonts w:ascii="Times New Roman" w:hAnsi="Times New Roman" w:cs="Times New Roman" w:eastAsia="Times New Roman" w:hint="default"/>
        </w:rPr>
        <w:t>2010 </w:t>
      </w:r>
      <w:r>
        <w:rPr>
          <w:spacing w:val="-1"/>
        </w:rPr>
        <w:t>年设立以来，爱心基金秉承弘扬公益文化，积极履行社会责任的精神，在重大自然灾害救援、关爱社会弱</w:t>
      </w:r>
      <w:r>
        <w:rPr>
          <w:spacing w:val="-86"/>
        </w:rPr>
        <w:t> </w:t>
      </w:r>
      <w:r>
        <w:rPr>
          <w:spacing w:val="-86"/>
        </w:rPr>
      </w:r>
      <w:r>
        <w:rPr>
          <w:spacing w:val="-1"/>
        </w:rPr>
        <w:t>势群体、资助山区贫困儿童和农民工子女、关怀工作在社会治安维稳一线、因公残疾、因公殉职或遭遇天</w:t>
      </w:r>
      <w:r>
        <w:rPr>
          <w:spacing w:val="-86"/>
        </w:rPr>
        <w:t> </w:t>
      </w:r>
      <w:r>
        <w:rPr>
          <w:spacing w:val="-86"/>
        </w:rPr>
      </w:r>
      <w:r>
        <w:rPr/>
        <w:t>灾人祸的人民干警、帮扶困难员工解决燃眉之急方面发挥了积极作用。</w:t>
      </w:r>
    </w:p>
    <w:p>
      <w:pPr>
        <w:pStyle w:val="BodyText"/>
        <w:spacing w:line="324" w:lineRule="auto" w:before="148"/>
        <w:ind w:left="154" w:right="103" w:firstLine="419"/>
        <w:jc w:val="left"/>
      </w:pPr>
      <w:r>
        <w:rPr>
          <w:spacing w:val="-1"/>
        </w:rPr>
        <w:t>（</w:t>
      </w:r>
      <w:r>
        <w:rPr>
          <w:rFonts w:ascii="Times New Roman" w:hAnsi="Times New Roman" w:cs="Times New Roman" w:eastAsia="Times New Roman" w:hint="default"/>
          <w:spacing w:val="-1"/>
        </w:rPr>
        <w:t>6</w:t>
      </w:r>
      <w:r>
        <w:rPr>
          <w:spacing w:val="-1"/>
        </w:rPr>
        <w:t>）积极响应政府号召，鼓励大众创业、万众创新：公司制定了《内部创业管理办法》，设立了内、</w:t>
      </w:r>
      <w:r>
        <w:rPr/>
        <w:t> </w:t>
      </w:r>
      <w:r>
        <w:rPr>
          <w:spacing w:val="-3"/>
        </w:rPr>
        <w:t>外部创业平台、投资平台为员工创业和参与创业投资提供支持，公司已有项目通过内部创业平台成功孵化。</w:t>
      </w:r>
      <w:r>
        <w:rPr>
          <w:spacing w:val="-92"/>
        </w:rPr>
        <w:t> </w:t>
      </w:r>
      <w:r>
        <w:rPr>
          <w:spacing w:val="-92"/>
        </w:rPr>
      </w:r>
      <w:r>
        <w:rPr/>
        <w:t>此外，由美亚柏科高管及刘祥南老师的学生、家属共同发起设立了厦门大学刘祥南创新创业基金，该基金</w:t>
      </w:r>
      <w:r>
        <w:rPr/>
        <w:t> 每年将拿出部分收益用于厦门大学学生尤其是在网络空间安全、大数据方面表现突出的厦大学生创新、创 业方面的奖励和资助，旨在鼓励学生发挥自己的兴趣和专长进行技术创新研究和创业，促进高校人才培养 和项目成果转化。</w:t>
      </w:r>
    </w:p>
    <w:p>
      <w:pPr>
        <w:pStyle w:val="BodyText"/>
        <w:spacing w:line="240" w:lineRule="auto" w:before="146"/>
        <w:ind w:right="97"/>
        <w:jc w:val="left"/>
      </w:pPr>
      <w:r>
        <w:rPr/>
        <w:t>上市公司及其子公司是否属于国家环境保护部门规定的重污染行业</w:t>
      </w:r>
    </w:p>
    <w:p>
      <w:pPr>
        <w:spacing w:line="240" w:lineRule="auto" w:before="10"/>
        <w:rPr>
          <w:rFonts w:ascii="宋体" w:hAnsi="宋体" w:cs="宋体" w:eastAsia="宋体" w:hint="default"/>
          <w:sz w:val="16"/>
          <w:szCs w:val="16"/>
        </w:rPr>
      </w:pPr>
    </w:p>
    <w:p>
      <w:pPr>
        <w:pStyle w:val="BodyText"/>
        <w:tabs>
          <w:tab w:pos="1227" w:val="left" w:leader="none"/>
        </w:tabs>
        <w:spacing w:line="240" w:lineRule="auto"/>
        <w:ind w:right="97"/>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是</w:t>
        <w:tab/>
      </w:r>
      <w:r>
        <w:rPr>
          <w:rFonts w:ascii="Times New Roman" w:hAnsi="Times New Roman" w:cs="Times New Roman" w:eastAsia="Times New Roman" w:hint="default"/>
        </w:rPr>
        <w:t>√</w:t>
      </w:r>
      <w:r>
        <w:rPr/>
        <w:t>否</w:t>
      </w:r>
    </w:p>
    <w:p>
      <w:pPr>
        <w:spacing w:line="240" w:lineRule="auto" w:before="3"/>
        <w:rPr>
          <w:rFonts w:ascii="宋体" w:hAnsi="宋体" w:cs="宋体" w:eastAsia="宋体" w:hint="default"/>
          <w:sz w:val="25"/>
          <w:szCs w:val="25"/>
        </w:rPr>
      </w:pPr>
    </w:p>
    <w:p>
      <w:pPr>
        <w:pStyle w:val="Heading2"/>
        <w:spacing w:line="240" w:lineRule="auto"/>
        <w:ind w:right="97"/>
        <w:jc w:val="left"/>
        <w:rPr>
          <w:b w:val="0"/>
          <w:bCs w:val="0"/>
        </w:rPr>
      </w:pPr>
      <w:r>
        <w:rPr/>
        <w:t>二十、公司债券相关情况</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97" w:firstLine="420"/>
        <w:jc w:val="left"/>
      </w:pPr>
      <w:r>
        <w:rPr>
          <w:spacing w:val="-1"/>
        </w:rPr>
        <w:t>公司是否存在公开发行并在证券交易所上市，</w:t>
      </w:r>
      <w:bookmarkStart w:name="二十、公司债券相关情况" w:id="97"/>
      <w:bookmarkEnd w:id="97"/>
      <w:r>
        <w:rPr>
          <w:spacing w:val="-1"/>
        </w:rPr>
        <w:t>且在年度报告批准报出日未到期或到期未能全额兑付的</w:t>
      </w:r>
      <w:r>
        <w:rPr/>
        <w:t> 公司债券</w:t>
      </w:r>
    </w:p>
    <w:p>
      <w:pPr>
        <w:pStyle w:val="BodyText"/>
        <w:tabs>
          <w:tab w:pos="1226" w:val="left" w:leader="none"/>
        </w:tabs>
        <w:spacing w:line="240" w:lineRule="auto" w:before="144"/>
        <w:ind w:right="97"/>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是</w:t>
        <w:tab/>
      </w:r>
      <w:r>
        <w:rPr>
          <w:rFonts w:ascii="Times New Roman" w:hAnsi="Times New Roman" w:cs="Times New Roman" w:eastAsia="Times New Roman" w:hint="default"/>
        </w:rPr>
        <w:t>√</w:t>
      </w:r>
      <w:r>
        <w:rPr/>
        <w:t>否</w:t>
      </w:r>
    </w:p>
    <w:p>
      <w:pPr>
        <w:spacing w:after="0" w:line="240" w:lineRule="auto"/>
        <w:jc w:val="left"/>
        <w:sectPr>
          <w:pgSz w:w="11910" w:h="16840"/>
          <w:pgMar w:header="918" w:footer="1267" w:top="1160" w:bottom="14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9"/>
        <w:ind w:left="3287" w:right="0"/>
        <w:jc w:val="left"/>
        <w:rPr>
          <w:b w:val="0"/>
          <w:bCs w:val="0"/>
        </w:rPr>
      </w:pPr>
      <w:bookmarkStart w:name="第六节 股份变动及股东情况" w:id="98"/>
      <w:bookmarkEnd w:id="98"/>
      <w:r>
        <w:rPr>
          <w:b w:val="0"/>
          <w:bCs w:val="0"/>
        </w:rPr>
      </w:r>
      <w:bookmarkStart w:name="_bookmark4" w:id="99"/>
      <w:bookmarkEnd w:id="99"/>
      <w:r>
        <w:rPr>
          <w:b w:val="0"/>
          <w:bCs w:val="0"/>
        </w:rPr>
      </w:r>
      <w:r>
        <w:rPr/>
        <w:t>第六节</w:t>
      </w:r>
      <w:r>
        <w:rPr>
          <w:spacing w:val="-3"/>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w:t>
      </w:r>
      <w:bookmarkStart w:name="一、股份变动情况" w:id="100"/>
      <w:bookmarkEnd w:id="100"/>
      <w:r>
        <w:rPr/>
        <w:t>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1、股份变动情况" w:id="101"/>
      <w:bookmarkEnd w:id="101"/>
      <w:r>
        <w:rPr/>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1004"/>
        <w:gridCol w:w="708"/>
        <w:gridCol w:w="568"/>
        <w:gridCol w:w="566"/>
        <w:gridCol w:w="1134"/>
        <w:gridCol w:w="992"/>
        <w:gridCol w:w="994"/>
        <w:gridCol w:w="980"/>
        <w:gridCol w:w="794"/>
      </w:tblGrid>
      <w:tr>
        <w:trPr>
          <w:trHeight w:val="402" w:hRule="exact"/>
        </w:trPr>
        <w:tc>
          <w:tcPr>
            <w:tcW w:w="1820" w:type="dxa"/>
            <w:tcBorders>
              <w:top w:val="single" w:sz="4" w:space="0" w:color="000000"/>
              <w:left w:val="single" w:sz="4" w:space="0" w:color="000000"/>
              <w:bottom w:val="nil" w:sz="6" w:space="0" w:color="auto"/>
              <w:right w:val="single" w:sz="4" w:space="0" w:color="000000"/>
            </w:tcBorders>
            <w:shd w:val="clear" w:color="auto" w:fill="D4D4D4"/>
          </w:tcPr>
          <w:p>
            <w:pP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3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820" w:type="dxa"/>
            <w:vMerge w:val="restart"/>
            <w:tcBorders>
              <w:top w:val="nil" w:sz="6" w:space="0" w:color="auto"/>
              <w:left w:val="single" w:sz="4" w:space="0" w:color="000000"/>
              <w:right w:val="single" w:sz="4" w:space="0" w:color="000000"/>
            </w:tcBorders>
            <w:shd w:val="clear" w:color="auto" w:fill="D4D4D4"/>
          </w:tcPr>
          <w:p>
            <w:pPr/>
          </w:p>
        </w:tc>
        <w:tc>
          <w:tcPr>
            <w:tcW w:w="1004" w:type="dxa"/>
            <w:tcBorders>
              <w:top w:val="single" w:sz="4" w:space="0" w:color="000000"/>
              <w:left w:val="single" w:sz="4" w:space="0" w:color="000000"/>
              <w:bottom w:val="nil" w:sz="6" w:space="0" w:color="auto"/>
              <w:right w:val="single" w:sz="4" w:space="0" w:color="000000"/>
            </w:tcBorders>
            <w:shd w:val="clear" w:color="auto" w:fill="D4D4D4"/>
          </w:tcPr>
          <w:p>
            <w:pPr/>
          </w:p>
        </w:tc>
        <w:tc>
          <w:tcPr>
            <w:tcW w:w="708" w:type="dxa"/>
            <w:tcBorders>
              <w:top w:val="single" w:sz="4" w:space="0" w:color="000000"/>
              <w:left w:val="single" w:sz="4" w:space="0" w:color="000000"/>
              <w:bottom w:val="nil" w:sz="6" w:space="0" w:color="auto"/>
              <w:right w:val="single" w:sz="4" w:space="0" w:color="000000"/>
            </w:tcBorders>
            <w:shd w:val="clear" w:color="auto" w:fill="D4D4D4"/>
          </w:tcPr>
          <w:p>
            <w:pPr/>
          </w:p>
        </w:tc>
        <w:tc>
          <w:tcPr>
            <w:tcW w:w="568"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99"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6" w:type="dxa"/>
            <w:tcBorders>
              <w:top w:val="single" w:sz="4" w:space="0" w:color="000000"/>
              <w:left w:val="single" w:sz="4" w:space="0" w:color="000000"/>
              <w:bottom w:val="nil" w:sz="6" w:space="0" w:color="auto"/>
              <w:right w:val="single" w:sz="4" w:space="0" w:color="000000"/>
            </w:tcBorders>
            <w:shd w:val="clear" w:color="auto" w:fill="D4D4D4"/>
          </w:tcPr>
          <w:p>
            <w:pPr/>
          </w:p>
        </w:tc>
        <w:tc>
          <w:tcPr>
            <w:tcW w:w="1134" w:type="dxa"/>
            <w:tcBorders>
              <w:top w:val="single" w:sz="4" w:space="0" w:color="000000"/>
              <w:left w:val="single" w:sz="4" w:space="0" w:color="000000"/>
              <w:bottom w:val="nil" w:sz="6" w:space="0" w:color="auto"/>
              <w:right w:val="single" w:sz="4" w:space="0" w:color="000000"/>
            </w:tcBorders>
            <w:shd w:val="clear" w:color="auto" w:fill="D4D4D4"/>
          </w:tcPr>
          <w:p>
            <w:pPr/>
          </w:p>
        </w:tc>
        <w:tc>
          <w:tcPr>
            <w:tcW w:w="992" w:type="dxa"/>
            <w:tcBorders>
              <w:top w:val="single" w:sz="4" w:space="0" w:color="000000"/>
              <w:left w:val="single" w:sz="4" w:space="0" w:color="000000"/>
              <w:bottom w:val="nil" w:sz="6" w:space="0" w:color="auto"/>
              <w:right w:val="single" w:sz="4" w:space="0" w:color="000000"/>
            </w:tcBorders>
            <w:shd w:val="clear" w:color="auto" w:fill="D4D4D4"/>
          </w:tcPr>
          <w:p>
            <w:pPr/>
          </w:p>
        </w:tc>
        <w:tc>
          <w:tcPr>
            <w:tcW w:w="994" w:type="dxa"/>
            <w:tcBorders>
              <w:top w:val="single" w:sz="4" w:space="0" w:color="000000"/>
              <w:left w:val="single" w:sz="4" w:space="0" w:color="000000"/>
              <w:bottom w:val="nil" w:sz="6" w:space="0" w:color="auto"/>
              <w:right w:val="single" w:sz="4" w:space="0" w:color="000000"/>
            </w:tcBorders>
            <w:shd w:val="clear" w:color="auto" w:fill="D4D4D4"/>
          </w:tcPr>
          <w:p>
            <w:pPr/>
          </w:p>
        </w:tc>
        <w:tc>
          <w:tcPr>
            <w:tcW w:w="980" w:type="dxa"/>
            <w:tcBorders>
              <w:top w:val="single" w:sz="4" w:space="0" w:color="000000"/>
              <w:left w:val="single" w:sz="4" w:space="0" w:color="000000"/>
              <w:bottom w:val="nil" w:sz="6" w:space="0" w:color="auto"/>
              <w:right w:val="single" w:sz="4" w:space="0" w:color="000000"/>
            </w:tcBorders>
            <w:shd w:val="clear" w:color="auto" w:fill="D4D4D4"/>
          </w:tcPr>
          <w:p>
            <w:pPr/>
          </w:p>
        </w:tc>
        <w:tc>
          <w:tcPr>
            <w:tcW w:w="794"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1" w:hRule="exact"/>
        </w:trPr>
        <w:tc>
          <w:tcPr>
            <w:tcW w:w="1820" w:type="dxa"/>
            <w:vMerge/>
            <w:tcBorders>
              <w:left w:val="single" w:sz="4" w:space="0" w:color="000000"/>
              <w:bottom w:val="nil" w:sz="6" w:space="0" w:color="auto"/>
              <w:right w:val="single" w:sz="4" w:space="0" w:color="000000"/>
            </w:tcBorders>
            <w:shd w:val="clear" w:color="auto" w:fill="D4D4D4"/>
          </w:tcPr>
          <w:p>
            <w:pPr/>
          </w:p>
        </w:tc>
        <w:tc>
          <w:tcPr>
            <w:tcW w:w="100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8" w:type="dxa"/>
            <w:vMerge/>
            <w:tcBorders>
              <w:left w:val="single" w:sz="4" w:space="0" w:color="000000"/>
              <w:right w:val="single" w:sz="4" w:space="0" w:color="000000"/>
            </w:tcBorders>
            <w:shd w:val="clear" w:color="auto" w:fill="D4D4D4"/>
          </w:tcPr>
          <w:p>
            <w:pPr/>
          </w:p>
        </w:tc>
        <w:tc>
          <w:tcPr>
            <w:tcW w:w="56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820" w:type="dxa"/>
            <w:vMerge w:val="restart"/>
            <w:tcBorders>
              <w:top w:val="nil" w:sz="6" w:space="0" w:color="auto"/>
              <w:left w:val="single" w:sz="4" w:space="0" w:color="000000"/>
              <w:right w:val="single" w:sz="4" w:space="0" w:color="000000"/>
            </w:tcBorders>
            <w:shd w:val="clear" w:color="auto" w:fill="D4D4D4"/>
          </w:tcPr>
          <w:p>
            <w:pPr/>
          </w:p>
        </w:tc>
        <w:tc>
          <w:tcPr>
            <w:tcW w:w="1004" w:type="dxa"/>
            <w:vMerge/>
            <w:tcBorders>
              <w:left w:val="single" w:sz="4" w:space="0" w:color="000000"/>
              <w:bottom w:val="nil" w:sz="6" w:space="0" w:color="auto"/>
              <w:right w:val="single" w:sz="4" w:space="0" w:color="000000"/>
            </w:tcBorders>
            <w:shd w:val="clear" w:color="auto" w:fill="D4D4D4"/>
          </w:tcPr>
          <w:p>
            <w:pPr/>
          </w:p>
        </w:tc>
        <w:tc>
          <w:tcPr>
            <w:tcW w:w="708" w:type="dxa"/>
            <w:vMerge/>
            <w:tcBorders>
              <w:left w:val="single" w:sz="4" w:space="0" w:color="000000"/>
              <w:bottom w:val="nil" w:sz="6" w:space="0" w:color="auto"/>
              <w:right w:val="single" w:sz="4" w:space="0" w:color="000000"/>
            </w:tcBorders>
            <w:shd w:val="clear" w:color="auto" w:fill="D4D4D4"/>
          </w:tcPr>
          <w:p>
            <w:pPr/>
          </w:p>
        </w:tc>
        <w:tc>
          <w:tcPr>
            <w:tcW w:w="568" w:type="dxa"/>
            <w:vMerge/>
            <w:tcBorders>
              <w:left w:val="single" w:sz="4" w:space="0" w:color="000000"/>
              <w:right w:val="single" w:sz="4" w:space="0" w:color="000000"/>
            </w:tcBorders>
            <w:shd w:val="clear" w:color="auto" w:fill="D4D4D4"/>
          </w:tcPr>
          <w:p>
            <w:pPr/>
          </w:p>
        </w:tc>
        <w:tc>
          <w:tcPr>
            <w:tcW w:w="566" w:type="dxa"/>
            <w:vMerge/>
            <w:tcBorders>
              <w:left w:val="single" w:sz="4" w:space="0" w:color="000000"/>
              <w:bottom w:val="nil" w:sz="6" w:space="0" w:color="auto"/>
              <w:right w:val="single" w:sz="4" w:space="0" w:color="000000"/>
            </w:tcBorders>
            <w:shd w:val="clear" w:color="auto" w:fill="D4D4D4"/>
          </w:tcPr>
          <w:p>
            <w:pPr/>
          </w:p>
        </w:tc>
        <w:tc>
          <w:tcPr>
            <w:tcW w:w="1134" w:type="dxa"/>
            <w:vMerge/>
            <w:tcBorders>
              <w:left w:val="single" w:sz="4" w:space="0" w:color="000000"/>
              <w:bottom w:val="nil" w:sz="6" w:space="0" w:color="auto"/>
              <w:right w:val="single" w:sz="4" w:space="0" w:color="000000"/>
            </w:tcBorders>
            <w:shd w:val="clear" w:color="auto" w:fill="D4D4D4"/>
          </w:tcPr>
          <w:p>
            <w:pPr/>
          </w:p>
        </w:tc>
        <w:tc>
          <w:tcPr>
            <w:tcW w:w="992" w:type="dxa"/>
            <w:vMerge/>
            <w:tcBorders>
              <w:left w:val="single" w:sz="4" w:space="0" w:color="000000"/>
              <w:bottom w:val="nil" w:sz="6" w:space="0" w:color="auto"/>
              <w:right w:val="single" w:sz="4" w:space="0" w:color="000000"/>
            </w:tcBorders>
            <w:shd w:val="clear" w:color="auto" w:fill="D4D4D4"/>
          </w:tcPr>
          <w:p>
            <w:pPr/>
          </w:p>
        </w:tc>
        <w:tc>
          <w:tcPr>
            <w:tcW w:w="994" w:type="dxa"/>
            <w:vMerge/>
            <w:tcBorders>
              <w:left w:val="single" w:sz="4" w:space="0" w:color="000000"/>
              <w:bottom w:val="nil" w:sz="6" w:space="0" w:color="auto"/>
              <w:right w:val="single" w:sz="4" w:space="0" w:color="000000"/>
            </w:tcBorders>
            <w:shd w:val="clear" w:color="auto" w:fill="D4D4D4"/>
          </w:tcPr>
          <w:p>
            <w:pPr/>
          </w:p>
        </w:tc>
        <w:tc>
          <w:tcPr>
            <w:tcW w:w="980" w:type="dxa"/>
            <w:vMerge/>
            <w:tcBorders>
              <w:left w:val="single" w:sz="4" w:space="0" w:color="000000"/>
              <w:bottom w:val="nil" w:sz="6" w:space="0" w:color="auto"/>
              <w:right w:val="single" w:sz="4" w:space="0" w:color="000000"/>
            </w:tcBorders>
            <w:shd w:val="clear" w:color="auto" w:fill="D4D4D4"/>
          </w:tcPr>
          <w:p>
            <w:pPr/>
          </w:p>
        </w:tc>
        <w:tc>
          <w:tcPr>
            <w:tcW w:w="794" w:type="dxa"/>
            <w:vMerge/>
            <w:tcBorders>
              <w:left w:val="single" w:sz="4" w:space="0" w:color="000000"/>
              <w:bottom w:val="nil" w:sz="6" w:space="0" w:color="auto"/>
              <w:right w:val="single" w:sz="4" w:space="0" w:color="000000"/>
            </w:tcBorders>
            <w:shd w:val="clear" w:color="auto" w:fill="D4D4D4"/>
          </w:tcPr>
          <w:p>
            <w:pPr/>
          </w:p>
        </w:tc>
      </w:tr>
      <w:tr>
        <w:trPr>
          <w:trHeight w:val="161" w:hRule="exact"/>
        </w:trPr>
        <w:tc>
          <w:tcPr>
            <w:tcW w:w="1820" w:type="dxa"/>
            <w:vMerge/>
            <w:tcBorders>
              <w:left w:val="single" w:sz="4" w:space="0" w:color="000000"/>
              <w:bottom w:val="single" w:sz="4" w:space="0" w:color="000000"/>
              <w:right w:val="single" w:sz="4" w:space="0" w:color="000000"/>
            </w:tcBorders>
            <w:shd w:val="clear" w:color="auto" w:fill="D4D4D4"/>
          </w:tcPr>
          <w:p>
            <w:pPr/>
          </w:p>
        </w:tc>
        <w:tc>
          <w:tcPr>
            <w:tcW w:w="1004" w:type="dxa"/>
            <w:tcBorders>
              <w:top w:val="nil" w:sz="6" w:space="0" w:color="auto"/>
              <w:left w:val="single" w:sz="4" w:space="0" w:color="000000"/>
              <w:bottom w:val="single" w:sz="4" w:space="0" w:color="000000"/>
              <w:right w:val="single" w:sz="4" w:space="0" w:color="000000"/>
            </w:tcBorders>
            <w:shd w:val="clear" w:color="auto" w:fill="D4D4D4"/>
          </w:tcPr>
          <w:p>
            <w:pPr/>
          </w:p>
        </w:tc>
        <w:tc>
          <w:tcPr>
            <w:tcW w:w="708" w:type="dxa"/>
            <w:tcBorders>
              <w:top w:val="nil" w:sz="6" w:space="0" w:color="auto"/>
              <w:left w:val="single" w:sz="4" w:space="0" w:color="000000"/>
              <w:bottom w:val="single" w:sz="4" w:space="0" w:color="000000"/>
              <w:right w:val="single" w:sz="4" w:space="0" w:color="000000"/>
            </w:tcBorders>
            <w:shd w:val="clear" w:color="auto" w:fill="D4D4D4"/>
          </w:tcPr>
          <w:p>
            <w:pPr/>
          </w:p>
        </w:tc>
        <w:tc>
          <w:tcPr>
            <w:tcW w:w="568" w:type="dxa"/>
            <w:vMerge/>
            <w:tcBorders>
              <w:left w:val="single" w:sz="4" w:space="0" w:color="000000"/>
              <w:bottom w:val="single" w:sz="4" w:space="0" w:color="000000"/>
              <w:right w:val="single" w:sz="4" w:space="0" w:color="000000"/>
            </w:tcBorders>
            <w:shd w:val="clear" w:color="auto" w:fill="D4D4D4"/>
          </w:tcPr>
          <w:p>
            <w:pPr/>
          </w:p>
        </w:tc>
        <w:tc>
          <w:tcPr>
            <w:tcW w:w="566" w:type="dxa"/>
            <w:tcBorders>
              <w:top w:val="nil" w:sz="6" w:space="0" w:color="auto"/>
              <w:left w:val="single" w:sz="4" w:space="0" w:color="000000"/>
              <w:bottom w:val="single" w:sz="4" w:space="0" w:color="000000"/>
              <w:right w:val="single" w:sz="4" w:space="0" w:color="000000"/>
            </w:tcBorders>
            <w:shd w:val="clear" w:color="auto" w:fill="D4D4D4"/>
          </w:tcPr>
          <w:p>
            <w:pPr/>
          </w:p>
        </w:tc>
        <w:tc>
          <w:tcPr>
            <w:tcW w:w="1134" w:type="dxa"/>
            <w:tcBorders>
              <w:top w:val="nil" w:sz="6" w:space="0" w:color="auto"/>
              <w:left w:val="single" w:sz="4" w:space="0" w:color="000000"/>
              <w:bottom w:val="single" w:sz="4" w:space="0" w:color="000000"/>
              <w:right w:val="single" w:sz="4" w:space="0" w:color="000000"/>
            </w:tcBorders>
            <w:shd w:val="clear" w:color="auto" w:fill="D4D4D4"/>
          </w:tcPr>
          <w:p>
            <w:pPr/>
          </w:p>
        </w:tc>
        <w:tc>
          <w:tcPr>
            <w:tcW w:w="992" w:type="dxa"/>
            <w:tcBorders>
              <w:top w:val="nil" w:sz="6" w:space="0" w:color="auto"/>
              <w:left w:val="single" w:sz="4" w:space="0" w:color="000000"/>
              <w:bottom w:val="single" w:sz="4" w:space="0" w:color="000000"/>
              <w:right w:val="single" w:sz="4" w:space="0" w:color="000000"/>
            </w:tcBorders>
            <w:shd w:val="clear" w:color="auto" w:fill="D4D4D4"/>
          </w:tcPr>
          <w:p>
            <w:pPr/>
          </w:p>
        </w:tc>
        <w:tc>
          <w:tcPr>
            <w:tcW w:w="994" w:type="dxa"/>
            <w:tcBorders>
              <w:top w:val="nil" w:sz="6" w:space="0" w:color="auto"/>
              <w:left w:val="single" w:sz="4" w:space="0" w:color="000000"/>
              <w:bottom w:val="single" w:sz="4" w:space="0" w:color="000000"/>
              <w:right w:val="single" w:sz="4" w:space="0" w:color="000000"/>
            </w:tcBorders>
            <w:shd w:val="clear" w:color="auto" w:fill="D4D4D4"/>
          </w:tcPr>
          <w:p>
            <w:pPr/>
          </w:p>
        </w:tc>
        <w:tc>
          <w:tcPr>
            <w:tcW w:w="980" w:type="dxa"/>
            <w:tcBorders>
              <w:top w:val="nil" w:sz="6" w:space="0" w:color="auto"/>
              <w:left w:val="single" w:sz="4" w:space="0" w:color="000000"/>
              <w:bottom w:val="single" w:sz="4" w:space="0" w:color="000000"/>
              <w:right w:val="single" w:sz="4" w:space="0" w:color="000000"/>
            </w:tcBorders>
            <w:shd w:val="clear" w:color="auto" w:fill="D4D4D4"/>
          </w:tcPr>
          <w:p>
            <w:pPr/>
          </w:p>
        </w:tc>
        <w:tc>
          <w:tcPr>
            <w:tcW w:w="794"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99,905,995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45.09%</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99,905,995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-30,718,153</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69,187,842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169,093,837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38.16%</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53,009,995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53,009,995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-28,204,065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24,805,930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77,815,925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3" w:right="-7"/>
              <w:jc w:val="left"/>
              <w:rPr>
                <w:rFonts w:ascii="宋体" w:hAnsi="宋体" w:cs="宋体" w:eastAsia="宋体" w:hint="default"/>
                <w:sz w:val="18"/>
                <w:szCs w:val="18"/>
              </w:rPr>
            </w:pPr>
            <w:r>
              <w:rPr>
                <w:rFonts w:ascii="宋体" w:hAnsi="宋体" w:cs="宋体" w:eastAsia="宋体" w:hint="default"/>
                <w:spacing w:val="16"/>
                <w:sz w:val="18"/>
                <w:szCs w:val="18"/>
              </w:rPr>
              <w:t>境内自然人持</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53,009,995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23.92%</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53,009,995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-28,204,065</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24,805,930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77,815,925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17.56%</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46,896,000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46,896,000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-2,514,088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44,381,912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91,277,912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3" w:right="-7"/>
              <w:jc w:val="left"/>
              <w:rPr>
                <w:rFonts w:ascii="宋体" w:hAnsi="宋体" w:cs="宋体" w:eastAsia="宋体" w:hint="default"/>
                <w:sz w:val="18"/>
                <w:szCs w:val="18"/>
              </w:rPr>
            </w:pPr>
            <w:r>
              <w:rPr>
                <w:rFonts w:ascii="宋体" w:hAnsi="宋体" w:cs="宋体" w:eastAsia="宋体" w:hint="default"/>
                <w:spacing w:val="16"/>
                <w:sz w:val="18"/>
                <w:szCs w:val="18"/>
              </w:rPr>
              <w:t>境外自然人持</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46,896,000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21.16%</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46,896,000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-2,514,088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44,381,912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91,277,912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20.60%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121,675,605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121,675,605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30,718,153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152,393,758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274,069,363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121,675,605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54.91%</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121,675,605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30,718,153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152,393,758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274,069,363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61.84%</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221,581,600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221,581,600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221,581,600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443,163,200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股份变动的原因：</w:t>
      </w:r>
    </w:p>
    <w:p>
      <w:pPr>
        <w:spacing w:line="240" w:lineRule="auto" w:before="10"/>
        <w:rPr>
          <w:rFonts w:ascii="宋体" w:hAnsi="宋体" w:cs="宋体" w:eastAsia="宋体" w:hint="default"/>
          <w:sz w:val="16"/>
          <w:szCs w:val="16"/>
        </w:rPr>
      </w:pPr>
    </w:p>
    <w:p>
      <w:pPr>
        <w:pStyle w:val="BodyText"/>
        <w:spacing w:line="309" w:lineRule="auto"/>
        <w:ind w:left="153" w:right="0"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12</w:t>
      </w:r>
      <w:r>
        <w:rPr>
          <w:spacing w:val="-1"/>
        </w:rPr>
        <w:t>日，公司完成了</w:t>
      </w:r>
      <w:r>
        <w:rPr>
          <w:rFonts w:ascii="Times New Roman" w:hAnsi="Times New Roman" w:cs="Times New Roman" w:eastAsia="Times New Roman" w:hint="default"/>
          <w:spacing w:val="-1"/>
        </w:rPr>
        <w:t>2014</w:t>
      </w:r>
      <w:r>
        <w:rPr>
          <w:spacing w:val="-1"/>
        </w:rPr>
        <w:t>年年度权益分派的实施，总股本由</w:t>
      </w:r>
      <w:r>
        <w:rPr>
          <w:rFonts w:ascii="Times New Roman" w:hAnsi="Times New Roman" w:cs="Times New Roman" w:eastAsia="Times New Roman" w:hint="default"/>
          <w:spacing w:val="-1"/>
        </w:rPr>
        <w:t>22,158.16</w:t>
      </w:r>
      <w:r>
        <w:rPr>
          <w:spacing w:val="-1"/>
        </w:rPr>
        <w:t>万股增加为</w:t>
      </w:r>
      <w:r>
        <w:rPr>
          <w:rFonts w:ascii="Times New Roman" w:hAnsi="Times New Roman" w:cs="Times New Roman" w:eastAsia="Times New Roman" w:hint="default"/>
          <w:spacing w:val="-1"/>
        </w:rPr>
        <w:t>44,316.32</w:t>
      </w:r>
      <w:r>
        <w:rPr>
          <w:spacing w:val="-1"/>
        </w:rPr>
        <w:t>万</w:t>
      </w:r>
      <w:r>
        <w:rPr/>
        <w:t> 股。</w:t>
      </w:r>
    </w:p>
    <w:p>
      <w:pPr>
        <w:pStyle w:val="BodyText"/>
        <w:spacing w:line="494" w:lineRule="exact" w:before="8"/>
        <w:ind w:left="573" w:right="323"/>
        <w:jc w:val="left"/>
      </w:pPr>
      <w:r>
        <w:rPr/>
        <w:t>股份变动的批准情况： 公司</w:t>
      </w:r>
      <w:r>
        <w:rPr>
          <w:rFonts w:ascii="Times New Roman" w:hAnsi="Times New Roman" w:cs="Times New Roman" w:eastAsia="Times New Roman" w:hint="default"/>
        </w:rPr>
        <w:t>2014</w:t>
      </w:r>
      <w:r>
        <w:rPr/>
        <w:t>年年度权益分派事项于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03</w:t>
      </w:r>
      <w:r>
        <w:rPr/>
        <w:t>月</w:t>
      </w:r>
      <w:r>
        <w:rPr>
          <w:rFonts w:ascii="Times New Roman" w:hAnsi="Times New Roman" w:cs="Times New Roman" w:eastAsia="Times New Roman" w:hint="default"/>
        </w:rPr>
        <w:t>25</w:t>
      </w:r>
      <w:r>
        <w:rPr/>
        <w:t>日经公司第二届董事会第二十次会议审议通过，并于</w:t>
      </w:r>
    </w:p>
    <w:p>
      <w:pPr>
        <w:pStyle w:val="BodyText"/>
        <w:spacing w:line="240" w:lineRule="auto" w:before="30"/>
        <w:ind w:left="15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日经公司</w:t>
      </w:r>
      <w:r>
        <w:rPr>
          <w:rFonts w:ascii="Times New Roman" w:hAnsi="Times New Roman" w:cs="Times New Roman" w:eastAsia="Times New Roman" w:hint="default"/>
        </w:rPr>
        <w:t>2014</w:t>
      </w:r>
      <w:r>
        <w:rPr/>
        <w:t>年年度股东大会批准后实施。</w:t>
      </w:r>
    </w:p>
    <w:p>
      <w:pPr>
        <w:spacing w:after="0" w:line="240" w:lineRule="auto"/>
        <w:jc w:val="left"/>
        <w:sectPr>
          <w:pgSz w:w="11910" w:h="16840"/>
          <w:pgMar w:header="918" w:footer="1267" w:top="1160" w:bottom="1460" w:left="980" w:right="980"/>
        </w:sectPr>
      </w:pPr>
    </w:p>
    <w:p>
      <w:pPr>
        <w:spacing w:line="240" w:lineRule="auto" w:before="5"/>
        <w:rPr>
          <w:rFonts w:ascii="宋体" w:hAnsi="宋体" w:cs="宋体" w:eastAsia="宋体" w:hint="default"/>
          <w:sz w:val="20"/>
          <w:szCs w:val="20"/>
        </w:rPr>
      </w:pPr>
    </w:p>
    <w:p>
      <w:pPr>
        <w:pStyle w:val="BodyText"/>
        <w:spacing w:line="240" w:lineRule="auto" w:before="35"/>
        <w:ind w:right="0"/>
        <w:jc w:val="left"/>
      </w:pPr>
      <w:r>
        <w:rPr/>
        <w:t>股份变动的过户情况：</w:t>
      </w:r>
    </w:p>
    <w:p>
      <w:pPr>
        <w:spacing w:line="240" w:lineRule="auto" w:before="10"/>
        <w:rPr>
          <w:rFonts w:ascii="宋体" w:hAnsi="宋体" w:cs="宋体" w:eastAsia="宋体" w:hint="default"/>
          <w:sz w:val="16"/>
          <w:szCs w:val="16"/>
        </w:rPr>
      </w:pPr>
    </w:p>
    <w:p>
      <w:pPr>
        <w:pStyle w:val="BodyText"/>
        <w:spacing w:line="240" w:lineRule="auto"/>
        <w:ind w:right="0"/>
        <w:jc w:val="left"/>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日完成了</w:t>
      </w:r>
      <w:r>
        <w:rPr>
          <w:rFonts w:ascii="Times New Roman" w:hAnsi="Times New Roman" w:cs="Times New Roman" w:eastAsia="Times New Roman" w:hint="default"/>
        </w:rPr>
        <w:t>2014</w:t>
      </w:r>
      <w:r>
        <w:rPr/>
        <w:t>年年度权益分派资本公积金转增股份的登记工作，公司总股本由</w:t>
      </w:r>
    </w:p>
    <w:p>
      <w:pPr>
        <w:pStyle w:val="BodyText"/>
        <w:spacing w:line="408" w:lineRule="auto" w:before="83"/>
        <w:ind w:left="573" w:right="0" w:hanging="420"/>
        <w:jc w:val="left"/>
      </w:pPr>
      <w:r>
        <w:rPr>
          <w:rFonts w:ascii="Times New Roman" w:hAnsi="Times New Roman" w:cs="Times New Roman" w:eastAsia="Times New Roman" w:hint="default"/>
        </w:rPr>
        <w:t>22,158.16</w:t>
      </w:r>
      <w:r>
        <w:rPr/>
        <w:t>万股增加为</w:t>
      </w:r>
      <w:r>
        <w:rPr>
          <w:rFonts w:ascii="Times New Roman" w:hAnsi="Times New Roman" w:cs="Times New Roman" w:eastAsia="Times New Roman" w:hint="default"/>
        </w:rPr>
        <w:t>44,316.32</w:t>
      </w:r>
      <w:r>
        <w:rPr/>
        <w:t>万股。 </w:t>
      </w:r>
      <w:r>
        <w:rPr>
          <w:spacing w:val="-1"/>
        </w:rPr>
        <w:t>股份变动对最近一年和最近一期基本每股收益和稀释每股收益、归属于公司普通股股东的每股净资产</w:t>
      </w:r>
    </w:p>
    <w:p>
      <w:pPr>
        <w:pStyle w:val="BodyText"/>
        <w:spacing w:line="227" w:lineRule="exact"/>
        <w:ind w:left="153" w:right="0"/>
        <w:jc w:val="left"/>
      </w:pPr>
      <w:r>
        <w:rPr/>
        <w:t>等财务指标的影响：</w:t>
      </w:r>
    </w:p>
    <w:p>
      <w:pPr>
        <w:spacing w:line="240" w:lineRule="auto" w:before="10"/>
        <w:rPr>
          <w:rFonts w:ascii="宋体" w:hAnsi="宋体" w:cs="宋体" w:eastAsia="宋体" w:hint="default"/>
          <w:sz w:val="16"/>
          <w:szCs w:val="16"/>
        </w:rPr>
      </w:pPr>
    </w:p>
    <w:p>
      <w:pPr>
        <w:pStyle w:val="BodyText"/>
        <w:spacing w:line="309" w:lineRule="auto"/>
        <w:ind w:left="153" w:right="0" w:firstLine="420"/>
        <w:jc w:val="left"/>
      </w:pPr>
      <w:r>
        <w:rPr>
          <w:spacing w:val="-2"/>
        </w:rPr>
        <w:t>上述股份变动后，公司股份总数由年初的</w:t>
      </w:r>
      <w:r>
        <w:rPr>
          <w:rFonts w:ascii="Times New Roman" w:hAnsi="Times New Roman" w:cs="Times New Roman" w:eastAsia="Times New Roman" w:hint="default"/>
          <w:spacing w:val="-2"/>
        </w:rPr>
        <w:t>22,158.16</w:t>
      </w:r>
      <w:r>
        <w:rPr>
          <w:spacing w:val="-2"/>
        </w:rPr>
        <w:t>万股变更至</w:t>
      </w:r>
      <w:r>
        <w:rPr>
          <w:rFonts w:ascii="Times New Roman" w:hAnsi="Times New Roman" w:cs="Times New Roman" w:eastAsia="Times New Roman" w:hint="default"/>
          <w:spacing w:val="-2"/>
        </w:rPr>
        <w:t>44,316.32</w:t>
      </w:r>
      <w:r>
        <w:rPr>
          <w:spacing w:val="-2"/>
        </w:rPr>
        <w:t>万股，变动幅度为</w:t>
      </w:r>
      <w:r>
        <w:rPr>
          <w:rFonts w:ascii="Times New Roman" w:hAnsi="Times New Roman" w:cs="Times New Roman" w:eastAsia="Times New Roman" w:hint="default"/>
          <w:spacing w:val="-2"/>
        </w:rPr>
        <w:t>100%</w:t>
      </w:r>
      <w:r>
        <w:rPr>
          <w:spacing w:val="-2"/>
        </w:rPr>
        <w:t>，公司</w:t>
      </w:r>
      <w:r>
        <w:rPr/>
        <w:t> 基本每股收益、稀释每股收益、归属于公司普通股股东的每股净资产等财务指标相应产生变动。</w:t>
      </w:r>
    </w:p>
    <w:p>
      <w:pPr>
        <w:pStyle w:val="BodyText"/>
        <w:spacing w:line="309" w:lineRule="auto" w:before="158"/>
        <w:ind w:left="153" w:right="218" w:firstLine="420"/>
        <w:jc w:val="left"/>
      </w:pPr>
      <w:r>
        <w:rPr/>
        <w:t>按最新股本重新计算后，</w:t>
      </w:r>
      <w:r>
        <w:rPr>
          <w:rFonts w:ascii="Times New Roman" w:hAnsi="Times New Roman" w:cs="Times New Roman" w:eastAsia="Times New Roman" w:hint="default"/>
        </w:rPr>
        <w:t>2014</w:t>
      </w:r>
      <w:r>
        <w:rPr/>
        <w:t>年度，公司基本每股收益</w:t>
      </w:r>
      <w:r>
        <w:rPr>
          <w:rFonts w:ascii="Times New Roman" w:hAnsi="Times New Roman" w:cs="Times New Roman" w:eastAsia="Times New Roman" w:hint="default"/>
        </w:rPr>
        <w:t>0.26</w:t>
      </w:r>
      <w:r>
        <w:rPr/>
        <w:t>元，稀释每股收益</w:t>
      </w:r>
      <w:r>
        <w:rPr>
          <w:rFonts w:ascii="Times New Roman" w:hAnsi="Times New Roman" w:cs="Times New Roman" w:eastAsia="Times New Roman" w:hint="default"/>
        </w:rPr>
        <w:t>0.26</w:t>
      </w:r>
      <w:r>
        <w:rPr/>
        <w:t>元，</w:t>
      </w:r>
      <w:r>
        <w:rPr>
          <w:rFonts w:ascii="Times New Roman" w:hAnsi="Times New Roman" w:cs="Times New Roman" w:eastAsia="Times New Roman" w:hint="default"/>
        </w:rPr>
        <w:t>2014</w:t>
      </w:r>
      <w:r>
        <w:rPr/>
        <w:t>年末归属 于公司普通股东的每股净资产</w:t>
      </w:r>
      <w:r>
        <w:rPr>
          <w:rFonts w:ascii="Times New Roman" w:hAnsi="Times New Roman" w:cs="Times New Roman" w:eastAsia="Times New Roman" w:hint="default"/>
        </w:rPr>
        <w:t>2.09</w:t>
      </w:r>
      <w:r>
        <w:rPr/>
        <w:t>元。</w:t>
      </w:r>
    </w:p>
    <w:p>
      <w:pPr>
        <w:pStyle w:val="BodyText"/>
        <w:spacing w:line="240" w:lineRule="auto" w:before="136"/>
        <w:ind w:left="573" w:right="0"/>
        <w:jc w:val="left"/>
      </w:pPr>
      <w:r>
        <w:rPr/>
        <w:t>公司认为必要或证券监管机构要求披露的其他内容</w:t>
      </w:r>
    </w:p>
    <w:p>
      <w:pPr>
        <w:spacing w:line="240" w:lineRule="auto" w:before="10"/>
        <w:rPr>
          <w:rFonts w:ascii="宋体" w:hAnsi="宋体" w:cs="宋体" w:eastAsia="宋体" w:hint="default"/>
          <w:sz w:val="16"/>
          <w:szCs w:val="16"/>
        </w:rPr>
      </w:pPr>
    </w:p>
    <w:p>
      <w:pPr>
        <w:pStyle w:val="BodyText"/>
        <w:spacing w:line="240" w:lineRule="auto"/>
        <w:ind w:left="57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1"/>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2、限售股份变动情况" w:id="102"/>
      <w:bookmarkEnd w:id="102"/>
      <w:r>
        <w:rPr/>
      </w: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1134"/>
        <w:gridCol w:w="1134"/>
        <w:gridCol w:w="1134"/>
        <w:gridCol w:w="1274"/>
        <w:gridCol w:w="2765"/>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2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2,466,088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91,133,912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24,245,325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48,245,325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1338"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日离任，离任</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个月解除限售。刘祥南于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pacing w:val="-8"/>
                <w:sz w:val="18"/>
                <w:szCs w:val="18"/>
              </w:rPr>
              <w:t>日逝世，股份由其妻女继</w:t>
            </w:r>
            <w:r>
              <w:rPr>
                <w:rFonts w:ascii="宋体" w:hAnsi="宋体" w:cs="宋体" w:eastAsia="宋体" w:hint="default"/>
                <w:sz w:val="18"/>
                <w:szCs w:val="18"/>
              </w:rPr>
              <w:t> 承。</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779,250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444,750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754,500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433,425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866,850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684,000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日离任，离任后</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个月解除限售；新增持的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11000</w:t>
            </w:r>
          </w:p>
        </w:tc>
      </w:tr>
    </w:tbl>
    <w:p>
      <w:pPr>
        <w:spacing w:after="0" w:line="240" w:lineRule="auto"/>
        <w:jc w:val="left"/>
        <w:rPr>
          <w:rFonts w:ascii="Times New Roman" w:hAnsi="Times New Roman" w:cs="Times New Roman" w:eastAsia="Times New Roman" w:hint="default"/>
          <w:sz w:val="18"/>
          <w:szCs w:val="18"/>
        </w:rPr>
        <w:sectPr>
          <w:pgSz w:w="11910" w:h="16840"/>
          <w:pgMar w:header="918" w:footer="1267" w:top="1160" w:bottom="1460" w:left="980" w:right="980"/>
        </w:sect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1134"/>
        <w:gridCol w:w="1134"/>
        <w:gridCol w:w="1134"/>
        <w:gridCol w:w="1274"/>
        <w:gridCol w:w="2765"/>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股承诺在增持完成后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个月内不得 减持。详见公司公告</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2015-118</w:t>
            </w:r>
            <w:r>
              <w:rPr>
                <w:rFonts w:ascii="宋体" w:hAnsi="宋体" w:cs="宋体" w:eastAsia="宋体" w:hint="default"/>
                <w:sz w:val="18"/>
                <w:szCs w:val="18"/>
              </w:rPr>
              <w:t>。</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每年年初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648,000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日离任，离任后</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个月解除限售</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日离任，离任后</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个月解除限售</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吴顺祥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w:t>
            </w:r>
            <w:r>
              <w:rPr>
                <w:rFonts w:ascii="宋体" w:hAnsi="宋体" w:cs="宋体" w:eastAsia="宋体" w:hint="default"/>
                <w:spacing w:val="-80"/>
                <w:sz w:val="18"/>
                <w:szCs w:val="18"/>
              </w:rPr>
              <w:t>，</w:t>
            </w:r>
            <w:r>
              <w:rPr>
                <w:rFonts w:ascii="宋体" w:hAnsi="宋体" w:cs="宋体" w:eastAsia="宋体" w:hint="default"/>
                <w:sz w:val="18"/>
                <w:szCs w:val="18"/>
              </w:rPr>
              <w:t>离任</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个月解除限售</w:t>
            </w:r>
          </w:p>
        </w:tc>
      </w:tr>
      <w:tr>
        <w:trPr>
          <w:trHeight w:val="1650"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1"/>
              <w:jc w:val="both"/>
              <w:rPr>
                <w:rFonts w:ascii="宋体" w:hAnsi="宋体" w:cs="宋体" w:eastAsia="宋体" w:hint="default"/>
                <w:sz w:val="18"/>
                <w:szCs w:val="18"/>
              </w:rPr>
            </w:pPr>
            <w:r>
              <w:rPr>
                <w:rFonts w:ascii="宋体" w:hAnsi="宋体" w:cs="宋体" w:eastAsia="宋体" w:hint="default"/>
                <w:spacing w:val="9"/>
                <w:sz w:val="18"/>
                <w:szCs w:val="18"/>
              </w:rPr>
              <w:t>中层管理人 员及核心技 术（业务） </w:t>
            </w:r>
            <w:r>
              <w:rPr>
                <w:rFonts w:ascii="宋体" w:hAnsi="宋体" w:cs="宋体" w:eastAsia="宋体" w:hint="default"/>
                <w:spacing w:val="27"/>
                <w:sz w:val="18"/>
                <w:szCs w:val="18"/>
              </w:rPr>
              <w:t>人员（</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173 </w:t>
            </w:r>
            <w:r>
              <w:rPr>
                <w:rFonts w:ascii="宋体" w:hAnsi="宋体" w:cs="宋体" w:eastAsia="宋体" w:hint="default"/>
                <w:sz w:val="18"/>
                <w:szCs w:val="18"/>
              </w:rPr>
              <w:t>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3,382,320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6,764,640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3,382,320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4"/>
              <w:jc w:val="left"/>
              <w:rPr>
                <w:rFonts w:ascii="宋体" w:hAnsi="宋体" w:cs="宋体" w:eastAsia="宋体" w:hint="default"/>
                <w:sz w:val="18"/>
                <w:szCs w:val="18"/>
              </w:rPr>
            </w:pPr>
            <w:r>
              <w:rPr>
                <w:rFonts w:ascii="宋体" w:hAnsi="宋体" w:cs="宋体" w:eastAsia="宋体" w:hint="default"/>
                <w:spacing w:val="22"/>
                <w:sz w:val="18"/>
                <w:szCs w:val="18"/>
              </w:rPr>
              <w:t>股权激励限售</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日上市流通</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99,905,995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30,325,478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99,513,320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169,093,837</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27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3、现存的内部职工股情况" w:id="103"/>
      <w:bookmarkEnd w:id="103"/>
      <w:r>
        <w:rPr>
          <w:b w:val="0"/>
          <w:bCs w:val="0"/>
        </w:rPr>
      </w:r>
      <w:bookmarkStart w:name="三、股东和实际控制人情况" w:id="104"/>
      <w:bookmarkEnd w:id="104"/>
      <w:r>
        <w:rPr>
          <w:b w:val="0"/>
          <w:bCs w:val="0"/>
        </w:rPr>
      </w:r>
      <w:bookmarkStart w:name="1、公司股东数量及持股情况" w:id="105"/>
      <w:bookmarkEnd w:id="105"/>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w:t>
      </w:r>
      <w:bookmarkStart w:name="二、证券发行与上市情况" w:id="106"/>
      <w:bookmarkEnd w:id="106"/>
      <w:r>
        <w:rPr/>
        <w:t>负债结构</w:t>
      </w:r>
      <w:r>
        <w:rPr/>
        <w:t>的</w:t>
      </w:r>
      <w:bookmarkStart w:name="1、报告期内证券发行（不含优先股）情况" w:id="107"/>
      <w:bookmarkEnd w:id="107"/>
      <w:r>
        <w:rPr/>
        <w:t>变动情况</w:t>
      </w:r>
      <w:r>
        <w:rPr/>
        <w:t>说明</w:t>
      </w:r>
      <w:r>
        <w:rPr>
          <w:b w:val="0"/>
          <w:bCs w:val="0"/>
        </w:rPr>
      </w:r>
    </w:p>
    <w:p>
      <w:pPr>
        <w:spacing w:line="240" w:lineRule="auto" w:before="0"/>
        <w:rPr>
          <w:rFonts w:ascii="宋体" w:hAnsi="宋体" w:cs="宋体" w:eastAsia="宋体" w:hint="default"/>
          <w:b/>
          <w:bCs/>
          <w:sz w:val="27"/>
          <w:szCs w:val="27"/>
        </w:rPr>
      </w:pPr>
    </w:p>
    <w:p>
      <w:pPr>
        <w:pStyle w:val="BodyText"/>
        <w:spacing w:line="309" w:lineRule="auto"/>
        <w:ind w:left="153" w:right="153"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日，公司完成了</w:t>
      </w:r>
      <w:r>
        <w:rPr>
          <w:rFonts w:ascii="Times New Roman" w:hAnsi="Times New Roman" w:cs="Times New Roman" w:eastAsia="Times New Roman" w:hint="default"/>
        </w:rPr>
        <w:t>2014</w:t>
      </w:r>
      <w:r>
        <w:rPr/>
        <w:t>年年度权益分派的实施，以公司总股本</w:t>
      </w:r>
      <w:r>
        <w:rPr>
          <w:rFonts w:ascii="Times New Roman" w:hAnsi="Times New Roman" w:cs="Times New Roman" w:eastAsia="Times New Roman" w:hint="default"/>
        </w:rPr>
        <w:t>221,</w:t>
      </w:r>
      <w:bookmarkStart w:name="2、公司股份总数及股东结构的变动、公司资产和负债结构的变动情况说明" w:id="108"/>
      <w:bookmarkEnd w:id="108"/>
      <w:r>
        <w:rPr>
          <w:rFonts w:ascii="Times New Roman" w:hAnsi="Times New Roman" w:cs="Times New Roman" w:eastAsia="Times New Roman" w:hint="default"/>
        </w:rPr>
        <w:t>5</w:t>
      </w:r>
      <w:r>
        <w:rPr>
          <w:rFonts w:ascii="Times New Roman" w:hAnsi="Times New Roman" w:cs="Times New Roman" w:eastAsia="Times New Roman" w:hint="default"/>
        </w:rPr>
        <w:t>81,600</w:t>
      </w:r>
      <w:r>
        <w:rPr/>
        <w:t>股为基数，向全 体股东按每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0.45</w:t>
      </w:r>
      <w:r>
        <w:rPr/>
        <w:t>元（含税），同时进行资本公积金转增股本，以</w:t>
      </w:r>
      <w:r>
        <w:rPr>
          <w:rFonts w:ascii="Times New Roman" w:hAnsi="Times New Roman" w:cs="Times New Roman" w:eastAsia="Times New Roman" w:hint="default"/>
        </w:rPr>
        <w:t>221,581,600</w:t>
      </w:r>
      <w:r>
        <w:rPr/>
        <w:t>股为 </w:t>
      </w:r>
      <w:r>
        <w:rPr>
          <w:spacing w:val="-1"/>
        </w:rPr>
        <w:t>基数，向全体股东每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w:t>
      </w:r>
      <w:r>
        <w:rPr>
          <w:rFonts w:ascii="Times New Roman" w:hAnsi="Times New Roman" w:cs="Times New Roman" w:eastAsia="Times New Roman" w:hint="default"/>
          <w:spacing w:val="-1"/>
        </w:rPr>
        <w:t>221,581,600</w:t>
      </w:r>
      <w:r>
        <w:rPr>
          <w:spacing w:val="-1"/>
        </w:rPr>
        <w:t>股，转增后公司总股本增至</w:t>
      </w:r>
      <w:r>
        <w:rPr>
          <w:rFonts w:ascii="Times New Roman" w:hAnsi="Times New Roman" w:cs="Times New Roman" w:eastAsia="Times New Roman" w:hint="default"/>
          <w:spacing w:val="-1"/>
        </w:rPr>
        <w:t>443,163,200</w:t>
      </w:r>
      <w:r>
        <w:rPr>
          <w:spacing w:val="-1"/>
        </w:rPr>
        <w:t>股。转增</w:t>
      </w:r>
      <w:r>
        <w:rPr>
          <w:spacing w:val="-86"/>
        </w:rPr>
        <w:t> </w:t>
      </w:r>
      <w:r>
        <w:rPr>
          <w:spacing w:val="-86"/>
        </w:rPr>
      </w:r>
      <w:r>
        <w:rPr/>
        <w:t>后公司的资产和负债不会发生变化。</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12"/>
        <w:rPr>
          <w:rFonts w:ascii="宋体" w:hAnsi="宋体" w:cs="宋体" w:eastAsia="宋体" w:hint="default"/>
          <w:b/>
          <w:bCs/>
          <w:sz w:val="26"/>
          <w:szCs w:val="26"/>
        </w:rPr>
      </w:pPr>
    </w:p>
    <w:p>
      <w:pPr>
        <w:spacing w:line="499" w:lineRule="auto" w:before="0"/>
        <w:ind w:left="154" w:right="6881"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不适用 </w:t>
      </w:r>
      <w:r>
        <w:rPr>
          <w:rFonts w:ascii="宋体" w:hAnsi="宋体" w:cs="宋体" w:eastAsia="宋体" w:hint="default"/>
          <w:b/>
          <w:bCs/>
          <w:sz w:val="24"/>
          <w:szCs w:val="24"/>
        </w:rPr>
        <w:t>三、股东和实际控制人情况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before="96"/>
        <w:ind w:left="0" w:right="152" w:firstLine="0"/>
        <w:jc w:val="right"/>
        <w:rPr>
          <w:rFonts w:ascii="宋体" w:hAnsi="宋体" w:cs="宋体" w:eastAsia="宋体" w:hint="default"/>
          <w:sz w:val="18"/>
          <w:szCs w:val="18"/>
        </w:rPr>
      </w:pPr>
      <w:r>
        <w:rPr/>
        <w:pict>
          <v:shape style="position:absolute;margin-left:356.567993pt;margin-top:57.491711pt;width:58.85pt;height:15.6pt;mso-position-horizontal-relative:page;mso-position-vertical-relative:paragraph;z-index:-1177888" type="#_x0000_t202" filled="false" stroked="false">
            <v:textbox inset="0,0,0,0">
              <w:txbxContent>
                <w:p>
                  <w:pPr>
                    <w:spacing w:line="22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62.76001pt;margin-top:57.491711pt;width:52.65pt;height:15.6pt;mso-position-horizontal-relative:page;mso-position-vertical-relative:paragraph;z-index:-1177864" coordorigin="7255,1150" coordsize="1053,312">
            <v:shape style="position:absolute;left:7255;top:1150;width:1053;height:312" coordorigin="7255,1150" coordsize="1053,312" path="m7255,1462l8308,1462,8308,1150,7255,1150,7255,1462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4"/>
        <w:gridCol w:w="808"/>
        <w:gridCol w:w="1450"/>
        <w:gridCol w:w="1207"/>
        <w:gridCol w:w="1318"/>
        <w:gridCol w:w="1063"/>
        <w:gridCol w:w="1328"/>
        <w:gridCol w:w="1068"/>
      </w:tblGrid>
      <w:tr>
        <w:trPr>
          <w:trHeight w:val="1026" w:hRule="exact"/>
        </w:trPr>
        <w:tc>
          <w:tcPr>
            <w:tcW w:w="13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报告期末普通股</w:t>
            </w:r>
            <w:r>
              <w:rPr>
                <w:rFonts w:ascii="宋体" w:hAnsi="宋体" w:cs="宋体" w:eastAsia="宋体" w:hint="default"/>
                <w:sz w:val="18"/>
                <w:szCs w:val="18"/>
              </w:rPr>
              <w:t> 股东总数</w:t>
            </w:r>
          </w:p>
        </w:tc>
        <w:tc>
          <w:tcPr>
            <w:tcW w:w="808"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33,877</w:t>
            </w:r>
          </w:p>
        </w:tc>
        <w:tc>
          <w:tcPr>
            <w:tcW w:w="14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21"/>
              <w:jc w:val="both"/>
              <w:rPr>
                <w:rFonts w:ascii="宋体" w:hAnsi="宋体" w:cs="宋体" w:eastAsia="宋体" w:hint="default"/>
                <w:sz w:val="18"/>
                <w:szCs w:val="18"/>
              </w:rPr>
            </w:pPr>
            <w:r>
              <w:rPr>
                <w:rFonts w:ascii="宋体" w:hAnsi="宋体" w:cs="宋体" w:eastAsia="宋体" w:hint="default"/>
                <w:spacing w:val="18"/>
                <w:sz w:val="18"/>
                <w:szCs w:val="18"/>
              </w:rPr>
              <w:t>年度报告披</w:t>
            </w:r>
            <w:r>
              <w:rPr>
                <w:rFonts w:ascii="宋体" w:hAnsi="宋体" w:cs="宋体" w:eastAsia="宋体" w:hint="default"/>
                <w:spacing w:val="-65"/>
                <w:sz w:val="18"/>
                <w:szCs w:val="18"/>
              </w:rPr>
              <w:t> </w:t>
            </w:r>
            <w:r>
              <w:rPr>
                <w:rFonts w:ascii="宋体" w:hAnsi="宋体" w:cs="宋体" w:eastAsia="宋体" w:hint="default"/>
                <w:sz w:val="18"/>
                <w:szCs w:val="18"/>
              </w:rPr>
              <w:t>露</w:t>
            </w:r>
            <w:r>
              <w:rPr>
                <w:rFonts w:ascii="宋体" w:hAnsi="宋体" w:cs="宋体" w:eastAsia="宋体" w:hint="default"/>
                <w:spacing w:val="-65"/>
                <w:sz w:val="18"/>
                <w:szCs w:val="18"/>
              </w:rPr>
              <w:t> </w:t>
            </w:r>
            <w:r>
              <w:rPr>
                <w:rFonts w:ascii="宋体" w:hAnsi="宋体" w:cs="宋体" w:eastAsia="宋体" w:hint="default"/>
                <w:sz w:val="18"/>
                <w:szCs w:val="18"/>
              </w:rPr>
              <w:t>日</w:t>
            </w:r>
            <w:r>
              <w:rPr>
                <w:rFonts w:ascii="宋体" w:hAnsi="宋体" w:cs="宋体" w:eastAsia="宋体" w:hint="default"/>
                <w:sz w:val="18"/>
                <w:szCs w:val="18"/>
              </w:rPr>
              <w:t> </w:t>
            </w:r>
            <w:r>
              <w:rPr>
                <w:rFonts w:ascii="宋体" w:hAnsi="宋体" w:cs="宋体" w:eastAsia="宋体" w:hint="default"/>
                <w:spacing w:val="18"/>
                <w:sz w:val="18"/>
                <w:szCs w:val="18"/>
              </w:rPr>
              <w:t>前上一月末</w:t>
            </w:r>
            <w:r>
              <w:rPr>
                <w:rFonts w:ascii="宋体" w:hAnsi="宋体" w:cs="宋体" w:eastAsia="宋体" w:hint="default"/>
                <w:spacing w:val="-65"/>
                <w:sz w:val="18"/>
                <w:szCs w:val="18"/>
              </w:rPr>
              <w:t> </w:t>
            </w:r>
            <w:r>
              <w:rPr>
                <w:rFonts w:ascii="宋体" w:hAnsi="宋体" w:cs="宋体" w:eastAsia="宋体" w:hint="default"/>
                <w:sz w:val="18"/>
                <w:szCs w:val="18"/>
              </w:rPr>
              <w:t>普</w:t>
            </w:r>
            <w:r>
              <w:rPr>
                <w:rFonts w:ascii="宋体" w:hAnsi="宋体" w:cs="宋体" w:eastAsia="宋体" w:hint="default"/>
                <w:spacing w:val="-65"/>
                <w:sz w:val="18"/>
                <w:szCs w:val="18"/>
              </w:rPr>
              <w:t> </w:t>
            </w:r>
            <w:r>
              <w:rPr>
                <w:rFonts w:ascii="宋体" w:hAnsi="宋体" w:cs="宋体" w:eastAsia="宋体" w:hint="default"/>
                <w:sz w:val="18"/>
                <w:szCs w:val="18"/>
              </w:rPr>
              <w:t>通</w:t>
            </w:r>
            <w:r>
              <w:rPr>
                <w:rFonts w:ascii="宋体" w:hAnsi="宋体" w:cs="宋体" w:eastAsia="宋体" w:hint="default"/>
                <w:sz w:val="18"/>
                <w:szCs w:val="18"/>
              </w:rPr>
              <w:t> 股股东总数</w:t>
            </w:r>
          </w:p>
        </w:tc>
        <w:tc>
          <w:tcPr>
            <w:tcW w:w="1207"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50,816</w:t>
            </w:r>
          </w:p>
        </w:tc>
        <w:tc>
          <w:tcPr>
            <w:tcW w:w="13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1"/>
              <w:ind w:left="11" w:right="22"/>
              <w:jc w:val="both"/>
              <w:rPr>
                <w:rFonts w:ascii="宋体" w:hAnsi="宋体" w:cs="宋体" w:eastAsia="宋体" w:hint="default"/>
                <w:sz w:val="18"/>
                <w:szCs w:val="18"/>
              </w:rPr>
            </w:pPr>
            <w:r>
              <w:rPr>
                <w:rFonts w:ascii="宋体" w:hAnsi="宋体" w:cs="宋体" w:eastAsia="宋体" w:hint="default"/>
                <w:sz w:val="18"/>
                <w:szCs w:val="18"/>
              </w:rPr>
              <w:t>报告期末表决权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恢复的优先股股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3"/>
                <w:sz w:val="18"/>
                <w:szCs w:val="18"/>
              </w:rPr>
              <w:t>东总数（如有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1"/>
              <w:ind w:left="22" w:right="21"/>
              <w:jc w:val="both"/>
              <w:rPr>
                <w:rFonts w:ascii="宋体" w:hAnsi="宋体" w:cs="宋体" w:eastAsia="宋体" w:hint="default"/>
                <w:sz w:val="18"/>
                <w:szCs w:val="18"/>
              </w:rPr>
            </w:pPr>
            <w:r>
              <w:rPr>
                <w:rFonts w:ascii="宋体" w:hAnsi="宋体" w:cs="宋体" w:eastAsia="宋体" w:hint="default"/>
                <w:sz w:val="18"/>
                <w:szCs w:val="18"/>
              </w:rPr>
              <w:t>年度报告披露日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前上一月末表决</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权恢复的优先股</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r>
        <w:rPr/>
        <w:pict>
          <v:shape style="position:absolute;margin-left:449.21701pt;margin-top:72.839981pt;width:86.05pt;height:33.2pt;mso-position-horizontal-relative:page;mso-position-vertical-relative:page;z-index:-1177816"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334"/>
        <w:gridCol w:w="796"/>
        <w:gridCol w:w="754"/>
        <w:gridCol w:w="748"/>
        <w:gridCol w:w="1050"/>
        <w:gridCol w:w="106"/>
        <w:gridCol w:w="887"/>
        <w:gridCol w:w="443"/>
        <w:gridCol w:w="550"/>
        <w:gridCol w:w="525"/>
        <w:gridCol w:w="609"/>
        <w:gridCol w:w="697"/>
        <w:gridCol w:w="153"/>
        <w:gridCol w:w="926"/>
      </w:tblGrid>
      <w:tr>
        <w:trPr>
          <w:trHeight w:val="358" w:hRule="exact"/>
        </w:trPr>
        <w:tc>
          <w:tcPr>
            <w:tcW w:w="1334" w:type="dxa"/>
            <w:vMerge w:val="restart"/>
            <w:tcBorders>
              <w:top w:val="single" w:sz="4" w:space="0" w:color="000000"/>
              <w:left w:val="single" w:sz="4" w:space="0" w:color="000000"/>
              <w:right w:val="single" w:sz="4" w:space="0" w:color="000000"/>
            </w:tcBorders>
            <w:shd w:val="clear" w:color="auto" w:fill="D4D4D4"/>
          </w:tcPr>
          <w:p>
            <w:pPr/>
          </w:p>
        </w:tc>
        <w:tc>
          <w:tcPr>
            <w:tcW w:w="796" w:type="dxa"/>
            <w:vMerge w:val="restart"/>
            <w:tcBorders>
              <w:top w:val="single" w:sz="4" w:space="0" w:color="000000"/>
              <w:left w:val="single" w:sz="4" w:space="0" w:color="000000"/>
              <w:right w:val="single" w:sz="4" w:space="0" w:color="000000"/>
            </w:tcBorders>
          </w:tcPr>
          <w:p>
            <w:pPr/>
          </w:p>
        </w:tc>
        <w:tc>
          <w:tcPr>
            <w:tcW w:w="1501" w:type="dxa"/>
            <w:gridSpan w:val="2"/>
            <w:vMerge w:val="restart"/>
            <w:tcBorders>
              <w:top w:val="single" w:sz="4" w:space="0" w:color="000000"/>
              <w:left w:val="single" w:sz="4" w:space="0" w:color="000000"/>
              <w:right w:val="single" w:sz="4" w:space="0" w:color="000000"/>
            </w:tcBorders>
            <w:shd w:val="clear" w:color="auto" w:fill="D4D4D4"/>
          </w:tcPr>
          <w:p>
            <w:pPr/>
          </w:p>
        </w:tc>
        <w:tc>
          <w:tcPr>
            <w:tcW w:w="1156" w:type="dxa"/>
            <w:gridSpan w:val="2"/>
            <w:vMerge w:val="restart"/>
            <w:tcBorders>
              <w:top w:val="single" w:sz="4" w:space="0" w:color="000000"/>
              <w:left w:val="single" w:sz="4" w:space="0" w:color="000000"/>
              <w:right w:val="single" w:sz="9" w:space="0" w:color="D4D4D4"/>
            </w:tcBorders>
          </w:tcPr>
          <w:p>
            <w:pPr/>
          </w:p>
        </w:tc>
        <w:tc>
          <w:tcPr>
            <w:tcW w:w="1330" w:type="dxa"/>
            <w:gridSpan w:val="2"/>
            <w:tcBorders>
              <w:top w:val="single" w:sz="4" w:space="0" w:color="000000"/>
              <w:left w:val="single" w:sz="4" w:space="0" w:color="000000"/>
              <w:bottom w:val="nil" w:sz="6" w:space="0" w:color="auto"/>
              <w:right w:val="single" w:sz="4" w:space="0" w:color="000000"/>
            </w:tcBorders>
            <w:shd w:val="clear" w:color="auto" w:fill="D4D4D4"/>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gridSpan w:val="2"/>
            <w:vMerge w:val="restart"/>
            <w:tcBorders>
              <w:top w:val="single" w:sz="4" w:space="0" w:color="000000"/>
              <w:left w:val="single" w:sz="10" w:space="0" w:color="D4D4D4"/>
              <w:right w:val="single" w:sz="13" w:space="0" w:color="D4D4D4"/>
            </w:tcBorders>
          </w:tcPr>
          <w:p>
            <w:pPr/>
          </w:p>
        </w:tc>
        <w:tc>
          <w:tcPr>
            <w:tcW w:w="130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股东总数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9" w:type="dxa"/>
            <w:gridSpan w:val="2"/>
            <w:vMerge w:val="restart"/>
            <w:tcBorders>
              <w:top w:val="single" w:sz="4" w:space="0" w:color="000000"/>
              <w:left w:val="single" w:sz="13" w:space="0" w:color="D4D4D4"/>
              <w:right w:val="single" w:sz="4" w:space="0" w:color="000000"/>
            </w:tcBorders>
          </w:tcPr>
          <w:p>
            <w:pPr>
              <w:pStyle w:val="TableParagraph"/>
              <w:spacing w:line="66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pict>
                <v:group style="width:52.95pt;height:33.2pt;mso-position-horizontal-relative:char;mso-position-vertical-relative:line" coordorigin="0,0" coordsize="1059,664">
                  <v:group style="position:absolute;left:0;top:0;width:1059;height:664" coordorigin="0,0" coordsize="1059,664">
                    <v:shape style="position:absolute;left:0;top:0;width:1059;height:664" coordorigin="0,0" coordsize="1059,664" path="m0,664l1058,664,1058,0,0,0,0,664xe" filled="true" fillcolor="#ffffff" stroked="false">
                      <v:path arrowok="t"/>
                      <v:fill type="solid"/>
                    </v:shape>
                  </v:group>
                </v:group>
              </w:pict>
            </w:r>
            <w:r>
              <w:rPr>
                <w:rFonts w:ascii="Times New Roman" w:hAnsi="Times New Roman" w:cs="Times New Roman" w:eastAsia="Times New Roman" w:hint="default"/>
                <w:position w:val="-12"/>
                <w:sz w:val="20"/>
                <w:szCs w:val="20"/>
              </w:rPr>
            </w:r>
          </w:p>
        </w:tc>
      </w:tr>
      <w:tr>
        <w:trPr>
          <w:trHeight w:val="322" w:hRule="exact"/>
        </w:trPr>
        <w:tc>
          <w:tcPr>
            <w:tcW w:w="1334" w:type="dxa"/>
            <w:vMerge/>
            <w:tcBorders>
              <w:left w:val="single" w:sz="4" w:space="0" w:color="000000"/>
              <w:bottom w:val="single" w:sz="4" w:space="0" w:color="000000"/>
              <w:right w:val="single" w:sz="4" w:space="0" w:color="000000"/>
            </w:tcBorders>
            <w:shd w:val="clear" w:color="auto" w:fill="D4D4D4"/>
          </w:tcPr>
          <w:p>
            <w:pPr/>
          </w:p>
        </w:tc>
        <w:tc>
          <w:tcPr>
            <w:tcW w:w="796" w:type="dxa"/>
            <w:vMerge/>
            <w:tcBorders>
              <w:left w:val="single" w:sz="4" w:space="0" w:color="000000"/>
              <w:bottom w:val="single" w:sz="4" w:space="0" w:color="000000"/>
              <w:right w:val="single" w:sz="4" w:space="0" w:color="000000"/>
            </w:tcBorders>
          </w:tcPr>
          <w:p>
            <w:pPr/>
          </w:p>
        </w:tc>
        <w:tc>
          <w:tcPr>
            <w:tcW w:w="1501" w:type="dxa"/>
            <w:gridSpan w:val="2"/>
            <w:vMerge/>
            <w:tcBorders>
              <w:left w:val="single" w:sz="4" w:space="0" w:color="000000"/>
              <w:bottom w:val="single" w:sz="4" w:space="0" w:color="000000"/>
              <w:right w:val="single" w:sz="4" w:space="0" w:color="000000"/>
            </w:tcBorders>
            <w:shd w:val="clear" w:color="auto" w:fill="D4D4D4"/>
          </w:tcPr>
          <w:p>
            <w:pPr/>
          </w:p>
        </w:tc>
        <w:tc>
          <w:tcPr>
            <w:tcW w:w="1156" w:type="dxa"/>
            <w:gridSpan w:val="2"/>
            <w:vMerge/>
            <w:tcBorders>
              <w:left w:val="single" w:sz="4" w:space="0" w:color="000000"/>
              <w:bottom w:val="single" w:sz="4" w:space="0" w:color="000000"/>
              <w:right w:val="single" w:sz="9" w:space="0" w:color="D4D4D4"/>
            </w:tcBorders>
          </w:tcPr>
          <w:p>
            <w:pPr/>
          </w:p>
        </w:tc>
        <w:tc>
          <w:tcPr>
            <w:tcW w:w="1330"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1075" w:type="dxa"/>
            <w:gridSpan w:val="2"/>
            <w:vMerge/>
            <w:tcBorders>
              <w:left w:val="single" w:sz="10" w:space="0" w:color="D4D4D4"/>
              <w:bottom w:val="single" w:sz="4" w:space="0" w:color="000000"/>
              <w:right w:val="single" w:sz="13" w:space="0" w:color="D4D4D4"/>
            </w:tcBorders>
          </w:tcPr>
          <w:p>
            <w:pPr/>
          </w:p>
        </w:tc>
        <w:tc>
          <w:tcPr>
            <w:tcW w:w="1306" w:type="dxa"/>
            <w:gridSpan w:val="2"/>
            <w:vMerge/>
            <w:tcBorders>
              <w:left w:val="single" w:sz="4" w:space="0" w:color="000000"/>
              <w:bottom w:val="single" w:sz="4" w:space="0" w:color="000000"/>
              <w:right w:val="single" w:sz="4" w:space="0" w:color="000000"/>
            </w:tcBorders>
            <w:shd w:val="clear" w:color="auto" w:fill="D4D4D4"/>
          </w:tcPr>
          <w:p>
            <w:pPr/>
          </w:p>
        </w:tc>
        <w:tc>
          <w:tcPr>
            <w:tcW w:w="1079" w:type="dxa"/>
            <w:gridSpan w:val="2"/>
            <w:vMerge/>
            <w:tcBorders>
              <w:left w:val="single" w:sz="13" w:space="0" w:color="D4D4D4"/>
              <w:bottom w:val="single" w:sz="4" w:space="0" w:color="000000"/>
              <w:right w:val="single" w:sz="4" w:space="0" w:color="000000"/>
            </w:tcBorders>
          </w:tcPr>
          <w:p>
            <w:pPr/>
          </w:p>
        </w:tc>
      </w:tr>
      <w:tr>
        <w:trPr>
          <w:trHeight w:val="392" w:hRule="exact"/>
        </w:trPr>
        <w:tc>
          <w:tcPr>
            <w:tcW w:w="9576" w:type="dxa"/>
            <w:gridSpan w:val="1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2130" w:type="dxa"/>
            <w:gridSpan w:val="2"/>
            <w:vMerge w:val="restart"/>
            <w:tcBorders>
              <w:top w:val="single" w:sz="4" w:space="0" w:color="000000"/>
              <w:left w:val="single" w:sz="4" w:space="0" w:color="000000"/>
              <w:right w:val="single" w:sz="4" w:space="0" w:color="000000"/>
            </w:tcBorders>
            <w:shd w:val="clear" w:color="auto" w:fill="D4D4D4"/>
          </w:tcPr>
          <w:p>
            <w:pPr/>
          </w:p>
        </w:tc>
        <w:tc>
          <w:tcPr>
            <w:tcW w:w="754" w:type="dxa"/>
            <w:tcBorders>
              <w:top w:val="single" w:sz="4" w:space="0" w:color="000000"/>
              <w:left w:val="single" w:sz="4" w:space="0" w:color="000000"/>
              <w:bottom w:val="nil" w:sz="6" w:space="0" w:color="auto"/>
              <w:right w:val="single" w:sz="4" w:space="0" w:color="000000"/>
            </w:tcBorders>
            <w:shd w:val="clear" w:color="auto" w:fill="D4D4D4"/>
          </w:tcPr>
          <w:p>
            <w:pPr/>
          </w:p>
        </w:tc>
        <w:tc>
          <w:tcPr>
            <w:tcW w:w="748" w:type="dxa"/>
            <w:vMerge w:val="restart"/>
            <w:tcBorders>
              <w:top w:val="single" w:sz="4" w:space="0" w:color="000000"/>
              <w:left w:val="single" w:sz="4" w:space="0" w:color="000000"/>
              <w:right w:val="single" w:sz="4" w:space="0" w:color="000000"/>
            </w:tcBorders>
            <w:shd w:val="clear" w:color="auto" w:fill="D4D4D4"/>
          </w:tcPr>
          <w:p>
            <w:pPr/>
          </w:p>
        </w:tc>
        <w:tc>
          <w:tcPr>
            <w:tcW w:w="1050" w:type="dxa"/>
            <w:tcBorders>
              <w:top w:val="single" w:sz="4" w:space="0" w:color="000000"/>
              <w:left w:val="single" w:sz="4" w:space="0" w:color="000000"/>
              <w:bottom w:val="nil" w:sz="6" w:space="0" w:color="auto"/>
              <w:right w:val="single" w:sz="4" w:space="0" w:color="000000"/>
            </w:tcBorders>
            <w:shd w:val="clear" w:color="auto" w:fill="D4D4D4"/>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4D4D4"/>
          </w:tcPr>
          <w:p>
            <w:pPr/>
          </w:p>
        </w:tc>
        <w:tc>
          <w:tcPr>
            <w:tcW w:w="99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6"/>
              <w:ind w:left="22" w:right="10"/>
              <w:jc w:val="both"/>
              <w:rPr>
                <w:rFonts w:ascii="宋体" w:hAnsi="宋体" w:cs="宋体" w:eastAsia="宋体" w:hint="default"/>
                <w:sz w:val="18"/>
                <w:szCs w:val="18"/>
              </w:rPr>
            </w:pPr>
            <w:r>
              <w:rPr>
                <w:rFonts w:ascii="宋体" w:hAnsi="宋体" w:cs="宋体" w:eastAsia="宋体" w:hint="default"/>
                <w:spacing w:val="9"/>
                <w:sz w:val="18"/>
                <w:szCs w:val="18"/>
              </w:rPr>
              <w:t>持有有限售 条件的股份 </w:t>
            </w:r>
            <w:r>
              <w:rPr>
                <w:rFonts w:ascii="宋体" w:hAnsi="宋体" w:cs="宋体" w:eastAsia="宋体" w:hint="default"/>
                <w:sz w:val="18"/>
                <w:szCs w:val="18"/>
              </w:rPr>
              <w:t>数量</w:t>
            </w:r>
          </w:p>
        </w:tc>
        <w:tc>
          <w:tcPr>
            <w:tcW w:w="11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6"/>
              <w:ind w:left="22" w:right="-21"/>
              <w:jc w:val="both"/>
              <w:rPr>
                <w:rFonts w:ascii="宋体" w:hAnsi="宋体" w:cs="宋体" w:eastAsia="宋体" w:hint="default"/>
                <w:sz w:val="18"/>
                <w:szCs w:val="18"/>
              </w:rPr>
            </w:pPr>
            <w:r>
              <w:rPr>
                <w:rFonts w:ascii="宋体" w:hAnsi="宋体" w:cs="宋体" w:eastAsia="宋体" w:hint="default"/>
                <w:spacing w:val="35"/>
                <w:sz w:val="18"/>
                <w:szCs w:val="18"/>
              </w:rPr>
              <w:t>持有无限售</w:t>
            </w:r>
            <w:r>
              <w:rPr>
                <w:rFonts w:ascii="宋体" w:hAnsi="宋体" w:cs="宋体" w:eastAsia="宋体" w:hint="default"/>
                <w:spacing w:val="-46"/>
                <w:sz w:val="18"/>
                <w:szCs w:val="18"/>
              </w:rPr>
              <w:t> </w:t>
            </w:r>
            <w:r>
              <w:rPr>
                <w:rFonts w:ascii="宋体" w:hAnsi="宋体" w:cs="宋体" w:eastAsia="宋体" w:hint="default"/>
                <w:spacing w:val="35"/>
                <w:sz w:val="18"/>
                <w:szCs w:val="18"/>
              </w:rPr>
              <w:t>条件的股份</w:t>
            </w:r>
            <w:r>
              <w:rPr>
                <w:rFonts w:ascii="宋体" w:hAnsi="宋体" w:cs="宋体" w:eastAsia="宋体" w:hint="default"/>
                <w:spacing w:val="-46"/>
                <w:sz w:val="18"/>
                <w:szCs w:val="18"/>
              </w:rPr>
              <w:t> </w:t>
            </w:r>
            <w:r>
              <w:rPr>
                <w:rFonts w:ascii="宋体" w:hAnsi="宋体" w:cs="宋体" w:eastAsia="宋体" w:hint="default"/>
                <w:sz w:val="18"/>
                <w:szCs w:val="18"/>
              </w:rPr>
              <w:t>数量</w:t>
            </w:r>
          </w:p>
        </w:tc>
        <w:tc>
          <w:tcPr>
            <w:tcW w:w="1776"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2130" w:type="dxa"/>
            <w:gridSpan w:val="2"/>
            <w:vMerge/>
            <w:tcBorders>
              <w:left w:val="single" w:sz="4" w:space="0" w:color="000000"/>
              <w:bottom w:val="nil" w:sz="6" w:space="0" w:color="auto"/>
              <w:right w:val="single" w:sz="4" w:space="0" w:color="000000"/>
            </w:tcBorders>
            <w:shd w:val="clear" w:color="auto" w:fill="D4D4D4"/>
          </w:tcPr>
          <w:p>
            <w:pPr/>
          </w:p>
        </w:tc>
        <w:tc>
          <w:tcPr>
            <w:tcW w:w="754"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8"/>
                <w:sz w:val="18"/>
                <w:szCs w:val="18"/>
              </w:rPr>
              <w:t>股东</w:t>
            </w:r>
            <w:r>
              <w:rPr>
                <w:rFonts w:ascii="宋体" w:hAnsi="宋体" w:cs="宋体" w:eastAsia="宋体" w:hint="default"/>
                <w:spacing w:val="-13"/>
                <w:sz w:val="18"/>
                <w:szCs w:val="18"/>
              </w:rPr>
              <w:t> </w:t>
            </w:r>
            <w:r>
              <w:rPr>
                <w:rFonts w:ascii="宋体" w:hAnsi="宋体" w:cs="宋体" w:eastAsia="宋体" w:hint="default"/>
                <w:sz w:val="18"/>
                <w:szCs w:val="18"/>
              </w:rPr>
              <w:t>性</w:t>
            </w:r>
            <w:r>
              <w:rPr>
                <w:rFonts w:ascii="宋体" w:hAnsi="宋体" w:cs="宋体" w:eastAsia="宋体" w:hint="default"/>
                <w:sz w:val="18"/>
                <w:szCs w:val="18"/>
              </w:rPr>
              <w:t> 质</w:t>
            </w:r>
          </w:p>
        </w:tc>
        <w:tc>
          <w:tcPr>
            <w:tcW w:w="748" w:type="dxa"/>
            <w:vMerge/>
            <w:tcBorders>
              <w:left w:val="single" w:sz="4" w:space="0" w:color="000000"/>
              <w:bottom w:val="nil" w:sz="6" w:space="0" w:color="auto"/>
              <w:right w:val="single" w:sz="4" w:space="0" w:color="000000"/>
            </w:tcBorders>
            <w:shd w:val="clear" w:color="auto" w:fill="D4D4D4"/>
          </w:tcPr>
          <w:p>
            <w:pPr/>
          </w:p>
        </w:tc>
        <w:tc>
          <w:tcPr>
            <w:tcW w:w="1050"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62" w:right="10"/>
              <w:jc w:val="left"/>
              <w:rPr>
                <w:rFonts w:ascii="宋体" w:hAnsi="宋体" w:cs="宋体" w:eastAsia="宋体" w:hint="default"/>
                <w:sz w:val="18"/>
                <w:szCs w:val="18"/>
              </w:rPr>
            </w:pPr>
            <w:r>
              <w:rPr>
                <w:rFonts w:ascii="宋体" w:hAnsi="宋体" w:cs="宋体" w:eastAsia="宋体" w:hint="default"/>
                <w:spacing w:val="13"/>
                <w:sz w:val="18"/>
                <w:szCs w:val="18"/>
              </w:rPr>
              <w:t>报告期末持 </w:t>
            </w:r>
            <w:r>
              <w:rPr>
                <w:rFonts w:ascii="宋体" w:hAnsi="宋体" w:cs="宋体" w:eastAsia="宋体" w:hint="default"/>
                <w:sz w:val="18"/>
                <w:szCs w:val="18"/>
              </w:rPr>
              <w:t>股数量</w:t>
            </w:r>
          </w:p>
        </w:tc>
        <w:tc>
          <w:tcPr>
            <w:tcW w:w="992"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22" w:right="14"/>
              <w:jc w:val="left"/>
              <w:rPr>
                <w:rFonts w:ascii="宋体" w:hAnsi="宋体" w:cs="宋体" w:eastAsia="宋体" w:hint="default"/>
                <w:sz w:val="18"/>
                <w:szCs w:val="18"/>
              </w:rPr>
            </w:pPr>
            <w:r>
              <w:rPr>
                <w:rFonts w:ascii="宋体" w:hAnsi="宋体" w:cs="宋体" w:eastAsia="宋体" w:hint="default"/>
                <w:spacing w:val="8"/>
                <w:sz w:val="18"/>
                <w:szCs w:val="18"/>
              </w:rPr>
              <w:t>报告期内增 </w:t>
            </w:r>
            <w:r>
              <w:rPr>
                <w:rFonts w:ascii="宋体" w:hAnsi="宋体" w:cs="宋体" w:eastAsia="宋体" w:hint="default"/>
                <w:sz w:val="18"/>
                <w:szCs w:val="18"/>
              </w:rPr>
              <w:t>减变动情况</w:t>
            </w:r>
          </w:p>
        </w:tc>
        <w:tc>
          <w:tcPr>
            <w:tcW w:w="992" w:type="dxa"/>
            <w:gridSpan w:val="2"/>
            <w:vMerge/>
            <w:tcBorders>
              <w:left w:val="single" w:sz="4" w:space="0" w:color="000000"/>
              <w:right w:val="single" w:sz="4" w:space="0" w:color="000000"/>
            </w:tcBorders>
            <w:shd w:val="clear" w:color="auto" w:fill="D4D4D4"/>
          </w:tcPr>
          <w:p>
            <w:pPr/>
          </w:p>
        </w:tc>
        <w:tc>
          <w:tcPr>
            <w:tcW w:w="1134" w:type="dxa"/>
            <w:gridSpan w:val="2"/>
            <w:vMerge/>
            <w:tcBorders>
              <w:left w:val="single" w:sz="4" w:space="0" w:color="000000"/>
              <w:right w:val="single" w:sz="4" w:space="0" w:color="000000"/>
            </w:tcBorders>
            <w:shd w:val="clear" w:color="auto" w:fill="D4D4D4"/>
          </w:tcPr>
          <w:p>
            <w:pPr/>
          </w:p>
        </w:tc>
        <w:tc>
          <w:tcPr>
            <w:tcW w:w="1776" w:type="dxa"/>
            <w:gridSpan w:val="3"/>
            <w:vMerge/>
            <w:tcBorders>
              <w:left w:val="single" w:sz="4" w:space="0" w:color="000000"/>
              <w:right w:val="single" w:sz="4" w:space="0" w:color="000000"/>
            </w:tcBorders>
            <w:shd w:val="clear" w:color="auto" w:fill="D4D4D4"/>
          </w:tcPr>
          <w:p>
            <w:pPr/>
          </w:p>
        </w:tc>
      </w:tr>
      <w:tr>
        <w:trPr>
          <w:trHeight w:val="141" w:hRule="exact"/>
        </w:trPr>
        <w:tc>
          <w:tcPr>
            <w:tcW w:w="2130" w:type="dxa"/>
            <w:gridSpan w:val="2"/>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754" w:type="dxa"/>
            <w:vMerge/>
            <w:tcBorders>
              <w:left w:val="single" w:sz="4" w:space="0" w:color="000000"/>
              <w:right w:val="single" w:sz="4" w:space="0" w:color="000000"/>
            </w:tcBorders>
            <w:shd w:val="clear" w:color="auto" w:fill="D4D4D4"/>
          </w:tcPr>
          <w:p>
            <w:pPr/>
          </w:p>
        </w:tc>
        <w:tc>
          <w:tcPr>
            <w:tcW w:w="74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50" w:type="dxa"/>
            <w:vMerge/>
            <w:tcBorders>
              <w:left w:val="single" w:sz="4" w:space="0" w:color="000000"/>
              <w:right w:val="single" w:sz="4" w:space="0" w:color="000000"/>
            </w:tcBorders>
            <w:shd w:val="clear" w:color="auto" w:fill="D4D4D4"/>
          </w:tcPr>
          <w:p>
            <w:pPr/>
          </w:p>
        </w:tc>
        <w:tc>
          <w:tcPr>
            <w:tcW w:w="992" w:type="dxa"/>
            <w:gridSpan w:val="2"/>
            <w:vMerge/>
            <w:tcBorders>
              <w:left w:val="single" w:sz="4" w:space="0" w:color="000000"/>
              <w:right w:val="single" w:sz="4" w:space="0" w:color="000000"/>
            </w:tcBorders>
            <w:shd w:val="clear" w:color="auto" w:fill="D4D4D4"/>
          </w:tcPr>
          <w:p>
            <w:pPr/>
          </w:p>
        </w:tc>
        <w:tc>
          <w:tcPr>
            <w:tcW w:w="992" w:type="dxa"/>
            <w:gridSpan w:val="2"/>
            <w:vMerge/>
            <w:tcBorders>
              <w:left w:val="single" w:sz="4" w:space="0" w:color="000000"/>
              <w:right w:val="single" w:sz="4" w:space="0" w:color="000000"/>
            </w:tcBorders>
            <w:shd w:val="clear" w:color="auto" w:fill="D4D4D4"/>
          </w:tcPr>
          <w:p>
            <w:pPr/>
          </w:p>
        </w:tc>
        <w:tc>
          <w:tcPr>
            <w:tcW w:w="1134" w:type="dxa"/>
            <w:gridSpan w:val="2"/>
            <w:vMerge/>
            <w:tcBorders>
              <w:left w:val="single" w:sz="4" w:space="0" w:color="000000"/>
              <w:right w:val="single" w:sz="4" w:space="0" w:color="000000"/>
            </w:tcBorders>
            <w:shd w:val="clear" w:color="auto" w:fill="D4D4D4"/>
          </w:tcPr>
          <w:p>
            <w:pPr/>
          </w:p>
        </w:tc>
        <w:tc>
          <w:tcPr>
            <w:tcW w:w="1776" w:type="dxa"/>
            <w:gridSpan w:val="3"/>
            <w:vMerge/>
            <w:tcBorders>
              <w:left w:val="single" w:sz="4" w:space="0" w:color="000000"/>
              <w:bottom w:val="single" w:sz="4" w:space="0" w:color="000000"/>
              <w:right w:val="single" w:sz="4" w:space="0" w:color="000000"/>
            </w:tcBorders>
            <w:shd w:val="clear" w:color="auto" w:fill="D4D4D4"/>
          </w:tcPr>
          <w:p>
            <w:pPr/>
          </w:p>
        </w:tc>
      </w:tr>
      <w:tr>
        <w:trPr>
          <w:trHeight w:val="251" w:hRule="exact"/>
        </w:trPr>
        <w:tc>
          <w:tcPr>
            <w:tcW w:w="2130" w:type="dxa"/>
            <w:gridSpan w:val="2"/>
            <w:vMerge/>
            <w:tcBorders>
              <w:left w:val="single" w:sz="4" w:space="0" w:color="000000"/>
              <w:bottom w:val="nil" w:sz="6" w:space="0" w:color="auto"/>
              <w:right w:val="single" w:sz="4" w:space="0" w:color="000000"/>
            </w:tcBorders>
            <w:shd w:val="clear" w:color="auto" w:fill="D4D4D4"/>
          </w:tcPr>
          <w:p>
            <w:pPr/>
          </w:p>
        </w:tc>
        <w:tc>
          <w:tcPr>
            <w:tcW w:w="754" w:type="dxa"/>
            <w:vMerge/>
            <w:tcBorders>
              <w:left w:val="single" w:sz="4" w:space="0" w:color="000000"/>
              <w:right w:val="single" w:sz="4" w:space="0" w:color="000000"/>
            </w:tcBorders>
            <w:shd w:val="clear" w:color="auto" w:fill="D4D4D4"/>
          </w:tcPr>
          <w:p>
            <w:pPr/>
          </w:p>
        </w:tc>
        <w:tc>
          <w:tcPr>
            <w:tcW w:w="748" w:type="dxa"/>
            <w:vMerge/>
            <w:tcBorders>
              <w:left w:val="single" w:sz="4" w:space="0" w:color="000000"/>
              <w:bottom w:val="nil" w:sz="6" w:space="0" w:color="auto"/>
              <w:right w:val="single" w:sz="4" w:space="0" w:color="000000"/>
            </w:tcBorders>
            <w:shd w:val="clear" w:color="auto" w:fill="D4D4D4"/>
          </w:tcPr>
          <w:p>
            <w:pPr/>
          </w:p>
        </w:tc>
        <w:tc>
          <w:tcPr>
            <w:tcW w:w="1050" w:type="dxa"/>
            <w:vMerge/>
            <w:tcBorders>
              <w:left w:val="single" w:sz="4" w:space="0" w:color="000000"/>
              <w:right w:val="single" w:sz="4" w:space="0" w:color="000000"/>
            </w:tcBorders>
            <w:shd w:val="clear" w:color="auto" w:fill="D4D4D4"/>
          </w:tcPr>
          <w:p>
            <w:pPr/>
          </w:p>
        </w:tc>
        <w:tc>
          <w:tcPr>
            <w:tcW w:w="992" w:type="dxa"/>
            <w:gridSpan w:val="2"/>
            <w:vMerge/>
            <w:tcBorders>
              <w:left w:val="single" w:sz="4" w:space="0" w:color="000000"/>
              <w:right w:val="single" w:sz="4" w:space="0" w:color="000000"/>
            </w:tcBorders>
            <w:shd w:val="clear" w:color="auto" w:fill="D4D4D4"/>
          </w:tcPr>
          <w:p>
            <w:pPr/>
          </w:p>
        </w:tc>
        <w:tc>
          <w:tcPr>
            <w:tcW w:w="992" w:type="dxa"/>
            <w:gridSpan w:val="2"/>
            <w:vMerge/>
            <w:tcBorders>
              <w:left w:val="single" w:sz="4" w:space="0" w:color="000000"/>
              <w:right w:val="single" w:sz="4" w:space="0" w:color="000000"/>
            </w:tcBorders>
            <w:shd w:val="clear" w:color="auto" w:fill="D4D4D4"/>
          </w:tcPr>
          <w:p>
            <w:pPr/>
          </w:p>
        </w:tc>
        <w:tc>
          <w:tcPr>
            <w:tcW w:w="1134" w:type="dxa"/>
            <w:gridSpan w:val="2"/>
            <w:vMerge/>
            <w:tcBorders>
              <w:left w:val="single" w:sz="4" w:space="0" w:color="000000"/>
              <w:right w:val="single" w:sz="4" w:space="0" w:color="000000"/>
            </w:tcBorders>
            <w:shd w:val="clear" w:color="auto" w:fill="D4D4D4"/>
          </w:tcPr>
          <w:p>
            <w:pPr/>
          </w:p>
        </w:tc>
        <w:tc>
          <w:tcPr>
            <w:tcW w:w="85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2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07"/>
              <w:ind w:left="2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2130" w:type="dxa"/>
            <w:gridSpan w:val="2"/>
            <w:vMerge w:val="restart"/>
            <w:tcBorders>
              <w:top w:val="nil" w:sz="6" w:space="0" w:color="auto"/>
              <w:left w:val="single" w:sz="4" w:space="0" w:color="000000"/>
              <w:right w:val="single" w:sz="4" w:space="0" w:color="000000"/>
            </w:tcBorders>
            <w:shd w:val="clear" w:color="auto" w:fill="D4D4D4"/>
          </w:tcPr>
          <w:p>
            <w:pPr/>
          </w:p>
        </w:tc>
        <w:tc>
          <w:tcPr>
            <w:tcW w:w="754" w:type="dxa"/>
            <w:vMerge/>
            <w:tcBorders>
              <w:left w:val="single" w:sz="4" w:space="0" w:color="000000"/>
              <w:bottom w:val="nil" w:sz="6" w:space="0" w:color="auto"/>
              <w:right w:val="single" w:sz="4" w:space="0" w:color="000000"/>
            </w:tcBorders>
            <w:shd w:val="clear" w:color="auto" w:fill="D4D4D4"/>
          </w:tcPr>
          <w:p>
            <w:pPr/>
          </w:p>
        </w:tc>
        <w:tc>
          <w:tcPr>
            <w:tcW w:w="748" w:type="dxa"/>
            <w:vMerge w:val="restart"/>
            <w:tcBorders>
              <w:top w:val="nil" w:sz="6" w:space="0" w:color="auto"/>
              <w:left w:val="single" w:sz="4" w:space="0" w:color="000000"/>
              <w:right w:val="single" w:sz="4" w:space="0" w:color="000000"/>
            </w:tcBorders>
            <w:shd w:val="clear" w:color="auto" w:fill="D4D4D4"/>
          </w:tcPr>
          <w:p>
            <w:pPr/>
          </w:p>
        </w:tc>
        <w:tc>
          <w:tcPr>
            <w:tcW w:w="1050" w:type="dxa"/>
            <w:vMerge/>
            <w:tcBorders>
              <w:left w:val="single" w:sz="4" w:space="0" w:color="000000"/>
              <w:bottom w:val="nil" w:sz="6" w:space="0" w:color="auto"/>
              <w:right w:val="single" w:sz="4" w:space="0" w:color="000000"/>
            </w:tcBorders>
            <w:shd w:val="clear" w:color="auto" w:fill="D4D4D4"/>
          </w:tcPr>
          <w:p>
            <w:pPr/>
          </w:p>
        </w:tc>
        <w:tc>
          <w:tcPr>
            <w:tcW w:w="992" w:type="dxa"/>
            <w:gridSpan w:val="2"/>
            <w:vMerge/>
            <w:tcBorders>
              <w:left w:val="single" w:sz="4" w:space="0" w:color="000000"/>
              <w:bottom w:val="nil" w:sz="6" w:space="0" w:color="auto"/>
              <w:right w:val="single" w:sz="4" w:space="0" w:color="000000"/>
            </w:tcBorders>
            <w:shd w:val="clear" w:color="auto" w:fill="D4D4D4"/>
          </w:tcPr>
          <w:p>
            <w:pPr/>
          </w:p>
        </w:tc>
        <w:tc>
          <w:tcPr>
            <w:tcW w:w="992" w:type="dxa"/>
            <w:gridSpan w:val="2"/>
            <w:vMerge/>
            <w:tcBorders>
              <w:left w:val="single" w:sz="4" w:space="0" w:color="000000"/>
              <w:right w:val="single" w:sz="4" w:space="0" w:color="000000"/>
            </w:tcBorders>
            <w:shd w:val="clear" w:color="auto" w:fill="D4D4D4"/>
          </w:tcPr>
          <w:p>
            <w:pPr/>
          </w:p>
        </w:tc>
        <w:tc>
          <w:tcPr>
            <w:tcW w:w="1134" w:type="dxa"/>
            <w:gridSpan w:val="2"/>
            <w:vMerge/>
            <w:tcBorders>
              <w:left w:val="single" w:sz="4" w:space="0" w:color="000000"/>
              <w:right w:val="single" w:sz="4" w:space="0" w:color="000000"/>
            </w:tcBorders>
            <w:shd w:val="clear" w:color="auto" w:fill="D4D4D4"/>
          </w:tcPr>
          <w:p>
            <w:pPr/>
          </w:p>
        </w:tc>
        <w:tc>
          <w:tcPr>
            <w:tcW w:w="850" w:type="dxa"/>
            <w:gridSpan w:val="2"/>
            <w:vMerge/>
            <w:tcBorders>
              <w:left w:val="single" w:sz="4" w:space="0" w:color="000000"/>
              <w:right w:val="single" w:sz="4" w:space="0" w:color="000000"/>
            </w:tcBorders>
            <w:shd w:val="clear" w:color="auto" w:fill="D4D4D4"/>
          </w:tcPr>
          <w:p>
            <w:pPr/>
          </w:p>
        </w:tc>
        <w:tc>
          <w:tcPr>
            <w:tcW w:w="926" w:type="dxa"/>
            <w:vMerge/>
            <w:tcBorders>
              <w:left w:val="single" w:sz="4" w:space="0" w:color="000000"/>
              <w:right w:val="single" w:sz="4" w:space="0" w:color="000000"/>
            </w:tcBorders>
            <w:shd w:val="clear" w:color="auto" w:fill="D4D4D4"/>
          </w:tcPr>
          <w:p>
            <w:pPr/>
          </w:p>
        </w:tc>
      </w:tr>
      <w:tr>
        <w:trPr>
          <w:trHeight w:val="161" w:hRule="exact"/>
        </w:trPr>
        <w:tc>
          <w:tcPr>
            <w:tcW w:w="2130" w:type="dxa"/>
            <w:gridSpan w:val="2"/>
            <w:vMerge/>
            <w:tcBorders>
              <w:left w:val="single" w:sz="4" w:space="0" w:color="000000"/>
              <w:bottom w:val="single" w:sz="4" w:space="0" w:color="000000"/>
              <w:right w:val="single" w:sz="4" w:space="0" w:color="000000"/>
            </w:tcBorders>
            <w:shd w:val="clear" w:color="auto" w:fill="D4D4D4"/>
          </w:tcPr>
          <w:p>
            <w:pPr/>
          </w:p>
        </w:tc>
        <w:tc>
          <w:tcPr>
            <w:tcW w:w="754" w:type="dxa"/>
            <w:tcBorders>
              <w:top w:val="nil" w:sz="6" w:space="0" w:color="auto"/>
              <w:left w:val="single" w:sz="4" w:space="0" w:color="000000"/>
              <w:bottom w:val="single" w:sz="4" w:space="0" w:color="000000"/>
              <w:right w:val="single" w:sz="4" w:space="0" w:color="000000"/>
            </w:tcBorders>
            <w:shd w:val="clear" w:color="auto" w:fill="D4D4D4"/>
          </w:tcPr>
          <w:p>
            <w:pPr/>
          </w:p>
        </w:tc>
        <w:tc>
          <w:tcPr>
            <w:tcW w:w="748" w:type="dxa"/>
            <w:vMerge/>
            <w:tcBorders>
              <w:left w:val="single" w:sz="4" w:space="0" w:color="000000"/>
              <w:bottom w:val="single" w:sz="4" w:space="0" w:color="000000"/>
              <w:right w:val="single" w:sz="4" w:space="0" w:color="000000"/>
            </w:tcBorders>
            <w:shd w:val="clear" w:color="auto" w:fill="D4D4D4"/>
          </w:tcPr>
          <w:p>
            <w:pPr/>
          </w:p>
        </w:tc>
        <w:tc>
          <w:tcPr>
            <w:tcW w:w="1050" w:type="dxa"/>
            <w:tcBorders>
              <w:top w:val="nil" w:sz="6" w:space="0" w:color="auto"/>
              <w:left w:val="single" w:sz="4" w:space="0" w:color="000000"/>
              <w:bottom w:val="single" w:sz="4" w:space="0" w:color="000000"/>
              <w:right w:val="single" w:sz="4" w:space="0" w:color="000000"/>
            </w:tcBorders>
            <w:shd w:val="clear" w:color="auto" w:fill="D4D4D4"/>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4D4D4"/>
          </w:tcPr>
          <w:p>
            <w:pPr/>
          </w:p>
        </w:tc>
        <w:tc>
          <w:tcPr>
            <w:tcW w:w="992" w:type="dxa"/>
            <w:gridSpan w:val="2"/>
            <w:vMerge/>
            <w:tcBorders>
              <w:left w:val="single" w:sz="4" w:space="0" w:color="000000"/>
              <w:bottom w:val="single" w:sz="4" w:space="0" w:color="000000"/>
              <w:right w:val="single" w:sz="4" w:space="0" w:color="000000"/>
            </w:tcBorders>
            <w:shd w:val="clear" w:color="auto" w:fill="D4D4D4"/>
          </w:tcPr>
          <w:p>
            <w:pPr/>
          </w:p>
        </w:tc>
        <w:tc>
          <w:tcPr>
            <w:tcW w:w="1134" w:type="dxa"/>
            <w:gridSpan w:val="2"/>
            <w:vMerge/>
            <w:tcBorders>
              <w:left w:val="single" w:sz="4" w:space="0" w:color="000000"/>
              <w:bottom w:val="single" w:sz="4" w:space="0" w:color="000000"/>
              <w:right w:val="single" w:sz="4" w:space="0" w:color="000000"/>
            </w:tcBorders>
            <w:shd w:val="clear" w:color="auto" w:fill="D4D4D4"/>
          </w:tcPr>
          <w:p>
            <w:pPr/>
          </w:p>
        </w:tc>
        <w:tc>
          <w:tcPr>
            <w:tcW w:w="850" w:type="dxa"/>
            <w:gridSpan w:val="2"/>
            <w:vMerge/>
            <w:tcBorders>
              <w:left w:val="single" w:sz="4" w:space="0" w:color="000000"/>
              <w:bottom w:val="single" w:sz="4" w:space="0" w:color="000000"/>
              <w:right w:val="single" w:sz="4" w:space="0" w:color="000000"/>
            </w:tcBorders>
            <w:shd w:val="clear" w:color="auto" w:fill="D4D4D4"/>
          </w:tcPr>
          <w:p>
            <w:pPr/>
          </w:p>
        </w:tc>
        <w:tc>
          <w:tcPr>
            <w:tcW w:w="926"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8"/>
                <w:sz w:val="18"/>
                <w:szCs w:val="18"/>
              </w:rPr>
              <w:t>境外</w:t>
            </w:r>
            <w:r>
              <w:rPr>
                <w:rFonts w:ascii="宋体" w:hAnsi="宋体" w:cs="宋体" w:eastAsia="宋体" w:hint="default"/>
                <w:spacing w:val="-13"/>
                <w:sz w:val="18"/>
                <w:szCs w:val="18"/>
              </w:rPr>
              <w:t> </w:t>
            </w:r>
            <w:r>
              <w:rPr>
                <w:rFonts w:ascii="宋体" w:hAnsi="宋体" w:cs="宋体" w:eastAsia="宋体" w:hint="default"/>
                <w:sz w:val="18"/>
                <w:szCs w:val="18"/>
              </w:rPr>
              <w:t>自</w:t>
            </w:r>
            <w:r>
              <w:rPr>
                <w:rFonts w:ascii="宋体" w:hAnsi="宋体" w:cs="宋体" w:eastAsia="宋体" w:hint="default"/>
                <w:sz w:val="18"/>
                <w:szCs w:val="18"/>
              </w:rPr>
              <w:t> 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27.28%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120,911,958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-599,924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91,133,912</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29,778,046</w:t>
            </w:r>
          </w:p>
        </w:tc>
        <w:tc>
          <w:tcPr>
            <w:tcW w:w="850" w:type="dxa"/>
            <w:gridSpan w:val="2"/>
            <w:tcBorders>
              <w:top w:val="single" w:sz="48" w:space="0" w:color="D4D4D4"/>
              <w:left w:val="single" w:sz="4" w:space="0" w:color="000000"/>
              <w:bottom w:val="single" w:sz="4" w:space="0" w:color="000000"/>
              <w:right w:val="single" w:sz="4" w:space="0" w:color="000000"/>
            </w:tcBorders>
          </w:tcPr>
          <w:p>
            <w:pPr>
              <w:pStyle w:val="TableParagraph"/>
              <w:spacing w:line="240" w:lineRule="auto" w:before="1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6" w:type="dxa"/>
            <w:tcBorders>
              <w:top w:val="single" w:sz="48" w:space="0" w:color="D4D4D4"/>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7,000,000</w:t>
            </w:r>
          </w:p>
        </w:tc>
      </w:tr>
      <w:tr>
        <w:trPr>
          <w:trHeight w:val="714"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8"/>
                <w:sz w:val="18"/>
                <w:szCs w:val="18"/>
              </w:rPr>
              <w:t>境内</w:t>
            </w:r>
            <w:r>
              <w:rPr>
                <w:rFonts w:ascii="宋体" w:hAnsi="宋体" w:cs="宋体" w:eastAsia="宋体" w:hint="default"/>
                <w:spacing w:val="-13"/>
                <w:sz w:val="18"/>
                <w:szCs w:val="18"/>
              </w:rPr>
              <w:t> </w:t>
            </w:r>
            <w:r>
              <w:rPr>
                <w:rFonts w:ascii="宋体" w:hAnsi="宋体" w:cs="宋体" w:eastAsia="宋体" w:hint="default"/>
                <w:sz w:val="18"/>
                <w:szCs w:val="18"/>
              </w:rPr>
              <w:t>自</w:t>
            </w:r>
            <w:r>
              <w:rPr>
                <w:rFonts w:ascii="宋体" w:hAnsi="宋体" w:cs="宋体" w:eastAsia="宋体" w:hint="default"/>
                <w:sz w:val="18"/>
                <w:szCs w:val="18"/>
              </w:rPr>
              <w:t> 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13.39%</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59,327,100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-4,672,900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48,245,325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11,081,775</w:t>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3,210,000</w:t>
            </w:r>
          </w:p>
        </w:tc>
      </w:tr>
      <w:tr>
        <w:trPr>
          <w:trHeight w:val="714"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8"/>
                <w:sz w:val="18"/>
                <w:szCs w:val="18"/>
              </w:rPr>
              <w:t>境内</w:t>
            </w:r>
            <w:r>
              <w:rPr>
                <w:rFonts w:ascii="宋体" w:hAnsi="宋体" w:cs="宋体" w:eastAsia="宋体" w:hint="default"/>
                <w:spacing w:val="-13"/>
                <w:sz w:val="18"/>
                <w:szCs w:val="18"/>
              </w:rPr>
              <w:t> </w:t>
            </w:r>
            <w:r>
              <w:rPr>
                <w:rFonts w:ascii="宋体" w:hAnsi="宋体" w:cs="宋体" w:eastAsia="宋体" w:hint="default"/>
                <w:sz w:val="18"/>
                <w:szCs w:val="18"/>
              </w:rPr>
              <w:t>自</w:t>
            </w:r>
            <w:r>
              <w:rPr>
                <w:rFonts w:ascii="宋体" w:hAnsi="宋体" w:cs="宋体" w:eastAsia="宋体" w:hint="default"/>
                <w:sz w:val="18"/>
                <w:szCs w:val="18"/>
              </w:rPr>
              <w:t> 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25,600,000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25,600,000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19,200,000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6,400,000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卓桂英</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8"/>
                <w:sz w:val="18"/>
                <w:szCs w:val="18"/>
              </w:rPr>
              <w:t>境内</w:t>
            </w:r>
            <w:r>
              <w:rPr>
                <w:rFonts w:ascii="宋体" w:hAnsi="宋体" w:cs="宋体" w:eastAsia="宋体" w:hint="default"/>
                <w:spacing w:val="-13"/>
                <w:sz w:val="18"/>
                <w:szCs w:val="18"/>
              </w:rPr>
              <w:t> </w:t>
            </w:r>
            <w:r>
              <w:rPr>
                <w:rFonts w:ascii="宋体" w:hAnsi="宋体" w:cs="宋体" w:eastAsia="宋体" w:hint="default"/>
                <w:sz w:val="18"/>
                <w:szCs w:val="18"/>
              </w:rPr>
              <w:t>自</w:t>
            </w:r>
            <w:r>
              <w:rPr>
                <w:rFonts w:ascii="宋体" w:hAnsi="宋体" w:cs="宋体" w:eastAsia="宋体" w:hint="default"/>
                <w:sz w:val="18"/>
                <w:szCs w:val="18"/>
              </w:rPr>
              <w:t> 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5.78%</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25,600,000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25,600,000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25,600,000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全国社保基金一一二组合</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2.26%</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center"/>
              <w:rPr>
                <w:rFonts w:ascii="Times New Roman" w:hAnsi="Times New Roman" w:cs="Times New Roman" w:eastAsia="Times New Roman" w:hint="default"/>
                <w:sz w:val="18"/>
                <w:szCs w:val="18"/>
              </w:rPr>
            </w:pPr>
            <w:r>
              <w:rPr>
                <w:rFonts w:ascii="Times New Roman"/>
                <w:sz w:val="18"/>
              </w:rPr>
              <w:t>10,000,000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10,000,000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0" w:right="0"/>
              <w:jc w:val="left"/>
              <w:rPr>
                <w:rFonts w:ascii="Times New Roman" w:hAnsi="Times New Roman" w:cs="Times New Roman" w:eastAsia="Times New Roman" w:hint="default"/>
                <w:sz w:val="18"/>
                <w:szCs w:val="18"/>
              </w:rPr>
            </w:pPr>
            <w:r>
              <w:rPr>
                <w:rFonts w:ascii="Times New Roman"/>
                <w:sz w:val="18"/>
              </w:rPr>
              <w:t>10,000,000</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中国建设银行－华夏红利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混合型开放式证券投资基</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金</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80" w:right="0"/>
              <w:jc w:val="center"/>
              <w:rPr>
                <w:rFonts w:ascii="Times New Roman" w:hAnsi="Times New Roman" w:cs="Times New Roman" w:eastAsia="Times New Roman" w:hint="default"/>
                <w:sz w:val="18"/>
                <w:szCs w:val="18"/>
              </w:rPr>
            </w:pPr>
            <w:r>
              <w:rPr>
                <w:rFonts w:ascii="Times New Roman"/>
                <w:sz w:val="18"/>
              </w:rPr>
              <w:t>8,520,118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3,056,667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8,520,118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招商银行股份有限公司－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富国低碳环保混合型证券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投资基金</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1.24%</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3" w:right="0"/>
              <w:jc w:val="center"/>
              <w:rPr>
                <w:rFonts w:ascii="Times New Roman" w:hAnsi="Times New Roman" w:cs="Times New Roman" w:eastAsia="Times New Roman" w:hint="default"/>
                <w:sz w:val="18"/>
                <w:szCs w:val="18"/>
              </w:rPr>
            </w:pPr>
            <w:r>
              <w:rPr>
                <w:rFonts w:ascii="Times New Roman"/>
                <w:sz w:val="18"/>
              </w:rPr>
              <w:t>5,487,019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5,487,019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5,487,019</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交通银行股份有限公司－</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易方达科讯混合型证券投</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资基金</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3" w:right="0"/>
              <w:jc w:val="center"/>
              <w:rPr>
                <w:rFonts w:ascii="Times New Roman" w:hAnsi="Times New Roman" w:cs="Times New Roman" w:eastAsia="Times New Roman" w:hint="default"/>
                <w:sz w:val="18"/>
                <w:szCs w:val="18"/>
              </w:rPr>
            </w:pPr>
            <w:r>
              <w:rPr>
                <w:rFonts w:ascii="Times New Roman"/>
                <w:sz w:val="18"/>
              </w:rPr>
              <w:t>5,339,744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5,339,744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5,339,744</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中国工商银行股份有限公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司－易方达新兴成长灵活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配置混合型证券投资基金</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1.13%</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3" w:right="0"/>
              <w:jc w:val="center"/>
              <w:rPr>
                <w:rFonts w:ascii="Times New Roman" w:hAnsi="Times New Roman" w:cs="Times New Roman" w:eastAsia="Times New Roman" w:hint="default"/>
                <w:sz w:val="18"/>
                <w:szCs w:val="18"/>
              </w:rPr>
            </w:pPr>
            <w:r>
              <w:rPr>
                <w:rFonts w:ascii="Times New Roman"/>
                <w:sz w:val="18"/>
              </w:rPr>
              <w:t>5,008,978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5,008,978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5,008,978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3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
              <w:jc w:val="both"/>
              <w:rPr>
                <w:rFonts w:ascii="宋体" w:hAnsi="宋体" w:cs="宋体" w:eastAsia="宋体" w:hint="default"/>
                <w:sz w:val="18"/>
                <w:szCs w:val="18"/>
              </w:rPr>
            </w:pPr>
            <w:r>
              <w:rPr>
                <w:rFonts w:ascii="宋体" w:hAnsi="宋体" w:cs="宋体" w:eastAsia="宋体" w:hint="default"/>
                <w:spacing w:val="8"/>
                <w:sz w:val="18"/>
                <w:szCs w:val="18"/>
              </w:rPr>
              <w:t>中国工商银行股份有限公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8"/>
                <w:sz w:val="18"/>
                <w:szCs w:val="18"/>
              </w:rPr>
              <w:t>司－易方达新常态灵活配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置混合型证券投资基金</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0.97%</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73" w:right="0"/>
              <w:jc w:val="center"/>
              <w:rPr>
                <w:rFonts w:ascii="Times New Roman" w:hAnsi="Times New Roman" w:cs="Times New Roman" w:eastAsia="Times New Roman" w:hint="default"/>
                <w:sz w:val="18"/>
                <w:szCs w:val="18"/>
              </w:rPr>
            </w:pPr>
            <w:r>
              <w:rPr>
                <w:rFonts w:ascii="Times New Roman"/>
                <w:sz w:val="18"/>
              </w:rPr>
              <w:t>4,307,928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4,307,928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4,307,928</w:t>
            </w: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12"/>
              <w:jc w:val="both"/>
              <w:rPr>
                <w:rFonts w:ascii="宋体" w:hAnsi="宋体" w:cs="宋体" w:eastAsia="宋体" w:hint="default"/>
                <w:sz w:val="18"/>
                <w:szCs w:val="18"/>
              </w:rPr>
            </w:pPr>
            <w:r>
              <w:rPr>
                <w:rFonts w:ascii="宋体" w:hAnsi="宋体" w:cs="宋体" w:eastAsia="宋体" w:hint="default"/>
                <w:spacing w:val="8"/>
                <w:sz w:val="18"/>
                <w:szCs w:val="18"/>
              </w:rPr>
              <w:t>战略投资者或一般法人因配售新股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962" w:hRule="exact"/>
        </w:trPr>
        <w:tc>
          <w:tcPr>
            <w:tcW w:w="288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2"/>
              <w:jc w:val="left"/>
              <w:rPr>
                <w:rFonts w:ascii="宋体" w:hAnsi="宋体" w:cs="宋体" w:eastAsia="宋体" w:hint="default"/>
                <w:sz w:val="18"/>
                <w:szCs w:val="18"/>
              </w:rPr>
            </w:pPr>
            <w:r>
              <w:rPr>
                <w:rFonts w:ascii="宋体" w:hAnsi="宋体" w:cs="宋体" w:eastAsia="宋体" w:hint="default"/>
                <w:spacing w:val="8"/>
                <w:sz w:val="18"/>
                <w:szCs w:val="18"/>
              </w:rPr>
              <w:t>上述股东关联关系或一致行动的说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明</w:t>
            </w:r>
          </w:p>
        </w:tc>
        <w:tc>
          <w:tcPr>
            <w:tcW w:w="6692"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1"/>
                <w:sz w:val="18"/>
                <w:szCs w:val="18"/>
              </w:rPr>
              <w:t>上述股东中：</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、郭永芳、滕达为母子关系，互为一致行动人。</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、刘冬颖与卓桂英为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母女关系；</w:t>
            </w:r>
            <w:r>
              <w:rPr>
                <w:rFonts w:ascii="Times New Roman" w:hAnsi="Times New Roman" w:cs="Times New Roman" w:eastAsia="Times New Roman" w:hint="default"/>
                <w:sz w:val="18"/>
                <w:szCs w:val="18"/>
              </w:rPr>
              <w:t>3</w:t>
            </w:r>
            <w:r>
              <w:rPr>
                <w:rFonts w:ascii="宋体" w:hAnsi="宋体" w:cs="宋体" w:eastAsia="宋体" w:hint="default"/>
                <w:sz w:val="18"/>
                <w:szCs w:val="18"/>
              </w:rPr>
              <w:t>、根据基金公司公开资料可知，交通银行股份有限公司－易方达科讯混</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1"/>
                <w:sz w:val="18"/>
                <w:szCs w:val="18"/>
              </w:rPr>
              <w:t>合型证券投资基金、中国工商银行股份有限公司－易方达新兴成长灵活配置混合型证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券投资基金及中国工商银行股份有限公司－易方达新常态灵活配置混合型证券投资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基金同属于易方达基金管理有限公司管理；</w:t>
            </w:r>
            <w:r>
              <w:rPr>
                <w:rFonts w:ascii="Times New Roman" w:hAnsi="Times New Roman" w:cs="Times New Roman" w:eastAsia="Times New Roman" w:hint="default"/>
                <w:sz w:val="18"/>
                <w:szCs w:val="18"/>
              </w:rPr>
              <w:t>4</w:t>
            </w:r>
            <w:r>
              <w:rPr>
                <w:rFonts w:ascii="宋体" w:hAnsi="宋体" w:cs="宋体" w:eastAsia="宋体" w:hint="default"/>
                <w:sz w:val="18"/>
                <w:szCs w:val="18"/>
              </w:rPr>
              <w:t>、其余股东之间，未知是否存在关联关</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系，或属于《上市公司股东持股变动信息披露管理办法》中规定的一致行动人。</w:t>
            </w:r>
          </w:p>
        </w:tc>
      </w:tr>
    </w:tbl>
    <w:p>
      <w:pPr>
        <w:spacing w:after="0" w:line="307" w:lineRule="auto"/>
        <w:jc w:val="both"/>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253"/>
        <w:gridCol w:w="2413"/>
        <w:gridCol w:w="1561"/>
        <w:gridCol w:w="1349"/>
      </w:tblGrid>
      <w:tr>
        <w:trPr>
          <w:trHeight w:val="402" w:hRule="exact"/>
        </w:trPr>
        <w:tc>
          <w:tcPr>
            <w:tcW w:w="9576"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425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413"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96"/>
              <w:ind w:left="22" w:right="21"/>
              <w:jc w:val="left"/>
              <w:rPr>
                <w:rFonts w:ascii="宋体" w:hAnsi="宋体" w:cs="宋体" w:eastAsia="宋体" w:hint="default"/>
                <w:sz w:val="18"/>
                <w:szCs w:val="18"/>
              </w:rPr>
            </w:pPr>
            <w:r>
              <w:rPr>
                <w:rFonts w:ascii="宋体" w:hAnsi="宋体" w:cs="宋体" w:eastAsia="宋体" w:hint="default"/>
                <w:sz w:val="18"/>
                <w:szCs w:val="18"/>
              </w:rPr>
              <w:t>报告期末持有无限售条件股份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数量</w:t>
            </w:r>
          </w:p>
        </w:tc>
        <w:tc>
          <w:tcPr>
            <w:tcW w:w="2910"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4253" w:type="dxa"/>
            <w:vMerge/>
            <w:tcBorders>
              <w:left w:val="single" w:sz="4" w:space="0" w:color="000000"/>
              <w:bottom w:val="single" w:sz="4" w:space="0" w:color="000000"/>
              <w:right w:val="single" w:sz="4" w:space="0" w:color="000000"/>
            </w:tcBorders>
            <w:shd w:val="clear" w:color="auto" w:fill="D4D4D4"/>
          </w:tcPr>
          <w:p>
            <w:pPr/>
          </w:p>
        </w:tc>
        <w:tc>
          <w:tcPr>
            <w:tcW w:w="2413" w:type="dxa"/>
            <w:vMerge/>
            <w:tcBorders>
              <w:left w:val="single" w:sz="4" w:space="0" w:color="000000"/>
              <w:bottom w:val="single" w:sz="4" w:space="0" w:color="000000"/>
              <w:right w:val="single" w:sz="4" w:space="0" w:color="000000"/>
            </w:tcBorders>
            <w:shd w:val="clear" w:color="auto" w:fill="D4D4D4"/>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29,778,046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29,778,046</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卓桂英</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25,600,000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11,081,775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11,081,775</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全国社保基金一一二组合</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中国建设银行－华夏红利混合型开放式证券投资基金</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8,520,118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8,520,118</w:t>
            </w:r>
          </w:p>
        </w:tc>
      </w:tr>
      <w:tr>
        <w:trPr>
          <w:trHeight w:val="402"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6,400,000</w:t>
            </w: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招商银行股份有限公司－富国低碳环保混合型证券投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资基金</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5,487,019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5,487,019</w:t>
            </w: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交通银行股份有限公司－易方达科讯混合型证券投资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基金</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5,339,744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5,339,744</w:t>
            </w: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中国工商银行股份有限公司－易方达新兴成长灵活配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置</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5,008,978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5,008,978</w:t>
            </w:r>
          </w:p>
        </w:tc>
      </w:tr>
      <w:tr>
        <w:trPr>
          <w:trHeight w:val="714"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中国工商银行股份有限公司－易方达新常态灵活配置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混合型证券投资基金</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4,307,928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4,307,928</w:t>
            </w:r>
          </w:p>
        </w:tc>
      </w:tr>
      <w:tr>
        <w:trPr>
          <w:trHeight w:val="2587"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名无限售</w:t>
            </w:r>
          </w:p>
          <w:p>
            <w:pPr>
              <w:pStyle w:val="TableParagraph"/>
              <w:spacing w:line="302" w:lineRule="auto" w:before="61"/>
              <w:ind w:left="22" w:right="22"/>
              <w:jc w:val="left"/>
              <w:rPr>
                <w:rFonts w:ascii="宋体" w:hAnsi="宋体" w:cs="宋体" w:eastAsia="宋体" w:hint="default"/>
                <w:sz w:val="18"/>
                <w:szCs w:val="18"/>
              </w:rPr>
            </w:pPr>
            <w:r>
              <w:rPr>
                <w:rFonts w:ascii="宋体" w:hAnsi="宋体" w:cs="宋体" w:eastAsia="宋体" w:hint="default"/>
                <w:sz w:val="18"/>
                <w:szCs w:val="18"/>
              </w:rPr>
              <w:t>流通股股东和前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名股东之间关联关系或一致行动的 说明</w:t>
            </w:r>
          </w:p>
        </w:tc>
        <w:tc>
          <w:tcPr>
            <w:tcW w:w="5323"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上述股东中：</w:t>
            </w:r>
            <w:r>
              <w:rPr>
                <w:rFonts w:ascii="Times New Roman" w:hAnsi="Times New Roman" w:cs="Times New Roman" w:eastAsia="Times New Roman" w:hint="default"/>
                <w:sz w:val="18"/>
                <w:szCs w:val="18"/>
              </w:rPr>
              <w:t>1</w:t>
            </w:r>
            <w:r>
              <w:rPr>
                <w:rFonts w:ascii="宋体" w:hAnsi="宋体" w:cs="宋体" w:eastAsia="宋体" w:hint="default"/>
                <w:sz w:val="18"/>
                <w:szCs w:val="18"/>
              </w:rPr>
              <w:t>、郭永芳、滕达为母子关系，互为一致行动人。</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55"/>
                <w:sz w:val="18"/>
                <w:szCs w:val="18"/>
              </w:rPr>
              <w:t> </w:t>
            </w:r>
            <w:r>
              <w:rPr>
                <w:rFonts w:ascii="宋体" w:hAnsi="宋体" w:cs="宋体" w:eastAsia="宋体" w:hint="default"/>
                <w:spacing w:val="-2"/>
                <w:sz w:val="18"/>
                <w:szCs w:val="18"/>
              </w:rPr>
              <w:t>刘冬颖与卓桂英为母女关系；</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、根据基金公司公开资料可知，交通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银行股份有限公司－易方达科讯混合型证券投资基金、中国工商银</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行股份有限公司－易方达新兴成长灵活配置混合型证券投资基金及</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中国工商银行股份有限公司－易方达新常态灵活配置混合型证券投</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资基金同属于易方达基金管理有限公司管理；</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、其余股东之间，未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知是否存在关联关系，或属于《上市公司股东持股变动信息披露管</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理办法》中规定的一致行动人。</w:t>
            </w:r>
          </w:p>
        </w:tc>
      </w:tr>
      <w:tr>
        <w:trPr>
          <w:trHeight w:val="403" w:hRule="exact"/>
        </w:trPr>
        <w:tc>
          <w:tcPr>
            <w:tcW w:w="425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532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Times New Roman" w:hAnsi="Times New Roman" w:cs="Times New Roman" w:eastAsia="Times New Roman" w:hint="default"/>
          <w:sz w:val="8"/>
          <w:szCs w:val="8"/>
        </w:rPr>
      </w:pPr>
    </w:p>
    <w:p>
      <w:pPr>
        <w:pStyle w:val="BodyText"/>
        <w:spacing w:line="240" w:lineRule="auto" w:before="35"/>
        <w:ind w:right="0"/>
        <w:jc w:val="left"/>
      </w:pPr>
      <w:bookmarkStart w:name="2、公司控股股东情况" w:id="109"/>
      <w:bookmarkEnd w:id="109"/>
      <w:r>
        <w:rPr/>
      </w:r>
      <w:r>
        <w:rPr/>
        <w:t>公司前</w:t>
      </w:r>
      <w:r>
        <w:rPr>
          <w:rFonts w:ascii="Times New Roman" w:hAnsi="Times New Roman" w:cs="Times New Roman" w:eastAsia="Times New Roman" w:hint="default"/>
        </w:rPr>
        <w:t>10</w:t>
      </w:r>
      <w:r>
        <w:rPr/>
        <w:t>名普通股股东、前</w:t>
      </w:r>
      <w:r>
        <w:rPr>
          <w:rFonts w:ascii="Times New Roman" w:hAnsi="Times New Roman" w:cs="Times New Roman" w:eastAsia="Times New Roman" w:hint="default"/>
        </w:rPr>
        <w:t>10</w:t>
      </w:r>
      <w:r>
        <w:rPr/>
        <w:t>名无限售条件普通股股东在报告期内是否进行约定购回交易</w:t>
      </w:r>
    </w:p>
    <w:p>
      <w:pPr>
        <w:spacing w:line="240" w:lineRule="auto" w:before="7"/>
        <w:rPr>
          <w:rFonts w:ascii="宋体" w:hAnsi="宋体" w:cs="宋体" w:eastAsia="宋体" w:hint="default"/>
          <w:sz w:val="15"/>
          <w:szCs w:val="15"/>
        </w:rPr>
      </w:pPr>
    </w:p>
    <w:p>
      <w:pPr>
        <w:pStyle w:val="BodyText"/>
        <w:spacing w:line="408" w:lineRule="auto"/>
        <w:ind w:right="116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公司前</w:t>
      </w:r>
      <w:r>
        <w:rPr>
          <w:rFonts w:ascii="Times New Roman" w:hAnsi="Times New Roman" w:cs="Times New Roman" w:eastAsia="Times New Roman" w:hint="default"/>
        </w:rPr>
        <w:t>10</w:t>
      </w:r>
      <w:r>
        <w:rPr/>
        <w:t>名普通股股东、前</w:t>
      </w:r>
      <w:r>
        <w:rPr>
          <w:rFonts w:ascii="Times New Roman" w:hAnsi="Times New Roman" w:cs="Times New Roman" w:eastAsia="Times New Roman" w:hint="default"/>
        </w:rPr>
        <w:t>10</w:t>
      </w:r>
      <w:r>
        <w:rPr/>
        <w:t>名无限售条件普通股股东在报告期内未进行约定购回交易。</w:t>
      </w:r>
    </w:p>
    <w:p>
      <w:pPr>
        <w:pStyle w:val="Heading4"/>
        <w:spacing w:line="240" w:lineRule="auto" w:before="191"/>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2"/>
        <w:rPr>
          <w:rFonts w:ascii="宋体" w:hAnsi="宋体" w:cs="宋体" w:eastAsia="宋体" w:hint="default"/>
          <w:b/>
          <w:bCs/>
          <w:sz w:val="26"/>
          <w:szCs w:val="26"/>
        </w:rPr>
      </w:pPr>
    </w:p>
    <w:p>
      <w:pPr>
        <w:pStyle w:val="BodyText"/>
        <w:spacing w:line="432" w:lineRule="auto"/>
        <w:ind w:right="7042"/>
        <w:jc w:val="left"/>
      </w:pPr>
      <w:r>
        <w:rPr/>
        <w:t>控股股东性质：外商控股 控股股东类型：自然人</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418"/>
        <w:gridCol w:w="2029"/>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3417"/>
        <w:gridCol w:w="615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日起至今任公司董事会副董事长。</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4"/>
              <w:jc w:val="left"/>
              <w:rPr>
                <w:rFonts w:ascii="宋体" w:hAnsi="宋体" w:cs="宋体" w:eastAsia="宋体" w:hint="default"/>
                <w:sz w:val="18"/>
                <w:szCs w:val="18"/>
              </w:rPr>
            </w:pPr>
            <w:r>
              <w:rPr>
                <w:rFonts w:ascii="宋体" w:hAnsi="宋体" w:cs="宋体" w:eastAsia="宋体" w:hint="default"/>
                <w:spacing w:val="7"/>
                <w:sz w:val="18"/>
                <w:szCs w:val="18"/>
              </w:rPr>
              <w:t>报告期内控股和参股的其他境内外上市公 </w:t>
            </w:r>
            <w:r>
              <w:rPr>
                <w:rFonts w:ascii="宋体" w:hAnsi="宋体" w:cs="宋体" w:eastAsia="宋体" w:hint="default"/>
                <w:sz w:val="18"/>
                <w:szCs w:val="18"/>
              </w:rPr>
              <w:t>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控股股东报告期内变更</w:t>
      </w:r>
    </w:p>
    <w:p>
      <w:pPr>
        <w:spacing w:line="240" w:lineRule="auto" w:before="10"/>
        <w:rPr>
          <w:rFonts w:ascii="宋体" w:hAnsi="宋体" w:cs="宋体" w:eastAsia="宋体" w:hint="default"/>
          <w:sz w:val="16"/>
          <w:szCs w:val="16"/>
        </w:rPr>
      </w:pPr>
    </w:p>
    <w:p>
      <w:pPr>
        <w:pStyle w:val="BodyText"/>
        <w:spacing w:line="408" w:lineRule="auto"/>
        <w:ind w:right="62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公司报告期控股股东未发生变更。</w:t>
      </w:r>
    </w:p>
    <w:p>
      <w:pPr>
        <w:spacing w:line="240" w:lineRule="auto" w:before="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12"/>
        <w:rPr>
          <w:rFonts w:ascii="宋体" w:hAnsi="宋体" w:cs="宋体" w:eastAsia="宋体" w:hint="default"/>
          <w:b/>
          <w:bCs/>
          <w:sz w:val="26"/>
          <w:szCs w:val="26"/>
        </w:rPr>
      </w:pPr>
    </w:p>
    <w:p>
      <w:pPr>
        <w:pStyle w:val="BodyText"/>
        <w:spacing w:line="432" w:lineRule="auto"/>
        <w:ind w:right="6622"/>
        <w:jc w:val="left"/>
      </w:pPr>
      <w:bookmarkStart w:name="3、公司实际控制人情况" w:id="110"/>
      <w:bookmarkEnd w:id="110"/>
      <w:r>
        <w:rPr/>
      </w:r>
      <w:r>
        <w:rPr/>
        <w:t>实际控制人性质：境外自然人 实际控制人类型：自然人</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328"/>
        <w:gridCol w:w="2120"/>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中国香港</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日起至今任公司董事会副董事长；滕达，</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日任公司董事、总经理，现任公司董事会董事长。</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实际控制人报告期内变更</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1026"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公司原实际控制人为郭永芳、滕达、刘祥南。</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日，原董事长、实际控制人之一刘祥南先生因病逝世，公司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现实际控制人为郭永芳、滕达。</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1">
              <w:r>
                <w:rPr>
                  <w:rFonts w:ascii="Times New Roman" w:hAnsi="Times New Roman" w:cs="Times New Roman" w:eastAsia="Times New Roman" w:hint="default"/>
                  <w:sz w:val="18"/>
                  <w:szCs w:val="18"/>
                </w:rPr>
                <w:t>www.cninfo.com.cn</w:t>
              </w:r>
            </w:hyperlink>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line="3120" w:lineRule="exact"/>
        <w:ind w:left="1595"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4593336" cy="198120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93336" cy="1981200"/>
                    </a:xfrm>
                    <a:prstGeom prst="rect">
                      <a:avLst/>
                    </a:prstGeom>
                  </pic:spPr>
                </pic:pic>
              </a:graphicData>
            </a:graphic>
          </wp:inline>
        </w:drawing>
      </w:r>
      <w:r>
        <w:rPr>
          <w:rFonts w:ascii="宋体" w:hAnsi="宋体" w:cs="宋体" w:eastAsia="宋体" w:hint="default"/>
          <w:position w:val="-61"/>
          <w:sz w:val="20"/>
          <w:szCs w:val="20"/>
        </w:rPr>
      </w:r>
    </w:p>
    <w:p>
      <w:pPr>
        <w:spacing w:after="0" w:line="3120" w:lineRule="exact"/>
        <w:rPr>
          <w:rFonts w:ascii="宋体" w:hAnsi="宋体" w:cs="宋体" w:eastAsia="宋体" w:hint="default"/>
          <w:sz w:val="20"/>
          <w:szCs w:val="20"/>
        </w:rPr>
        <w:sectPr>
          <w:pgSz w:w="11910" w:h="16840"/>
          <w:pgMar w:header="918" w:footer="1267" w:top="1160" w:bottom="1460" w:left="980" w:right="980"/>
        </w:sectPr>
      </w:pPr>
    </w:p>
    <w:p>
      <w:pPr>
        <w:spacing w:line="240" w:lineRule="auto" w:before="5"/>
        <w:rPr>
          <w:rFonts w:ascii="宋体" w:hAnsi="宋体" w:cs="宋体" w:eastAsia="宋体" w:hint="default"/>
          <w:sz w:val="20"/>
          <w:szCs w:val="20"/>
        </w:rPr>
      </w:pPr>
    </w:p>
    <w:p>
      <w:pPr>
        <w:pStyle w:val="BodyText"/>
        <w:spacing w:line="240" w:lineRule="auto" w:before="35"/>
        <w:ind w:right="0"/>
        <w:jc w:val="left"/>
      </w:pPr>
      <w:r>
        <w:rPr/>
        <w:t>实际控制人通过信托或其他资产管理方式控制公司</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、其他持</w:t>
      </w:r>
      <w:bookmarkStart w:name="4、其他持股在10%以上的法人股东" w:id="111"/>
      <w:bookmarkEnd w:id="111"/>
      <w:r>
        <w:rPr/>
        <w:t>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5</w:t>
      </w:r>
      <w:r>
        <w:rPr/>
        <w:t>、控股股东、实际控制人</w:t>
      </w:r>
      <w:bookmarkStart w:name="5、控股股东、实际控制人、重组方及其他承诺主体股份限制减持情况" w:id="112"/>
      <w:bookmarkEnd w:id="112"/>
      <w:r>
        <w:rPr/>
        <w:t>、重组方</w:t>
      </w:r>
      <w:r>
        <w:rPr/>
        <w:t>及其他承诺主体股份限制减持情况</w:t>
      </w:r>
      <w:r>
        <w:rPr>
          <w:b w:val="0"/>
          <w:bCs w:val="0"/>
        </w:rPr>
      </w:r>
    </w:p>
    <w:p>
      <w:pPr>
        <w:spacing w:line="240" w:lineRule="auto" w:before="12"/>
        <w:rPr>
          <w:rFonts w:ascii="宋体" w:hAnsi="宋体" w:cs="宋体" w:eastAsia="宋体" w:hint="default"/>
          <w:b/>
          <w:bCs/>
          <w:sz w:val="26"/>
          <w:szCs w:val="26"/>
        </w:rPr>
      </w:pPr>
    </w:p>
    <w:p>
      <w:pPr>
        <w:pStyle w:val="BodyText"/>
        <w:spacing w:line="314" w:lineRule="auto"/>
        <w:ind w:left="153" w:right="130" w:firstLine="420"/>
        <w:jc w:val="both"/>
      </w:pP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10</w:t>
      </w:r>
      <w:r>
        <w:rPr>
          <w:spacing w:val="-1"/>
        </w:rPr>
        <w:t>日，针对股票市场的非理性波动，为积极响应中国证监会《关于上市公司大股东及董</w:t>
      </w:r>
      <w:r>
        <w:rPr/>
        <w:t> </w:t>
      </w:r>
      <w:r>
        <w:rPr>
          <w:spacing w:val="-1"/>
        </w:rPr>
        <w:t>事、监事、高级管理人员增持本公司股票相关事项的通知》（证监发【</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51</w:t>
      </w:r>
      <w:r>
        <w:rPr>
          <w:spacing w:val="-1"/>
        </w:rPr>
        <w:t>号）文件精神，共同维护</w:t>
      </w:r>
      <w:r>
        <w:rPr>
          <w:spacing w:val="-85"/>
        </w:rPr>
        <w:t> </w:t>
      </w:r>
      <w:r>
        <w:rPr>
          <w:spacing w:val="-85"/>
        </w:rPr>
      </w:r>
      <w:r>
        <w:rPr>
          <w:spacing w:val="-3"/>
        </w:rPr>
        <w:t>资本市场的稳定，公司控股股东和持股</w:t>
      </w:r>
      <w:r>
        <w:rPr>
          <w:rFonts w:ascii="Times New Roman" w:hAnsi="Times New Roman" w:cs="Times New Roman" w:eastAsia="Times New Roman" w:hint="default"/>
          <w:spacing w:val="-3"/>
        </w:rPr>
        <w:t>5%</w:t>
      </w:r>
      <w:r>
        <w:rPr>
          <w:spacing w:val="-3"/>
        </w:rPr>
        <w:t>以上股东及董事、监事、高级管理人员承诺严格遵守中国证券监</w:t>
      </w:r>
      <w:r>
        <w:rPr>
          <w:spacing w:val="-61"/>
        </w:rPr>
        <w:t> </w:t>
      </w:r>
      <w:r>
        <w:rPr>
          <w:spacing w:val="-61"/>
        </w:rPr>
      </w:r>
      <w:r>
        <w:rPr>
          <w:spacing w:val="-1"/>
        </w:rPr>
        <w:t>督管理委员会公告【</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18</w:t>
      </w:r>
      <w:r>
        <w:rPr>
          <w:spacing w:val="-1"/>
        </w:rPr>
        <w:t>号文件的要求，自上述公告发布之日起六个月内不通过二级市场减持本公司</w:t>
      </w:r>
      <w:r>
        <w:rPr>
          <w:spacing w:val="-85"/>
        </w:rPr>
        <w:t> </w:t>
      </w:r>
      <w:r>
        <w:rPr>
          <w:spacing w:val="-85"/>
        </w:rPr>
      </w:r>
      <w:r>
        <w:rPr/>
        <w:t>股份。公司控股股东郭永芳、董事李国林及高级管理人员黄基鹏、王斌计划自公司股票复牌后三个月内， </w:t>
      </w:r>
      <w:r>
        <w:rPr>
          <w:spacing w:val="-1"/>
        </w:rPr>
        <w:t>根据中国证券监督管理委员会和深圳证券交易所的相关规定，通过证券公司、基金管理公司定向资产管理</w:t>
      </w:r>
      <w:r>
        <w:rPr>
          <w:spacing w:val="-81"/>
        </w:rPr>
        <w:t> </w:t>
      </w:r>
      <w:r>
        <w:rPr>
          <w:spacing w:val="-81"/>
        </w:rPr>
      </w:r>
      <w:r>
        <w:rPr>
          <w:spacing w:val="-2"/>
        </w:rPr>
        <w:t>等方式购买公司股票，合计增持公司股份市值不少于</w:t>
      </w:r>
      <w:r>
        <w:rPr>
          <w:rFonts w:ascii="Times New Roman" w:hAnsi="Times New Roman" w:cs="Times New Roman" w:eastAsia="Times New Roman" w:hint="default"/>
          <w:spacing w:val="-2"/>
        </w:rPr>
        <w:t>1,365</w:t>
      </w:r>
      <w:r>
        <w:rPr>
          <w:spacing w:val="-2"/>
        </w:rPr>
        <w:t>万元人民币，同时承诺：在增持期间及在增持完</w:t>
      </w:r>
      <w:r>
        <w:rPr>
          <w:spacing w:val="-85"/>
        </w:rPr>
        <w:t> </w:t>
      </w:r>
      <w:r>
        <w:rPr>
          <w:spacing w:val="-85"/>
        </w:rPr>
      </w:r>
      <w:r>
        <w:rPr/>
        <w:t>成后六个月内不转让本次所增持的公司股份。截至目前，无违反承诺的情形。</w:t>
      </w:r>
    </w:p>
    <w:p>
      <w:pPr>
        <w:pStyle w:val="BodyText"/>
        <w:spacing w:line="240" w:lineRule="auto" w:before="154"/>
        <w:ind w:left="573" w:right="0"/>
        <w:jc w:val="left"/>
      </w:pPr>
      <w:r>
        <w:rPr>
          <w:rFonts w:ascii="Times New Roman" w:hAnsi="Times New Roman" w:cs="Times New Roman" w:eastAsia="Times New Roman" w:hint="default"/>
        </w:rPr>
        <w:t>2</w:t>
      </w:r>
      <w:r>
        <w:rPr/>
        <w:t>、重组方江苏税软交易对方的锁定期安排</w:t>
      </w:r>
    </w:p>
    <w:p>
      <w:pPr>
        <w:spacing w:line="240" w:lineRule="auto" w:before="7"/>
        <w:rPr>
          <w:rFonts w:ascii="宋体" w:hAnsi="宋体" w:cs="宋体" w:eastAsia="宋体" w:hint="default"/>
          <w:sz w:val="15"/>
          <w:szCs w:val="15"/>
        </w:rPr>
      </w:pPr>
    </w:p>
    <w:p>
      <w:pPr>
        <w:pStyle w:val="BodyText"/>
        <w:spacing w:line="309" w:lineRule="auto"/>
        <w:ind w:left="153" w:right="218" w:firstLine="420"/>
        <w:jc w:val="left"/>
      </w:pPr>
      <w:r>
        <w:rPr/>
        <w:t>（</w:t>
      </w:r>
      <w:r>
        <w:rPr>
          <w:rFonts w:ascii="Times New Roman" w:hAnsi="Times New Roman" w:cs="Times New Roman" w:eastAsia="Times New Roman" w:hint="default"/>
        </w:rPr>
        <w:t>1</w:t>
      </w:r>
      <w:r>
        <w:rPr/>
        <w:t>）江苏税软交易对方通过本次交易获得的美亚柏科股份自上市公司向江苏税软交易对方发行股份 完成之日起</w:t>
      </w:r>
      <w:r>
        <w:rPr>
          <w:rFonts w:ascii="Times New Roman" w:hAnsi="Times New Roman" w:cs="Times New Roman" w:eastAsia="Times New Roman" w:hint="default"/>
        </w:rPr>
        <w:t>12</w:t>
      </w:r>
      <w:r>
        <w:rPr/>
        <w:t>个月内不得转让；自该等法定限售期届满之日起，应当按照如下方式进行股份解锁：</w:t>
      </w:r>
    </w:p>
    <w:p>
      <w:pPr>
        <w:pStyle w:val="BodyText"/>
        <w:spacing w:line="309" w:lineRule="auto" w:before="136"/>
        <w:ind w:left="153" w:right="230" w:firstLine="420"/>
        <w:jc w:val="left"/>
      </w:pPr>
      <w:r>
        <w:rPr>
          <w:rFonts w:ascii="Times New Roman" w:hAnsi="Times New Roman" w:cs="Times New Roman" w:eastAsia="Times New Roman" w:hint="default"/>
        </w:rPr>
        <w:t>a</w:t>
      </w:r>
      <w:r>
        <w:rPr/>
        <w:t>）自上市公司向江苏税软交易对方发行股份完成之日起</w:t>
      </w:r>
      <w:r>
        <w:rPr>
          <w:rFonts w:ascii="Times New Roman" w:hAnsi="Times New Roman" w:cs="Times New Roman" w:eastAsia="Times New Roman" w:hint="default"/>
        </w:rPr>
        <w:t>12</w:t>
      </w:r>
      <w:r>
        <w:rPr/>
        <w:t>个月后至</w:t>
      </w:r>
      <w:r>
        <w:rPr>
          <w:rFonts w:ascii="Times New Roman" w:hAnsi="Times New Roman" w:cs="Times New Roman" w:eastAsia="Times New Roman" w:hint="default"/>
        </w:rPr>
        <w:t>24</w:t>
      </w:r>
      <w:r>
        <w:rPr/>
        <w:t>个月内，累计可转让股票数量 不超过其在本次发行中所认购股份总数的</w:t>
      </w:r>
      <w:r>
        <w:rPr>
          <w:rFonts w:ascii="Times New Roman" w:hAnsi="Times New Roman" w:cs="Times New Roman" w:eastAsia="Times New Roman" w:hint="default"/>
        </w:rPr>
        <w:t>25%</w:t>
      </w:r>
      <w:r>
        <w:rPr/>
        <w:t>；</w:t>
      </w:r>
    </w:p>
    <w:p>
      <w:pPr>
        <w:pStyle w:val="BodyText"/>
        <w:spacing w:line="309" w:lineRule="auto" w:before="136"/>
        <w:ind w:left="153" w:right="218" w:firstLine="420"/>
        <w:jc w:val="left"/>
      </w:pPr>
      <w:r>
        <w:rPr>
          <w:rFonts w:ascii="Times New Roman" w:hAnsi="Times New Roman" w:cs="Times New Roman" w:eastAsia="Times New Roman" w:hint="default"/>
        </w:rPr>
        <w:t>b</w:t>
      </w:r>
      <w:r>
        <w:rPr/>
        <w:t>）自上市公司向江苏税软交易对方发行股份完成之日起</w:t>
      </w:r>
      <w:r>
        <w:rPr>
          <w:rFonts w:ascii="Times New Roman" w:hAnsi="Times New Roman" w:cs="Times New Roman" w:eastAsia="Times New Roman" w:hint="default"/>
        </w:rPr>
        <w:t>12</w:t>
      </w:r>
      <w:r>
        <w:rPr/>
        <w:t>个月后至</w:t>
      </w:r>
      <w:r>
        <w:rPr>
          <w:rFonts w:ascii="Times New Roman" w:hAnsi="Times New Roman" w:cs="Times New Roman" w:eastAsia="Times New Roman" w:hint="default"/>
        </w:rPr>
        <w:t>36</w:t>
      </w:r>
      <w:r>
        <w:rPr/>
        <w:t>个月内，累计可转让股票数量 不超过其在本次发行中所认购股份总数的</w:t>
      </w:r>
      <w:r>
        <w:rPr>
          <w:rFonts w:ascii="Times New Roman" w:hAnsi="Times New Roman" w:cs="Times New Roman" w:eastAsia="Times New Roman" w:hint="default"/>
        </w:rPr>
        <w:t>50%</w:t>
      </w:r>
      <w:r>
        <w:rPr/>
        <w:t>；</w:t>
      </w:r>
    </w:p>
    <w:p>
      <w:pPr>
        <w:pStyle w:val="BodyText"/>
        <w:spacing w:line="309" w:lineRule="auto" w:before="136"/>
        <w:ind w:left="153" w:right="230" w:firstLine="420"/>
        <w:jc w:val="left"/>
      </w:pPr>
      <w:r>
        <w:rPr>
          <w:rFonts w:ascii="Times New Roman" w:hAnsi="Times New Roman" w:cs="Times New Roman" w:eastAsia="Times New Roman" w:hint="default"/>
        </w:rPr>
        <w:t>c</w:t>
      </w:r>
      <w:r>
        <w:rPr/>
        <w:t>）自上市公司向江苏税软交易对方发行股份完成之日起</w:t>
      </w:r>
      <w:r>
        <w:rPr>
          <w:rFonts w:ascii="Times New Roman" w:hAnsi="Times New Roman" w:cs="Times New Roman" w:eastAsia="Times New Roman" w:hint="default"/>
        </w:rPr>
        <w:t>36</w:t>
      </w:r>
      <w:r>
        <w:rPr/>
        <w:t>个月后，可自由转让其在本次发行中所认 购的全部股份。</w:t>
      </w:r>
    </w:p>
    <w:p>
      <w:pPr>
        <w:pStyle w:val="BodyText"/>
        <w:spacing w:line="319" w:lineRule="auto" w:before="158"/>
        <w:ind w:left="153" w:right="0" w:firstLine="420"/>
        <w:jc w:val="left"/>
      </w:pPr>
      <w:r>
        <w:rPr/>
        <w:t>（</w:t>
      </w:r>
      <w:r>
        <w:rPr>
          <w:rFonts w:ascii="Times New Roman" w:hAnsi="Times New Roman" w:cs="Times New Roman" w:eastAsia="Times New Roman" w:hint="default"/>
        </w:rPr>
        <w:t>2</w:t>
      </w:r>
      <w:r>
        <w:rPr/>
        <w:t>）实际解锁股份数须扣除因盈利预测补偿而需由美亚柏科回购的股份数（若有）。本次交易实施 </w:t>
      </w:r>
      <w:r>
        <w:rPr>
          <w:spacing w:val="-1"/>
        </w:rPr>
        <w:t>完成后，江苏税软交易对方由于美亚柏科配股、转增股本等原因增持的美亚柏科股份，亦应遵守上述股份</w:t>
      </w:r>
      <w:r>
        <w:rPr>
          <w:spacing w:val="-83"/>
        </w:rPr>
        <w:t> </w:t>
      </w:r>
      <w:r>
        <w:rPr>
          <w:spacing w:val="-83"/>
        </w:rPr>
      </w:r>
      <w:r>
        <w:rPr/>
        <w:t>锁定的规定。</w:t>
      </w:r>
    </w:p>
    <w:p>
      <w:pPr>
        <w:pStyle w:val="BodyText"/>
        <w:spacing w:line="321" w:lineRule="auto" w:before="150"/>
        <w:ind w:left="153" w:right="0" w:firstLine="420"/>
        <w:jc w:val="left"/>
      </w:pPr>
      <w:r>
        <w:rPr/>
        <w:t>（</w:t>
      </w:r>
      <w:r>
        <w:rPr>
          <w:rFonts w:ascii="Times New Roman" w:hAnsi="Times New Roman" w:cs="Times New Roman" w:eastAsia="Times New Roman" w:hint="default"/>
        </w:rPr>
        <w:t>3</w:t>
      </w:r>
      <w:r>
        <w:rPr/>
        <w:t>）任一江苏税软交易对方如在本次交易完成后担任美亚柏科董事、监事或高级管理人员的，还需 </w:t>
      </w:r>
      <w:r>
        <w:rPr>
          <w:spacing w:val="-1"/>
        </w:rPr>
        <w:t>遵守上市公司章程以及《中华人民共和国公司法》、《中华人民共和国证券法》、《深圳证券交易所创业</w:t>
      </w:r>
      <w:r>
        <w:rPr>
          <w:spacing w:val="-85"/>
        </w:rPr>
        <w:t> </w:t>
      </w:r>
      <w:r>
        <w:rPr>
          <w:spacing w:val="-85"/>
        </w:rPr>
      </w:r>
      <w:r>
        <w:rPr>
          <w:spacing w:val="-1"/>
        </w:rPr>
        <w:t>板股票上市规则》等法律、法规、规章、规范性文件有关股份有限公司及上市公司董事、监事、高级管理</w:t>
      </w:r>
      <w:r>
        <w:rPr>
          <w:spacing w:val="-83"/>
        </w:rPr>
        <w:t> </w:t>
      </w:r>
      <w:r>
        <w:rPr>
          <w:spacing w:val="-83"/>
        </w:rPr>
      </w:r>
      <w:r>
        <w:rPr/>
        <w:t>人员买卖公司股票的限制性规定。</w:t>
      </w:r>
    </w:p>
    <w:p>
      <w:pPr>
        <w:pStyle w:val="BodyText"/>
        <w:spacing w:line="309" w:lineRule="auto" w:before="148"/>
        <w:ind w:left="153" w:right="0" w:firstLine="420"/>
        <w:jc w:val="left"/>
      </w:pPr>
      <w:r>
        <w:rPr/>
        <w:t>（</w:t>
      </w:r>
      <w:r>
        <w:rPr>
          <w:rFonts w:ascii="Times New Roman" w:hAnsi="Times New Roman" w:cs="Times New Roman" w:eastAsia="Times New Roman" w:hint="default"/>
        </w:rPr>
        <w:t>4</w:t>
      </w:r>
      <w:r>
        <w:rPr/>
        <w:t>）任一江苏税软交易对方，如其取得本次发行中所认购股份时，对其用于认购公司股份的资产持 </w:t>
      </w:r>
      <w:r>
        <w:rPr>
          <w:spacing w:val="-1"/>
        </w:rPr>
        <w:t>续拥有权益的时间不足</w:t>
      </w:r>
      <w:r>
        <w:rPr>
          <w:rFonts w:ascii="Times New Roman" w:hAnsi="Times New Roman" w:cs="Times New Roman" w:eastAsia="Times New Roman" w:hint="default"/>
          <w:spacing w:val="-1"/>
        </w:rPr>
        <w:t>12</w:t>
      </w:r>
      <w:r>
        <w:rPr>
          <w:spacing w:val="-1"/>
        </w:rPr>
        <w:t>个月，则其因本次交易获得的上市公司股份从本次发行完成日起</w:t>
      </w:r>
      <w:r>
        <w:rPr>
          <w:rFonts w:ascii="Times New Roman" w:hAnsi="Times New Roman" w:cs="Times New Roman" w:eastAsia="Times New Roman" w:hint="default"/>
          <w:spacing w:val="-1"/>
        </w:rPr>
        <w:t>36</w:t>
      </w:r>
      <w:r>
        <w:rPr>
          <w:spacing w:val="-1"/>
        </w:rPr>
        <w:t>个月内不得转</w:t>
      </w:r>
    </w:p>
    <w:p>
      <w:pPr>
        <w:spacing w:after="0" w:line="309" w:lineRule="auto"/>
        <w:jc w:val="left"/>
        <w:sectPr>
          <w:pgSz w:w="11910" w:h="16840"/>
          <w:pgMar w:header="918" w:footer="1267" w:top="1160" w:bottom="1460" w:left="980" w:right="980"/>
        </w:sectPr>
      </w:pPr>
    </w:p>
    <w:p>
      <w:pPr>
        <w:spacing w:line="240" w:lineRule="auto" w:before="5"/>
        <w:rPr>
          <w:rFonts w:ascii="宋体" w:hAnsi="宋体" w:cs="宋体" w:eastAsia="宋体" w:hint="default"/>
          <w:sz w:val="20"/>
          <w:szCs w:val="20"/>
        </w:rPr>
      </w:pPr>
    </w:p>
    <w:p>
      <w:pPr>
        <w:pStyle w:val="BodyText"/>
        <w:spacing w:line="326" w:lineRule="auto" w:before="35"/>
        <w:ind w:left="154" w:right="152"/>
        <w:jc w:val="both"/>
      </w:pPr>
      <w:r>
        <w:rPr>
          <w:spacing w:val="-1"/>
        </w:rPr>
        <w:t>让。上述所谓“持续拥有权益的时间”应为自该江苏税软交易对方取得该等江苏税软股权之日（以江苏税</w:t>
      </w:r>
      <w:r>
        <w:rPr>
          <w:spacing w:val="-86"/>
        </w:rPr>
        <w:t> </w:t>
      </w:r>
      <w:r>
        <w:rPr>
          <w:spacing w:val="-86"/>
        </w:rPr>
      </w:r>
      <w:r>
        <w:rPr>
          <w:spacing w:val="-1"/>
        </w:rPr>
        <w:t>软就该等交易办理完毕工商变更登记之日为准）起，至股份登记机构将本次交易中所发行的对价股份登记</w:t>
      </w:r>
      <w:r>
        <w:rPr>
          <w:spacing w:val="-81"/>
        </w:rPr>
        <w:t> </w:t>
      </w:r>
      <w:r>
        <w:rPr>
          <w:spacing w:val="-81"/>
        </w:rPr>
      </w:r>
      <w:r>
        <w:rPr/>
        <w:t>于该江苏税软交易对方名下之日止的期间。</w:t>
      </w:r>
    </w:p>
    <w:p>
      <w:pPr>
        <w:pStyle w:val="BodyText"/>
        <w:spacing w:line="309" w:lineRule="auto" w:before="144"/>
        <w:ind w:left="154" w:right="217" w:firstLine="420"/>
        <w:jc w:val="left"/>
      </w:pPr>
      <w:r>
        <w:rPr/>
        <w:t>（</w:t>
      </w:r>
      <w:r>
        <w:rPr>
          <w:rFonts w:ascii="Times New Roman" w:hAnsi="Times New Roman" w:cs="Times New Roman" w:eastAsia="Times New Roman" w:hint="default"/>
        </w:rPr>
        <w:t>5</w:t>
      </w:r>
      <w:r>
        <w:rPr/>
        <w:t>）锁定期届满后，交易对方在本次发行中认购的美亚柏科股份的转让将按照届时有效的相关法律 法规、规章和深交所的规则办理。</w:t>
      </w:r>
    </w:p>
    <w:p>
      <w:pPr>
        <w:pStyle w:val="BodyText"/>
        <w:spacing w:line="240" w:lineRule="auto" w:before="158"/>
        <w:ind w:right="0"/>
        <w:jc w:val="left"/>
      </w:pPr>
      <w:r>
        <w:rPr>
          <w:rFonts w:ascii="Times New Roman" w:hAnsi="Times New Roman" w:cs="Times New Roman" w:eastAsia="Times New Roman" w:hint="default"/>
        </w:rPr>
        <w:t>3</w:t>
      </w:r>
      <w:r>
        <w:rPr/>
        <w:t>、重组方新德汇交易对方的锁定期安排</w:t>
      </w:r>
    </w:p>
    <w:p>
      <w:pPr>
        <w:spacing w:line="240" w:lineRule="auto" w:before="7"/>
        <w:rPr>
          <w:rFonts w:ascii="宋体" w:hAnsi="宋体" w:cs="宋体" w:eastAsia="宋体" w:hint="default"/>
          <w:sz w:val="15"/>
          <w:szCs w:val="15"/>
        </w:rPr>
      </w:pPr>
    </w:p>
    <w:p>
      <w:pPr>
        <w:pStyle w:val="BodyText"/>
        <w:spacing w:line="309" w:lineRule="auto"/>
        <w:ind w:left="154" w:right="217" w:firstLine="420"/>
        <w:jc w:val="left"/>
      </w:pPr>
      <w:r>
        <w:rPr/>
        <w:t>（</w:t>
      </w:r>
      <w:r>
        <w:rPr>
          <w:rFonts w:ascii="Times New Roman" w:hAnsi="Times New Roman" w:cs="Times New Roman" w:eastAsia="Times New Roman" w:hint="default"/>
        </w:rPr>
        <w:t>1</w:t>
      </w:r>
      <w:r>
        <w:rPr/>
        <w:t>）新德汇交易对方通过本次交易获得的美亚柏科股份自上市公司向新德汇交易对方发行股份完成 之日起</w:t>
      </w:r>
      <w:r>
        <w:rPr>
          <w:rFonts w:ascii="Times New Roman" w:hAnsi="Times New Roman" w:cs="Times New Roman" w:eastAsia="Times New Roman" w:hint="default"/>
        </w:rPr>
        <w:t>12</w:t>
      </w:r>
      <w:r>
        <w:rPr/>
        <w:t>个月内不得转让；自该等法定限售期届满之日起，应当按照如下方式进行股份解锁：</w:t>
      </w:r>
    </w:p>
    <w:p>
      <w:pPr>
        <w:pStyle w:val="BodyText"/>
        <w:spacing w:line="309" w:lineRule="auto" w:before="136"/>
        <w:ind w:left="154" w:right="229" w:firstLine="420"/>
        <w:jc w:val="left"/>
      </w:pPr>
      <w:r>
        <w:rPr>
          <w:rFonts w:ascii="Times New Roman" w:hAnsi="Times New Roman" w:cs="Times New Roman" w:eastAsia="Times New Roman" w:hint="default"/>
        </w:rPr>
        <w:t>a</w:t>
      </w:r>
      <w:r>
        <w:rPr/>
        <w:t>）自上市公司向新德汇交易对方发行股份完成之日起</w:t>
      </w:r>
      <w:r>
        <w:rPr>
          <w:rFonts w:ascii="Times New Roman" w:hAnsi="Times New Roman" w:cs="Times New Roman" w:eastAsia="Times New Roman" w:hint="default"/>
        </w:rPr>
        <w:t>12</w:t>
      </w:r>
      <w:r>
        <w:rPr/>
        <w:t>个月后至</w:t>
      </w:r>
      <w:r>
        <w:rPr>
          <w:rFonts w:ascii="Times New Roman" w:hAnsi="Times New Roman" w:cs="Times New Roman" w:eastAsia="Times New Roman" w:hint="default"/>
        </w:rPr>
        <w:t>24</w:t>
      </w:r>
      <w:r>
        <w:rPr/>
        <w:t>个月内，累计可转让股票数量不 超过其在本次发行中所认购股份总数的</w:t>
      </w:r>
      <w:r>
        <w:rPr>
          <w:rFonts w:ascii="Times New Roman" w:hAnsi="Times New Roman" w:cs="Times New Roman" w:eastAsia="Times New Roman" w:hint="default"/>
        </w:rPr>
        <w:t>30%</w:t>
      </w:r>
      <w:r>
        <w:rPr/>
        <w:t>；</w:t>
      </w:r>
    </w:p>
    <w:p>
      <w:pPr>
        <w:pStyle w:val="BodyText"/>
        <w:spacing w:line="309" w:lineRule="auto" w:before="136"/>
        <w:ind w:left="153" w:right="218" w:firstLine="420"/>
        <w:jc w:val="left"/>
      </w:pPr>
      <w:r>
        <w:rPr>
          <w:rFonts w:ascii="Times New Roman" w:hAnsi="Times New Roman" w:cs="Times New Roman" w:eastAsia="Times New Roman" w:hint="default"/>
        </w:rPr>
        <w:t>b</w:t>
      </w:r>
      <w:r>
        <w:rPr/>
        <w:t>）自上市公司向新德汇交易对方发行股份完成之日起</w:t>
      </w:r>
      <w:r>
        <w:rPr>
          <w:rFonts w:ascii="Times New Roman" w:hAnsi="Times New Roman" w:cs="Times New Roman" w:eastAsia="Times New Roman" w:hint="default"/>
        </w:rPr>
        <w:t>12</w:t>
      </w:r>
      <w:r>
        <w:rPr/>
        <w:t>个月后至</w:t>
      </w:r>
      <w:r>
        <w:rPr>
          <w:rFonts w:ascii="Times New Roman" w:hAnsi="Times New Roman" w:cs="Times New Roman" w:eastAsia="Times New Roman" w:hint="default"/>
        </w:rPr>
        <w:t>36</w:t>
      </w:r>
      <w:r>
        <w:rPr/>
        <w:t>个月内，累计可转让股票数量不 超过其在本次发行中所认购股份总数的</w:t>
      </w:r>
      <w:r>
        <w:rPr>
          <w:rFonts w:ascii="Times New Roman" w:hAnsi="Times New Roman" w:cs="Times New Roman" w:eastAsia="Times New Roman" w:hint="default"/>
        </w:rPr>
        <w:t>60%</w:t>
      </w:r>
      <w:r>
        <w:rPr/>
        <w:t>；</w:t>
      </w:r>
    </w:p>
    <w:p>
      <w:pPr>
        <w:pStyle w:val="BodyText"/>
        <w:spacing w:line="309" w:lineRule="auto" w:before="136"/>
        <w:ind w:left="153" w:right="230" w:firstLine="420"/>
        <w:jc w:val="left"/>
      </w:pPr>
      <w:r>
        <w:rPr>
          <w:rFonts w:ascii="Times New Roman" w:hAnsi="Times New Roman" w:cs="Times New Roman" w:eastAsia="Times New Roman" w:hint="default"/>
        </w:rPr>
        <w:t>c</w:t>
      </w:r>
      <w:r>
        <w:rPr/>
        <w:t>）自上市公司向新德汇交易对方发行股份完成之日起</w:t>
      </w:r>
      <w:r>
        <w:rPr>
          <w:rFonts w:ascii="Times New Roman" w:hAnsi="Times New Roman" w:cs="Times New Roman" w:eastAsia="Times New Roman" w:hint="default"/>
        </w:rPr>
        <w:t>36</w:t>
      </w:r>
      <w:r>
        <w:rPr/>
        <w:t>个月后，可自由转让其在本次发行中所认购 的全部股份。</w:t>
      </w:r>
    </w:p>
    <w:p>
      <w:pPr>
        <w:pStyle w:val="BodyText"/>
        <w:spacing w:line="319" w:lineRule="auto" w:before="158"/>
        <w:ind w:left="153" w:right="0" w:firstLine="420"/>
        <w:jc w:val="left"/>
      </w:pPr>
      <w:r>
        <w:rPr/>
        <w:t>（</w:t>
      </w:r>
      <w:r>
        <w:rPr>
          <w:rFonts w:ascii="Times New Roman" w:hAnsi="Times New Roman" w:cs="Times New Roman" w:eastAsia="Times New Roman" w:hint="default"/>
        </w:rPr>
        <w:t>2</w:t>
      </w:r>
      <w:r>
        <w:rPr/>
        <w:t>）实际解锁股份数须扣除因盈利预测补偿而需由美亚柏科回购的股份数（若有）。本次发行实施 </w:t>
      </w:r>
      <w:r>
        <w:rPr>
          <w:spacing w:val="-1"/>
        </w:rPr>
        <w:t>完成后，新德汇交易对方由于美亚柏科配股、转增股本等原因增持的美亚柏科股份，亦应遵守上述股份锁</w:t>
      </w:r>
      <w:r>
        <w:rPr>
          <w:spacing w:val="-83"/>
        </w:rPr>
        <w:t> </w:t>
      </w:r>
      <w:r>
        <w:rPr>
          <w:spacing w:val="-83"/>
        </w:rPr>
      </w:r>
      <w:r>
        <w:rPr/>
        <w:t>定的规定。</w:t>
      </w:r>
    </w:p>
    <w:p>
      <w:pPr>
        <w:pStyle w:val="BodyText"/>
        <w:spacing w:line="321" w:lineRule="auto" w:before="150"/>
        <w:ind w:left="153" w:right="0" w:firstLine="420"/>
        <w:jc w:val="left"/>
      </w:pPr>
      <w:r>
        <w:rPr/>
        <w:t>（</w:t>
      </w:r>
      <w:r>
        <w:rPr>
          <w:rFonts w:ascii="Times New Roman" w:hAnsi="Times New Roman" w:cs="Times New Roman" w:eastAsia="Times New Roman" w:hint="default"/>
        </w:rPr>
        <w:t>3</w:t>
      </w:r>
      <w:r>
        <w:rPr/>
        <w:t>）任一新德汇交易对方如在本次交易完成后担任美亚柏科董事、监事或高级管理人员的，还需遵 </w:t>
      </w:r>
      <w:r>
        <w:rPr>
          <w:spacing w:val="-1"/>
        </w:rPr>
        <w:t>守上市公司章程以及《中华人民共和国公司法》、《中华人民共和国证券法》、《深圳证券交易所创业板</w:t>
      </w:r>
      <w:r>
        <w:rPr>
          <w:spacing w:val="-85"/>
        </w:rPr>
        <w:t> </w:t>
      </w:r>
      <w:r>
        <w:rPr>
          <w:spacing w:val="-85"/>
        </w:rPr>
      </w:r>
      <w:r>
        <w:rPr>
          <w:spacing w:val="-1"/>
        </w:rPr>
        <w:t>股票上市规则》等法律、法规、规章、规范性文件有关股份有限公司及上市公司董事、监事、高级管理人</w:t>
      </w:r>
      <w:r>
        <w:rPr>
          <w:spacing w:val="-83"/>
        </w:rPr>
        <w:t> </w:t>
      </w:r>
      <w:r>
        <w:rPr>
          <w:spacing w:val="-83"/>
        </w:rPr>
      </w:r>
      <w:r>
        <w:rPr/>
        <w:t>员买卖公司股票的限制性规定。</w:t>
      </w:r>
    </w:p>
    <w:p>
      <w:pPr>
        <w:pStyle w:val="BodyText"/>
        <w:spacing w:line="309" w:lineRule="auto" w:before="148"/>
        <w:ind w:left="153" w:right="218" w:firstLine="420"/>
        <w:jc w:val="left"/>
      </w:pPr>
      <w:r>
        <w:rPr/>
        <w:t>（</w:t>
      </w:r>
      <w:r>
        <w:rPr>
          <w:rFonts w:ascii="Times New Roman" w:hAnsi="Times New Roman" w:cs="Times New Roman" w:eastAsia="Times New Roman" w:hint="default"/>
        </w:rPr>
        <w:t>4</w:t>
      </w:r>
      <w:r>
        <w:rPr/>
        <w:t>）锁定期届满后，交易对方在本次发行中认购的美亚柏科股份的转让将按照届时有效的相关法律 法规、规章和深交所的规则办理。</w:t>
      </w:r>
    </w:p>
    <w:p>
      <w:pPr>
        <w:spacing w:after="0" w:line="309" w:lineRule="auto"/>
        <w:jc w:val="left"/>
        <w:sectPr>
          <w:pgSz w:w="11910" w:h="16840"/>
          <w:pgMar w:header="918" w:footer="1267" w:top="1160" w:bottom="14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1"/>
        <w:spacing w:line="240" w:lineRule="auto"/>
        <w:ind w:left="3607" w:right="0"/>
        <w:jc w:val="left"/>
        <w:rPr>
          <w:b w:val="0"/>
          <w:bCs w:val="0"/>
        </w:rPr>
      </w:pPr>
      <w:bookmarkStart w:name="第七节 优先股相关情况" w:id="113"/>
      <w:bookmarkEnd w:id="113"/>
      <w:r>
        <w:rPr>
          <w:b w:val="0"/>
          <w:bCs w:val="0"/>
        </w:rPr>
      </w:r>
      <w:bookmarkStart w:name="_bookmark5" w:id="114"/>
      <w:bookmarkEnd w:id="114"/>
      <w:r>
        <w:rPr>
          <w:b w:val="0"/>
          <w:bCs w:val="0"/>
        </w:rPr>
      </w:r>
      <w:r>
        <w:rPr/>
        <w:t>第七节</w:t>
      </w:r>
      <w:r>
        <w:rPr>
          <w:spacing w:val="-2"/>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BodyText"/>
        <w:spacing w:line="408" w:lineRule="auto" w:before="35"/>
        <w:ind w:right="68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报告期公司不存在优先股。</w:t>
      </w:r>
    </w:p>
    <w:p>
      <w:pPr>
        <w:spacing w:after="0" w:line="408" w:lineRule="auto"/>
        <w:jc w:val="left"/>
        <w:sectPr>
          <w:pgSz w:w="11910" w:h="16840"/>
          <w:pgMar w:header="918" w:footer="1267" w:top="1160" w:bottom="14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79"/>
        <w:ind w:left="2002" w:right="0"/>
        <w:jc w:val="left"/>
        <w:rPr>
          <w:b w:val="0"/>
          <w:bCs w:val="0"/>
        </w:rPr>
      </w:pPr>
      <w:bookmarkStart w:name="第八节 董事、监事、高级管理人员和员工情况" w:id="115"/>
      <w:bookmarkEnd w:id="115"/>
      <w:r>
        <w:rPr>
          <w:b w:val="0"/>
          <w:bCs w:val="0"/>
        </w:rPr>
      </w:r>
      <w:bookmarkStart w:name="_bookmark6" w:id="116"/>
      <w:bookmarkEnd w:id="116"/>
      <w:r>
        <w:rPr>
          <w:b w:val="0"/>
          <w:bCs w:val="0"/>
        </w:rPr>
      </w:r>
      <w:r>
        <w:rPr/>
        <w:t>第八节</w:t>
      </w:r>
      <w:r>
        <w:rPr>
          <w:spacing w:val="-6"/>
        </w:rPr>
        <w:t> </w:t>
      </w:r>
      <w:r>
        <w:rPr/>
        <w:t>董事、监事、高级管理人员和员工情况</w:t>
      </w:r>
      <w:r>
        <w:rPr>
          <w:b w:val="0"/>
          <w:bCs w:val="0"/>
        </w:rPr>
      </w:r>
    </w:p>
    <w:p>
      <w:pPr>
        <w:spacing w:line="240" w:lineRule="auto" w:before="13"/>
        <w:rPr>
          <w:rFonts w:ascii="宋体" w:hAnsi="宋体" w:cs="宋体" w:eastAsia="宋体" w:hint="default"/>
          <w:b/>
          <w:bCs/>
          <w:sz w:val="38"/>
          <w:szCs w:val="38"/>
        </w:rPr>
      </w:pPr>
    </w:p>
    <w:p>
      <w:pPr>
        <w:pStyle w:val="Heading2"/>
        <w:spacing w:line="240" w:lineRule="auto"/>
        <w:ind w:right="0"/>
        <w:jc w:val="left"/>
        <w:rPr>
          <w:b w:val="0"/>
          <w:bCs w:val="0"/>
        </w:rPr>
      </w:pPr>
      <w:r>
        <w:rPr/>
        <w:t>一、董事、监</w:t>
      </w:r>
      <w:bookmarkStart w:name="一、董事、监事和高级管理人员持股变动" w:id="117"/>
      <w:bookmarkEnd w:id="117"/>
      <w:r>
        <w:rPr/>
        <w:t>事和高级</w:t>
      </w:r>
      <w:r>
        <w:rPr/>
        <w:t>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before="45"/>
        <w:ind w:left="0" w:right="2640" w:firstLine="0"/>
        <w:jc w:val="right"/>
        <w:rPr>
          <w:rFonts w:ascii="宋体" w:hAnsi="宋体" w:cs="宋体" w:eastAsia="宋体" w:hint="default"/>
          <w:sz w:val="18"/>
          <w:szCs w:val="18"/>
        </w:rPr>
      </w:pPr>
      <w:r>
        <w:rPr/>
        <w:pict>
          <v:shape style="position:absolute;margin-left:56.459999pt;margin-top:-31.998264pt;width:479.35pt;height:587.3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8"/>
                    <w:gridCol w:w="797"/>
                    <w:gridCol w:w="797"/>
                    <w:gridCol w:w="444"/>
                    <w:gridCol w:w="566"/>
                    <w:gridCol w:w="851"/>
                    <w:gridCol w:w="851"/>
                    <w:gridCol w:w="992"/>
                    <w:gridCol w:w="992"/>
                    <w:gridCol w:w="72"/>
                    <w:gridCol w:w="816"/>
                    <w:gridCol w:w="529"/>
                    <w:gridCol w:w="1067"/>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1" w:firstLine="18"/>
                          <w:jc w:val="left"/>
                          <w:rPr>
                            <w:rFonts w:ascii="宋体" w:hAnsi="宋体" w:cs="宋体" w:eastAsia="宋体" w:hint="default"/>
                            <w:sz w:val="18"/>
                            <w:szCs w:val="18"/>
                          </w:rPr>
                        </w:pPr>
                        <w:r>
                          <w:rPr>
                            <w:rFonts w:ascii="宋体" w:hAnsi="宋体" w:cs="宋体" w:eastAsia="宋体" w:hint="default"/>
                            <w:sz w:val="18"/>
                            <w:szCs w:val="18"/>
                          </w:rPr>
                          <w:t>本期增持股 </w:t>
                        </w:r>
                        <w:r>
                          <w:rPr>
                            <w:rFonts w:ascii="宋体" w:hAnsi="宋体" w:cs="宋体" w:eastAsia="宋体" w:hint="default"/>
                            <w:spacing w:val="-11"/>
                            <w:sz w:val="18"/>
                            <w:szCs w:val="18"/>
                          </w:rPr>
                          <w:t>份数量（股</w:t>
                        </w:r>
                      </w:p>
                    </w:tc>
                    <w:tc>
                      <w:tcPr>
                        <w:tcW w:w="72" w:type="dxa"/>
                        <w:tcBorders>
                          <w:top w:val="single" w:sz="4" w:space="0" w:color="000000"/>
                          <w:left w:val="single" w:sz="4" w:space="0" w:color="000000"/>
                          <w:bottom w:val="single" w:sz="4" w:space="0" w:color="000000"/>
                          <w:right w:val="nil" w:sz="6" w:space="0" w:color="auto"/>
                        </w:tcBorders>
                        <w:shd w:val="clear" w:color="auto" w:fill="D4D4D4"/>
                      </w:tcPr>
                      <w:p>
                        <w:pPr/>
                      </w:p>
                    </w:tc>
                    <w:tc>
                      <w:tcPr>
                        <w:tcW w:w="816" w:type="dxa"/>
                        <w:tcBorders>
                          <w:top w:val="single" w:sz="4" w:space="0" w:color="000000"/>
                          <w:left w:val="nil" w:sz="6" w:space="0" w:color="auto"/>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 w:right="7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79" w:right="78"/>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60,755,941</w:t>
                        </w:r>
                      </w:p>
                    </w:tc>
                    <w:tc>
                      <w:tcPr>
                        <w:tcW w:w="992" w:type="dxa"/>
                        <w:tcBorders>
                          <w:top w:val="single" w:sz="4" w:space="0" w:color="000000"/>
                          <w:left w:val="single" w:sz="4" w:space="0" w:color="000000"/>
                          <w:bottom w:val="single" w:sz="4" w:space="0" w:color="000000"/>
                          <w:right w:val="single" w:sz="4" w:space="0" w:color="000000"/>
                        </w:tcBorders>
                      </w:tcPr>
                      <w:p>
                        <w:pP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-599,924</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120,911,958</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327,100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-5,000,000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59,327,100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1,039,000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廖明宏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pacing w:val="7"/>
                            <w:sz w:val="18"/>
                            <w:szCs w:val="18"/>
                          </w:rPr>
                          <w:t>监事会主 </w:t>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25,600,000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577,900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1,155,800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1,006,000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912,000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912,000</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918" w:footer="1267" w:top="1160" w:bottom="1460" w:left="980" w:right="980"/>
        </w:sect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444"/>
        <w:gridCol w:w="566"/>
        <w:gridCol w:w="851"/>
        <w:gridCol w:w="851"/>
        <w:gridCol w:w="992"/>
        <w:gridCol w:w="992"/>
        <w:gridCol w:w="888"/>
        <w:gridCol w:w="529"/>
        <w:gridCol w:w="1067"/>
      </w:tblGrid>
      <w:tr>
        <w:trPr>
          <w:trHeight w:val="362"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pacing w:val="7"/>
                <w:sz w:val="18"/>
                <w:szCs w:val="18"/>
              </w:rPr>
              <w:t>董事会秘 </w:t>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高龙腾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864,000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-216,000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1,039,000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pacing w:val="7"/>
                <w:sz w:val="18"/>
                <w:szCs w:val="18"/>
              </w:rPr>
              <w:t>董事会秘 </w:t>
            </w:r>
            <w:r>
              <w:rPr>
                <w:rFonts w:ascii="宋体" w:hAnsi="宋体" w:cs="宋体" w:eastAsia="宋体" w:hint="default"/>
                <w:sz w:val="18"/>
                <w:szCs w:val="18"/>
              </w:rPr>
              <w:t>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203,000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4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123,097,841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25,938,100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-5,815,924</w:t>
            </w:r>
            <w:r>
              <w:rPr>
                <w:rFonts w:ascii="Times New Roman"/>
                <w:sz w:val="18"/>
              </w:rPr>
            </w:r>
          </w:p>
        </w:tc>
        <w:tc>
          <w:tcPr>
            <w:tcW w:w="529" w:type="dxa"/>
            <w:tcBorders>
              <w:top w:val="single" w:sz="4" w:space="0" w:color="000000"/>
              <w:left w:val="single" w:sz="4" w:space="0" w:color="000000"/>
              <w:bottom w:val="single" w:sz="4" w:space="0" w:color="000000"/>
              <w:right w:val="single" w:sz="4" w:space="0" w:color="000000"/>
            </w:tcBorders>
          </w:tcPr>
          <w:p>
            <w:pP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215,117,858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公司董事、监事、高级管理人员变动情况" w:id="118"/>
      <w:bookmarkEnd w:id="118"/>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2072"/>
        <w:gridCol w:w="1560"/>
        <w:gridCol w:w="1984"/>
        <w:gridCol w:w="2622"/>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0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8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262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因病逝世</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任期届满</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1"/>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1330"/>
        <w:gridCol w:w="2072"/>
        <w:gridCol w:w="1560"/>
        <w:gridCol w:w="1984"/>
        <w:gridCol w:w="2622"/>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高龙腾</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任命为公司董事长</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任命为公司总经理</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廖明宏</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新聘任</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新聘任</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bookmarkStart w:name="三、任职情况" w:id="119"/>
      <w:bookmarkEnd w:id="119"/>
      <w:r>
        <w:rPr/>
      </w:r>
      <w:r>
        <w:rPr/>
        <w:t>公司现任董事、监事、高级管理人员专业背景、主要工作经历以及目前在公司的主要职责</w:t>
      </w:r>
    </w:p>
    <w:p>
      <w:pPr>
        <w:spacing w:line="240" w:lineRule="auto" w:before="10"/>
        <w:rPr>
          <w:rFonts w:ascii="宋体" w:hAnsi="宋体" w:cs="宋体" w:eastAsia="宋体" w:hint="default"/>
          <w:sz w:val="16"/>
          <w:szCs w:val="16"/>
        </w:rPr>
      </w:pPr>
    </w:p>
    <w:p>
      <w:pPr>
        <w:pStyle w:val="BodyText"/>
        <w:spacing w:line="408" w:lineRule="auto"/>
        <w:ind w:left="573" w:right="4943" w:firstLine="2"/>
        <w:jc w:val="left"/>
      </w:pP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spacing w:val="1"/>
          <w:w w:val="99"/>
        </w:rPr>
        <w:t> </w:t>
      </w:r>
      <w:r>
        <w:rPr/>
        <w:t>公司董事会由</w:t>
      </w:r>
      <w:r>
        <w:rPr>
          <w:rFonts w:ascii="Times New Roman" w:hAnsi="Times New Roman" w:cs="Times New Roman" w:eastAsia="Times New Roman" w:hint="default"/>
        </w:rPr>
        <w:t>7</w:t>
      </w:r>
      <w:r>
        <w:rPr/>
        <w:t>名董事组成，其中独立董事</w:t>
      </w:r>
      <w:r>
        <w:rPr>
          <w:rFonts w:ascii="Times New Roman" w:hAnsi="Times New Roman" w:cs="Times New Roman" w:eastAsia="Times New Roman" w:hint="default"/>
        </w:rPr>
        <w:t>3</w:t>
      </w:r>
      <w:r>
        <w:rPr/>
        <w:t>名。</w:t>
      </w:r>
    </w:p>
    <w:p>
      <w:pPr>
        <w:pStyle w:val="BodyText"/>
        <w:spacing w:line="309" w:lineRule="auto" w:before="41"/>
        <w:ind w:left="153" w:right="0" w:firstLine="412"/>
        <w:jc w:val="left"/>
      </w:pPr>
      <w:r>
        <w:rPr>
          <w:rFonts w:ascii="宋体" w:hAnsi="宋体" w:cs="宋体" w:eastAsia="宋体" w:hint="default"/>
          <w:b/>
          <w:bCs/>
          <w:spacing w:val="-3"/>
        </w:rPr>
        <w:t>滕达</w:t>
      </w:r>
      <w:r>
        <w:rPr>
          <w:spacing w:val="-3"/>
        </w:rPr>
        <w:t>，男，</w:t>
      </w:r>
      <w:r>
        <w:rPr>
          <w:rFonts w:ascii="Times New Roman" w:hAnsi="Times New Roman" w:cs="Times New Roman" w:eastAsia="Times New Roman" w:hint="default"/>
          <w:spacing w:val="-3"/>
        </w:rPr>
        <w:t>1970</w:t>
      </w:r>
      <w:r>
        <w:rPr>
          <w:spacing w:val="-3"/>
        </w:rPr>
        <w:t>年出生，中国国籍，硕士研究生学历。于</w:t>
      </w:r>
      <w:r>
        <w:rPr>
          <w:rFonts w:ascii="Times New Roman" w:hAnsi="Times New Roman" w:cs="Times New Roman" w:eastAsia="Times New Roman" w:hint="default"/>
          <w:spacing w:val="-3"/>
        </w:rPr>
        <w:t>1992</w:t>
      </w:r>
      <w:r>
        <w:rPr>
          <w:spacing w:val="-3"/>
        </w:rPr>
        <w:t>年</w:t>
      </w:r>
      <w:r>
        <w:rPr>
          <w:rFonts w:ascii="Times New Roman" w:hAnsi="Times New Roman" w:cs="Times New Roman" w:eastAsia="Times New Roman" w:hint="default"/>
          <w:spacing w:val="-3"/>
        </w:rPr>
        <w:t>7</w:t>
      </w:r>
      <w:r>
        <w:rPr>
          <w:spacing w:val="-3"/>
        </w:rPr>
        <w:t>月毕业于厦门大学电子工程系；</w:t>
      </w:r>
      <w:r>
        <w:rPr>
          <w:rFonts w:ascii="Times New Roman" w:hAnsi="Times New Roman" w:cs="Times New Roman" w:eastAsia="Times New Roman" w:hint="default"/>
          <w:spacing w:val="-3"/>
        </w:rPr>
        <w:t>1992</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8</w:t>
      </w:r>
      <w:r>
        <w:rPr>
          <w:spacing w:val="-1"/>
        </w:rPr>
        <w:t>月任厦门必可电子有限公司工程师；</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9</w:t>
      </w:r>
      <w:r>
        <w:rPr>
          <w:spacing w:val="-1"/>
        </w:rPr>
        <w:t>月任厦门市美亚柏科资讯科技有</w:t>
      </w:r>
      <w:r>
        <w:rPr>
          <w:spacing w:val="-85"/>
        </w:rPr>
        <w:t> </w:t>
      </w:r>
      <w:r>
        <w:rPr>
          <w:spacing w:val="-85"/>
        </w:rPr>
      </w:r>
      <w:r>
        <w:rPr/>
        <w:t>限公司总经理；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月任第</w:t>
      </w:r>
      <w:r>
        <w:rPr>
          <w:rFonts w:ascii="Times New Roman" w:hAnsi="Times New Roman" w:cs="Times New Roman" w:eastAsia="Times New Roman" w:hint="default"/>
        </w:rPr>
        <w:t>29</w:t>
      </w:r>
      <w:r>
        <w:rPr/>
        <w:t>届奥林匹克运动会信息网络安全专家；</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 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日历任公司董事会董事、总经理，现任公司第三届董事会董事长。</w:t>
      </w:r>
    </w:p>
    <w:p>
      <w:pPr>
        <w:pStyle w:val="BodyText"/>
        <w:spacing w:line="309" w:lineRule="auto" w:before="136"/>
        <w:ind w:left="153" w:right="153" w:firstLine="400"/>
        <w:jc w:val="both"/>
      </w:pPr>
      <w:r>
        <w:rPr>
          <w:rFonts w:ascii="宋体" w:hAnsi="宋体" w:cs="宋体" w:eastAsia="宋体" w:hint="default"/>
          <w:b/>
          <w:bCs/>
          <w:spacing w:val="-1"/>
        </w:rPr>
        <w:t>郭永芳</w:t>
      </w:r>
      <w:r>
        <w:rPr>
          <w:spacing w:val="-1"/>
        </w:rPr>
        <w:t>，女，</w:t>
      </w:r>
      <w:r>
        <w:rPr>
          <w:rFonts w:ascii="Times New Roman" w:hAnsi="Times New Roman" w:cs="Times New Roman" w:eastAsia="Times New Roman" w:hint="default"/>
          <w:spacing w:val="-1"/>
        </w:rPr>
        <w:t>1945</w:t>
      </w:r>
      <w:r>
        <w:rPr>
          <w:spacing w:val="-1"/>
        </w:rPr>
        <w:t>年出生，中国香港籍。</w:t>
      </w:r>
      <w:r>
        <w:rPr>
          <w:rFonts w:ascii="Times New Roman" w:hAnsi="Times New Roman" w:cs="Times New Roman" w:eastAsia="Times New Roman" w:hint="default"/>
          <w:spacing w:val="-1"/>
        </w:rPr>
        <w:t>1968</w:t>
      </w:r>
      <w:r>
        <w:rPr>
          <w:spacing w:val="-1"/>
        </w:rPr>
        <w:t>年毕业于福建师范大学数学系。</w:t>
      </w:r>
      <w:r>
        <w:rPr>
          <w:rFonts w:ascii="Times New Roman" w:hAnsi="Times New Roman" w:cs="Times New Roman" w:eastAsia="Times New Roman" w:hint="default"/>
          <w:spacing w:val="-1"/>
        </w:rPr>
        <w:t>1968</w:t>
      </w:r>
      <w:r>
        <w:rPr>
          <w:spacing w:val="-1"/>
        </w:rPr>
        <w:t>年到</w:t>
      </w:r>
      <w:r>
        <w:rPr>
          <w:rFonts w:ascii="Times New Roman" w:hAnsi="Times New Roman" w:cs="Times New Roman" w:eastAsia="Times New Roman" w:hint="default"/>
          <w:spacing w:val="-1"/>
        </w:rPr>
        <w:t>1975</w:t>
      </w:r>
      <w:r>
        <w:rPr>
          <w:spacing w:val="-1"/>
        </w:rPr>
        <w:t>年在福建</w:t>
      </w:r>
      <w:r>
        <w:rPr/>
        <w:t> </w:t>
      </w:r>
      <w:r>
        <w:rPr>
          <w:spacing w:val="-1"/>
        </w:rPr>
        <w:t>漳浦赤湖中学任教；</w:t>
      </w:r>
      <w:r>
        <w:rPr>
          <w:rFonts w:ascii="Times New Roman" w:hAnsi="Times New Roman" w:cs="Times New Roman" w:eastAsia="Times New Roman" w:hint="default"/>
          <w:spacing w:val="-1"/>
        </w:rPr>
        <w:t>1975</w:t>
      </w:r>
      <w:r>
        <w:rPr>
          <w:spacing w:val="-1"/>
        </w:rPr>
        <w:t>年到</w:t>
      </w:r>
      <w:r>
        <w:rPr>
          <w:rFonts w:ascii="Times New Roman" w:hAnsi="Times New Roman" w:cs="Times New Roman" w:eastAsia="Times New Roman" w:hint="default"/>
          <w:spacing w:val="-1"/>
        </w:rPr>
        <w:t>2000</w:t>
      </w:r>
      <w:r>
        <w:rPr>
          <w:spacing w:val="-1"/>
        </w:rPr>
        <w:t>年间在厦门一中任教；</w:t>
      </w:r>
      <w:r>
        <w:rPr>
          <w:rFonts w:ascii="Times New Roman" w:hAnsi="Times New Roman" w:cs="Times New Roman" w:eastAsia="Times New Roman" w:hint="default"/>
          <w:spacing w:val="-1"/>
        </w:rPr>
        <w:t>2001</w:t>
      </w:r>
      <w:r>
        <w:rPr>
          <w:spacing w:val="-1"/>
        </w:rPr>
        <w:t>年至</w:t>
      </w:r>
      <w:r>
        <w:rPr>
          <w:rFonts w:ascii="Times New Roman" w:hAnsi="Times New Roman" w:cs="Times New Roman" w:eastAsia="Times New Roman" w:hint="default"/>
          <w:spacing w:val="-1"/>
        </w:rPr>
        <w:t>2009</w:t>
      </w:r>
      <w:r>
        <w:rPr>
          <w:spacing w:val="-1"/>
        </w:rPr>
        <w:t>年任厦门市美亚柏科资讯科技有限</w:t>
      </w:r>
      <w:r>
        <w:rPr>
          <w:spacing w:val="-84"/>
        </w:rPr>
        <w:t> </w:t>
      </w:r>
      <w:r>
        <w:rPr>
          <w:spacing w:val="-84"/>
        </w:rPr>
      </w:r>
      <w:r>
        <w:rPr/>
        <w:t>公司执行董事；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日起至今任公司董事会副董事长。</w:t>
      </w:r>
    </w:p>
    <w:p>
      <w:pPr>
        <w:pStyle w:val="BodyText"/>
        <w:spacing w:line="309" w:lineRule="auto" w:before="136"/>
        <w:ind w:left="154" w:right="0" w:firstLine="406"/>
        <w:jc w:val="left"/>
      </w:pPr>
      <w:r>
        <w:rPr>
          <w:rFonts w:ascii="宋体" w:hAnsi="宋体" w:cs="宋体" w:eastAsia="宋体" w:hint="default"/>
          <w:b/>
          <w:bCs/>
          <w:spacing w:val="-1"/>
        </w:rPr>
        <w:t>李国林</w:t>
      </w:r>
      <w:r>
        <w:rPr>
          <w:spacing w:val="-1"/>
        </w:rPr>
        <w:t>，男，</w:t>
      </w:r>
      <w:r>
        <w:rPr>
          <w:rFonts w:ascii="Times New Roman" w:hAnsi="Times New Roman" w:cs="Times New Roman" w:eastAsia="Times New Roman" w:hint="default"/>
          <w:spacing w:val="-1"/>
        </w:rPr>
        <w:t>1968</w:t>
      </w:r>
      <w:r>
        <w:rPr>
          <w:spacing w:val="-1"/>
        </w:rPr>
        <w:t>年出生，中国国籍，无永久境外居留权。</w:t>
      </w:r>
      <w:r>
        <w:rPr>
          <w:rFonts w:ascii="Times New Roman" w:hAnsi="Times New Roman" w:cs="Times New Roman" w:eastAsia="Times New Roman" w:hint="default"/>
          <w:spacing w:val="-1"/>
        </w:rPr>
        <w:t>2000</w:t>
      </w:r>
      <w:r>
        <w:rPr>
          <w:spacing w:val="-1"/>
        </w:rPr>
        <w:t>年至今任美亚长城传媒（北京）有限</w:t>
      </w:r>
      <w:r>
        <w:rPr/>
        <w:t> 公司（原西安美亚文化传播有限公司）董事长。</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日起至今任公司董事会董事。</w:t>
      </w:r>
    </w:p>
    <w:p>
      <w:pPr>
        <w:pStyle w:val="BodyText"/>
        <w:spacing w:line="309" w:lineRule="auto" w:before="136"/>
        <w:ind w:left="154" w:right="0" w:firstLine="406"/>
        <w:jc w:val="left"/>
      </w:pPr>
      <w:r>
        <w:rPr>
          <w:rFonts w:ascii="宋体" w:hAnsi="宋体" w:cs="宋体" w:eastAsia="宋体" w:hint="default"/>
          <w:b/>
          <w:bCs/>
          <w:spacing w:val="-1"/>
        </w:rPr>
        <w:t>申强</w:t>
      </w:r>
      <w:r>
        <w:rPr>
          <w:spacing w:val="-1"/>
        </w:rPr>
        <w:t>，男，</w:t>
      </w:r>
      <w:r>
        <w:rPr>
          <w:rFonts w:ascii="Times New Roman" w:hAnsi="Times New Roman" w:cs="Times New Roman" w:eastAsia="Times New Roman" w:hint="default"/>
          <w:spacing w:val="-1"/>
        </w:rPr>
        <w:t>1969</w:t>
      </w:r>
      <w:r>
        <w:rPr>
          <w:spacing w:val="-1"/>
        </w:rPr>
        <w:t>年出生，中国国籍，无永久境外居留权。</w:t>
      </w:r>
      <w:r>
        <w:rPr>
          <w:rFonts w:ascii="Times New Roman" w:hAnsi="Times New Roman" w:cs="Times New Roman" w:eastAsia="Times New Roman" w:hint="default"/>
          <w:spacing w:val="-1"/>
        </w:rPr>
        <w:t>1992</w:t>
      </w:r>
      <w:r>
        <w:rPr>
          <w:spacing w:val="-1"/>
        </w:rPr>
        <w:t>年毕业于西北师范大学外语系；</w:t>
      </w:r>
      <w:r>
        <w:rPr>
          <w:rFonts w:ascii="Times New Roman" w:hAnsi="Times New Roman" w:cs="Times New Roman" w:eastAsia="Times New Roman" w:hint="default"/>
          <w:spacing w:val="-1"/>
        </w:rPr>
        <w:t>1992</w:t>
      </w:r>
      <w:r>
        <w:rPr>
          <w:spacing w:val="-1"/>
        </w:rPr>
        <w:t>年</w:t>
      </w:r>
      <w:r>
        <w:rPr/>
        <w:t> </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月西北师大外事办任助理翻译；</w:t>
      </w:r>
      <w:r>
        <w:rPr>
          <w:rFonts w:ascii="Times New Roman" w:hAnsi="Times New Roman" w:cs="Times New Roman" w:eastAsia="Times New Roman" w:hint="default"/>
        </w:rPr>
        <w:t>2001</w:t>
      </w:r>
      <w:r>
        <w:rPr/>
        <w:t>年至今，历任公司营销中心总监、副总经理、常务副 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日起至今任公司总经理。</w:t>
      </w:r>
    </w:p>
    <w:p>
      <w:pPr>
        <w:pStyle w:val="BodyText"/>
        <w:spacing w:line="321" w:lineRule="auto" w:before="136"/>
        <w:ind w:left="154" w:right="150" w:firstLine="406"/>
        <w:jc w:val="both"/>
      </w:pPr>
      <w:r>
        <w:rPr>
          <w:rFonts w:ascii="宋体" w:hAnsi="宋体" w:cs="宋体" w:eastAsia="宋体" w:hint="default"/>
          <w:b/>
          <w:bCs/>
          <w:spacing w:val="-1"/>
        </w:rPr>
        <w:t>廖明宏</w:t>
      </w:r>
      <w:r>
        <w:rPr>
          <w:spacing w:val="-1"/>
        </w:rPr>
        <w:t>，男，</w:t>
      </w:r>
      <w:r>
        <w:rPr>
          <w:rFonts w:ascii="Times New Roman" w:hAnsi="Times New Roman" w:cs="Times New Roman" w:eastAsia="Times New Roman" w:hint="default"/>
          <w:spacing w:val="-1"/>
        </w:rPr>
        <w:t>1966</w:t>
      </w:r>
      <w:r>
        <w:rPr>
          <w:spacing w:val="-1"/>
        </w:rPr>
        <w:t>年出生，中国国籍，博士，教授，博士生导师，无永久境外居留权。</w:t>
      </w:r>
      <w:r>
        <w:rPr>
          <w:rFonts w:ascii="Times New Roman" w:hAnsi="Times New Roman" w:cs="Times New Roman" w:eastAsia="Times New Roman" w:hint="default"/>
          <w:spacing w:val="-1"/>
        </w:rPr>
        <w:t>1993</w:t>
      </w:r>
      <w:r>
        <w:rPr>
          <w:spacing w:val="-1"/>
        </w:rPr>
        <w:t>年毕业于</w:t>
      </w:r>
      <w:r>
        <w:rPr/>
        <w:t> </w:t>
      </w:r>
      <w:r>
        <w:rPr>
          <w:spacing w:val="-1"/>
        </w:rPr>
        <w:t>哈尔滨工业大学计算机科学与工程系，获博士学位。曾经担任哈尔滨工业大学计算机科学与技术学院副院</w:t>
      </w:r>
      <w:r>
        <w:rPr>
          <w:spacing w:val="-81"/>
        </w:rPr>
        <w:t> </w:t>
      </w:r>
      <w:r>
        <w:rPr>
          <w:spacing w:val="-81"/>
        </w:rPr>
      </w:r>
      <w:r>
        <w:rPr>
          <w:spacing w:val="-1"/>
        </w:rPr>
        <w:t>长，曾兼任教育部高等学校计算机科学与技术专业教学指导分委会委员、第十届中华全国青年联合会副主</w:t>
      </w:r>
      <w:r>
        <w:rPr>
          <w:spacing w:val="-81"/>
        </w:rPr>
        <w:t> </w:t>
      </w:r>
      <w:r>
        <w:rPr>
          <w:spacing w:val="-81"/>
        </w:rPr>
      </w:r>
      <w:r>
        <w:rPr>
          <w:spacing w:val="-1"/>
        </w:rPr>
        <w:t>席等职。主要研究方向为网络智能技术、智能嵌入式软件和普适计算。先后完成国家自然科学基金、国家</w:t>
      </w:r>
    </w:p>
    <w:p>
      <w:pPr>
        <w:spacing w:after="0" w:line="321" w:lineRule="auto"/>
        <w:jc w:val="both"/>
        <w:sectPr>
          <w:pgSz w:w="11910" w:h="16840"/>
          <w:pgMar w:header="918" w:footer="1267" w:top="1160" w:bottom="1460" w:left="980" w:right="980"/>
        </w:sectPr>
      </w:pPr>
    </w:p>
    <w:p>
      <w:pPr>
        <w:spacing w:line="240" w:lineRule="auto" w:before="5"/>
        <w:rPr>
          <w:rFonts w:ascii="宋体" w:hAnsi="宋体" w:cs="宋体" w:eastAsia="宋体" w:hint="default"/>
          <w:sz w:val="20"/>
          <w:szCs w:val="20"/>
        </w:rPr>
      </w:pPr>
    </w:p>
    <w:p>
      <w:pPr>
        <w:pStyle w:val="BodyText"/>
        <w:spacing w:line="312" w:lineRule="auto" w:before="35"/>
        <w:ind w:left="154" w:right="136"/>
        <w:jc w:val="left"/>
      </w:pPr>
      <w:r>
        <w:rPr>
          <w:rFonts w:ascii="Times New Roman" w:hAnsi="Times New Roman" w:cs="Times New Roman" w:eastAsia="Times New Roman" w:hint="default"/>
          <w:spacing w:val="-1"/>
        </w:rPr>
        <w:t>863</w:t>
      </w:r>
      <w:r>
        <w:rPr>
          <w:spacing w:val="-1"/>
        </w:rPr>
        <w:t>计划及省部级科研项目</w:t>
      </w:r>
      <w:r>
        <w:rPr>
          <w:rFonts w:ascii="Times New Roman" w:hAnsi="Times New Roman" w:cs="Times New Roman" w:eastAsia="Times New Roman" w:hint="default"/>
          <w:spacing w:val="-1"/>
        </w:rPr>
        <w:t>30</w:t>
      </w:r>
      <w:r>
        <w:rPr>
          <w:spacing w:val="-1"/>
        </w:rPr>
        <w:t>多项，获部级科技进步二等奖</w:t>
      </w:r>
      <w:r>
        <w:rPr>
          <w:rFonts w:ascii="Times New Roman" w:hAnsi="Times New Roman" w:cs="Times New Roman" w:eastAsia="Times New Roman" w:hint="default"/>
          <w:spacing w:val="-1"/>
        </w:rPr>
        <w:t>3</w:t>
      </w:r>
      <w:r>
        <w:rPr>
          <w:spacing w:val="-1"/>
        </w:rPr>
        <w:t>项，发表学术论文</w:t>
      </w:r>
      <w:r>
        <w:rPr>
          <w:rFonts w:ascii="Times New Roman" w:hAnsi="Times New Roman" w:cs="Times New Roman" w:eastAsia="Times New Roman" w:hint="default"/>
          <w:spacing w:val="-1"/>
        </w:rPr>
        <w:t>110</w:t>
      </w:r>
      <w:r>
        <w:rPr>
          <w:spacing w:val="-1"/>
        </w:rPr>
        <w:t>多篇，编写教材</w:t>
      </w:r>
      <w:r>
        <w:rPr>
          <w:rFonts w:ascii="Times New Roman" w:hAnsi="Times New Roman" w:cs="Times New Roman" w:eastAsia="Times New Roman" w:hint="default"/>
          <w:spacing w:val="-1"/>
        </w:rPr>
        <w:t>3</w:t>
      </w:r>
      <w:r>
        <w:rPr>
          <w:spacing w:val="-1"/>
        </w:rPr>
        <w:t>部。其</w:t>
      </w:r>
      <w:r>
        <w:rPr>
          <w:spacing w:val="-92"/>
        </w:rPr>
        <w:t> </w:t>
      </w:r>
      <w:r>
        <w:rPr>
          <w:spacing w:val="-92"/>
        </w:rPr>
      </w:r>
      <w:r>
        <w:rPr/>
        <w:t>负责的《数据结构与算法》于</w:t>
      </w:r>
      <w:r>
        <w:rPr>
          <w:rFonts w:ascii="Times New Roman" w:hAnsi="Times New Roman" w:cs="Times New Roman" w:eastAsia="Times New Roman" w:hint="default"/>
        </w:rPr>
        <w:t>2006</w:t>
      </w:r>
      <w:r>
        <w:rPr/>
        <w:t>年被评为国家级精品课程，其教材被列入国家</w:t>
      </w:r>
      <w:r>
        <w:rPr>
          <w:rFonts w:ascii="Times New Roman" w:hAnsi="Times New Roman" w:cs="Times New Roman" w:eastAsia="Times New Roman" w:hint="default"/>
        </w:rPr>
        <w:t>“</w:t>
      </w:r>
      <w:r>
        <w:rPr/>
        <w:t>十一五</w:t>
      </w:r>
      <w:r>
        <w:rPr>
          <w:rFonts w:ascii="Times New Roman" w:hAnsi="Times New Roman" w:cs="Times New Roman" w:eastAsia="Times New Roman" w:hint="default"/>
        </w:rPr>
        <w:t>”</w:t>
      </w:r>
      <w:r>
        <w:rPr/>
        <w:t>规划教材。获黑 龙江省教学成果二等奖</w:t>
      </w:r>
      <w:r>
        <w:rPr>
          <w:rFonts w:ascii="Times New Roman" w:hAnsi="Times New Roman" w:cs="Times New Roman" w:eastAsia="Times New Roman" w:hint="default"/>
        </w:rPr>
        <w:t>2</w:t>
      </w:r>
      <w:r>
        <w:rPr/>
        <w:t>项，</w:t>
      </w:r>
      <w:r>
        <w:rPr>
          <w:rFonts w:ascii="Times New Roman" w:hAnsi="Times New Roman" w:cs="Times New Roman" w:eastAsia="Times New Roman" w:hint="default"/>
        </w:rPr>
        <w:t>2007</w:t>
      </w:r>
      <w:r>
        <w:rPr/>
        <w:t>年获黑龙江省优秀教师、哈尔滨工业大学教学名师荣誉称号。廖明宏先 </w:t>
      </w:r>
      <w:r>
        <w:rPr>
          <w:spacing w:val="-1"/>
        </w:rPr>
        <w:t>生现任厦门大学软件学院院长，兼任中国计算机学会教育专委会常委，中国计算机学会系统软件专业委员</w:t>
      </w:r>
      <w:r>
        <w:rPr>
          <w:spacing w:val="-81"/>
        </w:rPr>
        <w:t> </w:t>
      </w:r>
      <w:r>
        <w:rPr>
          <w:spacing w:val="-81"/>
        </w:rPr>
      </w:r>
      <w:r>
        <w:rPr>
          <w:spacing w:val="-1"/>
        </w:rPr>
        <w:t>会委员，福建省政协常委、厦门市政协常委等职。</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27</w:t>
      </w:r>
      <w:r>
        <w:rPr>
          <w:spacing w:val="-1"/>
        </w:rPr>
        <w:t>日起至</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30</w:t>
      </w:r>
      <w:r>
        <w:rPr>
          <w:spacing w:val="-1"/>
        </w:rPr>
        <w:t>日任公司第三届董事会</w:t>
      </w:r>
      <w:r>
        <w:rPr>
          <w:spacing w:val="-87"/>
        </w:rPr>
        <w:t> </w:t>
      </w:r>
      <w:r>
        <w:rPr/>
        <w:t>独立董事。</w:t>
      </w:r>
    </w:p>
    <w:p>
      <w:pPr>
        <w:pStyle w:val="BodyText"/>
        <w:spacing w:line="316" w:lineRule="auto" w:before="156"/>
        <w:ind w:left="154" w:right="0" w:firstLine="406"/>
        <w:jc w:val="left"/>
      </w:pPr>
      <w:r>
        <w:rPr>
          <w:rFonts w:ascii="宋体" w:hAnsi="宋体" w:cs="宋体" w:eastAsia="宋体" w:hint="default"/>
          <w:b/>
          <w:bCs/>
        </w:rPr>
        <w:t>卢永华</w:t>
      </w:r>
      <w:r>
        <w:rPr/>
        <w:t>，男，</w:t>
      </w:r>
      <w:r>
        <w:rPr>
          <w:rFonts w:ascii="Times New Roman" w:hAnsi="Times New Roman" w:cs="Times New Roman" w:eastAsia="Times New Roman" w:hint="default"/>
        </w:rPr>
        <w:t>1954</w:t>
      </w:r>
      <w:r>
        <w:rPr/>
        <w:t>年出生，中国国籍，会计学博士，会计学教授，无永久境外居留权。</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9</w:t>
      </w:r>
      <w:r>
        <w:rPr/>
        <w:t>月至 </w:t>
      </w: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7</w:t>
      </w:r>
      <w:r>
        <w:rPr>
          <w:spacing w:val="-1"/>
        </w:rPr>
        <w:t>月，在厦门大学会计学专业就读，获学士学位；</w:t>
      </w: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7</w:t>
      </w:r>
      <w:r>
        <w:rPr>
          <w:spacing w:val="-1"/>
        </w:rPr>
        <w:t>月厦门大学会计系毕业留校后一直从事会</w:t>
      </w:r>
      <w:r>
        <w:rPr>
          <w:spacing w:val="-86"/>
        </w:rPr>
        <w:t> </w:t>
      </w:r>
      <w:r>
        <w:rPr>
          <w:spacing w:val="-86"/>
        </w:rPr>
      </w:r>
      <w:r>
        <w:rPr>
          <w:spacing w:val="-1"/>
        </w:rPr>
        <w:t>计教学、科研工作；期间于</w:t>
      </w:r>
      <w:r>
        <w:rPr>
          <w:rFonts w:ascii="Times New Roman" w:hAnsi="Times New Roman" w:cs="Times New Roman" w:eastAsia="Times New Roman" w:hint="default"/>
          <w:spacing w:val="-1"/>
        </w:rPr>
        <w:t>1992</w:t>
      </w:r>
      <w:r>
        <w:rPr>
          <w:spacing w:val="-1"/>
        </w:rPr>
        <w:t>年</w:t>
      </w:r>
      <w:r>
        <w:rPr>
          <w:rFonts w:ascii="Times New Roman" w:hAnsi="Times New Roman" w:cs="Times New Roman" w:eastAsia="Times New Roman" w:hint="default"/>
          <w:spacing w:val="-1"/>
        </w:rPr>
        <w:t>7</w:t>
      </w:r>
      <w:r>
        <w:rPr>
          <w:spacing w:val="-1"/>
        </w:rPr>
        <w:t>月获得厦门大学会计系硕士学位；</w:t>
      </w:r>
      <w:r>
        <w:rPr>
          <w:rFonts w:ascii="Times New Roman" w:hAnsi="Times New Roman" w:cs="Times New Roman" w:eastAsia="Times New Roman" w:hint="default"/>
          <w:spacing w:val="-1"/>
        </w:rPr>
        <w:t>2002</w:t>
      </w:r>
      <w:r>
        <w:rPr>
          <w:spacing w:val="-1"/>
        </w:rPr>
        <w:t>年</w:t>
      </w:r>
      <w:r>
        <w:rPr>
          <w:rFonts w:ascii="Times New Roman" w:hAnsi="Times New Roman" w:cs="Times New Roman" w:eastAsia="Times New Roman" w:hint="default"/>
          <w:spacing w:val="-1"/>
        </w:rPr>
        <w:t>6</w:t>
      </w:r>
      <w:r>
        <w:rPr>
          <w:spacing w:val="-1"/>
        </w:rPr>
        <w:t>月获厦门大学管理学（会计</w:t>
      </w:r>
      <w:r>
        <w:rPr>
          <w:spacing w:val="-88"/>
        </w:rPr>
        <w:t> </w:t>
      </w:r>
      <w:r>
        <w:rPr>
          <w:spacing w:val="-88"/>
        </w:rPr>
      </w:r>
      <w:r>
        <w:rPr>
          <w:spacing w:val="-1"/>
        </w:rPr>
        <w:t>学）博士学位。历任厦门大学会计系助教、厦门大学会计系讲师、厦门大学会计系副教授、厦门大学会计</w:t>
      </w:r>
      <w:r>
        <w:rPr>
          <w:spacing w:val="-83"/>
        </w:rPr>
        <w:t> </w:t>
      </w:r>
      <w:r>
        <w:rPr>
          <w:spacing w:val="-83"/>
        </w:rPr>
      </w:r>
      <w:r>
        <w:rPr>
          <w:spacing w:val="-1"/>
        </w:rPr>
        <w:t>系党总支副书记、厦门大学会计系副主任。卢永华先生现兼任厦门合兴包装印刷股份有限公司和福建龙溪</w:t>
      </w:r>
      <w:r>
        <w:rPr>
          <w:spacing w:val="-81"/>
        </w:rPr>
        <w:t> </w:t>
      </w:r>
      <w:r>
        <w:rPr>
          <w:spacing w:val="-81"/>
        </w:rPr>
      </w:r>
      <w:r>
        <w:rPr/>
        <w:t>轴承</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股份有限公司的独立董事。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日起至今任公司第三届董事会独立董事。</w:t>
      </w:r>
    </w:p>
    <w:p>
      <w:pPr>
        <w:pStyle w:val="BodyText"/>
        <w:spacing w:line="319" w:lineRule="auto" w:before="129"/>
        <w:ind w:left="153" w:right="101" w:firstLine="406"/>
        <w:jc w:val="left"/>
      </w:pPr>
      <w:r>
        <w:rPr>
          <w:rFonts w:ascii="宋体" w:hAnsi="宋体" w:cs="宋体" w:eastAsia="宋体" w:hint="default"/>
          <w:b/>
          <w:bCs/>
        </w:rPr>
        <w:t>曲晓辉，</w:t>
      </w:r>
      <w:r>
        <w:rPr/>
        <w:t>女，</w:t>
      </w:r>
      <w:r>
        <w:rPr>
          <w:rFonts w:ascii="Times New Roman" w:hAnsi="Times New Roman" w:cs="Times New Roman" w:eastAsia="Times New Roman" w:hint="default"/>
        </w:rPr>
        <w:t>1954</w:t>
      </w:r>
      <w:r>
        <w:rPr/>
        <w:t>年出生，中国国籍，经济学博士，会计学教授，博士生导师，无永久境外居留权。 曲晓辉女士是中国第一位会计学女博士和第一位会计学博士生女导师，全国会计硕士专业学位（</w:t>
      </w:r>
      <w:r>
        <w:rPr>
          <w:rFonts w:ascii="Times New Roman" w:hAnsi="Times New Roman" w:cs="Times New Roman" w:eastAsia="Times New Roman" w:hint="default"/>
        </w:rPr>
        <w:t>MPAcc</w:t>
      </w:r>
      <w:r>
        <w:rPr/>
        <w:t>） 论证发起人，厦门大学社会科学学部委员，财政部会计准则委员会咨询专家、全国会计专业学位教育指导 委员会委员兼学位论文指导工作分委员会主任，国家社科基金项目评委，教育部社会科学委员会管理学部 委员，教育部中外合作办学项目评审专家。</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5</w:t>
      </w:r>
      <w:r>
        <w:rPr/>
        <w:t>月获美国富布莱特基金会授予富布莱特学者称号。曲 晓辉女士曾任厦门大学研究生院副院长，厦门大学会计发展研究中心主任，厦门大学财务管理与会计研究 院院长，中兴通讯股份有限公司、泰康人寿保险股份有限公司、云南白药集团股份有限公司、民太安保险 公估股份有限公司独立董事，现兼任国投安信股份有限公司、安信证券股份有限公司、广州白云电器设备 股份有限公司独立董事及厦门网中网软件有限公司首席财务顾问。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日起至今任公司第三届董 事会独立董事。</w:t>
      </w:r>
    </w:p>
    <w:p>
      <w:pPr>
        <w:pStyle w:val="BodyText"/>
        <w:spacing w:line="494" w:lineRule="exact"/>
        <w:ind w:left="576" w:right="0" w:hanging="1"/>
        <w:jc w:val="left"/>
        <w:rPr>
          <w:rFonts w:ascii="Times New Roman" w:hAnsi="Times New Roman" w:cs="Times New Roman" w:eastAsia="Times New Roman" w:hint="default"/>
        </w:rPr>
      </w:pPr>
      <w:r>
        <w:rPr>
          <w:rFonts w:ascii="Times New Roman" w:hAnsi="Times New Roman" w:cs="Times New Roman" w:eastAsia="Times New Roman" w:hint="default"/>
          <w:b/>
          <w:bCs/>
        </w:rPr>
        <w:t>2</w:t>
      </w:r>
      <w:r>
        <w:rPr>
          <w:rFonts w:ascii="宋体" w:hAnsi="宋体" w:cs="宋体" w:eastAsia="宋体" w:hint="default"/>
          <w:b/>
          <w:bCs/>
        </w:rPr>
        <w:t>、监事</w:t>
      </w:r>
      <w:r>
        <w:rPr>
          <w:rFonts w:ascii="宋体" w:hAnsi="宋体" w:cs="宋体" w:eastAsia="宋体" w:hint="default"/>
          <w:b/>
          <w:bCs/>
          <w:spacing w:val="1"/>
          <w:w w:val="99"/>
        </w:rPr>
        <w:t> </w:t>
      </w:r>
      <w:r>
        <w:rPr>
          <w:rFonts w:ascii="宋体" w:hAnsi="宋体" w:cs="宋体" w:eastAsia="宋体" w:hint="default"/>
          <w:b/>
          <w:bCs/>
          <w:spacing w:val="-1"/>
        </w:rPr>
        <w:t>仲丽华</w:t>
      </w:r>
      <w:r>
        <w:rPr>
          <w:spacing w:val="-1"/>
        </w:rPr>
        <w:t>，女，</w:t>
      </w:r>
      <w:r>
        <w:rPr>
          <w:rFonts w:ascii="Times New Roman" w:hAnsi="Times New Roman" w:cs="Times New Roman" w:eastAsia="Times New Roman" w:hint="default"/>
          <w:spacing w:val="-1"/>
        </w:rPr>
        <w:t>1976</w:t>
      </w:r>
      <w:r>
        <w:rPr>
          <w:spacing w:val="-1"/>
        </w:rPr>
        <w:t>年出生，中国国籍，硕士研究生学历，毕业于厦门大学，无永久境外居留权。</w:t>
      </w:r>
      <w:r>
        <w:rPr>
          <w:rFonts w:ascii="Times New Roman" w:hAnsi="Times New Roman" w:cs="Times New Roman" w:eastAsia="Times New Roman" w:hint="default"/>
          <w:spacing w:val="-1"/>
        </w:rPr>
        <w:t>2007</w:t>
      </w:r>
    </w:p>
    <w:p>
      <w:pPr>
        <w:pStyle w:val="BodyText"/>
        <w:spacing w:line="240" w:lineRule="auto" w:before="30"/>
        <w:ind w:left="153" w:right="0"/>
        <w:jc w:val="left"/>
      </w:pPr>
      <w:r>
        <w:rPr/>
        <w:t>年</w:t>
      </w:r>
      <w:r>
        <w:rPr>
          <w:rFonts w:ascii="Times New Roman" w:hAnsi="Times New Roman" w:cs="Times New Roman" w:eastAsia="Times New Roman" w:hint="default"/>
        </w:rPr>
        <w:t>4</w:t>
      </w:r>
      <w:r>
        <w:rPr/>
        <w:t>月至今，历任公司中证研究所网络维权部副经理、经理、数字法律服务中心副总监，总监。</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p>
    <w:p>
      <w:pPr>
        <w:pStyle w:val="BodyText"/>
        <w:spacing w:line="240" w:lineRule="auto" w:before="83"/>
        <w:ind w:left="154" w:right="0"/>
        <w:jc w:val="left"/>
      </w:pPr>
      <w:r>
        <w:rPr>
          <w:rFonts w:ascii="Times New Roman" w:hAnsi="Times New Roman" w:cs="Times New Roman" w:eastAsia="Times New Roman" w:hint="default"/>
        </w:rPr>
        <w:t>25</w:t>
      </w:r>
      <w:r>
        <w:rPr/>
        <w:t>日起至今任公司监事会职工代表监事、监事会主席。</w:t>
      </w:r>
    </w:p>
    <w:p>
      <w:pPr>
        <w:spacing w:line="240" w:lineRule="auto" w:before="7"/>
        <w:rPr>
          <w:rFonts w:ascii="宋体" w:hAnsi="宋体" w:cs="宋体" w:eastAsia="宋体" w:hint="default"/>
          <w:sz w:val="15"/>
          <w:szCs w:val="15"/>
        </w:rPr>
      </w:pPr>
    </w:p>
    <w:p>
      <w:pPr>
        <w:pStyle w:val="BodyText"/>
        <w:spacing w:line="316" w:lineRule="auto"/>
        <w:ind w:left="153" w:right="151" w:firstLine="422"/>
        <w:jc w:val="both"/>
      </w:pPr>
      <w:r>
        <w:rPr>
          <w:rFonts w:ascii="宋体" w:hAnsi="宋体" w:cs="宋体" w:eastAsia="宋体" w:hint="default"/>
          <w:b/>
          <w:bCs/>
          <w:spacing w:val="-1"/>
        </w:rPr>
        <w:t>屈文洲</w:t>
      </w:r>
      <w:r>
        <w:rPr>
          <w:spacing w:val="-1"/>
        </w:rPr>
        <w:t>，男，</w:t>
      </w:r>
      <w:r>
        <w:rPr>
          <w:rFonts w:ascii="Times New Roman" w:hAnsi="Times New Roman" w:cs="Times New Roman" w:eastAsia="Times New Roman" w:hint="default"/>
          <w:spacing w:val="-1"/>
        </w:rPr>
        <w:t>1972</w:t>
      </w:r>
      <w:r>
        <w:rPr>
          <w:spacing w:val="-1"/>
        </w:rPr>
        <w:t>年出生，中国国籍，无永久境外居留权。经济学（金融学）博士、清华大学经济管</w:t>
      </w:r>
      <w:r>
        <w:rPr/>
        <w:t> </w:t>
      </w:r>
      <w:r>
        <w:rPr>
          <w:spacing w:val="-1"/>
        </w:rPr>
        <w:t>理学院博士后，</w:t>
      </w:r>
      <w:r>
        <w:rPr>
          <w:rFonts w:ascii="Times New Roman" w:hAnsi="Times New Roman" w:cs="Times New Roman" w:eastAsia="Times New Roman" w:hint="default"/>
          <w:spacing w:val="-1"/>
        </w:rPr>
        <w:t>2005</w:t>
      </w:r>
      <w:r>
        <w:rPr>
          <w:spacing w:val="-1"/>
        </w:rPr>
        <w:t>年至今就职于厦门大学管理学院，现任厦门大学财务管理与会计研究院副院长、厦门</w:t>
      </w:r>
      <w:r>
        <w:rPr>
          <w:spacing w:val="-84"/>
        </w:rPr>
        <w:t> </w:t>
      </w:r>
      <w:r>
        <w:rPr>
          <w:spacing w:val="-84"/>
        </w:rPr>
      </w:r>
      <w:r>
        <w:rPr>
          <w:spacing w:val="-1"/>
        </w:rPr>
        <w:t>大学中国资本市场研究中心主任，财务学与金融学教授、博士生导师、美国特许金融分析师（</w:t>
      </w:r>
      <w:r>
        <w:rPr>
          <w:rFonts w:ascii="Times New Roman" w:hAnsi="Times New Roman" w:cs="Times New Roman" w:eastAsia="Times New Roman" w:hint="default"/>
          <w:spacing w:val="-1"/>
        </w:rPr>
        <w:t>CFA</w:t>
      </w:r>
      <w:r>
        <w:rPr>
          <w:spacing w:val="-1"/>
        </w:rPr>
        <w:t>）、中</w:t>
      </w:r>
      <w:r>
        <w:rPr>
          <w:spacing w:val="-76"/>
        </w:rPr>
        <w:t> </w:t>
      </w:r>
      <w:r>
        <w:rPr>
          <w:spacing w:val="-76"/>
        </w:rPr>
      </w:r>
      <w:r>
        <w:rPr>
          <w:spacing w:val="-1"/>
        </w:rPr>
        <w:t>国注册会计师（</w:t>
      </w:r>
      <w:r>
        <w:rPr>
          <w:rFonts w:ascii="Times New Roman" w:hAnsi="Times New Roman" w:cs="Times New Roman" w:eastAsia="Times New Roman" w:hint="default"/>
          <w:spacing w:val="-1"/>
        </w:rPr>
        <w:t>CPA</w:t>
      </w:r>
      <w:r>
        <w:rPr>
          <w:spacing w:val="-1"/>
        </w:rPr>
        <w:t>）。兼任清华大学博士后校友联络会福建分会副会长，第六届国务院学位委员会学科</w:t>
      </w:r>
      <w:r>
        <w:rPr>
          <w:spacing w:val="-72"/>
        </w:rPr>
        <w:t> </w:t>
      </w:r>
      <w:r>
        <w:rPr>
          <w:spacing w:val="-72"/>
        </w:rPr>
      </w:r>
      <w:r>
        <w:rPr>
          <w:spacing w:val="-1"/>
        </w:rPr>
        <w:t>评议组（工商管理组）秘书，第十一届全国青联委员、福建省青联常委，厦门市青联特邀副主席，国家自</w:t>
      </w:r>
      <w:r>
        <w:rPr>
          <w:spacing w:val="-83"/>
        </w:rPr>
        <w:t> </w:t>
      </w:r>
      <w:r>
        <w:rPr>
          <w:spacing w:val="-83"/>
        </w:rPr>
      </w:r>
      <w:r>
        <w:rPr>
          <w:spacing w:val="-1"/>
        </w:rPr>
        <w:t>然科学基金和国家社会科学基金的通讯评审专家，中国管理现代化研究会财务与会计专业委员会副主任委</w:t>
      </w:r>
      <w:r>
        <w:rPr>
          <w:spacing w:val="-81"/>
        </w:rPr>
        <w:t> </w:t>
      </w:r>
      <w:r>
        <w:rPr>
          <w:spacing w:val="-81"/>
        </w:rPr>
      </w:r>
      <w:r>
        <w:rPr>
          <w:spacing w:val="-1"/>
        </w:rPr>
        <w:t>员，中国管理现代化研究会青年工作委员会副主任委员，厦门大学社科联常委，《经济研究》、《管理科</w:t>
      </w:r>
      <w:r>
        <w:rPr>
          <w:spacing w:val="-85"/>
        </w:rPr>
        <w:t> </w:t>
      </w:r>
      <w:r>
        <w:rPr>
          <w:spacing w:val="-85"/>
        </w:rPr>
      </w:r>
      <w:r>
        <w:rPr>
          <w:spacing w:val="-1"/>
        </w:rPr>
        <w:t>学学报》、《金融研究》、《南开管理评论》、《金融学季刊》和《中国金融评论》审稿人，山东航空股</w:t>
      </w:r>
    </w:p>
    <w:p>
      <w:pPr>
        <w:spacing w:after="0" w:line="316" w:lineRule="auto"/>
        <w:jc w:val="both"/>
        <w:sectPr>
          <w:pgSz w:w="11910" w:h="16840"/>
          <w:pgMar w:header="918" w:footer="1267" w:top="1160" w:bottom="1460" w:left="980" w:right="980"/>
        </w:sectPr>
      </w:pPr>
    </w:p>
    <w:p>
      <w:pPr>
        <w:spacing w:line="240" w:lineRule="auto" w:before="5"/>
        <w:rPr>
          <w:rFonts w:ascii="宋体" w:hAnsi="宋体" w:cs="宋体" w:eastAsia="宋体" w:hint="default"/>
          <w:sz w:val="20"/>
          <w:szCs w:val="20"/>
        </w:rPr>
      </w:pPr>
    </w:p>
    <w:p>
      <w:pPr>
        <w:pStyle w:val="BodyText"/>
        <w:spacing w:line="326" w:lineRule="auto" w:before="35"/>
        <w:ind w:left="154" w:right="97"/>
        <w:jc w:val="left"/>
      </w:pPr>
      <w:r>
        <w:rPr>
          <w:spacing w:val="-1"/>
        </w:rPr>
        <w:t>份有限公司、深圳莱宝高科技股份有限公司、洲际油气股份有限公司、福建广生堂药业股份有限公司独立</w:t>
      </w:r>
      <w:r>
        <w:rPr>
          <w:spacing w:val="-83"/>
        </w:rPr>
        <w:t> </w:t>
      </w:r>
      <w:r>
        <w:rPr>
          <w:spacing w:val="-83"/>
        </w:rPr>
      </w:r>
      <w:r>
        <w:rPr/>
        <w:t>董事。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日起至今任公司监事会非职工代表监事。</w:t>
      </w:r>
    </w:p>
    <w:p>
      <w:pPr>
        <w:pStyle w:val="BodyText"/>
        <w:spacing w:line="309" w:lineRule="auto" w:before="120"/>
        <w:ind w:left="154" w:right="97" w:firstLine="422"/>
        <w:jc w:val="left"/>
      </w:pPr>
      <w:r>
        <w:rPr>
          <w:rFonts w:ascii="宋体" w:hAnsi="宋体" w:cs="宋体" w:eastAsia="宋体" w:hint="default"/>
          <w:b/>
          <w:bCs/>
          <w:spacing w:val="-1"/>
        </w:rPr>
        <w:t>刘冬颖，</w:t>
      </w:r>
      <w:r>
        <w:rPr>
          <w:spacing w:val="-1"/>
        </w:rPr>
        <w:t>女，</w:t>
      </w:r>
      <w:r>
        <w:rPr>
          <w:rFonts w:ascii="Times New Roman" w:hAnsi="Times New Roman" w:cs="Times New Roman" w:eastAsia="Times New Roman" w:hint="default"/>
          <w:spacing w:val="-1"/>
        </w:rPr>
        <w:t>1976</w:t>
      </w:r>
      <w:r>
        <w:rPr>
          <w:spacing w:val="-1"/>
        </w:rPr>
        <w:t>年出生，中国国籍，硕士学历，无永久境外居留权。</w:t>
      </w:r>
      <w:r>
        <w:rPr>
          <w:rFonts w:ascii="Times New Roman" w:hAnsi="Times New Roman" w:cs="Times New Roman" w:eastAsia="Times New Roman" w:hint="default"/>
          <w:spacing w:val="-1"/>
        </w:rPr>
        <w:t>2000</w:t>
      </w:r>
      <w:r>
        <w:rPr>
          <w:spacing w:val="-1"/>
        </w:rPr>
        <w:t>年至</w:t>
      </w:r>
      <w:r>
        <w:rPr>
          <w:rFonts w:ascii="Times New Roman" w:hAnsi="Times New Roman" w:cs="Times New Roman" w:eastAsia="Times New Roman" w:hint="default"/>
          <w:spacing w:val="-1"/>
        </w:rPr>
        <w:t>2001</w:t>
      </w:r>
      <w:r>
        <w:rPr>
          <w:spacing w:val="-1"/>
        </w:rPr>
        <w:t>年就职于厦门天</w:t>
      </w:r>
      <w:r>
        <w:rPr/>
        <w:t> </w:t>
      </w:r>
      <w:r>
        <w:rPr>
          <w:spacing w:val="-1"/>
        </w:rPr>
        <w:t>健会计师事务所有限公司从事审计工作；</w:t>
      </w:r>
      <w:r>
        <w:rPr>
          <w:rFonts w:ascii="Times New Roman" w:hAnsi="Times New Roman" w:cs="Times New Roman" w:eastAsia="Times New Roman" w:hint="default"/>
          <w:spacing w:val="-1"/>
        </w:rPr>
        <w:t>2001</w:t>
      </w:r>
      <w:r>
        <w:rPr>
          <w:spacing w:val="-1"/>
        </w:rPr>
        <w:t>年至</w:t>
      </w:r>
      <w:r>
        <w:rPr>
          <w:rFonts w:ascii="Times New Roman" w:hAnsi="Times New Roman" w:cs="Times New Roman" w:eastAsia="Times New Roman" w:hint="default"/>
          <w:spacing w:val="-1"/>
        </w:rPr>
        <w:t>2007</w:t>
      </w:r>
      <w:r>
        <w:rPr>
          <w:spacing w:val="-1"/>
        </w:rPr>
        <w:t>年就职于厦门</w:t>
      </w:r>
      <w:r>
        <w:rPr>
          <w:rFonts w:ascii="Times New Roman" w:hAnsi="Times New Roman" w:cs="Times New Roman" w:eastAsia="Times New Roman" w:hint="default"/>
          <w:spacing w:val="-1"/>
        </w:rPr>
        <w:t>ABB</w:t>
      </w:r>
      <w:r>
        <w:rPr>
          <w:spacing w:val="-1"/>
        </w:rPr>
        <w:t>低压电器设备有限公司财务部从</w:t>
      </w:r>
      <w:r>
        <w:rPr>
          <w:spacing w:val="-95"/>
        </w:rPr>
        <w:t> </w:t>
      </w:r>
      <w:r>
        <w:rPr/>
        <w:t>事财务管理工作；</w:t>
      </w:r>
      <w:r>
        <w:rPr>
          <w:rFonts w:ascii="Times New Roman" w:hAnsi="Times New Roman" w:cs="Times New Roman" w:eastAsia="Times New Roman" w:hint="default"/>
        </w:rPr>
        <w:t>2007</w:t>
      </w:r>
      <w:r>
        <w:rPr/>
        <w:t>年至</w:t>
      </w:r>
      <w:r>
        <w:rPr>
          <w:rFonts w:ascii="Times New Roman" w:hAnsi="Times New Roman" w:cs="Times New Roman" w:eastAsia="Times New Roman" w:hint="default"/>
        </w:rPr>
        <w:t>2010</w:t>
      </w:r>
      <w:r>
        <w:rPr/>
        <w:t>年就职于厦门稻香村贸易有限公司任职财务总监；</w:t>
      </w:r>
      <w:r>
        <w:rPr>
          <w:spacing w:val="-25"/>
        </w:rPr>
        <w:t> </w:t>
      </w:r>
      <w:r>
        <w:rPr>
          <w:rFonts w:ascii="Times New Roman" w:hAnsi="Times New Roman" w:cs="Times New Roman" w:eastAsia="Times New Roman" w:hint="default"/>
        </w:rPr>
        <w:t>2013</w:t>
      </w:r>
      <w:r>
        <w:rPr/>
        <w:t>年至</w:t>
      </w:r>
      <w:r>
        <w:rPr>
          <w:rFonts w:ascii="Times New Roman" w:hAnsi="Times New Roman" w:cs="Times New Roman" w:eastAsia="Times New Roman" w:hint="default"/>
        </w:rPr>
        <w:t>2015</w:t>
      </w:r>
      <w:r>
        <w:rPr/>
        <w:t>年就职 于厦门刘老师空中花果园有限公司任职财务总监。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日起至今任公司监事会非职工代表监事。</w:t>
      </w:r>
    </w:p>
    <w:p>
      <w:pPr>
        <w:spacing w:line="408" w:lineRule="auto" w:before="136"/>
        <w:ind w:left="576" w:right="67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、高级管理人员</w:t>
      </w:r>
      <w:r>
        <w:rPr>
          <w:rFonts w:ascii="宋体" w:hAnsi="宋体" w:cs="宋体" w:eastAsia="宋体" w:hint="default"/>
          <w:b/>
          <w:bCs/>
          <w:w w:val="99"/>
          <w:sz w:val="21"/>
          <w:szCs w:val="21"/>
        </w:rPr>
        <w:t> </w:t>
      </w:r>
      <w:r>
        <w:rPr>
          <w:rFonts w:ascii="宋体" w:hAnsi="宋体" w:cs="宋体" w:eastAsia="宋体" w:hint="default"/>
          <w:b/>
          <w:bCs/>
          <w:sz w:val="21"/>
          <w:szCs w:val="21"/>
        </w:rPr>
        <w:t>申强</w:t>
      </w:r>
      <w:r>
        <w:rPr>
          <w:rFonts w:ascii="宋体" w:hAnsi="宋体" w:cs="宋体" w:eastAsia="宋体" w:hint="default"/>
          <w:sz w:val="21"/>
          <w:szCs w:val="21"/>
        </w:rPr>
        <w:t>，详见</w:t>
      </w:r>
      <w:r>
        <w:rPr>
          <w:rFonts w:ascii="Times New Roman" w:hAnsi="Times New Roman" w:cs="Times New Roman" w:eastAsia="Times New Roman" w:hint="default"/>
          <w:sz w:val="21"/>
          <w:szCs w:val="21"/>
        </w:rPr>
        <w:t>“</w:t>
      </w:r>
      <w:r>
        <w:rPr>
          <w:rFonts w:ascii="宋体" w:hAnsi="宋体" w:cs="宋体" w:eastAsia="宋体" w:hint="default"/>
          <w:sz w:val="21"/>
          <w:szCs w:val="21"/>
        </w:rPr>
        <w:t>董事任职情况</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BodyText"/>
        <w:spacing w:line="309" w:lineRule="auto" w:before="41"/>
        <w:ind w:left="154" w:right="271" w:firstLine="422"/>
        <w:jc w:val="left"/>
      </w:pPr>
      <w:r>
        <w:rPr>
          <w:rFonts w:ascii="Times New Roman" w:hAnsi="Times New Roman" w:cs="Times New Roman" w:eastAsia="Times New Roman" w:hint="default"/>
          <w:b/>
          <w:bCs/>
        </w:rPr>
        <w:t>1</w:t>
      </w:r>
      <w:r>
        <w:rPr>
          <w:rFonts w:ascii="宋体" w:hAnsi="宋体" w:cs="宋体" w:eastAsia="宋体" w:hint="default"/>
          <w:b/>
          <w:bCs/>
        </w:rPr>
        <w:t>、吴鸿伟，</w:t>
      </w:r>
      <w:r>
        <w:rPr/>
        <w:t>男，</w:t>
      </w:r>
      <w:r>
        <w:rPr>
          <w:rFonts w:ascii="Times New Roman" w:hAnsi="Times New Roman" w:cs="Times New Roman" w:eastAsia="Times New Roman" w:hint="default"/>
        </w:rPr>
        <w:t>1976</w:t>
      </w:r>
      <w:r>
        <w:rPr/>
        <w:t>年出生，中国国籍，研究生学历、系统分析员，无永久境外居留权。</w:t>
      </w:r>
      <w:r>
        <w:rPr>
          <w:rFonts w:ascii="Times New Roman" w:hAnsi="Times New Roman" w:cs="Times New Roman" w:eastAsia="Times New Roman" w:hint="default"/>
        </w:rPr>
        <w:t>2004</w:t>
      </w:r>
      <w:r>
        <w:rPr/>
        <w:t>年毕 业于厦门大学系统工程专业。</w:t>
      </w:r>
      <w:r>
        <w:rPr>
          <w:rFonts w:ascii="Times New Roman" w:hAnsi="Times New Roman" w:cs="Times New Roman" w:eastAsia="Times New Roman" w:hint="default"/>
        </w:rPr>
        <w:t>2004</w:t>
      </w:r>
      <w:r>
        <w:rPr/>
        <w:t>至今，历任公司技术总监、副总经理。现任公司副总经理。</w:t>
      </w:r>
    </w:p>
    <w:p>
      <w:pPr>
        <w:pStyle w:val="BodyText"/>
        <w:spacing w:line="314" w:lineRule="auto" w:before="136"/>
        <w:ind w:left="154" w:right="97" w:firstLine="422"/>
        <w:jc w:val="left"/>
      </w:pPr>
      <w:r>
        <w:rPr>
          <w:rFonts w:ascii="Times New Roman" w:hAnsi="Times New Roman" w:cs="Times New Roman" w:eastAsia="Times New Roman" w:hint="default"/>
          <w:b/>
          <w:bCs/>
          <w:spacing w:val="-1"/>
        </w:rPr>
        <w:t>2</w:t>
      </w:r>
      <w:r>
        <w:rPr>
          <w:rFonts w:ascii="宋体" w:hAnsi="宋体" w:cs="宋体" w:eastAsia="宋体" w:hint="default"/>
          <w:b/>
          <w:bCs/>
          <w:spacing w:val="-1"/>
        </w:rPr>
        <w:t>、赵庸</w:t>
      </w:r>
      <w:r>
        <w:rPr>
          <w:spacing w:val="-1"/>
        </w:rPr>
        <w:t>，男，</w:t>
      </w:r>
      <w:r>
        <w:rPr>
          <w:rFonts w:ascii="Times New Roman" w:hAnsi="Times New Roman" w:cs="Times New Roman" w:eastAsia="Times New Roman" w:hint="default"/>
          <w:spacing w:val="-1"/>
        </w:rPr>
        <w:t>1968</w:t>
      </w:r>
      <w:r>
        <w:rPr>
          <w:spacing w:val="-1"/>
        </w:rPr>
        <w:t>年出生，中国国籍，研究生学历、工程师，无永久境外居留权。</w:t>
      </w:r>
      <w:r>
        <w:rPr>
          <w:rFonts w:ascii="Times New Roman" w:hAnsi="Times New Roman" w:cs="Times New Roman" w:eastAsia="Times New Roman" w:hint="default"/>
          <w:spacing w:val="-1"/>
        </w:rPr>
        <w:t>1990</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2000</w:t>
      </w:r>
      <w:r>
        <w:rPr>
          <w:rFonts w:ascii="Times New Roman" w:hAnsi="Times New Roman" w:cs="Times New Roman" w:eastAsia="Times New Roman" w:hint="default"/>
        </w:rPr>
        <w:t> </w:t>
      </w:r>
      <w:r>
        <w:rPr>
          <w:spacing w:val="-1"/>
        </w:rPr>
        <w:t>年</w:t>
      </w:r>
      <w:r>
        <w:rPr>
          <w:rFonts w:ascii="Times New Roman" w:hAnsi="Times New Roman" w:cs="Times New Roman" w:eastAsia="Times New Roman" w:hint="default"/>
          <w:spacing w:val="-1"/>
        </w:rPr>
        <w:t>8</w:t>
      </w:r>
      <w:r>
        <w:rPr>
          <w:spacing w:val="-1"/>
        </w:rPr>
        <w:t>月，中国人民解放军青海省军区服役；</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9</w:t>
      </w:r>
      <w:r>
        <w:rPr>
          <w:spacing w:val="-1"/>
        </w:rPr>
        <w:t>月至</w:t>
      </w:r>
      <w:r>
        <w:rPr>
          <w:rFonts w:ascii="Times New Roman" w:hAnsi="Times New Roman" w:cs="Times New Roman" w:eastAsia="Times New Roman" w:hint="default"/>
          <w:spacing w:val="-1"/>
        </w:rPr>
        <w:t>2003</w:t>
      </w:r>
      <w:r>
        <w:rPr>
          <w:spacing w:val="-1"/>
        </w:rPr>
        <w:t>年</w:t>
      </w:r>
      <w:r>
        <w:rPr>
          <w:rFonts w:ascii="Times New Roman" w:hAnsi="Times New Roman" w:cs="Times New Roman" w:eastAsia="Times New Roman" w:hint="default"/>
          <w:spacing w:val="-1"/>
        </w:rPr>
        <w:t>12</w:t>
      </w:r>
      <w:r>
        <w:rPr>
          <w:spacing w:val="-1"/>
        </w:rPr>
        <w:t>月，就读解放军信息工程大学，获硕士学</w:t>
      </w:r>
      <w:r>
        <w:rPr>
          <w:spacing w:val="-86"/>
        </w:rPr>
        <w:t> </w:t>
      </w:r>
      <w:r>
        <w:rPr>
          <w:spacing w:val="-86"/>
        </w:rPr>
      </w:r>
      <w:r>
        <w:rPr/>
        <w:t>位；</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月至今，历任公司培训讲师、电子数据取证鉴定员、中证司法鉴定中心主任、副总经理。兼 </w:t>
      </w:r>
      <w:r>
        <w:rPr>
          <w:spacing w:val="-1"/>
        </w:rPr>
        <w:t>任中国电子学会高级会员、中国电子学会计算机取证专家委员会专家委员、福建警察学院客座教授。现任</w:t>
      </w:r>
      <w:r>
        <w:rPr>
          <w:spacing w:val="-83"/>
        </w:rPr>
        <w:t> </w:t>
      </w:r>
      <w:r>
        <w:rPr>
          <w:spacing w:val="-83"/>
        </w:rPr>
      </w:r>
      <w:r>
        <w:rPr/>
        <w:t>公司副总经理。</w:t>
      </w:r>
    </w:p>
    <w:p>
      <w:pPr>
        <w:pStyle w:val="BodyText"/>
        <w:spacing w:line="309" w:lineRule="auto" w:before="154"/>
        <w:ind w:left="153" w:right="97" w:firstLine="422"/>
        <w:jc w:val="left"/>
      </w:pPr>
      <w:r>
        <w:rPr>
          <w:rFonts w:ascii="Times New Roman" w:hAnsi="Times New Roman" w:cs="Times New Roman" w:eastAsia="Times New Roman" w:hint="default"/>
          <w:b/>
          <w:bCs/>
        </w:rPr>
        <w:t>3</w:t>
      </w:r>
      <w:r>
        <w:rPr>
          <w:rFonts w:ascii="宋体" w:hAnsi="宋体" w:cs="宋体" w:eastAsia="宋体" w:hint="default"/>
          <w:b/>
          <w:bCs/>
        </w:rPr>
        <w:t>、张雪峰</w:t>
      </w:r>
      <w:r>
        <w:rPr/>
        <w:t>，男，</w:t>
      </w:r>
      <w:r>
        <w:rPr>
          <w:rFonts w:ascii="Times New Roman" w:hAnsi="Times New Roman" w:cs="Times New Roman" w:eastAsia="Times New Roman" w:hint="default"/>
        </w:rPr>
        <w:t>1974</w:t>
      </w:r>
      <w:r>
        <w:rPr/>
        <w:t>年出生，中国国籍，本科学历，无永久境外居留权。</w:t>
      </w:r>
      <w:r>
        <w:rPr>
          <w:rFonts w:ascii="Times New Roman" w:hAnsi="Times New Roman" w:cs="Times New Roman" w:eastAsia="Times New Roman" w:hint="default"/>
        </w:rPr>
        <w:t>1997</w:t>
      </w:r>
      <w:r>
        <w:rPr/>
        <w:t>年至</w:t>
      </w:r>
      <w:r>
        <w:rPr>
          <w:rFonts w:ascii="Times New Roman" w:hAnsi="Times New Roman" w:cs="Times New Roman" w:eastAsia="Times New Roman" w:hint="default"/>
        </w:rPr>
        <w:t>2002</w:t>
      </w:r>
      <w:r>
        <w:rPr/>
        <w:t>年，历任厦 </w:t>
      </w:r>
      <w:r>
        <w:rPr>
          <w:spacing w:val="-1"/>
        </w:rPr>
        <w:t>门智业软件公司项目经理与销售副总经理；</w:t>
      </w:r>
      <w:r>
        <w:rPr>
          <w:rFonts w:ascii="Times New Roman" w:hAnsi="Times New Roman" w:cs="Times New Roman" w:eastAsia="Times New Roman" w:hint="default"/>
          <w:spacing w:val="-1"/>
        </w:rPr>
        <w:t>2002</w:t>
      </w:r>
      <w:r>
        <w:rPr>
          <w:spacing w:val="-1"/>
        </w:rPr>
        <w:t>年至今，历任公司硬件研制中心总监、副总经理。现任公</w:t>
      </w:r>
      <w:r>
        <w:rPr>
          <w:spacing w:val="-86"/>
        </w:rPr>
        <w:t> </w:t>
      </w:r>
      <w:r>
        <w:rPr>
          <w:spacing w:val="-86"/>
        </w:rPr>
      </w:r>
      <w:r>
        <w:rPr/>
        <w:t>司副总经理。</w:t>
      </w:r>
    </w:p>
    <w:p>
      <w:pPr>
        <w:pStyle w:val="BodyText"/>
        <w:spacing w:line="309" w:lineRule="auto" w:before="158"/>
        <w:ind w:left="154" w:right="97" w:firstLine="422"/>
        <w:jc w:val="left"/>
      </w:pPr>
      <w:r>
        <w:rPr>
          <w:rFonts w:ascii="Times New Roman" w:hAnsi="Times New Roman" w:cs="Times New Roman" w:eastAsia="Times New Roman" w:hint="default"/>
          <w:b/>
          <w:bCs/>
          <w:spacing w:val="-1"/>
        </w:rPr>
        <w:t>4</w:t>
      </w:r>
      <w:r>
        <w:rPr>
          <w:rFonts w:ascii="宋体" w:hAnsi="宋体" w:cs="宋体" w:eastAsia="宋体" w:hint="default"/>
          <w:b/>
          <w:bCs/>
          <w:spacing w:val="-1"/>
        </w:rPr>
        <w:t>、高峰，</w:t>
      </w:r>
      <w:r>
        <w:rPr>
          <w:spacing w:val="-1"/>
        </w:rPr>
        <w:t>男，</w:t>
      </w:r>
      <w:r>
        <w:rPr>
          <w:rFonts w:ascii="Times New Roman" w:hAnsi="Times New Roman" w:cs="Times New Roman" w:eastAsia="Times New Roman" w:hint="default"/>
          <w:spacing w:val="-1"/>
        </w:rPr>
        <w:t>1970</w:t>
      </w:r>
      <w:r>
        <w:rPr>
          <w:spacing w:val="-1"/>
        </w:rPr>
        <w:t>年出生，中国国籍，研究生学历、工程师，无永久境外居留权。</w:t>
      </w:r>
      <w:r>
        <w:rPr>
          <w:rFonts w:ascii="Times New Roman" w:hAnsi="Times New Roman" w:cs="Times New Roman" w:eastAsia="Times New Roman" w:hint="default"/>
          <w:spacing w:val="-1"/>
        </w:rPr>
        <w:t>1988</w:t>
      </w:r>
      <w:r>
        <w:rPr>
          <w:spacing w:val="-1"/>
        </w:rPr>
        <w:t>年至</w:t>
      </w:r>
      <w:r>
        <w:rPr>
          <w:rFonts w:ascii="Times New Roman" w:hAnsi="Times New Roman" w:cs="Times New Roman" w:eastAsia="Times New Roman" w:hint="default"/>
          <w:spacing w:val="-1"/>
        </w:rPr>
        <w:t>1992</w:t>
      </w:r>
      <w:r>
        <w:rPr>
          <w:spacing w:val="-1"/>
        </w:rPr>
        <w:t>年，</w:t>
      </w:r>
      <w:r>
        <w:rPr/>
        <w:t> </w:t>
      </w:r>
      <w:r>
        <w:rPr>
          <w:spacing w:val="-5"/>
        </w:rPr>
        <w:t>就读大连理工大学获工程力学专业学士学位；</w:t>
      </w:r>
      <w:r>
        <w:rPr>
          <w:rFonts w:ascii="Times New Roman" w:hAnsi="Times New Roman" w:cs="Times New Roman" w:eastAsia="Times New Roman" w:hint="default"/>
          <w:spacing w:val="-5"/>
        </w:rPr>
        <w:t>1992</w:t>
      </w:r>
      <w:r>
        <w:rPr>
          <w:spacing w:val="-5"/>
        </w:rPr>
        <w:t>年至</w:t>
      </w:r>
      <w:r>
        <w:rPr>
          <w:rFonts w:ascii="Times New Roman" w:hAnsi="Times New Roman" w:cs="Times New Roman" w:eastAsia="Times New Roman" w:hint="default"/>
          <w:spacing w:val="-5"/>
        </w:rPr>
        <w:t>1996</w:t>
      </w:r>
      <w:r>
        <w:rPr>
          <w:spacing w:val="-5"/>
        </w:rPr>
        <w:t>年，任职哈尔滨市锅炉厂研究所；</w:t>
      </w:r>
      <w:r>
        <w:rPr>
          <w:rFonts w:ascii="Times New Roman" w:hAnsi="Times New Roman" w:cs="Times New Roman" w:eastAsia="Times New Roman" w:hint="default"/>
          <w:spacing w:val="-5"/>
        </w:rPr>
        <w:t>1996</w:t>
      </w:r>
      <w:r>
        <w:rPr>
          <w:spacing w:val="-5"/>
        </w:rPr>
        <w:t>年至</w:t>
      </w:r>
      <w:r>
        <w:rPr>
          <w:rFonts w:ascii="Times New Roman" w:hAnsi="Times New Roman" w:cs="Times New Roman" w:eastAsia="Times New Roman" w:hint="default"/>
          <w:spacing w:val="-5"/>
        </w:rPr>
        <w:t>1999</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年就读哈尔滨工业大学获计算机应用专业硕士学位；</w:t>
      </w:r>
      <w:r>
        <w:rPr>
          <w:rFonts w:ascii="Times New Roman" w:hAnsi="Times New Roman" w:cs="Times New Roman" w:eastAsia="Times New Roman" w:hint="default"/>
        </w:rPr>
        <w:t>2001</w:t>
      </w:r>
      <w:r>
        <w:rPr/>
        <w:t>年至今，历任公司销售部经理、副总经理。现任 公司副总经理。</w:t>
      </w:r>
    </w:p>
    <w:p>
      <w:pPr>
        <w:pStyle w:val="BodyText"/>
        <w:spacing w:line="309" w:lineRule="auto" w:before="158"/>
        <w:ind w:left="154" w:right="288" w:firstLine="422"/>
        <w:jc w:val="both"/>
      </w:pPr>
      <w:r>
        <w:rPr>
          <w:rFonts w:ascii="Times New Roman" w:hAnsi="Times New Roman" w:cs="Times New Roman" w:eastAsia="Times New Roman" w:hint="default"/>
          <w:b/>
          <w:bCs/>
        </w:rPr>
        <w:t>5</w:t>
      </w:r>
      <w:r>
        <w:rPr>
          <w:rFonts w:ascii="宋体" w:hAnsi="宋体" w:cs="宋体" w:eastAsia="宋体" w:hint="default"/>
          <w:b/>
          <w:bCs/>
        </w:rPr>
        <w:t>、栾江霞，</w:t>
      </w:r>
      <w:r>
        <w:rPr/>
        <w:t>女，中共党员。</w:t>
      </w:r>
      <w:r>
        <w:rPr>
          <w:rFonts w:ascii="Times New Roman" w:hAnsi="Times New Roman" w:cs="Times New Roman" w:eastAsia="Times New Roman" w:hint="default"/>
        </w:rPr>
        <w:t>1974</w:t>
      </w:r>
      <w:r>
        <w:rPr/>
        <w:t>年出生，中国国籍、工程师、研究生学历、毕业于浙江大学，无永 久境外居留权。</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10</w:t>
      </w:r>
      <w:r>
        <w:rPr/>
        <w:t>月，历任厦门雅迅网络股份有限公司系统工程部经理、技管办主任 和网络业务事业部总经理；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月，任公司拓展中心总监。现任公司副总经理。</w:t>
      </w:r>
    </w:p>
    <w:p>
      <w:pPr>
        <w:pStyle w:val="BodyText"/>
        <w:spacing w:line="309" w:lineRule="auto" w:before="136"/>
        <w:ind w:left="154" w:right="212" w:firstLine="422"/>
        <w:jc w:val="both"/>
      </w:pPr>
      <w:r>
        <w:rPr>
          <w:rFonts w:ascii="Times New Roman" w:hAnsi="Times New Roman" w:cs="Times New Roman" w:eastAsia="Times New Roman" w:hint="default"/>
          <w:b/>
          <w:bCs/>
          <w:spacing w:val="-3"/>
        </w:rPr>
        <w:t>6</w:t>
      </w:r>
      <w:r>
        <w:rPr>
          <w:rFonts w:ascii="宋体" w:hAnsi="宋体" w:cs="宋体" w:eastAsia="宋体" w:hint="default"/>
          <w:b/>
          <w:bCs/>
          <w:spacing w:val="-3"/>
        </w:rPr>
        <w:t>、吴世雄，</w:t>
      </w:r>
      <w:r>
        <w:rPr>
          <w:spacing w:val="-3"/>
        </w:rPr>
        <w:t>男，出生于</w:t>
      </w:r>
      <w:r>
        <w:rPr>
          <w:rFonts w:ascii="Times New Roman" w:hAnsi="Times New Roman" w:cs="Times New Roman" w:eastAsia="Times New Roman" w:hint="default"/>
          <w:spacing w:val="-3"/>
        </w:rPr>
        <w:t>1962</w:t>
      </w:r>
      <w:r>
        <w:rPr>
          <w:spacing w:val="-3"/>
        </w:rPr>
        <w:t>年。加拿大籍，研究生学历。毕业于厦门大学和加拿大</w:t>
      </w:r>
      <w:r>
        <w:rPr>
          <w:rFonts w:ascii="Times New Roman" w:hAnsi="Times New Roman" w:cs="Times New Roman" w:eastAsia="Times New Roman" w:hint="default"/>
          <w:spacing w:val="-3"/>
        </w:rPr>
        <w:t>Dahousie</w:t>
      </w:r>
      <w:r>
        <w:rPr>
          <w:spacing w:val="-3"/>
        </w:rPr>
        <w:t>大学。先</w:t>
      </w:r>
      <w:r>
        <w:rPr>
          <w:spacing w:val="-12"/>
        </w:rPr>
        <w:t> </w:t>
      </w:r>
      <w:r>
        <w:rPr>
          <w:spacing w:val="-2"/>
        </w:rPr>
        <w:t>后在</w:t>
      </w:r>
      <w:r>
        <w:rPr>
          <w:rFonts w:ascii="Times New Roman" w:hAnsi="Times New Roman" w:cs="Times New Roman" w:eastAsia="Times New Roman" w:hint="default"/>
          <w:spacing w:val="-2"/>
        </w:rPr>
        <w:t>IBM</w:t>
      </w:r>
      <w:r>
        <w:rPr>
          <w:spacing w:val="-2"/>
        </w:rPr>
        <w:t>、</w:t>
      </w:r>
      <w:r>
        <w:rPr>
          <w:rFonts w:ascii="Times New Roman" w:hAnsi="Times New Roman" w:cs="Times New Roman" w:eastAsia="Times New Roman" w:hint="default"/>
          <w:spacing w:val="-2"/>
        </w:rPr>
        <w:t>Nortel</w:t>
      </w:r>
      <w:r>
        <w:rPr>
          <w:spacing w:val="-2"/>
        </w:rPr>
        <w:t>、</w:t>
      </w:r>
      <w:r>
        <w:rPr>
          <w:rFonts w:ascii="Times New Roman" w:hAnsi="Times New Roman" w:cs="Times New Roman" w:eastAsia="Times New Roman" w:hint="default"/>
          <w:spacing w:val="-2"/>
        </w:rPr>
        <w:t>Motorola</w:t>
      </w:r>
      <w:r>
        <w:rPr>
          <w:spacing w:val="-2"/>
        </w:rPr>
        <w:t>、</w:t>
      </w:r>
      <w:r>
        <w:rPr>
          <w:rFonts w:ascii="Times New Roman" w:hAnsi="Times New Roman" w:cs="Times New Roman" w:eastAsia="Times New Roman" w:hint="default"/>
          <w:spacing w:val="-2"/>
        </w:rPr>
        <w:t>Cisco</w:t>
      </w:r>
      <w:r>
        <w:rPr>
          <w:spacing w:val="-2"/>
        </w:rPr>
        <w:t>、</w:t>
      </w:r>
      <w:r>
        <w:rPr>
          <w:rFonts w:ascii="Times New Roman" w:hAnsi="Times New Roman" w:cs="Times New Roman" w:eastAsia="Times New Roman" w:hint="default"/>
          <w:spacing w:val="-2"/>
        </w:rPr>
        <w:t>Juniper</w:t>
      </w:r>
      <w:r>
        <w:rPr>
          <w:spacing w:val="-2"/>
        </w:rPr>
        <w:t>、</w:t>
      </w:r>
      <w:r>
        <w:rPr>
          <w:rFonts w:ascii="Times New Roman" w:hAnsi="Times New Roman" w:cs="Times New Roman" w:eastAsia="Times New Roman" w:hint="default"/>
          <w:spacing w:val="-2"/>
        </w:rPr>
        <w:t>Aerohive</w:t>
      </w:r>
      <w:r>
        <w:rPr>
          <w:spacing w:val="-2"/>
        </w:rPr>
        <w:t>等公司担任研发和管理工作。</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6"/>
        </w:rPr>
        <w:t> </w:t>
      </w:r>
      <w:r>
        <w:rPr/>
        <w:t>月，任公司硬件研制中心负责人。现任公司副总经理。</w:t>
      </w:r>
    </w:p>
    <w:p>
      <w:pPr>
        <w:pStyle w:val="BodyText"/>
        <w:spacing w:line="309" w:lineRule="auto" w:before="158"/>
        <w:ind w:left="153" w:right="97" w:firstLine="422"/>
        <w:jc w:val="left"/>
      </w:pPr>
      <w:r>
        <w:rPr>
          <w:rFonts w:ascii="Times New Roman" w:hAnsi="Times New Roman" w:cs="Times New Roman" w:eastAsia="Times New Roman" w:hint="default"/>
          <w:b/>
          <w:bCs/>
        </w:rPr>
        <w:t>7</w:t>
      </w:r>
      <w:r>
        <w:rPr>
          <w:rFonts w:ascii="宋体" w:hAnsi="宋体" w:cs="宋体" w:eastAsia="宋体" w:hint="default"/>
          <w:b/>
          <w:bCs/>
        </w:rPr>
        <w:t>、葛鹏</w:t>
      </w:r>
      <w:r>
        <w:rPr/>
        <w:t>，男，</w:t>
      </w:r>
      <w:r>
        <w:rPr>
          <w:rFonts w:ascii="Times New Roman" w:hAnsi="Times New Roman" w:cs="Times New Roman" w:eastAsia="Times New Roman" w:hint="default"/>
        </w:rPr>
        <w:t>1968</w:t>
      </w:r>
      <w:r>
        <w:rPr/>
        <w:t>年出生，中国国籍，大专学历，无永久境外居留权。</w:t>
      </w:r>
      <w:r>
        <w:rPr>
          <w:rFonts w:ascii="Times New Roman" w:hAnsi="Times New Roman" w:cs="Times New Roman" w:eastAsia="Times New Roman" w:hint="default"/>
        </w:rPr>
        <w:t>1991</w:t>
      </w:r>
      <w:r>
        <w:rPr/>
        <w:t>年毕业于北京邮电大学 </w:t>
      </w:r>
      <w:r>
        <w:rPr>
          <w:spacing w:val="-1"/>
        </w:rPr>
        <w:t>无线电工程系；</w:t>
      </w:r>
      <w:r>
        <w:rPr>
          <w:rFonts w:ascii="Times New Roman" w:hAnsi="Times New Roman" w:cs="Times New Roman" w:eastAsia="Times New Roman" w:hint="default"/>
          <w:spacing w:val="-1"/>
        </w:rPr>
        <w:t>1991</w:t>
      </w:r>
      <w:r>
        <w:rPr>
          <w:spacing w:val="-1"/>
        </w:rPr>
        <w:t>年</w:t>
      </w:r>
      <w:r>
        <w:rPr>
          <w:rFonts w:ascii="Times New Roman" w:hAnsi="Times New Roman" w:cs="Times New Roman" w:eastAsia="Times New Roman" w:hint="default"/>
          <w:spacing w:val="-1"/>
        </w:rPr>
        <w:t>7</w:t>
      </w:r>
      <w:r>
        <w:rPr>
          <w:spacing w:val="-1"/>
        </w:rPr>
        <w:t>月至</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7</w:t>
      </w:r>
      <w:r>
        <w:rPr>
          <w:spacing w:val="-1"/>
        </w:rPr>
        <w:t>月中国民用航空局任工程师；</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8</w:t>
      </w:r>
      <w:r>
        <w:rPr>
          <w:spacing w:val="-1"/>
        </w:rPr>
        <w:t>月至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6</w:t>
      </w:r>
      <w:r>
        <w:rPr>
          <w:spacing w:val="-1"/>
        </w:rPr>
        <w:t>月，北京鼎永泰克</w:t>
      </w:r>
      <w:r>
        <w:rPr>
          <w:spacing w:val="-87"/>
        </w:rPr>
        <w:t> </w:t>
      </w:r>
      <w:r>
        <w:rPr>
          <w:spacing w:val="-87"/>
        </w:rPr>
      </w:r>
      <w:r>
        <w:rPr/>
        <w:t>科技有限公司任总经理；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月至今任香港鼎永泰克公司总经理、厦门市美亚柏科信息股份有限公司 刑检事业部总经理。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日起任公司副总经理。</w:t>
      </w:r>
    </w:p>
    <w:p>
      <w:pPr>
        <w:spacing w:after="0" w:line="309" w:lineRule="auto"/>
        <w:jc w:val="left"/>
        <w:sectPr>
          <w:pgSz w:w="11910" w:h="16840"/>
          <w:pgMar w:header="918" w:footer="1267" w:top="1160" w:bottom="1460" w:left="980" w:right="920"/>
        </w:sectPr>
      </w:pPr>
    </w:p>
    <w:p>
      <w:pPr>
        <w:spacing w:line="240" w:lineRule="auto" w:before="5"/>
        <w:rPr>
          <w:rFonts w:ascii="宋体" w:hAnsi="宋体" w:cs="宋体" w:eastAsia="宋体" w:hint="default"/>
          <w:sz w:val="20"/>
          <w:szCs w:val="20"/>
        </w:rPr>
      </w:pPr>
    </w:p>
    <w:p>
      <w:pPr>
        <w:pStyle w:val="BodyText"/>
        <w:spacing w:line="309" w:lineRule="auto" w:before="35"/>
        <w:ind w:left="153" w:right="113" w:firstLine="422"/>
        <w:jc w:val="left"/>
      </w:pPr>
      <w:r>
        <w:rPr>
          <w:rFonts w:ascii="Times New Roman" w:hAnsi="Times New Roman" w:cs="Times New Roman" w:eastAsia="Times New Roman" w:hint="default"/>
          <w:b/>
          <w:bCs/>
        </w:rPr>
        <w:t>8</w:t>
      </w:r>
      <w:r>
        <w:rPr>
          <w:rFonts w:ascii="宋体" w:hAnsi="宋体" w:cs="宋体" w:eastAsia="宋体" w:hint="default"/>
          <w:b/>
          <w:bCs/>
        </w:rPr>
        <w:t>、张乃军</w:t>
      </w:r>
      <w:r>
        <w:rPr/>
        <w:t>，男，</w:t>
      </w:r>
      <w:r>
        <w:rPr>
          <w:rFonts w:ascii="Times New Roman" w:hAnsi="Times New Roman" w:cs="Times New Roman" w:eastAsia="Times New Roman" w:hint="default"/>
        </w:rPr>
        <w:t>1971</w:t>
      </w:r>
      <w:r>
        <w:rPr/>
        <w:t>年出生，中国国籍，研究生，高级会计师，无永久境外居留权。</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2000 </w:t>
      </w:r>
      <w:r>
        <w:rPr/>
        <w:t>年任厦门物资集团公司出纳、会计、主办会计；</w:t>
      </w:r>
      <w:r>
        <w:rPr>
          <w:rFonts w:ascii="Times New Roman" w:hAnsi="Times New Roman" w:cs="Times New Roman" w:eastAsia="Times New Roman" w:hint="default"/>
        </w:rPr>
        <w:t>2000</w:t>
      </w:r>
      <w:r>
        <w:rPr/>
        <w:t>年至</w:t>
      </w:r>
      <w:r>
        <w:rPr>
          <w:rFonts w:ascii="Times New Roman" w:hAnsi="Times New Roman" w:cs="Times New Roman" w:eastAsia="Times New Roman" w:hint="default"/>
        </w:rPr>
        <w:t>2003</w:t>
      </w:r>
      <w:r>
        <w:rPr/>
        <w:t>年任厦门外商投资企业物资公司财务经理； </w:t>
      </w:r>
      <w:r>
        <w:rPr>
          <w:rFonts w:ascii="Times New Roman" w:hAnsi="Times New Roman" w:cs="Times New Roman" w:eastAsia="Times New Roman" w:hint="default"/>
        </w:rPr>
        <w:t>2003</w:t>
      </w:r>
      <w:r>
        <w:rPr/>
        <w:t>年至</w:t>
      </w:r>
      <w:r>
        <w:rPr>
          <w:rFonts w:ascii="Times New Roman" w:hAnsi="Times New Roman" w:cs="Times New Roman" w:eastAsia="Times New Roman" w:hint="default"/>
        </w:rPr>
        <w:t>2005</w:t>
      </w:r>
      <w:r>
        <w:rPr/>
        <w:t>年任厦门银池资产管理有限公司财务经理；</w:t>
      </w:r>
      <w:r>
        <w:rPr>
          <w:rFonts w:ascii="Times New Roman" w:hAnsi="Times New Roman" w:cs="Times New Roman" w:eastAsia="Times New Roman" w:hint="default"/>
        </w:rPr>
        <w:t>2005</w:t>
      </w:r>
      <w:r>
        <w:rPr/>
        <w:t>年至</w:t>
      </w:r>
      <w:r>
        <w:rPr>
          <w:rFonts w:ascii="Times New Roman" w:hAnsi="Times New Roman" w:cs="Times New Roman" w:eastAsia="Times New Roman" w:hint="default"/>
        </w:rPr>
        <w:t>2007</w:t>
      </w:r>
      <w:r>
        <w:rPr/>
        <w:t>年任厦门新世基集团财务经理；</w:t>
      </w:r>
    </w:p>
    <w:p>
      <w:pPr>
        <w:pStyle w:val="BodyText"/>
        <w:spacing w:line="240" w:lineRule="auto" w:before="16"/>
        <w:ind w:left="153" w:right="0"/>
        <w:jc w:val="left"/>
      </w:pPr>
      <w:r>
        <w:rPr>
          <w:rFonts w:ascii="Times New Roman" w:hAnsi="Times New Roman" w:cs="Times New Roman" w:eastAsia="Times New Roman" w:hint="default"/>
        </w:rPr>
        <w:t>2007</w:t>
      </w:r>
      <w:r>
        <w:rPr/>
        <w:t>年至今，历任公司财务副总监、财务总监。现任公司财务总监。</w:t>
      </w:r>
    </w:p>
    <w:p>
      <w:pPr>
        <w:spacing w:line="240" w:lineRule="auto" w:before="7"/>
        <w:rPr>
          <w:rFonts w:ascii="宋体" w:hAnsi="宋体" w:cs="宋体" w:eastAsia="宋体" w:hint="default"/>
          <w:sz w:val="15"/>
          <w:szCs w:val="15"/>
        </w:rPr>
      </w:pPr>
    </w:p>
    <w:p>
      <w:pPr>
        <w:pStyle w:val="BodyText"/>
        <w:spacing w:line="309" w:lineRule="auto"/>
        <w:ind w:left="154" w:right="0" w:firstLine="422"/>
        <w:jc w:val="left"/>
      </w:pPr>
      <w:r>
        <w:rPr>
          <w:rFonts w:ascii="Times New Roman" w:hAnsi="Times New Roman" w:cs="Times New Roman" w:eastAsia="Times New Roman" w:hint="default"/>
          <w:b/>
          <w:bCs/>
        </w:rPr>
        <w:t>9</w:t>
      </w:r>
      <w:r>
        <w:rPr>
          <w:rFonts w:ascii="宋体" w:hAnsi="宋体" w:cs="宋体" w:eastAsia="宋体" w:hint="default"/>
          <w:b/>
          <w:bCs/>
        </w:rPr>
        <w:t>、李滢雪，</w:t>
      </w:r>
      <w:r>
        <w:rPr/>
        <w:t>女，</w:t>
      </w:r>
      <w:r>
        <w:rPr>
          <w:rFonts w:ascii="Times New Roman" w:hAnsi="Times New Roman" w:cs="Times New Roman" w:eastAsia="Times New Roman" w:hint="default"/>
        </w:rPr>
        <w:t>1982</w:t>
      </w:r>
      <w:r>
        <w:rPr/>
        <w:t>年出生，中国国籍，毕业于厦门大学，研究生学历，无永久境外居留权。</w:t>
      </w:r>
      <w:r>
        <w:rPr>
          <w:rFonts w:ascii="Times New Roman" w:hAnsi="Times New Roman" w:cs="Times New Roman" w:eastAsia="Times New Roman" w:hint="default"/>
        </w:rPr>
        <w:t>2006 </w:t>
      </w:r>
      <w:r>
        <w:rPr>
          <w:spacing w:val="-1"/>
        </w:rPr>
        <w:t>年</w:t>
      </w:r>
      <w:r>
        <w:rPr>
          <w:rFonts w:ascii="Times New Roman" w:hAnsi="Times New Roman" w:cs="Times New Roman" w:eastAsia="Times New Roman" w:hint="default"/>
          <w:spacing w:val="-1"/>
        </w:rPr>
        <w:t>4</w:t>
      </w:r>
      <w:r>
        <w:rPr>
          <w:spacing w:val="-1"/>
        </w:rPr>
        <w:t>月至</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5</w:t>
      </w:r>
      <w:r>
        <w:rPr>
          <w:spacing w:val="-1"/>
        </w:rPr>
        <w:t>月，任厦门市美亚柏科资讯科技有限公司软件研发工程师；</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6</w:t>
      </w:r>
      <w:r>
        <w:rPr>
          <w:spacing w:val="-1"/>
        </w:rPr>
        <w:t>月至</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5</w:t>
      </w:r>
      <w:r>
        <w:rPr>
          <w:spacing w:val="-1"/>
        </w:rPr>
        <w:t>月，任华</w:t>
      </w:r>
      <w:r>
        <w:rPr>
          <w:spacing w:val="-87"/>
        </w:rPr>
        <w:t> </w:t>
      </w:r>
      <w:r>
        <w:rPr>
          <w:spacing w:val="-87"/>
        </w:rPr>
      </w:r>
      <w:r>
        <w:rPr/>
        <w:t>为技术有限公司核心网资料开发工程师；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月至今，历任公司产品化经理、拓展中心副总监、公司 证券事务代表、总监。</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日起任公司董事会秘书、副总经理。</w:t>
      </w:r>
    </w:p>
    <w:p>
      <w:pPr>
        <w:pStyle w:val="BodyText"/>
        <w:spacing w:line="240" w:lineRule="auto" w:before="136"/>
        <w:ind w:right="0"/>
        <w:jc w:val="left"/>
      </w:pPr>
      <w:r>
        <w:rPr/>
        <w:t>在股东单位任职情况</w:t>
      </w:r>
    </w:p>
    <w:p>
      <w:pPr>
        <w:spacing w:line="240" w:lineRule="auto" w:before="10"/>
        <w:rPr>
          <w:rFonts w:ascii="宋体" w:hAnsi="宋体" w:cs="宋体" w:eastAsia="宋体" w:hint="default"/>
          <w:sz w:val="16"/>
          <w:szCs w:val="16"/>
        </w:rPr>
      </w:pPr>
    </w:p>
    <w:p>
      <w:pPr>
        <w:pStyle w:val="BodyText"/>
        <w:spacing w:line="408" w:lineRule="auto"/>
        <w:ind w:right="746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在其他单位任职情况</w:t>
      </w:r>
    </w:p>
    <w:p>
      <w:pPr>
        <w:spacing w:line="240" w:lineRule="auto" w:before="4"/>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134"/>
        <w:gridCol w:w="2836"/>
        <w:gridCol w:w="1417"/>
        <w:gridCol w:w="1703"/>
        <w:gridCol w:w="1560"/>
        <w:gridCol w:w="919"/>
      </w:tblGrid>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71" w:right="110"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3" w:right="72"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94" w:right="92"/>
              <w:jc w:val="center"/>
              <w:rPr>
                <w:rFonts w:ascii="宋体" w:hAnsi="宋体" w:cs="宋体" w:eastAsia="宋体" w:hint="default"/>
                <w:sz w:val="18"/>
                <w:szCs w:val="18"/>
              </w:rPr>
            </w:pPr>
            <w:r>
              <w:rPr>
                <w:rFonts w:ascii="宋体" w:hAnsi="宋体" w:cs="宋体" w:eastAsia="宋体" w:hint="default"/>
                <w:sz w:val="18"/>
                <w:szCs w:val="18"/>
              </w:rPr>
              <w:t>在其他单 位是否领 取报酬津 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珠海新德汇信息技术有限公司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美亚长城传媒（北京）有限公司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
              <w:jc w:val="left"/>
              <w:rPr>
                <w:rFonts w:ascii="宋体" w:hAnsi="宋体" w:cs="宋体" w:eastAsia="宋体" w:hint="default"/>
                <w:sz w:val="18"/>
                <w:szCs w:val="18"/>
              </w:rPr>
            </w:pPr>
            <w:r>
              <w:rPr>
                <w:rFonts w:ascii="宋体" w:hAnsi="宋体" w:cs="宋体" w:eastAsia="宋体" w:hint="default"/>
                <w:spacing w:val="4"/>
                <w:sz w:val="18"/>
                <w:szCs w:val="18"/>
              </w:rPr>
              <w:t>厦门市美亚柏科信息安全研究所有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珠海新德汇信息技术有限公司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廖明宏</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中国计算机学会教育专委会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常委</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廖明宏</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
              <w:jc w:val="left"/>
              <w:rPr>
                <w:rFonts w:ascii="宋体" w:hAnsi="宋体" w:cs="宋体" w:eastAsia="宋体" w:hint="default"/>
                <w:sz w:val="18"/>
                <w:szCs w:val="18"/>
              </w:rPr>
            </w:pPr>
            <w:r>
              <w:rPr>
                <w:rFonts w:ascii="宋体" w:hAnsi="宋体" w:cs="宋体" w:eastAsia="宋体" w:hint="default"/>
                <w:spacing w:val="4"/>
                <w:sz w:val="18"/>
                <w:szCs w:val="18"/>
              </w:rPr>
              <w:t>中国计算机学会系统软件专业委员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委员</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廖明宏</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福建省政协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常委</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廖明宏</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厦门市政协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常委</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廖明宏</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厦门大学软件学院院长、教</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授、博导</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厦门大学会计系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2836"/>
        <w:gridCol w:w="1417"/>
        <w:gridCol w:w="1703"/>
        <w:gridCol w:w="1560"/>
        <w:gridCol w:w="919"/>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厦门合兴包装印刷股份有限公司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
              <w:jc w:val="left"/>
              <w:rPr>
                <w:rFonts w:ascii="宋体" w:hAnsi="宋体" w:cs="宋体" w:eastAsia="宋体" w:hint="default"/>
                <w:sz w:val="18"/>
                <w:szCs w:val="18"/>
              </w:rPr>
            </w:pPr>
            <w:r>
              <w:rPr>
                <w:rFonts w:ascii="宋体" w:hAnsi="宋体" w:cs="宋体" w:eastAsia="宋体" w:hint="default"/>
                <w:spacing w:val="4"/>
                <w:sz w:val="18"/>
                <w:szCs w:val="18"/>
              </w:rPr>
              <w:t>福建龙溪轴承（集团）股份有限公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厦门大学会计系</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厦门大学会计发展研究中心</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厦门大学财务管理与会计研究院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院长</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厦门大学研究生院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中兴通讯股份有限公司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泰康人寿保险股份有限公司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云南白药集团股份有限公司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国投安信股份有限公司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广州白云电器设备股份有限公司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厦门网中网软件有限公司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首席财务顾问、首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席财务专家</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厦门大学财务管理与会计研究院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副院长、教授、博</w:t>
            </w:r>
            <w:r>
              <w:rPr>
                <w:rFonts w:ascii="宋体" w:hAnsi="宋体" w:cs="宋体" w:eastAsia="宋体" w:hint="default"/>
                <w:sz w:val="18"/>
                <w:szCs w:val="18"/>
              </w:rPr>
              <w:t> 导</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山东航空股份有限公司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深圳莱宝高科技股份有限公司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洲际油气股份有限公司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福建广生堂药业股份有限公司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瑞达期货股份有限公司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厦门刘老师空中花果园有限公司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北京美亚宏数有限责任公司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10"/>
                <w:sz w:val="18"/>
                <w:szCs w:val="18"/>
              </w:rPr>
              <w:t>法定代表人、董事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长、总经理</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4"/>
                <w:sz w:val="18"/>
                <w:szCs w:val="18"/>
              </w:rPr>
              <w:t>法定代表人及董</w:t>
            </w:r>
            <w:r>
              <w:rPr>
                <w:rFonts w:ascii="宋体" w:hAnsi="宋体" w:cs="宋体" w:eastAsia="宋体" w:hint="default"/>
                <w:sz w:val="18"/>
                <w:szCs w:val="18"/>
              </w:rPr>
              <w:t> 事长</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0"/>
        <w:rPr>
          <w:rFonts w:ascii="Times New Roman" w:hAnsi="Times New Roman" w:cs="Times New Roman" w:eastAsia="Times New Roman"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2836"/>
        <w:gridCol w:w="1417"/>
        <w:gridCol w:w="1703"/>
        <w:gridCol w:w="1560"/>
        <w:gridCol w:w="919"/>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海峡国家版权交易中心有限公司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
              <w:jc w:val="left"/>
              <w:rPr>
                <w:rFonts w:ascii="宋体" w:hAnsi="宋体" w:cs="宋体" w:eastAsia="宋体" w:hint="default"/>
                <w:sz w:val="18"/>
                <w:szCs w:val="18"/>
              </w:rPr>
            </w:pPr>
            <w:r>
              <w:rPr>
                <w:rFonts w:ascii="宋体" w:hAnsi="宋体" w:cs="宋体" w:eastAsia="宋体" w:hint="default"/>
                <w:spacing w:val="4"/>
                <w:sz w:val="18"/>
                <w:szCs w:val="18"/>
              </w:rPr>
              <w:t>厦门市美亚柏科信息安全研究所有</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厦门市美亚梧桐投资管理有限公司</w:t>
            </w:r>
          </w:p>
        </w:tc>
        <w:tc>
          <w:tcPr>
            <w:tcW w:w="141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0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
        </w:tc>
        <w:tc>
          <w:tcPr>
            <w:tcW w:w="91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34"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316" w:lineRule="auto" w:before="52"/>
              <w:ind w:left="22" w:right="-21"/>
              <w:jc w:val="both"/>
              <w:rPr>
                <w:rFonts w:ascii="宋体" w:hAnsi="宋体" w:cs="宋体" w:eastAsia="宋体" w:hint="default"/>
                <w:sz w:val="18"/>
                <w:szCs w:val="18"/>
              </w:rPr>
            </w:pPr>
            <w:r>
              <w:rPr>
                <w:rFonts w:ascii="宋体" w:hAnsi="宋体" w:cs="宋体" w:eastAsia="宋体" w:hint="default"/>
                <w:spacing w:val="35"/>
                <w:sz w:val="18"/>
                <w:szCs w:val="18"/>
              </w:rPr>
              <w:t>在其他单位</w:t>
            </w:r>
            <w:r>
              <w:rPr>
                <w:rFonts w:ascii="宋体" w:hAnsi="宋体" w:cs="宋体" w:eastAsia="宋体" w:hint="default"/>
                <w:spacing w:val="-46"/>
                <w:sz w:val="18"/>
                <w:szCs w:val="18"/>
              </w:rPr>
              <w:t> </w:t>
            </w:r>
            <w:r>
              <w:rPr>
                <w:rFonts w:ascii="宋体" w:hAnsi="宋体" w:cs="宋体" w:eastAsia="宋体" w:hint="default"/>
                <w:spacing w:val="35"/>
                <w:sz w:val="18"/>
                <w:szCs w:val="18"/>
              </w:rPr>
              <w:t>任职情况的</w:t>
            </w:r>
            <w:r>
              <w:rPr>
                <w:rFonts w:ascii="宋体" w:hAnsi="宋体" w:cs="宋体" w:eastAsia="宋体" w:hint="default"/>
                <w:spacing w:val="-46"/>
                <w:sz w:val="18"/>
                <w:szCs w:val="18"/>
              </w:rPr>
              <w:t> </w:t>
            </w:r>
            <w:r>
              <w:rPr>
                <w:rFonts w:ascii="宋体" w:hAnsi="宋体" w:cs="宋体" w:eastAsia="宋体" w:hint="default"/>
                <w:sz w:val="18"/>
                <w:szCs w:val="18"/>
              </w:rPr>
              <w:t>说明</w:t>
            </w:r>
          </w:p>
        </w:tc>
        <w:tc>
          <w:tcPr>
            <w:tcW w:w="8435" w:type="dxa"/>
            <w:gridSpan w:val="5"/>
            <w:tcBorders>
              <w:top w:val="single" w:sz="4" w:space="0" w:color="000000"/>
              <w:left w:val="single" w:sz="13" w:space="0" w:color="C0C0C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9"/>
        <w:rPr>
          <w:rFonts w:ascii="Times New Roman" w:hAnsi="Times New Roman" w:cs="Times New Roman" w:eastAsia="Times New Roman" w:hint="default"/>
          <w:sz w:val="8"/>
          <w:szCs w:val="8"/>
        </w:rPr>
      </w:pPr>
    </w:p>
    <w:p>
      <w:pPr>
        <w:pStyle w:val="BodyText"/>
        <w:spacing w:line="240" w:lineRule="auto" w:before="35"/>
        <w:ind w:right="0"/>
        <w:jc w:val="left"/>
      </w:pPr>
      <w:r>
        <w:rPr/>
        <w:t>公司现任及报告期内离任董事、监事和高级管理人员近三年证券监管机构处罚的情况</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bookmarkStart w:name="四、董事、监事、高级管理人员报酬情况" w:id="120"/>
      <w:bookmarkEnd w:id="120"/>
      <w:r>
        <w:rPr/>
      </w: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44"/>
        <w:ind w:left="0" w:right="141" w:firstLine="0"/>
        <w:jc w:val="right"/>
        <w:rPr>
          <w:rFonts w:ascii="宋体" w:hAnsi="宋体" w:cs="宋体" w:eastAsia="宋体" w:hint="default"/>
          <w:sz w:val="18"/>
          <w:szCs w:val="18"/>
        </w:rPr>
      </w:pPr>
      <w:r>
        <w:rPr/>
        <w:pict>
          <v:shape style="position:absolute;margin-left:56.34pt;margin-top:-32.768276pt;width:479.5pt;height:158.4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8"/>
                    <w:gridCol w:w="7440"/>
                  </w:tblGrid>
                  <w:tr>
                    <w:trPr>
                      <w:trHeight w:val="1363" w:hRule="exact"/>
                    </w:trPr>
                    <w:tc>
                      <w:tcPr>
                        <w:tcW w:w="212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报酬的决策程序</w:t>
                        </w:r>
                      </w:p>
                    </w:tc>
                    <w:tc>
                      <w:tcPr>
                        <w:tcW w:w="74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z w:val="18"/>
                            <w:szCs w:val="18"/>
                          </w:rPr>
                          <w:t>公司独立董事、外部董事和非职工监事依据公司《董事、监事津贴制度》领取津贴，津贴额度</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由股东大会审批决定；公司内部董事和职工监事依据公司《董事、监事薪酬管理制度》领取薪</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酬，该制度由股东大会审批决定；公司高级管理人员依据公司《高管薪酬管理制度》领取薪酬</w:t>
                        </w:r>
                        <w:r>
                          <w:rPr>
                            <w:rFonts w:ascii="宋体" w:hAnsi="宋体" w:cs="宋体" w:eastAsia="宋体" w:hint="default"/>
                            <w:sz w:val="18"/>
                            <w:szCs w:val="18"/>
                          </w:rPr>
                          <w:t> 该制度由董事会审批决定；</w:t>
                        </w:r>
                      </w:p>
                    </w:tc>
                  </w:tr>
                  <w:tr>
                    <w:trPr>
                      <w:trHeight w:val="1050" w:hRule="exact"/>
                    </w:trPr>
                    <w:tc>
                      <w:tcPr>
                        <w:tcW w:w="212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报酬确定依据</w:t>
                        </w:r>
                      </w:p>
                    </w:tc>
                    <w:tc>
                      <w:tcPr>
                        <w:tcW w:w="74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z w:val="18"/>
                            <w:szCs w:val="18"/>
                          </w:rPr>
                          <w:t>公司独立董事、外部董事和非职工监事领取津贴额度由股东大会审批决定；公司内部董事、职</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工监事和高级管理人员薪酬包含基本薪酬和绩效薪酬两部分，基本薪酬依据岗位级别按月发放</w:t>
                        </w:r>
                        <w:r>
                          <w:rPr>
                            <w:rFonts w:ascii="宋体" w:hAnsi="宋体" w:cs="宋体" w:eastAsia="宋体" w:hint="default"/>
                            <w:sz w:val="18"/>
                            <w:szCs w:val="18"/>
                          </w:rPr>
                          <w:t> 绩效薪酬依据年度目标完成情况由董事会薪酬与考核委员会进行考核评定；</w:t>
                        </w:r>
                      </w:p>
                    </w:tc>
                  </w:tr>
                  <w:tr>
                    <w:trPr>
                      <w:trHeight w:val="740" w:hRule="exact"/>
                    </w:trPr>
                    <w:tc>
                      <w:tcPr>
                        <w:tcW w:w="2128"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5"/>
                            <w:sz w:val="18"/>
                            <w:szCs w:val="18"/>
                          </w:rPr>
                          <w:t>董事、监事和高级管理人员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报酬的实际支付情况</w:t>
                        </w:r>
                      </w:p>
                    </w:tc>
                    <w:tc>
                      <w:tcPr>
                        <w:tcW w:w="7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报告期内在公司领取报酬的董事、监事、高级管理人员共计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人（含离任独立董事</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人、董事</w:t>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人、监事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人</w:t>
                        </w:r>
                        <w:r>
                          <w:rPr>
                            <w:rFonts w:ascii="宋体" w:hAnsi="宋体" w:cs="宋体" w:eastAsia="宋体" w:hint="default"/>
                            <w:sz w:val="18"/>
                            <w:szCs w:val="18"/>
                          </w:rPr>
                          <w:t>、高管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90"/>
                            <w:sz w:val="18"/>
                            <w:szCs w:val="18"/>
                          </w:rPr>
                          <w:t>人</w:t>
                        </w:r>
                        <w:r>
                          <w:rPr>
                            <w:rFonts w:ascii="宋体" w:hAnsi="宋体" w:cs="宋体" w:eastAsia="宋体" w:hint="default"/>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年度实际支付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元</w:t>
                        </w:r>
                        <w:r>
                          <w:rPr>
                            <w:rFonts w:ascii="宋体" w:hAnsi="宋体" w:cs="宋体" w:eastAsia="宋体" w:hint="default"/>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0" w:right="142"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35"/>
        <w:ind w:right="0"/>
        <w:jc w:val="left"/>
      </w:pPr>
      <w:r>
        <w:rPr/>
        <w:t>公司报告期内董事、监事和高级管理人员报酬情况</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2459"/>
        <w:gridCol w:w="992"/>
        <w:gridCol w:w="991"/>
        <w:gridCol w:w="1026"/>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4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廖明宏</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仲丽华</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8" w:footer="1267" w:top="1160" w:bottom="1460" w:left="980" w:right="980"/>
        </w:sectPr>
      </w:pPr>
    </w:p>
    <w:p>
      <w:pPr>
        <w:spacing w:line="240" w:lineRule="auto" w:before="11"/>
        <w:rPr>
          <w:rFonts w:ascii="宋体" w:hAnsi="宋体" w:cs="宋体" w:eastAsia="宋体" w:hint="default"/>
          <w:sz w:val="21"/>
          <w:szCs w:val="21"/>
        </w:rPr>
      </w:pPr>
    </w:p>
    <w:tbl>
      <w:tblPr>
        <w:tblW w:w="0" w:type="auto"/>
        <w:jc w:val="left"/>
        <w:tblInd w:w="149" w:type="dxa"/>
        <w:tblLayout w:type="fixed"/>
        <w:tblCellMar>
          <w:top w:w="0" w:type="dxa"/>
          <w:left w:w="0" w:type="dxa"/>
          <w:bottom w:w="0" w:type="dxa"/>
          <w:right w:w="0" w:type="dxa"/>
        </w:tblCellMar>
        <w:tblLook w:val="01E0"/>
      </w:tblPr>
      <w:tblGrid>
        <w:gridCol w:w="1369"/>
        <w:gridCol w:w="2459"/>
        <w:gridCol w:w="992"/>
        <w:gridCol w:w="991"/>
        <w:gridCol w:w="1026"/>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刘冬颖</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屈文洲</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葛鹏</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42</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34</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刘祥南</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原董事长</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56</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原董事会秘书、副总经理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55</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原独立董事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高龙腾</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原监事</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39</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公司董事、监事、高级管理人员报告期内被授予的股权激励情况</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5"/>
        <w:gridCol w:w="869"/>
        <w:gridCol w:w="870"/>
        <w:gridCol w:w="870"/>
        <w:gridCol w:w="870"/>
        <w:gridCol w:w="869"/>
        <w:gridCol w:w="870"/>
        <w:gridCol w:w="870"/>
        <w:gridCol w:w="870"/>
        <w:gridCol w:w="870"/>
        <w:gridCol w:w="870"/>
      </w:tblGrid>
      <w:tr>
        <w:trPr>
          <w:trHeight w:val="1338" w:hRule="exact"/>
        </w:trPr>
        <w:tc>
          <w:tcPr>
            <w:tcW w:w="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68"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31"/>
                <w:sz w:val="18"/>
                <w:szCs w:val="18"/>
              </w:rPr>
              <w:t>格（元</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申强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张雪峰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吴鸿伟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张乃军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栾江霞</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吴世雄</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18" w:footer="1267" w:top="1160" w:bottom="14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0"/>
        <w:ind w:left="0" w:right="167" w:firstLine="0"/>
        <w:jc w:val="right"/>
        <w:rPr>
          <w:rFonts w:ascii="宋体" w:hAnsi="宋体" w:cs="宋体" w:eastAsia="宋体" w:hint="default"/>
          <w:sz w:val="18"/>
          <w:szCs w:val="18"/>
        </w:rPr>
      </w:pPr>
      <w:r>
        <w:rPr/>
        <w:pict>
          <v:shape style="position:absolute;margin-left:56.459999pt;margin-top:-217.308289pt;width:478.9pt;height:281.650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5"/>
                    <w:gridCol w:w="871"/>
                    <w:gridCol w:w="868"/>
                    <w:gridCol w:w="870"/>
                    <w:gridCol w:w="870"/>
                    <w:gridCol w:w="869"/>
                    <w:gridCol w:w="870"/>
                    <w:gridCol w:w="870"/>
                    <w:gridCol w:w="870"/>
                    <w:gridCol w:w="870"/>
                    <w:gridCol w:w="870"/>
                  </w:tblGrid>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李滢雪</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2"/>
                          <w:ind w:left="22" w:right="-9"/>
                          <w:jc w:val="both"/>
                          <w:rPr>
                            <w:rFonts w:ascii="宋体" w:hAnsi="宋体" w:cs="宋体" w:eastAsia="宋体" w:hint="default"/>
                            <w:sz w:val="18"/>
                            <w:szCs w:val="18"/>
                          </w:rPr>
                        </w:pPr>
                        <w:r>
                          <w:rPr>
                            <w:rFonts w:ascii="宋体" w:hAnsi="宋体" w:cs="宋体" w:eastAsia="宋体" w:hint="default"/>
                            <w:spacing w:val="23"/>
                            <w:sz w:val="18"/>
                            <w:szCs w:val="18"/>
                          </w:rPr>
                          <w:t>董事会秘</w:t>
                        </w:r>
                        <w:r>
                          <w:rPr>
                            <w:rFonts w:ascii="宋体" w:hAnsi="宋体" w:cs="宋体" w:eastAsia="宋体" w:hint="default"/>
                            <w:spacing w:val="-59"/>
                            <w:sz w:val="18"/>
                            <w:szCs w:val="18"/>
                          </w:rPr>
                          <w:t> </w:t>
                        </w:r>
                        <w:r>
                          <w:rPr>
                            <w:rFonts w:ascii="宋体" w:hAnsi="宋体" w:cs="宋体" w:eastAsia="宋体" w:hint="default"/>
                            <w:spacing w:val="-18"/>
                            <w:sz w:val="18"/>
                            <w:szCs w:val="18"/>
                          </w:rPr>
                          <w:t>书、副总经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2"/>
                          <w:ind w:left="22" w:right="-9"/>
                          <w:jc w:val="both"/>
                          <w:rPr>
                            <w:rFonts w:ascii="宋体" w:hAnsi="宋体" w:cs="宋体" w:eastAsia="宋体" w:hint="default"/>
                            <w:sz w:val="18"/>
                            <w:szCs w:val="18"/>
                          </w:rPr>
                        </w:pPr>
                        <w:r>
                          <w:rPr>
                            <w:rFonts w:ascii="宋体" w:hAnsi="宋体" w:cs="宋体" w:eastAsia="宋体" w:hint="default"/>
                            <w:spacing w:val="23"/>
                            <w:sz w:val="18"/>
                            <w:szCs w:val="18"/>
                          </w:rPr>
                          <w:t>原董事会</w:t>
                        </w:r>
                        <w:r>
                          <w:rPr>
                            <w:rFonts w:ascii="宋体" w:hAnsi="宋体" w:cs="宋体" w:eastAsia="宋体" w:hint="default"/>
                            <w:spacing w:val="-59"/>
                            <w:sz w:val="18"/>
                            <w:szCs w:val="18"/>
                          </w:rPr>
                          <w:t> </w:t>
                        </w:r>
                        <w:r>
                          <w:rPr>
                            <w:rFonts w:ascii="宋体" w:hAnsi="宋体" w:cs="宋体" w:eastAsia="宋体" w:hint="default"/>
                            <w:spacing w:val="-18"/>
                            <w:sz w:val="18"/>
                            <w:szCs w:val="18"/>
                          </w:rPr>
                          <w:t>秘书、原副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总经理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丛艳芬</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2"/>
                          <w:ind w:left="22" w:right="-9"/>
                          <w:jc w:val="left"/>
                          <w:rPr>
                            <w:rFonts w:ascii="宋体" w:hAnsi="宋体" w:cs="宋体" w:eastAsia="宋体" w:hint="default"/>
                            <w:sz w:val="18"/>
                            <w:szCs w:val="18"/>
                          </w:rPr>
                        </w:pPr>
                        <w:r>
                          <w:rPr>
                            <w:rFonts w:ascii="宋体" w:hAnsi="宋体" w:cs="宋体" w:eastAsia="宋体" w:hint="default"/>
                            <w:spacing w:val="23"/>
                            <w:sz w:val="18"/>
                            <w:szCs w:val="18"/>
                          </w:rPr>
                          <w:t>原副总经</w:t>
                        </w:r>
                        <w:r>
                          <w:rPr>
                            <w:rFonts w:ascii="宋体" w:hAnsi="宋体" w:cs="宋体" w:eastAsia="宋体" w:hint="default"/>
                            <w:spacing w:val="-59"/>
                            <w:sz w:val="18"/>
                            <w:szCs w:val="18"/>
                          </w:rPr>
                          <w:t> </w:t>
                        </w:r>
                        <w:r>
                          <w:rPr>
                            <w:rFonts w:ascii="宋体" w:hAnsi="宋体" w:cs="宋体" w:eastAsia="宋体" w:hint="default"/>
                            <w:sz w:val="18"/>
                            <w:szCs w:val="18"/>
                          </w:rPr>
                          <w:t>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黄基鹏</w:t>
                        </w:r>
                      </w:p>
                    </w:tc>
                    <w:tc>
                      <w:tcPr>
                        <w:tcW w:w="871"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52"/>
                          <w:ind w:left="22" w:right="-9"/>
                          <w:jc w:val="left"/>
                          <w:rPr>
                            <w:rFonts w:ascii="宋体" w:hAnsi="宋体" w:cs="宋体" w:eastAsia="宋体" w:hint="default"/>
                            <w:sz w:val="18"/>
                            <w:szCs w:val="18"/>
                          </w:rPr>
                        </w:pPr>
                        <w:r>
                          <w:rPr>
                            <w:rFonts w:ascii="宋体" w:hAnsi="宋体" w:cs="宋体" w:eastAsia="宋体" w:hint="default"/>
                            <w:spacing w:val="23"/>
                            <w:sz w:val="18"/>
                            <w:szCs w:val="18"/>
                          </w:rPr>
                          <w:t>原副总经</w:t>
                        </w:r>
                        <w:r>
                          <w:rPr>
                            <w:rFonts w:ascii="宋体" w:hAnsi="宋体" w:cs="宋体" w:eastAsia="宋体" w:hint="default"/>
                            <w:spacing w:val="-59"/>
                            <w:sz w:val="18"/>
                            <w:szCs w:val="18"/>
                          </w:rPr>
                          <w:t> </w:t>
                        </w:r>
                        <w:r>
                          <w:rPr>
                            <w:rFonts w:ascii="宋体" w:hAnsi="宋体" w:cs="宋体" w:eastAsia="宋体" w:hint="default"/>
                            <w:sz w:val="18"/>
                            <w:szCs w:val="18"/>
                          </w:rPr>
                          <w:t>理</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5" w:space="0" w:color="000000"/>
                        </w:tcBorders>
                      </w:tcPr>
                      <w:p>
                        <w:pPr/>
                      </w:p>
                    </w:tc>
                    <w:tc>
                      <w:tcPr>
                        <w:tcW w:w="868" w:type="dxa"/>
                        <w:tcBorders>
                          <w:top w:val="single" w:sz="4" w:space="0" w:color="000000"/>
                          <w:left w:val="single" w:sz="5"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5" w:space="0" w:color="000000"/>
                        </w:tcBorders>
                        <w:shd w:val="clear" w:color="auto" w:fill="D4D4D4"/>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2,196,000</w:t>
                        </w:r>
                      </w:p>
                    </w:tc>
                    <w:tc>
                      <w:tcPr>
                        <w:tcW w:w="870"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2"/>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173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7"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日，公司完成了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年年度权益分派的实施：以公司总股本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221,581,600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股为基数</w:t>
                        </w:r>
                      </w:p>
                      <w:p>
                        <w:pPr>
                          <w:pStyle w:val="TableParagraph"/>
                          <w:spacing w:line="240" w:lineRule="auto" w:before="61"/>
                          <w:ind w:left="15" w:right="0"/>
                          <w:jc w:val="left"/>
                          <w:rPr>
                            <w:rFonts w:ascii="宋体" w:hAnsi="宋体" w:cs="宋体" w:eastAsia="宋体" w:hint="default"/>
                            <w:sz w:val="18"/>
                            <w:szCs w:val="18"/>
                          </w:rPr>
                        </w:pPr>
                        <w:r>
                          <w:rPr>
                            <w:rFonts w:ascii="宋体" w:hAnsi="宋体" w:cs="宋体" w:eastAsia="宋体" w:hint="default"/>
                            <w:spacing w:val="4"/>
                            <w:sz w:val="18"/>
                            <w:szCs w:val="18"/>
                          </w:rPr>
                          <w:t>向全体股</w:t>
                        </w:r>
                        <w:r>
                          <w:rPr>
                            <w:rFonts w:ascii="宋体" w:hAnsi="宋体" w:cs="宋体" w:eastAsia="宋体" w:hint="default"/>
                            <w:spacing w:val="3"/>
                            <w:sz w:val="18"/>
                            <w:szCs w:val="18"/>
                          </w:rPr>
                          <w:t>东按</w:t>
                        </w:r>
                        <w:r>
                          <w:rPr>
                            <w:rFonts w:ascii="宋体" w:hAnsi="宋体" w:cs="宋体" w:eastAsia="宋体" w:hint="default"/>
                            <w:sz w:val="18"/>
                            <w:szCs w:val="18"/>
                          </w:rPr>
                          <w:t>每</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10 </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股派</w:t>
                        </w:r>
                        <w:r>
                          <w:rPr>
                            <w:rFonts w:ascii="宋体" w:hAnsi="宋体" w:cs="宋体" w:eastAsia="宋体" w:hint="default"/>
                            <w:spacing w:val="3"/>
                            <w:sz w:val="18"/>
                            <w:szCs w:val="18"/>
                          </w:rPr>
                          <w:t>发</w:t>
                        </w:r>
                        <w:r>
                          <w:rPr>
                            <w:rFonts w:ascii="宋体" w:hAnsi="宋体" w:cs="宋体" w:eastAsia="宋体" w:hint="default"/>
                            <w:spacing w:val="4"/>
                            <w:sz w:val="18"/>
                            <w:szCs w:val="18"/>
                          </w:rPr>
                          <w:t>现金股利</w:t>
                        </w:r>
                        <w:r>
                          <w:rPr>
                            <w:rFonts w:ascii="宋体" w:hAnsi="宋体" w:cs="宋体" w:eastAsia="宋体" w:hint="default"/>
                            <w:spacing w:val="3"/>
                            <w:sz w:val="18"/>
                            <w:szCs w:val="18"/>
                          </w:rPr>
                          <w:t>人民</w:t>
                        </w:r>
                        <w:r>
                          <w:rPr>
                            <w:rFonts w:ascii="宋体" w:hAnsi="宋体" w:cs="宋体" w:eastAsia="宋体" w:hint="default"/>
                            <w:sz w:val="18"/>
                            <w:szCs w:val="18"/>
                          </w:rPr>
                          <w:t>币</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0.45 </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w:t>
                        </w:r>
                        <w:r>
                          <w:rPr>
                            <w:rFonts w:ascii="宋体" w:hAnsi="宋体" w:cs="宋体" w:eastAsia="宋体" w:hint="default"/>
                            <w:spacing w:val="4"/>
                            <w:sz w:val="18"/>
                            <w:szCs w:val="18"/>
                          </w:rPr>
                          <w:t>含税</w:t>
                        </w:r>
                        <w:r>
                          <w:rPr>
                            <w:rFonts w:ascii="宋体" w:hAnsi="宋体" w:cs="宋体" w:eastAsia="宋体" w:hint="default"/>
                            <w:spacing w:val="-86"/>
                            <w:sz w:val="18"/>
                            <w:szCs w:val="18"/>
                          </w:rPr>
                          <w:t>）</w:t>
                        </w:r>
                        <w:r>
                          <w:rPr>
                            <w:rFonts w:ascii="宋体" w:hAnsi="宋体" w:cs="宋体" w:eastAsia="宋体" w:hint="default"/>
                            <w:spacing w:val="4"/>
                            <w:sz w:val="18"/>
                            <w:szCs w:val="18"/>
                          </w:rPr>
                          <w:t>，</w:t>
                        </w:r>
                        <w:r>
                          <w:rPr>
                            <w:rFonts w:ascii="宋体" w:hAnsi="宋体" w:cs="宋体" w:eastAsia="宋体" w:hint="default"/>
                            <w:spacing w:val="3"/>
                            <w:sz w:val="18"/>
                            <w:szCs w:val="18"/>
                          </w:rPr>
                          <w:t>同</w:t>
                        </w:r>
                        <w:r>
                          <w:rPr>
                            <w:rFonts w:ascii="宋体" w:hAnsi="宋体" w:cs="宋体" w:eastAsia="宋体" w:hint="default"/>
                            <w:spacing w:val="4"/>
                            <w:sz w:val="18"/>
                            <w:szCs w:val="18"/>
                          </w:rPr>
                          <w:t>时</w:t>
                        </w:r>
                        <w:r>
                          <w:rPr>
                            <w:rFonts w:ascii="宋体" w:hAnsi="宋体" w:cs="宋体" w:eastAsia="宋体" w:hint="default"/>
                            <w:spacing w:val="3"/>
                            <w:sz w:val="18"/>
                            <w:szCs w:val="18"/>
                          </w:rPr>
                          <w:t>进</w:t>
                        </w:r>
                        <w:r>
                          <w:rPr>
                            <w:rFonts w:ascii="宋体" w:hAnsi="宋体" w:cs="宋体" w:eastAsia="宋体" w:hint="default"/>
                            <w:spacing w:val="4"/>
                            <w:sz w:val="18"/>
                            <w:szCs w:val="18"/>
                          </w:rPr>
                          <w:t>行资本公</w:t>
                        </w:r>
                        <w:r>
                          <w:rPr>
                            <w:rFonts w:ascii="宋体" w:hAnsi="宋体" w:cs="宋体" w:eastAsia="宋体" w:hint="default"/>
                            <w:spacing w:val="3"/>
                            <w:sz w:val="18"/>
                            <w:szCs w:val="18"/>
                          </w:rPr>
                          <w:t>积金</w:t>
                        </w:r>
                        <w:r>
                          <w:rPr>
                            <w:rFonts w:ascii="宋体" w:hAnsi="宋体" w:cs="宋体" w:eastAsia="宋体" w:hint="default"/>
                            <w:spacing w:val="4"/>
                            <w:sz w:val="18"/>
                            <w:szCs w:val="18"/>
                          </w:rPr>
                          <w:t>转增股本，</w:t>
                        </w:r>
                        <w:r>
                          <w:rPr>
                            <w:rFonts w:ascii="宋体" w:hAnsi="宋体" w:cs="宋体" w:eastAsia="宋体" w:hint="default"/>
                            <w:sz w:val="18"/>
                            <w:szCs w:val="18"/>
                          </w:rPr>
                          <w:t>以</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221,581,600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股转增</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股，共计转增</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221,581,600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股，转增后公司总股</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本增至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443,163,200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2"/>
        <w:spacing w:line="240" w:lineRule="auto" w:before="26"/>
        <w:ind w:right="0"/>
        <w:jc w:val="left"/>
        <w:rPr>
          <w:b w:val="0"/>
          <w:bCs w:val="0"/>
        </w:rPr>
      </w:pP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943"/>
        <w:gridCol w:w="4613"/>
      </w:tblGrid>
      <w:tr>
        <w:trPr>
          <w:trHeight w:val="402"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bookmarkStart w:name="五、公司员工情况" w:id="121"/>
            <w:bookmarkEnd w:id="121"/>
            <w:r>
              <w:rPr/>
            </w:r>
            <w:bookmarkStart w:name="1、员工数量、专业构成及教育程度" w:id="122"/>
            <w:bookmarkEnd w:id="122"/>
            <w:r>
              <w:rPr/>
            </w:r>
            <w:r>
              <w:rPr>
                <w:rFonts w:ascii="Times New Roman"/>
                <w:sz w:val="18"/>
              </w:rPr>
              <w:t>776</w:t>
            </w:r>
          </w:p>
        </w:tc>
      </w:tr>
      <w:tr>
        <w:trPr>
          <w:trHeight w:val="402"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w:t>
            </w:r>
          </w:p>
        </w:tc>
      </w:tr>
      <w:tr>
        <w:trPr>
          <w:trHeight w:val="402"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1,574</w:t>
            </w:r>
          </w:p>
        </w:tc>
      </w:tr>
      <w:tr>
        <w:trPr>
          <w:trHeight w:val="402"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1,574</w:t>
            </w:r>
          </w:p>
        </w:tc>
      </w:tr>
      <w:tr>
        <w:trPr>
          <w:trHeight w:val="407"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613" w:type="dxa"/>
            <w:tcBorders>
              <w:top w:val="single" w:sz="4" w:space="0" w:color="000000"/>
              <w:left w:val="single" w:sz="13" w:space="0" w:color="D4D4D4"/>
              <w:bottom w:val="single" w:sz="4" w:space="0" w:color="000000"/>
              <w:right w:val="single" w:sz="4" w:space="0" w:color="000000"/>
            </w:tcBorders>
          </w:tcPr>
          <w:p>
            <w:pPr/>
          </w:p>
        </w:tc>
      </w:tr>
      <w:tr>
        <w:trPr>
          <w:trHeight w:val="39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407"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15"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6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170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w:t>
            </w:r>
          </w:p>
        </w:tc>
      </w:tr>
      <w:tr>
        <w:trPr>
          <w:trHeight w:val="402"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1,014</w:t>
            </w:r>
          </w:p>
        </w:tc>
      </w:tr>
      <w:tr>
        <w:trPr>
          <w:trHeight w:val="402"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r>
      <w:tr>
        <w:trPr>
          <w:trHeight w:val="402"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w:t>
            </w:r>
          </w:p>
        </w:tc>
      </w:tr>
      <w:tr>
        <w:trPr>
          <w:trHeight w:val="402" w:hRule="exact"/>
        </w:trPr>
        <w:tc>
          <w:tcPr>
            <w:tcW w:w="4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w:t>
            </w:r>
          </w:p>
        </w:tc>
      </w:tr>
      <w:tr>
        <w:trPr>
          <w:trHeight w:val="407"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1,574</w:t>
            </w:r>
          </w:p>
        </w:tc>
      </w:tr>
      <w:tr>
        <w:trPr>
          <w:trHeight w:val="39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46"/>
              <w:ind w:left="407"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9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15"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6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6"/>
              <w:ind w:left="427" w:right="0"/>
              <w:jc w:val="center"/>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center"/>
        <w:rPr>
          <w:rFonts w:ascii="宋体" w:hAnsi="宋体" w:cs="宋体" w:eastAsia="宋体" w:hint="default"/>
          <w:sz w:val="18"/>
          <w:szCs w:val="18"/>
        </w:rPr>
        <w:sectPr>
          <w:pgSz w:w="11910" w:h="16840"/>
          <w:pgMar w:header="918" w:footer="1267" w:top="1160" w:bottom="1460" w:left="980" w:right="980"/>
        </w:sectPr>
      </w:pPr>
    </w:p>
    <w:p>
      <w:pPr>
        <w:spacing w:line="240" w:lineRule="auto" w:before="11"/>
        <w:rPr>
          <w:rFonts w:ascii="宋体" w:hAnsi="宋体" w:cs="宋体" w:eastAsia="宋体" w:hint="default"/>
          <w:b/>
          <w:bCs/>
          <w:sz w:val="21"/>
          <w:szCs w:val="21"/>
        </w:rPr>
      </w:pPr>
    </w:p>
    <w:tbl>
      <w:tblPr>
        <w:tblW w:w="0" w:type="auto"/>
        <w:jc w:val="left"/>
        <w:tblInd w:w="149" w:type="dxa"/>
        <w:tblLayout w:type="fixed"/>
        <w:tblCellMar>
          <w:top w:w="0" w:type="dxa"/>
          <w:left w:w="0" w:type="dxa"/>
          <w:bottom w:w="0" w:type="dxa"/>
          <w:right w:w="0" w:type="dxa"/>
        </w:tblCellMar>
        <w:tblLook w:val="01E0"/>
      </w:tblPr>
      <w:tblGrid>
        <w:gridCol w:w="4962"/>
        <w:gridCol w:w="4606"/>
      </w:tblGrid>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
              <w:jc w:val="right"/>
              <w:rPr>
                <w:rFonts w:ascii="Times New Roman" w:hAnsi="Times New Roman" w:cs="Times New Roman" w:eastAsia="Times New Roman" w:hint="default"/>
                <w:sz w:val="18"/>
                <w:szCs w:val="18"/>
              </w:rPr>
            </w:pPr>
            <w:r>
              <w:rPr>
                <w:rFonts w:ascii="Times New Roman"/>
                <w:spacing w:val="-8"/>
                <w:sz w:val="18"/>
              </w:rPr>
              <w:t>116</w:t>
            </w:r>
            <w:r>
              <w:rPr>
                <w:rFonts w:ascii="Times New Roman"/>
                <w:sz w:val="18"/>
              </w:rPr>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w:t>
            </w:r>
          </w:p>
        </w:tc>
      </w:tr>
      <w:tr>
        <w:trPr>
          <w:trHeight w:val="402"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90</w:t>
            </w:r>
          </w:p>
        </w:tc>
      </w:tr>
      <w:tr>
        <w:trPr>
          <w:trHeight w:val="403" w:hRule="exact"/>
        </w:trPr>
        <w:tc>
          <w:tcPr>
            <w:tcW w:w="49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1,574</w:t>
            </w:r>
          </w:p>
        </w:tc>
      </w:tr>
    </w:tbl>
    <w:p>
      <w:pPr>
        <w:spacing w:line="240" w:lineRule="auto" w:before="2"/>
        <w:rPr>
          <w:rFonts w:ascii="宋体" w:hAnsi="宋体" w:cs="宋体" w:eastAsia="宋体" w:hint="default"/>
          <w:b/>
          <w:bCs/>
          <w:sz w:val="19"/>
          <w:szCs w:val="19"/>
        </w:rPr>
      </w:pPr>
    </w:p>
    <w:p>
      <w:pPr>
        <w:pStyle w:val="Heading4"/>
        <w:spacing w:line="240" w:lineRule="auto" w:before="35"/>
        <w:ind w:right="97"/>
        <w:jc w:val="left"/>
        <w:rPr>
          <w:b w:val="0"/>
          <w:bCs w:val="0"/>
        </w:rPr>
      </w:pPr>
      <w:bookmarkStart w:name="4、劳务外包情况" w:id="123"/>
      <w:bookmarkEnd w:id="123"/>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212" w:firstLine="420"/>
        <w:jc w:val="both"/>
      </w:pPr>
      <w:r>
        <w:rPr>
          <w:spacing w:val="-1"/>
        </w:rPr>
        <w:t>公司按照</w:t>
      </w:r>
      <w:bookmarkStart w:name="2、薪酬政策" w:id="124"/>
      <w:bookmarkEnd w:id="124"/>
      <w:r>
        <w:rPr>
          <w:spacing w:val="-1"/>
        </w:rPr>
        <w:t>《中华人民共和国劳动合同法</w:t>
      </w:r>
      <w:r>
        <w:rPr>
          <w:spacing w:val="-1"/>
        </w:rPr>
        <w:t>》和国家及地方其他有关劳动法律、法规的规定，与员工签订</w:t>
      </w:r>
      <w:r>
        <w:rPr/>
        <w:t> </w:t>
      </w:r>
      <w:r>
        <w:rPr>
          <w:spacing w:val="-1"/>
        </w:rPr>
        <w:t>劳动合同，公司严格执行国家相关劳动用工和社会保障规章制度，按照国家规定为员工缴纳社会保险和公</w:t>
      </w:r>
      <w:r>
        <w:rPr>
          <w:spacing w:val="-81"/>
        </w:rPr>
        <w:t> </w:t>
      </w:r>
      <w:r>
        <w:rPr>
          <w:spacing w:val="-81"/>
        </w:rPr>
      </w:r>
      <w:r>
        <w:rPr/>
        <w:t>积金，缴交企业年金、补偿商业保险。公司向员工提供有竞争力的薪酬，实施公平的绩效考核机制。</w:t>
      </w:r>
    </w:p>
    <w:p>
      <w:pPr>
        <w:spacing w:line="240" w:lineRule="auto" w:before="6"/>
        <w:rPr>
          <w:rFonts w:ascii="宋体" w:hAnsi="宋体" w:cs="宋体" w:eastAsia="宋体" w:hint="default"/>
          <w:sz w:val="22"/>
          <w:szCs w:val="22"/>
        </w:rPr>
      </w:pPr>
    </w:p>
    <w:p>
      <w:pPr>
        <w:pStyle w:val="Heading4"/>
        <w:spacing w:line="240" w:lineRule="auto"/>
        <w:ind w:right="97"/>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12"/>
        <w:rPr>
          <w:rFonts w:ascii="宋体" w:hAnsi="宋体" w:cs="宋体" w:eastAsia="宋体" w:hint="default"/>
          <w:b/>
          <w:bCs/>
          <w:sz w:val="26"/>
          <w:szCs w:val="26"/>
        </w:rPr>
      </w:pPr>
    </w:p>
    <w:p>
      <w:pPr>
        <w:pStyle w:val="BodyText"/>
        <w:spacing w:line="324" w:lineRule="auto"/>
        <w:ind w:left="154" w:right="103" w:firstLine="420"/>
        <w:jc w:val="left"/>
      </w:pPr>
      <w:r>
        <w:rPr>
          <w:rFonts w:ascii="Times New Roman" w:hAnsi="Times New Roman" w:cs="Times New Roman" w:eastAsia="Times New Roman" w:hint="default"/>
        </w:rPr>
        <w:t>2015</w:t>
      </w:r>
      <w:r>
        <w:rPr/>
        <w:t>年，随着公司集团化趋势的加强，</w:t>
      </w:r>
      <w:bookmarkStart w:name="3、培训计划" w:id="125"/>
      <w:bookmarkEnd w:id="125"/>
      <w:r>
        <w:rPr/>
        <w:t>公司对人员培训方面越来越重视</w:t>
      </w:r>
      <w:r>
        <w:rPr/>
        <w:t>，人力资源部依照企业发展战</w:t>
      </w:r>
      <w:r>
        <w:rPr/>
        <w:t> 略，有步骤的开展教育培训工作，在不同阶段对员工进行有针对性的培训。在新员工入职阶段，开展包含 企业文化培训、保密培训、保密考试及公司产品讲解和工作环境参观等一系列全方位培训课程。公司还针 </w:t>
      </w:r>
      <w:r>
        <w:rPr>
          <w:spacing w:val="-3"/>
        </w:rPr>
        <w:t>对应届毕业生开展新生训练营，以培养应届生的团队意识，合作精神，尽早的适应从学校到社会的过渡期。</w:t>
      </w:r>
      <w:r>
        <w:rPr>
          <w:spacing w:val="-90"/>
        </w:rPr>
        <w:t> </w:t>
      </w:r>
      <w:r>
        <w:rPr>
          <w:spacing w:val="-90"/>
        </w:rPr>
      </w:r>
      <w:r>
        <w:rPr/>
        <w:t>在职期间的培训，以专业类培训和公司层面的通用类培训为主，以全面提高员工在专业素质和综合素质上</w:t>
      </w:r>
      <w:r>
        <w:rPr/>
        <w:t> 能力。</w:t>
      </w:r>
    </w:p>
    <w:p>
      <w:pPr>
        <w:pStyle w:val="BodyText"/>
        <w:spacing w:line="309" w:lineRule="auto" w:before="146"/>
        <w:ind w:left="154" w:right="97" w:firstLine="420"/>
        <w:jc w:val="left"/>
      </w:pPr>
      <w:r>
        <w:rPr>
          <w:rFonts w:ascii="Times New Roman" w:hAnsi="Times New Roman" w:cs="Times New Roman" w:eastAsia="Times New Roman" w:hint="default"/>
          <w:spacing w:val="-1"/>
        </w:rPr>
        <w:t>2015</w:t>
      </w:r>
      <w:r>
        <w:rPr>
          <w:spacing w:val="-1"/>
        </w:rPr>
        <w:t>年公司特别开展了美亚柏科智慧大讲堂，邀请公司副总级领导担任每期主讲人，跟员工一起分享</w:t>
      </w:r>
      <w:r>
        <w:rPr/>
        <w:t> 工作、生活，以及学习方面的经验和感悟，加强管理层与员工之间的沟通交流，受到员工一致好评。</w:t>
      </w:r>
    </w:p>
    <w:p>
      <w:pPr>
        <w:spacing w:line="240" w:lineRule="auto" w:before="8"/>
        <w:rPr>
          <w:rFonts w:ascii="宋体" w:hAnsi="宋体" w:cs="宋体" w:eastAsia="宋体" w:hint="default"/>
          <w:sz w:val="23"/>
          <w:szCs w:val="23"/>
        </w:rPr>
      </w:pPr>
    </w:p>
    <w:p>
      <w:pPr>
        <w:pStyle w:val="Heading4"/>
        <w:spacing w:line="240" w:lineRule="auto"/>
        <w:ind w:right="97"/>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after="0" w:line="240" w:lineRule="auto"/>
        <w:jc w:val="left"/>
        <w:sectPr>
          <w:pgSz w:w="11910" w:h="16840"/>
          <w:pgMar w:header="918" w:footer="1267" w:top="1160" w:bottom="1460" w:left="980" w:right="920"/>
        </w:sectPr>
      </w:pPr>
    </w:p>
    <w:p>
      <w:pPr>
        <w:spacing w:line="240" w:lineRule="auto" w:before="8"/>
        <w:rPr>
          <w:rFonts w:ascii="宋体" w:hAnsi="宋体" w:cs="宋体" w:eastAsia="宋体" w:hint="default"/>
          <w:sz w:val="19"/>
          <w:szCs w:val="19"/>
        </w:rPr>
      </w:pPr>
    </w:p>
    <w:p>
      <w:pPr>
        <w:pStyle w:val="Heading1"/>
        <w:spacing w:line="240" w:lineRule="auto"/>
        <w:ind w:left="4030" w:right="3486"/>
        <w:jc w:val="center"/>
        <w:rPr>
          <w:b w:val="0"/>
          <w:bCs w:val="0"/>
        </w:rPr>
      </w:pPr>
      <w:bookmarkStart w:name="第九节 公司治理" w:id="126"/>
      <w:bookmarkEnd w:id="126"/>
      <w:r>
        <w:rPr>
          <w:b w:val="0"/>
          <w:bCs w:val="0"/>
        </w:rPr>
      </w:r>
      <w:bookmarkStart w:name="_bookmark7" w:id="127"/>
      <w:bookmarkEnd w:id="127"/>
      <w:r>
        <w:rPr>
          <w:b w:val="0"/>
          <w:bCs w:val="0"/>
        </w:rPr>
      </w:r>
      <w:r>
        <w:rPr/>
        <w:t>第九节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14" w:right="0"/>
        <w:jc w:val="both"/>
        <w:rPr>
          <w:b w:val="0"/>
          <w:bCs w:val="0"/>
        </w:rPr>
      </w:pPr>
      <w:r>
        <w:rPr/>
        <w:t>一、公司治理</w:t>
      </w:r>
      <w:bookmarkStart w:name="一、公司治理的基本状况" w:id="128"/>
      <w:bookmarkEnd w:id="128"/>
      <w:r>
        <w:rPr/>
        <w:t>的基本状况</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14" w:right="211" w:firstLine="420"/>
        <w:jc w:val="both"/>
      </w:pPr>
      <w:r>
        <w:rPr>
          <w:spacing w:val="-1"/>
        </w:rPr>
        <w:t>报告期内，公司严格按照《公司法》、《证券法》、《上市公司治理准则》、《深圳证券交易所创业</w:t>
      </w:r>
      <w:r>
        <w:rPr/>
        <w:t> </w:t>
      </w:r>
      <w:r>
        <w:rPr>
          <w:spacing w:val="-5"/>
        </w:rPr>
        <w:t>板股票上市规则》、《深圳证券交易所创业板上市公司规范运作指引》等相关法律法规、规范性文件和《公</w:t>
      </w:r>
      <w:r>
        <w:rPr/>
        <w:t> </w:t>
      </w:r>
      <w:r>
        <w:rPr>
          <w:spacing w:val="-1"/>
        </w:rPr>
        <w:t>司章程》的要求，不断完善公司法人治理结构，建立健全公司内部管理和内控制度，持续深入开展公司治</w:t>
      </w:r>
      <w:r>
        <w:rPr>
          <w:spacing w:val="-85"/>
        </w:rPr>
        <w:t> </w:t>
      </w:r>
      <w:r>
        <w:rPr>
          <w:spacing w:val="-85"/>
        </w:rPr>
      </w:r>
      <w:r>
        <w:rPr>
          <w:spacing w:val="-1"/>
        </w:rPr>
        <w:t>理活动，进一步提升公司治理水平。截至报告期末，公司治理状况符合《公司法》和中国证监会、深圳证</w:t>
      </w:r>
      <w:r>
        <w:rPr>
          <w:spacing w:val="-83"/>
        </w:rPr>
        <w:t> </w:t>
      </w:r>
      <w:r>
        <w:rPr>
          <w:spacing w:val="-83"/>
        </w:rPr>
      </w:r>
      <w:r>
        <w:rPr/>
        <w:t>券交易所等发布的法律法规和规范性文件的要求。</w:t>
      </w:r>
    </w:p>
    <w:p>
      <w:pPr>
        <w:pStyle w:val="BodyText"/>
        <w:spacing w:line="408" w:lineRule="auto" w:before="144"/>
        <w:ind w:left="534" w:right="103"/>
        <w:jc w:val="left"/>
      </w:pPr>
      <w:r>
        <w:rPr>
          <w:rFonts w:ascii="Times New Roman" w:hAnsi="Times New Roman" w:cs="Times New Roman" w:eastAsia="Times New Roman" w:hint="default"/>
        </w:rPr>
        <w:t>1</w:t>
      </w:r>
      <w:r>
        <w:rPr/>
        <w:t>、关于股东与股东大会 </w:t>
      </w:r>
      <w:r>
        <w:rPr>
          <w:spacing w:val="-1"/>
        </w:rPr>
        <w:t>报告期内，公司共召开四次股东大会，其中一次年度股东大会，三次临时股东大会。各次会议公司均</w:t>
      </w:r>
    </w:p>
    <w:p>
      <w:pPr>
        <w:pStyle w:val="BodyText"/>
        <w:spacing w:line="227" w:lineRule="exact"/>
        <w:ind w:left="114" w:right="0"/>
        <w:jc w:val="both"/>
      </w:pPr>
      <w:r>
        <w:rPr>
          <w:spacing w:val="-3"/>
        </w:rPr>
        <w:t>严格按照《公司法》、《上市公司股东大会规则》、《公司章程》、《股东大会议事规则》等规定和要求，</w:t>
      </w:r>
    </w:p>
    <w:p>
      <w:pPr>
        <w:pStyle w:val="BodyText"/>
        <w:spacing w:line="326" w:lineRule="auto" w:before="99"/>
        <w:ind w:left="114" w:right="103"/>
        <w:jc w:val="left"/>
      </w:pPr>
      <w:r>
        <w:rPr>
          <w:spacing w:val="-3"/>
        </w:rPr>
        <w:t>规范地召集、召开，平等对待所有股东，并尽可能为股东参加股东大会提供便利，使其充分行使股东权利，</w:t>
      </w:r>
      <w:r>
        <w:rPr>
          <w:spacing w:val="-95"/>
        </w:rPr>
        <w:t> </w:t>
      </w:r>
      <w:r>
        <w:rPr>
          <w:spacing w:val="-95"/>
        </w:rPr>
      </w:r>
      <w:r>
        <w:rPr/>
        <w:t>不存在损害股东利益的情形。</w:t>
      </w:r>
    </w:p>
    <w:p>
      <w:pPr>
        <w:pStyle w:val="BodyText"/>
        <w:spacing w:line="408" w:lineRule="auto" w:before="144"/>
        <w:ind w:left="534" w:right="103"/>
        <w:jc w:val="left"/>
      </w:pPr>
      <w:r>
        <w:rPr>
          <w:rFonts w:ascii="Times New Roman" w:hAnsi="Times New Roman" w:cs="Times New Roman" w:eastAsia="Times New Roman" w:hint="default"/>
        </w:rPr>
        <w:t>2</w:t>
      </w:r>
      <w:r>
        <w:rPr/>
        <w:t>、关于公司与控股股东 </w:t>
      </w:r>
      <w:r>
        <w:rPr>
          <w:spacing w:val="-1"/>
        </w:rPr>
        <w:t>公司控股股东为郭永芳女士。郭永芳女士现任公司副董事长，与公司董事长滕达先生为母子关系，共</w:t>
      </w:r>
    </w:p>
    <w:p>
      <w:pPr>
        <w:pStyle w:val="BodyText"/>
        <w:spacing w:line="227" w:lineRule="exact"/>
        <w:ind w:left="114" w:right="0"/>
        <w:jc w:val="both"/>
      </w:pPr>
      <w:r>
        <w:rPr/>
        <w:t>同构成公司实际控制人。报告期内，公司控股股东严格规范自己的行为，没有超越股东大会直接或间接干</w:t>
      </w:r>
    </w:p>
    <w:p>
      <w:pPr>
        <w:pStyle w:val="BodyText"/>
        <w:spacing w:line="326" w:lineRule="auto" w:before="99"/>
        <w:ind w:left="114" w:right="211"/>
        <w:jc w:val="both"/>
      </w:pPr>
      <w:r>
        <w:rPr>
          <w:spacing w:val="-1"/>
        </w:rPr>
        <w:t>预公司的决策和经营活动。公司拥有独立完整的业务和自主经营能力，在业务、人员、资产、机构、财务</w:t>
      </w:r>
      <w:r>
        <w:rPr>
          <w:spacing w:val="-83"/>
        </w:rPr>
        <w:t> </w:t>
      </w:r>
      <w:r>
        <w:rPr>
          <w:spacing w:val="-83"/>
        </w:rPr>
      </w:r>
      <w:r>
        <w:rPr/>
        <w:t>上独立于控股股东，公司董事会、监事会和内部机构独立运作。</w:t>
      </w:r>
    </w:p>
    <w:p>
      <w:pPr>
        <w:pStyle w:val="BodyText"/>
        <w:spacing w:line="240" w:lineRule="auto" w:before="144"/>
        <w:ind w:left="534" w:right="103"/>
        <w:jc w:val="left"/>
      </w:pPr>
      <w:r>
        <w:rPr>
          <w:rFonts w:ascii="Times New Roman" w:hAnsi="Times New Roman" w:cs="Times New Roman" w:eastAsia="Times New Roman" w:hint="default"/>
        </w:rPr>
        <w:t>3</w:t>
      </w:r>
      <w:r>
        <w:rPr/>
        <w:t>、关于董事和董事会</w:t>
      </w:r>
    </w:p>
    <w:p>
      <w:pPr>
        <w:spacing w:line="240" w:lineRule="auto" w:before="7"/>
        <w:rPr>
          <w:rFonts w:ascii="宋体" w:hAnsi="宋体" w:cs="宋体" w:eastAsia="宋体" w:hint="default"/>
          <w:sz w:val="15"/>
          <w:szCs w:val="15"/>
        </w:rPr>
      </w:pPr>
    </w:p>
    <w:p>
      <w:pPr>
        <w:pStyle w:val="BodyText"/>
        <w:spacing w:line="321" w:lineRule="auto"/>
        <w:ind w:left="113" w:right="190" w:firstLine="420"/>
        <w:jc w:val="both"/>
      </w:pPr>
      <w:r>
        <w:rPr>
          <w:spacing w:val="-1"/>
        </w:rPr>
        <w:t>公司董事会设董事</w:t>
      </w:r>
      <w:r>
        <w:rPr>
          <w:rFonts w:ascii="Times New Roman" w:hAnsi="Times New Roman" w:cs="Times New Roman" w:eastAsia="Times New Roman" w:hint="default"/>
          <w:spacing w:val="-1"/>
        </w:rPr>
        <w:t>7</w:t>
      </w:r>
      <w:r>
        <w:rPr>
          <w:spacing w:val="-1"/>
        </w:rPr>
        <w:t>名，其中独立董事</w:t>
      </w:r>
      <w:r>
        <w:rPr>
          <w:rFonts w:ascii="Times New Roman" w:hAnsi="Times New Roman" w:cs="Times New Roman" w:eastAsia="Times New Roman" w:hint="default"/>
          <w:spacing w:val="-1"/>
        </w:rPr>
        <w:t>3</w:t>
      </w:r>
      <w:r>
        <w:rPr>
          <w:spacing w:val="-1"/>
        </w:rPr>
        <w:t>名。报告期内，公司共召开</w:t>
      </w:r>
      <w:r>
        <w:rPr>
          <w:rFonts w:ascii="Times New Roman" w:hAnsi="Times New Roman" w:cs="Times New Roman" w:eastAsia="Times New Roman" w:hint="default"/>
          <w:spacing w:val="-1"/>
        </w:rPr>
        <w:t>15</w:t>
      </w:r>
      <w:r>
        <w:rPr>
          <w:spacing w:val="-1"/>
        </w:rPr>
        <w:t>次董事会，并完成了第三届董事</w:t>
      </w:r>
      <w:r>
        <w:rPr/>
        <w:t> 会的换届选举，选举滕达为董事长、郭永芳为副董事长，申强、李国林为非独立董事，曲晓辉、廖明宏、 </w:t>
      </w:r>
      <w:r>
        <w:rPr>
          <w:spacing w:val="-1"/>
        </w:rPr>
        <w:t>卢永华为独立董事。各位董事能够依据《深圳证券交易所创业板上市公司规范运作指引》、《董事会议事</w:t>
      </w:r>
      <w:r>
        <w:rPr>
          <w:spacing w:val="-83"/>
        </w:rPr>
        <w:t> </w:t>
      </w:r>
      <w:r>
        <w:rPr>
          <w:spacing w:val="-83"/>
        </w:rPr>
      </w:r>
      <w:r>
        <w:rPr>
          <w:spacing w:val="-1"/>
        </w:rPr>
        <w:t>规则》、《独立董事制度》等开展工作，出席董事会和股东大会，勤勉尽责地履行职责和义务，同时积极</w:t>
      </w:r>
      <w:r>
        <w:rPr>
          <w:spacing w:val="-85"/>
        </w:rPr>
        <w:t> </w:t>
      </w:r>
      <w:r>
        <w:rPr>
          <w:spacing w:val="-85"/>
        </w:rPr>
      </w:r>
      <w:r>
        <w:rPr/>
        <w:t>参加相关培训，熟悉相关法律法规。</w:t>
      </w:r>
    </w:p>
    <w:p>
      <w:pPr>
        <w:pStyle w:val="BodyText"/>
        <w:spacing w:line="309" w:lineRule="auto" w:before="148"/>
        <w:ind w:left="113" w:right="211" w:firstLine="420"/>
        <w:jc w:val="left"/>
      </w:pPr>
      <w:r>
        <w:rPr/>
        <w:t>公司董事会下设战略委员会、审计委员会、提名委员会及薪酬与考核委员会</w:t>
      </w:r>
      <w:r>
        <w:rPr>
          <w:rFonts w:ascii="Times New Roman" w:hAnsi="Times New Roman" w:cs="Times New Roman" w:eastAsia="Times New Roman" w:hint="default"/>
        </w:rPr>
        <w:t>4</w:t>
      </w:r>
      <w:r>
        <w:rPr/>
        <w:t>个专门委员会，除战略 </w:t>
      </w:r>
      <w:r>
        <w:rPr>
          <w:spacing w:val="-2"/>
        </w:rPr>
        <w:t>委员会外，其他委员会中独立董事占比均超过</w:t>
      </w:r>
      <w:r>
        <w:rPr>
          <w:rFonts w:ascii="Times New Roman" w:hAnsi="Times New Roman" w:cs="Times New Roman" w:eastAsia="Times New Roman" w:hint="default"/>
          <w:spacing w:val="-2"/>
        </w:rPr>
        <w:t>1/2</w:t>
      </w:r>
      <w:r>
        <w:rPr>
          <w:spacing w:val="-2"/>
        </w:rPr>
        <w:t>，为董事会的决策提供了科学和专业的意见和参考。各委</w:t>
      </w:r>
      <w:r>
        <w:rPr>
          <w:spacing w:val="-93"/>
        </w:rPr>
        <w:t> </w:t>
      </w:r>
      <w:r>
        <w:rPr>
          <w:spacing w:val="-93"/>
        </w:rPr>
      </w:r>
      <w:r>
        <w:rPr/>
        <w:t>员会依据《公司章程》和各委员会工作细则的规定履行职权，不受公司其他部门和个人的干预。</w:t>
      </w:r>
    </w:p>
    <w:p>
      <w:pPr>
        <w:pStyle w:val="BodyText"/>
        <w:spacing w:line="494" w:lineRule="exact" w:before="8"/>
        <w:ind w:left="534" w:right="103"/>
        <w:jc w:val="left"/>
      </w:pPr>
      <w:r>
        <w:rPr>
          <w:rFonts w:ascii="Times New Roman" w:hAnsi="Times New Roman" w:cs="Times New Roman" w:eastAsia="Times New Roman" w:hint="default"/>
        </w:rPr>
        <w:t>4</w:t>
      </w:r>
      <w:r>
        <w:rPr/>
        <w:t>、关于监事和监事会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名，其中职工代表监事</w:t>
      </w:r>
      <w:r>
        <w:rPr>
          <w:rFonts w:ascii="Times New Roman" w:hAnsi="Times New Roman" w:cs="Times New Roman" w:eastAsia="Times New Roman" w:hint="default"/>
          <w:spacing w:val="-1"/>
        </w:rPr>
        <w:t>1</w:t>
      </w:r>
      <w:r>
        <w:rPr>
          <w:spacing w:val="-1"/>
        </w:rPr>
        <w:t>名。报告期内，公司共召开</w:t>
      </w:r>
      <w:r>
        <w:rPr>
          <w:rFonts w:ascii="Times New Roman" w:hAnsi="Times New Roman" w:cs="Times New Roman" w:eastAsia="Times New Roman" w:hint="default"/>
          <w:spacing w:val="-1"/>
        </w:rPr>
        <w:t>15</w:t>
      </w:r>
      <w:r>
        <w:rPr>
          <w:spacing w:val="-1"/>
        </w:rPr>
        <w:t>次监事会，并完成了监事会</w:t>
      </w:r>
    </w:p>
    <w:p>
      <w:pPr>
        <w:pStyle w:val="BodyText"/>
        <w:spacing w:line="326" w:lineRule="auto" w:before="30"/>
        <w:ind w:left="113" w:right="212"/>
        <w:jc w:val="both"/>
      </w:pPr>
      <w:r>
        <w:rPr>
          <w:spacing w:val="-1"/>
        </w:rPr>
        <w:t>的换届选举，选举仲丽华为监事会主席，屈文洲、刘冬颖为监事。监事会的人数及人员构成符合法律、法</w:t>
      </w:r>
      <w:r>
        <w:rPr>
          <w:spacing w:val="-83"/>
        </w:rPr>
        <w:t> </w:t>
      </w:r>
      <w:r>
        <w:rPr>
          <w:spacing w:val="-83"/>
        </w:rPr>
      </w:r>
      <w:r>
        <w:rPr>
          <w:spacing w:val="-1"/>
        </w:rPr>
        <w:t>规和《公司章程》的要求。各位监事能够按照《监事会议事规则》的要求，认真履行自己的职责，对公司</w:t>
      </w:r>
      <w:r>
        <w:rPr>
          <w:spacing w:val="-85"/>
        </w:rPr>
        <w:t> </w:t>
      </w:r>
      <w:r>
        <w:rPr>
          <w:spacing w:val="-85"/>
        </w:rPr>
      </w:r>
      <w:r>
        <w:rPr/>
        <w:t>重大事项、关联交易、财务状况以及董事、高级管理人员履行职责的合法合规性进行监督。</w:t>
      </w:r>
    </w:p>
    <w:p>
      <w:pPr>
        <w:spacing w:after="0" w:line="326" w:lineRule="auto"/>
        <w:jc w:val="both"/>
        <w:sectPr>
          <w:headerReference w:type="default" r:id="rId22"/>
          <w:footerReference w:type="default" r:id="rId23"/>
          <w:pgSz w:w="11910" w:h="16840"/>
          <w:pgMar w:header="0" w:footer="0" w:top="1580" w:bottom="280" w:left="1020" w:right="920"/>
        </w:sectPr>
      </w:pPr>
    </w:p>
    <w:p>
      <w:pPr>
        <w:pStyle w:val="BodyText"/>
        <w:spacing w:line="408" w:lineRule="auto" w:before="18"/>
        <w:ind w:left="534" w:right="0"/>
        <w:jc w:val="left"/>
      </w:pPr>
      <w:bookmarkStart w:name="三、同业竞争情况" w:id="129"/>
      <w:bookmarkEnd w:id="129"/>
      <w:r>
        <w:rPr/>
      </w:r>
      <w:bookmarkStart w:name="四、报告期内召开的年度股东大会和临时股东大会的有关情况" w:id="130"/>
      <w:bookmarkEnd w:id="130"/>
      <w:r>
        <w:rPr/>
      </w:r>
      <w:bookmarkStart w:name="1、本报告期股东大会情况" w:id="131"/>
      <w:bookmarkEnd w:id="131"/>
      <w:r>
        <w:rPr/>
      </w:r>
      <w:r>
        <w:rPr>
          <w:rFonts w:ascii="Times New Roman" w:hAnsi="Times New Roman" w:cs="Times New Roman" w:eastAsia="Times New Roman" w:hint="default"/>
        </w:rPr>
        <w:t>5</w:t>
      </w:r>
      <w:r>
        <w:rPr/>
        <w:t>、关于绩效评价与激励约束机制 </w:t>
      </w:r>
      <w:r>
        <w:rPr>
          <w:spacing w:val="-1"/>
        </w:rPr>
        <w:t>公司董事会下设的薪酬与考核委员会负责对公司的董事、监事、高级管理人员进行绩效考核，建立并</w:t>
      </w:r>
    </w:p>
    <w:p>
      <w:pPr>
        <w:pStyle w:val="BodyText"/>
        <w:spacing w:line="227" w:lineRule="exact"/>
        <w:ind w:left="114" w:right="0"/>
        <w:jc w:val="left"/>
      </w:pPr>
      <w:r>
        <w:rPr/>
        <w:t>逐步完善公正透明的董事、监事和高级管理人员的绩效评价标准和激励约束机制。公司高级管理人员的聘</w:t>
      </w:r>
    </w:p>
    <w:p>
      <w:pPr>
        <w:pStyle w:val="BodyText"/>
        <w:spacing w:line="420" w:lineRule="auto" w:before="99"/>
        <w:ind w:left="534" w:right="0" w:hanging="420"/>
        <w:jc w:val="left"/>
      </w:pPr>
      <w:r>
        <w:rPr/>
        <w:t>任公开、透明，符合法律、法规的规定，现有的考核及激励约束机制符合公司的发展情况。 </w:t>
      </w:r>
      <w:r>
        <w:rPr>
          <w:rFonts w:ascii="Times New Roman" w:hAnsi="Times New Roman" w:cs="Times New Roman" w:eastAsia="Times New Roman" w:hint="default"/>
        </w:rPr>
        <w:t>6</w:t>
      </w:r>
      <w:r>
        <w:rPr/>
        <w:t>、关于相关利益者 </w:t>
      </w:r>
      <w:r>
        <w:rPr>
          <w:spacing w:val="-1"/>
        </w:rPr>
        <w:t>公司充分尊重和维护相关利益者的合法权益，实现股东、员工、社会等各方利益的协调平衡，共同推</w:t>
      </w:r>
    </w:p>
    <w:p>
      <w:pPr>
        <w:pStyle w:val="BodyText"/>
        <w:spacing w:line="217" w:lineRule="exact"/>
        <w:ind w:left="114" w:right="0"/>
        <w:jc w:val="left"/>
      </w:pPr>
      <w:r>
        <w:rPr/>
        <w:t>动公司持续、健康的发展。</w:t>
      </w:r>
    </w:p>
    <w:p>
      <w:pPr>
        <w:spacing w:line="240" w:lineRule="auto" w:before="10"/>
        <w:rPr>
          <w:rFonts w:ascii="宋体" w:hAnsi="宋体" w:cs="宋体" w:eastAsia="宋体" w:hint="default"/>
          <w:sz w:val="16"/>
          <w:szCs w:val="16"/>
        </w:rPr>
      </w:pPr>
    </w:p>
    <w:p>
      <w:pPr>
        <w:pStyle w:val="BodyText"/>
        <w:spacing w:line="408" w:lineRule="auto"/>
        <w:ind w:left="534" w:right="92"/>
        <w:jc w:val="left"/>
      </w:pPr>
      <w:r>
        <w:rPr>
          <w:rFonts w:ascii="Times New Roman" w:hAnsi="Times New Roman" w:cs="Times New Roman" w:eastAsia="Times New Roman" w:hint="default"/>
        </w:rPr>
        <w:t>7</w:t>
      </w:r>
      <w:r>
        <w:rPr/>
        <w:t>、关于信息披露与透明度 公司严格按照《上市公司信息披露管理办法》、《深圳证券交易所创业板上市公司规范运作指引》、</w:t>
      </w:r>
    </w:p>
    <w:p>
      <w:pPr>
        <w:pStyle w:val="BodyText"/>
        <w:spacing w:line="227" w:lineRule="exact"/>
        <w:ind w:left="114" w:right="0"/>
        <w:jc w:val="left"/>
      </w:pPr>
      <w:r>
        <w:rPr/>
        <w:t>公司的《信息披露管理制度》等相关法律、法规和规范性文件的要求，真实、准确、完整、及时、公平地</w:t>
      </w:r>
    </w:p>
    <w:p>
      <w:pPr>
        <w:pStyle w:val="BodyText"/>
        <w:spacing w:line="321" w:lineRule="auto" w:before="99"/>
        <w:ind w:left="113" w:right="131"/>
        <w:jc w:val="both"/>
      </w:pPr>
      <w:r>
        <w:rPr>
          <w:spacing w:val="-1"/>
        </w:rPr>
        <w:t>披露有关信息，指定公司董事会秘书负责信息披露工作，协调公司与投资者的关系，接待股东来访、机构</w:t>
      </w:r>
      <w:r>
        <w:rPr>
          <w:spacing w:val="-86"/>
        </w:rPr>
        <w:t> </w:t>
      </w:r>
      <w:r>
        <w:rPr>
          <w:spacing w:val="-86"/>
        </w:rPr>
      </w:r>
      <w:r>
        <w:rPr>
          <w:spacing w:val="-5"/>
        </w:rPr>
        <w:t>调研，回答投资者的咨询，向投资者提供公司已披露的资料；并指定《证券时报》、《中国证券报》、《证</w:t>
      </w:r>
      <w:r>
        <w:rPr>
          <w:spacing w:val="-103"/>
        </w:rPr>
        <w:t> </w:t>
      </w:r>
      <w:r>
        <w:rPr>
          <w:spacing w:val="-103"/>
        </w:rPr>
      </w:r>
      <w:r>
        <w:rPr>
          <w:spacing w:val="-2"/>
        </w:rPr>
        <w:t>券日报》、《上海证券报》和中国证监会创业板指定信息披露网站（巨潮资讯网</w:t>
      </w:r>
      <w:hyperlink r:id="rId11">
        <w:r>
          <w:rPr>
            <w:rFonts w:ascii="Times New Roman" w:hAnsi="Times New Roman" w:cs="Times New Roman" w:eastAsia="Times New Roman" w:hint="default"/>
            <w:spacing w:val="-2"/>
          </w:rPr>
          <w:t>www.cninfo.com.cn</w:t>
        </w:r>
      </w:hyperlink>
      <w:r>
        <w:rPr>
          <w:spacing w:val="-2"/>
        </w:rPr>
        <w:t>）为公</w:t>
      </w:r>
      <w:r>
        <w:rPr>
          <w:spacing w:val="-75"/>
        </w:rPr>
        <w:t> </w:t>
      </w:r>
      <w:r>
        <w:rPr/>
        <w:t>司定期报告披露的指定报刊和网站，确保公司所有投资者能够平等地获得信息。</w:t>
      </w:r>
    </w:p>
    <w:p>
      <w:pPr>
        <w:pStyle w:val="BodyText"/>
        <w:spacing w:line="240" w:lineRule="auto" w:before="148"/>
        <w:ind w:left="533" w:right="0"/>
        <w:jc w:val="left"/>
      </w:pPr>
      <w:r>
        <w:rPr/>
        <w:t>公司治理的实际状况与中国证监会发布的有关上市公司治理的规范性文件是否存在重大差异</w:t>
      </w:r>
    </w:p>
    <w:p>
      <w:pPr>
        <w:spacing w:line="240" w:lineRule="auto" w:before="10"/>
        <w:rPr>
          <w:rFonts w:ascii="宋体" w:hAnsi="宋体" w:cs="宋体" w:eastAsia="宋体" w:hint="default"/>
          <w:sz w:val="16"/>
          <w:szCs w:val="16"/>
        </w:rPr>
      </w:pPr>
    </w:p>
    <w:p>
      <w:pPr>
        <w:pStyle w:val="BodyText"/>
        <w:spacing w:line="408" w:lineRule="auto"/>
        <w:ind w:left="534" w:right="93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5"/>
          <w:szCs w:val="15"/>
        </w:rPr>
      </w:pPr>
    </w:p>
    <w:p>
      <w:pPr>
        <w:pStyle w:val="Heading2"/>
        <w:spacing w:line="240" w:lineRule="auto"/>
        <w:ind w:left="114" w:right="0"/>
        <w:jc w:val="left"/>
        <w:rPr>
          <w:b w:val="0"/>
          <w:bCs w:val="0"/>
        </w:rPr>
      </w:pPr>
      <w:r>
        <w:rPr/>
        <w:t>二、公司相对于控股股东在业务、人员、资产、机构、财务等方面的独</w:t>
      </w:r>
      <w:bookmarkStart w:name="二、公司相对于控股股东在业务、人员、资产、机构、财务等方面的独立情况" w:id="132"/>
      <w:bookmarkEnd w:id="132"/>
      <w:r>
        <w:rPr/>
        <w:t>立情况</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14" w:right="110" w:firstLine="420"/>
        <w:jc w:val="both"/>
      </w:pPr>
      <w:r>
        <w:rPr/>
        <w:t>公司控股股东为自然人，公司在业务、人员、资产、机构、财务等方面能够独立保持自主经营能力。 </w:t>
      </w:r>
      <w:r>
        <w:rPr>
          <w:spacing w:val="-1"/>
        </w:rPr>
        <w:t>公司控股股东严格遵守相关法律法规，严格规范自己的行为，没有发生超越股东大会直接或间接干预公司</w:t>
      </w:r>
      <w:r>
        <w:rPr>
          <w:spacing w:val="-81"/>
        </w:rPr>
        <w:t> </w:t>
      </w:r>
      <w:r>
        <w:rPr>
          <w:spacing w:val="-81"/>
        </w:rPr>
      </w:r>
      <w:r>
        <w:rPr/>
        <w:t>的经营活动和公司决策的情况。</w:t>
      </w:r>
    </w:p>
    <w:p>
      <w:pPr>
        <w:spacing w:line="240" w:lineRule="auto" w:before="9"/>
        <w:rPr>
          <w:rFonts w:ascii="宋体" w:hAnsi="宋体" w:cs="宋体" w:eastAsia="宋体" w:hint="default"/>
          <w:sz w:val="20"/>
          <w:szCs w:val="20"/>
        </w:rPr>
      </w:pPr>
    </w:p>
    <w:p>
      <w:pPr>
        <w:pStyle w:val="Heading2"/>
        <w:spacing w:line="240" w:lineRule="auto"/>
        <w:ind w:left="114" w:right="0"/>
        <w:jc w:val="left"/>
        <w:rPr>
          <w:b w:val="0"/>
          <w:bCs w:val="0"/>
        </w:rPr>
      </w:pPr>
      <w:r>
        <w:rPr/>
        <w:t>三、同业竞争情况</w:t>
      </w:r>
      <w:r>
        <w:rPr>
          <w:b w:val="0"/>
          <w:bCs w:val="0"/>
        </w:rPr>
      </w:r>
    </w:p>
    <w:p>
      <w:pPr>
        <w:spacing w:line="240" w:lineRule="auto" w:before="12"/>
        <w:rPr>
          <w:rFonts w:ascii="宋体" w:hAnsi="宋体" w:cs="宋体" w:eastAsia="宋体" w:hint="default"/>
          <w:b/>
          <w:bCs/>
          <w:sz w:val="26"/>
          <w:szCs w:val="26"/>
        </w:rPr>
      </w:pPr>
    </w:p>
    <w:p>
      <w:pPr>
        <w:spacing w:line="499" w:lineRule="auto" w:before="0"/>
        <w:ind w:left="114" w:right="324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不适用 </w:t>
      </w:r>
      <w:r>
        <w:rPr>
          <w:rFonts w:ascii="宋体" w:hAnsi="宋体" w:cs="宋体" w:eastAsia="宋体" w:hint="default"/>
          <w:b/>
          <w:bCs/>
          <w:sz w:val="24"/>
          <w:szCs w:val="24"/>
        </w:rPr>
        <w:t>四、报告期内召开的年度股东大会和临时股东大会的有关情况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596"/>
        <w:gridCol w:w="1240"/>
        <w:gridCol w:w="851"/>
        <w:gridCol w:w="1276"/>
        <w:gridCol w:w="1417"/>
        <w:gridCol w:w="3187"/>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4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49"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2"/>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0.08%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年年度股东大会决议公告》（公告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2015-25</w:t>
            </w:r>
            <w:r>
              <w:rPr>
                <w:rFonts w:ascii="宋体" w:hAnsi="宋体" w:cs="宋体" w:eastAsia="宋体" w:hint="default"/>
                <w:sz w:val="18"/>
                <w:szCs w:val="18"/>
              </w:rPr>
              <w:t>）披露在巨潮资讯网上</w:t>
            </w:r>
          </w:p>
        </w:tc>
      </w:tr>
    </w:tbl>
    <w:p>
      <w:pPr>
        <w:spacing w:after="0" w:line="300" w:lineRule="auto"/>
        <w:jc w:val="left"/>
        <w:rPr>
          <w:rFonts w:ascii="宋体" w:hAnsi="宋体" w:cs="宋体" w:eastAsia="宋体" w:hint="default"/>
          <w:sz w:val="18"/>
          <w:szCs w:val="18"/>
        </w:rPr>
        <w:sectPr>
          <w:headerReference w:type="default" r:id="rId24"/>
          <w:footerReference w:type="default" r:id="rId25"/>
          <w:pgSz w:w="11910" w:h="16840"/>
          <w:pgMar w:header="0" w:footer="0" w:top="1420" w:bottom="280" w:left="1020" w:right="1000"/>
        </w:sectPr>
      </w:pPr>
    </w:p>
    <w:p>
      <w:pPr>
        <w:spacing w:line="240" w:lineRule="auto" w:before="3"/>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596"/>
        <w:gridCol w:w="1240"/>
        <w:gridCol w:w="851"/>
        <w:gridCol w:w="1276"/>
        <w:gridCol w:w="1417"/>
        <w:gridCol w:w="3187"/>
      </w:tblGrid>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年第一次临时</w:t>
            </w:r>
            <w:r>
              <w:rPr>
                <w:rFonts w:ascii="宋体" w:hAnsi="宋体" w:cs="宋体" w:eastAsia="宋体" w:hint="default"/>
                <w:spacing w:val="1"/>
                <w:sz w:val="18"/>
                <w:szCs w:val="18"/>
              </w:rPr>
              <w:t> </w:t>
            </w:r>
            <w:r>
              <w:rPr>
                <w:rFonts w:ascii="宋体" w:hAnsi="宋体" w:cs="宋体" w:eastAsia="宋体" w:hint="default"/>
                <w:sz w:val="18"/>
                <w:szCs w:val="18"/>
              </w:rPr>
              <w:t>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pacing w:val="11"/>
                <w:sz w:val="18"/>
                <w:szCs w:val="18"/>
              </w:rPr>
              <w:t>年第一次临时股东大会决议公</w:t>
            </w:r>
            <w:r>
              <w:rPr>
                <w:rFonts w:ascii="宋体" w:hAnsi="宋体" w:cs="宋体" w:eastAsia="宋体" w:hint="default"/>
                <w:spacing w:val="12"/>
                <w:sz w:val="18"/>
                <w:szCs w:val="18"/>
              </w:rPr>
              <w:t> </w:t>
            </w:r>
            <w:r>
              <w:rPr>
                <w:rFonts w:ascii="宋体" w:hAnsi="宋体" w:cs="宋体" w:eastAsia="宋体" w:hint="default"/>
                <w:spacing w:val="-8"/>
                <w:sz w:val="18"/>
                <w:szCs w:val="18"/>
              </w:rPr>
              <w:t>告》（公告编号：</w:t>
            </w:r>
            <w:r>
              <w:rPr>
                <w:rFonts w:ascii="Times New Roman" w:hAnsi="Times New Roman" w:cs="Times New Roman" w:eastAsia="Times New Roman" w:hint="default"/>
                <w:spacing w:val="-8"/>
                <w:sz w:val="18"/>
                <w:szCs w:val="18"/>
              </w:rPr>
              <w:t>2015-77</w:t>
            </w:r>
            <w:r>
              <w:rPr>
                <w:rFonts w:ascii="宋体" w:hAnsi="宋体" w:cs="宋体" w:eastAsia="宋体" w:hint="default"/>
                <w:spacing w:val="-8"/>
                <w:sz w:val="18"/>
                <w:szCs w:val="18"/>
              </w:rPr>
              <w:t>）披露在巨潮资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讯网上</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w:t>
            </w:r>
            <w:r>
              <w:rPr>
                <w:rFonts w:ascii="宋体" w:hAnsi="宋体" w:cs="宋体" w:eastAsia="宋体" w:hint="default"/>
                <w:spacing w:val="1"/>
                <w:sz w:val="18"/>
                <w:szCs w:val="18"/>
              </w:rPr>
              <w:t> </w:t>
            </w:r>
            <w:r>
              <w:rPr>
                <w:rFonts w:ascii="宋体" w:hAnsi="宋体" w:cs="宋体" w:eastAsia="宋体" w:hint="default"/>
                <w:sz w:val="18"/>
                <w:szCs w:val="18"/>
              </w:rPr>
              <w:t>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pacing w:val="11"/>
                <w:sz w:val="18"/>
                <w:szCs w:val="18"/>
              </w:rPr>
              <w:t>年第二次临时股东大会决议公</w:t>
            </w:r>
            <w:r>
              <w:rPr>
                <w:rFonts w:ascii="宋体" w:hAnsi="宋体" w:cs="宋体" w:eastAsia="宋体" w:hint="default"/>
                <w:spacing w:val="12"/>
                <w:sz w:val="18"/>
                <w:szCs w:val="18"/>
              </w:rPr>
              <w:t> </w:t>
            </w:r>
            <w:r>
              <w:rPr>
                <w:rFonts w:ascii="宋体" w:hAnsi="宋体" w:cs="宋体" w:eastAsia="宋体" w:hint="default"/>
                <w:spacing w:val="-4"/>
                <w:sz w:val="18"/>
                <w:szCs w:val="18"/>
              </w:rPr>
              <w:t>告》（公告编号：</w:t>
            </w:r>
            <w:r>
              <w:rPr>
                <w:rFonts w:ascii="Times New Roman" w:hAnsi="Times New Roman" w:cs="Times New Roman" w:eastAsia="Times New Roman" w:hint="default"/>
                <w:spacing w:val="-4"/>
                <w:sz w:val="18"/>
                <w:szCs w:val="18"/>
              </w:rPr>
              <w:t>2015-109</w:t>
            </w:r>
            <w:r>
              <w:rPr>
                <w:rFonts w:ascii="宋体" w:hAnsi="宋体" w:cs="宋体" w:eastAsia="宋体" w:hint="default"/>
                <w:spacing w:val="-4"/>
                <w:sz w:val="18"/>
                <w:szCs w:val="18"/>
              </w:rPr>
              <w:t>）披露在巨潮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资讯网上</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年第三次临时</w:t>
            </w:r>
            <w:r>
              <w:rPr>
                <w:rFonts w:ascii="宋体" w:hAnsi="宋体" w:cs="宋体" w:eastAsia="宋体" w:hint="default"/>
                <w:spacing w:val="1"/>
                <w:sz w:val="18"/>
                <w:szCs w:val="18"/>
              </w:rPr>
              <w:t> </w:t>
            </w:r>
            <w:r>
              <w:rPr>
                <w:rFonts w:ascii="宋体" w:hAnsi="宋体" w:cs="宋体" w:eastAsia="宋体" w:hint="default"/>
                <w:sz w:val="18"/>
                <w:szCs w:val="18"/>
              </w:rPr>
              <w:t>股东大会</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2015</w:t>
            </w:r>
            <w:r>
              <w:rPr>
                <w:rFonts w:ascii="Times New Roman" w:hAnsi="Times New Roman" w:cs="Times New Roman" w:eastAsia="Times New Roman" w:hint="default"/>
                <w:spacing w:val="14"/>
                <w:sz w:val="18"/>
                <w:szCs w:val="18"/>
              </w:rPr>
              <w:t> </w:t>
            </w:r>
            <w:r>
              <w:rPr>
                <w:rFonts w:ascii="宋体" w:hAnsi="宋体" w:cs="宋体" w:eastAsia="宋体" w:hint="default"/>
                <w:spacing w:val="11"/>
                <w:sz w:val="18"/>
                <w:szCs w:val="18"/>
              </w:rPr>
              <w:t>年第三次临时股东大会决议公</w:t>
            </w:r>
            <w:r>
              <w:rPr>
                <w:rFonts w:ascii="宋体" w:hAnsi="宋体" w:cs="宋体" w:eastAsia="宋体" w:hint="default"/>
                <w:spacing w:val="12"/>
                <w:sz w:val="18"/>
                <w:szCs w:val="18"/>
              </w:rPr>
              <w:t> </w:t>
            </w:r>
            <w:r>
              <w:rPr>
                <w:rFonts w:ascii="宋体" w:hAnsi="宋体" w:cs="宋体" w:eastAsia="宋体" w:hint="default"/>
                <w:spacing w:val="-4"/>
                <w:sz w:val="18"/>
                <w:szCs w:val="18"/>
              </w:rPr>
              <w:t>告》（公告编号：</w:t>
            </w:r>
            <w:r>
              <w:rPr>
                <w:rFonts w:ascii="Times New Roman" w:hAnsi="Times New Roman" w:cs="Times New Roman" w:eastAsia="Times New Roman" w:hint="default"/>
                <w:spacing w:val="-4"/>
                <w:sz w:val="18"/>
                <w:szCs w:val="18"/>
              </w:rPr>
              <w:t>2015-115</w:t>
            </w:r>
            <w:r>
              <w:rPr>
                <w:rFonts w:ascii="宋体" w:hAnsi="宋体" w:cs="宋体" w:eastAsia="宋体" w:hint="default"/>
                <w:spacing w:val="-4"/>
                <w:sz w:val="18"/>
                <w:szCs w:val="18"/>
              </w:rPr>
              <w:t>）披露在巨潮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资讯网上</w:t>
            </w:r>
          </w:p>
        </w:tc>
      </w:tr>
    </w:tbl>
    <w:p>
      <w:pPr>
        <w:spacing w:line="240" w:lineRule="auto" w:before="2"/>
        <w:rPr>
          <w:rFonts w:ascii="宋体" w:hAnsi="宋体" w:cs="宋体" w:eastAsia="宋体" w:hint="default"/>
          <w:b/>
          <w:bCs/>
          <w:sz w:val="19"/>
          <w:szCs w:val="19"/>
        </w:rPr>
      </w:pPr>
    </w:p>
    <w:p>
      <w:pPr>
        <w:pStyle w:val="Heading4"/>
        <w:spacing w:line="240" w:lineRule="auto" w:before="35"/>
        <w:ind w:left="114" w:right="4842"/>
        <w:jc w:val="left"/>
        <w:rPr>
          <w:b w:val="0"/>
          <w:bCs w:val="0"/>
        </w:rPr>
      </w:pPr>
      <w:bookmarkStart w:name="2、独立董事对公司有关事项提出异议的情况" w:id="133"/>
      <w:bookmarkEnd w:id="133"/>
      <w:r>
        <w:rPr>
          <w:b w:val="0"/>
          <w:bCs w:val="0"/>
        </w:rPr>
      </w:r>
      <w:bookmarkStart w:name="3、独立董事履行职责的其他说明" w:id="134"/>
      <w:bookmarkEnd w:id="134"/>
      <w:r>
        <w:rPr>
          <w:b w:val="0"/>
          <w:bCs w:val="0"/>
        </w:rPr>
      </w:r>
      <w:r>
        <w:rPr>
          <w:rFonts w:ascii="Times New Roman" w:hAnsi="Times New Roman" w:cs="Times New Roman" w:eastAsia="Times New Roman" w:hint="default"/>
        </w:rPr>
        <w:t>2</w:t>
      </w:r>
      <w:r>
        <w:rPr/>
        <w:t>、表决权恢复的优先股股</w:t>
      </w:r>
      <w:bookmarkStart w:name="2、表决权恢复的优先股股东请求召开临时股东大会" w:id="135"/>
      <w:bookmarkEnd w:id="135"/>
      <w:r>
        <w:rPr/>
        <w:t>东请求召</w:t>
      </w:r>
      <w:r>
        <w:rPr/>
        <w:t>开临时股东大会</w:t>
      </w:r>
      <w:r>
        <w:rPr>
          <w:b w:val="0"/>
          <w:bCs w:val="0"/>
        </w:rPr>
      </w:r>
    </w:p>
    <w:p>
      <w:pPr>
        <w:spacing w:line="240" w:lineRule="auto" w:before="12"/>
        <w:rPr>
          <w:rFonts w:ascii="宋体" w:hAnsi="宋体" w:cs="宋体" w:eastAsia="宋体" w:hint="default"/>
          <w:b/>
          <w:bCs/>
          <w:sz w:val="26"/>
          <w:szCs w:val="26"/>
        </w:rPr>
      </w:pPr>
    </w:p>
    <w:p>
      <w:pPr>
        <w:spacing w:line="499" w:lineRule="auto" w:before="0"/>
        <w:ind w:left="114" w:right="5576"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不适用 </w:t>
      </w:r>
      <w:r>
        <w:rPr>
          <w:rFonts w:ascii="宋体" w:hAnsi="宋体" w:cs="宋体" w:eastAsia="宋体" w:hint="default"/>
          <w:b/>
          <w:bCs/>
          <w:sz w:val="24"/>
          <w:szCs w:val="24"/>
        </w:rPr>
        <w:t>五、报告期内独立董事履行职责的情况</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8"/>
        <w:rPr>
          <w:rFonts w:ascii="宋体" w:hAnsi="宋体" w:cs="宋体" w:eastAsia="宋体" w:hint="default"/>
          <w:b/>
          <w:bCs/>
          <w:sz w:val="6"/>
          <w:szCs w:val="6"/>
        </w:rPr>
      </w:pPr>
    </w:p>
    <w:tbl>
      <w:tblPr>
        <w:tblW w:w="0" w:type="auto"/>
        <w:jc w:val="left"/>
        <w:tblInd w:w="10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bookmarkStart w:name="五、报告期内独立董事履行职责的情况" w:id="136"/>
            <w:bookmarkEnd w:id="136"/>
            <w:r>
              <w:rPr/>
            </w:r>
            <w:bookmarkStart w:name="1、独立董事出席董事会及股东大会的情况" w:id="137"/>
            <w:bookmarkEnd w:id="137"/>
            <w:r>
              <w:rPr/>
            </w: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陈少华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陈汉文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郭东辉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廖明宏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卢永华</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曲晓辉</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line="240" w:lineRule="auto" w:before="10"/>
        <w:rPr>
          <w:rFonts w:ascii="宋体" w:hAnsi="宋体" w:cs="宋体" w:eastAsia="宋体" w:hint="default"/>
          <w:b/>
          <w:bCs/>
          <w:sz w:val="7"/>
          <w:szCs w:val="7"/>
        </w:rPr>
      </w:pPr>
    </w:p>
    <w:p>
      <w:pPr>
        <w:pStyle w:val="BodyText"/>
        <w:spacing w:line="240" w:lineRule="auto" w:before="35"/>
        <w:ind w:left="534" w:right="4842"/>
        <w:jc w:val="left"/>
      </w:pPr>
      <w:r>
        <w:rPr/>
        <w:t>连续两次未亲自出席董事会的说明：不适用</w:t>
      </w:r>
    </w:p>
    <w:p>
      <w:pPr>
        <w:spacing w:line="620" w:lineRule="atLeast" w:before="40"/>
        <w:ind w:left="534" w:right="556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
          <w:w w:val="99"/>
          <w:sz w:val="21"/>
          <w:szCs w:val="21"/>
        </w:rPr>
        <w:t> </w:t>
      </w:r>
      <w:r>
        <w:rPr>
          <w:rFonts w:ascii="宋体" w:hAnsi="宋体" w:cs="宋体" w:eastAsia="宋体" w:hint="default"/>
          <w:sz w:val="21"/>
          <w:szCs w:val="21"/>
        </w:rPr>
        <w:t>独立董事对公司有关事项是否提出异议</w:t>
      </w:r>
    </w:p>
    <w:p>
      <w:pPr>
        <w:spacing w:line="240" w:lineRule="auto" w:before="10"/>
        <w:rPr>
          <w:rFonts w:ascii="宋体" w:hAnsi="宋体" w:cs="宋体" w:eastAsia="宋体" w:hint="default"/>
          <w:sz w:val="16"/>
          <w:szCs w:val="16"/>
        </w:rPr>
      </w:pPr>
    </w:p>
    <w:p>
      <w:pPr>
        <w:pStyle w:val="BodyText"/>
        <w:spacing w:line="408" w:lineRule="auto"/>
        <w:ind w:left="534" w:right="484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报告期内独立董事对公司有关事项未提出异议。</w:t>
      </w:r>
    </w:p>
    <w:p>
      <w:pPr>
        <w:spacing w:line="240" w:lineRule="auto" w:before="0"/>
        <w:rPr>
          <w:rFonts w:ascii="宋体" w:hAnsi="宋体" w:cs="宋体" w:eastAsia="宋体" w:hint="default"/>
          <w:sz w:val="17"/>
          <w:szCs w:val="17"/>
        </w:rPr>
      </w:pPr>
    </w:p>
    <w:p>
      <w:pPr>
        <w:spacing w:line="530" w:lineRule="auto" w:before="0"/>
        <w:ind w:left="534" w:right="58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b/>
          <w:bCs/>
          <w:spacing w:val="1"/>
          <w:w w:val="99"/>
          <w:sz w:val="21"/>
          <w:szCs w:val="21"/>
        </w:rPr>
        <w:t> </w:t>
      </w:r>
      <w:r>
        <w:rPr>
          <w:rFonts w:ascii="宋体" w:hAnsi="宋体" w:cs="宋体" w:eastAsia="宋体" w:hint="default"/>
          <w:sz w:val="21"/>
          <w:szCs w:val="21"/>
        </w:rPr>
        <w:t>独立董事对公司有关建议是否被采纳</w:t>
      </w:r>
    </w:p>
    <w:p>
      <w:pPr>
        <w:spacing w:after="0" w:line="530" w:lineRule="auto"/>
        <w:jc w:val="left"/>
        <w:rPr>
          <w:rFonts w:ascii="宋体" w:hAnsi="宋体" w:cs="宋体" w:eastAsia="宋体" w:hint="default"/>
          <w:sz w:val="21"/>
          <w:szCs w:val="21"/>
        </w:rPr>
        <w:sectPr>
          <w:headerReference w:type="default" r:id="rId26"/>
          <w:footerReference w:type="default" r:id="rId27"/>
          <w:pgSz w:w="11910" w:h="16840"/>
          <w:pgMar w:header="0" w:footer="0" w:top="1340" w:bottom="280" w:left="1020" w:right="1080"/>
        </w:sectPr>
      </w:pPr>
    </w:p>
    <w:p>
      <w:pPr>
        <w:pStyle w:val="BodyText"/>
        <w:spacing w:line="408" w:lineRule="auto" w:before="18"/>
        <w:ind w:left="534" w:right="4582"/>
        <w:jc w:val="left"/>
      </w:pPr>
      <w:bookmarkStart w:name="七、监事会工作情况" w:id="138"/>
      <w:bookmarkEnd w:id="138"/>
      <w:r>
        <w:rPr/>
      </w: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独立董事对公司有关建议被采纳或未被采纳的说明：</w:t>
      </w:r>
    </w:p>
    <w:p>
      <w:pPr>
        <w:pStyle w:val="BodyText"/>
        <w:spacing w:line="326" w:lineRule="auto" w:before="72"/>
        <w:ind w:left="114" w:right="103" w:firstLine="420"/>
        <w:jc w:val="left"/>
      </w:pPr>
      <w:r>
        <w:rPr/>
        <w:t>报告期内，公司独立董事根据《公司法》、《证券法》、《深圳证券交易所创业板上市公司规范运作 指引》、《深圳证券交易所创业板股票上市规则》、《关于在上市公司建立独立董事制度的指导意见》等 有关法律法规及《公司章程》、《独立董事制度》的有关要求，勤勉尽责，积极利用参加股东大会、董事 </w:t>
      </w:r>
      <w:r>
        <w:rPr>
          <w:spacing w:val="-3"/>
        </w:rPr>
        <w:t>会的机会，结合自身的专业特长，对公司的制度完善和日常经营决策等方面提出了很多宝贵的专业性建议，</w:t>
      </w:r>
      <w:r>
        <w:rPr>
          <w:spacing w:val="-92"/>
        </w:rPr>
        <w:t> </w:t>
      </w:r>
      <w:r>
        <w:rPr>
          <w:spacing w:val="-92"/>
        </w:rPr>
      </w:r>
      <w:r>
        <w:rPr/>
        <w:t>对报告期内公司发生的利润分配、聘请年报财务审计机构、公司关联交易事项、对外投资等事项发表了独</w:t>
      </w:r>
      <w:r>
        <w:rPr/>
        <w:t> 立、公正的意见，为完善公司监督机制，维护公司和全体股东的合法权益起到了应有的作用。</w:t>
      </w:r>
    </w:p>
    <w:p>
      <w:pPr>
        <w:spacing w:line="240" w:lineRule="auto" w:before="9"/>
        <w:rPr>
          <w:rFonts w:ascii="宋体" w:hAnsi="宋体" w:cs="宋体" w:eastAsia="宋体" w:hint="default"/>
          <w:sz w:val="20"/>
          <w:szCs w:val="20"/>
        </w:rPr>
      </w:pPr>
    </w:p>
    <w:p>
      <w:pPr>
        <w:pStyle w:val="Heading2"/>
        <w:spacing w:line="240" w:lineRule="auto"/>
        <w:ind w:left="114" w:right="103"/>
        <w:jc w:val="left"/>
        <w:rPr>
          <w:b w:val="0"/>
          <w:bCs w:val="0"/>
        </w:rPr>
      </w:pPr>
      <w:r>
        <w:rPr/>
        <w:t>六、董事会下设专门委员</w:t>
      </w:r>
      <w:bookmarkStart w:name="六、董事会下设专门委员会在报告期内履行职责情况" w:id="139"/>
      <w:bookmarkEnd w:id="139"/>
      <w:r>
        <w:rPr/>
        <w:t>会在报告</w:t>
      </w:r>
      <w:r>
        <w:rPr/>
        <w:t>期内履行职责情况</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14" w:right="103" w:firstLine="420"/>
        <w:jc w:val="left"/>
      </w:pPr>
      <w:r>
        <w:rPr>
          <w:spacing w:val="-1"/>
        </w:rPr>
        <w:t>公司董事会下设审计委员会、战略委员会、薪酬与考核委员会及提名委员会。各专门委员会在报告期</w:t>
      </w:r>
      <w:r>
        <w:rPr/>
        <w:t> 内的履职情况如下：</w:t>
      </w:r>
    </w:p>
    <w:p>
      <w:pPr>
        <w:pStyle w:val="BodyText"/>
        <w:spacing w:line="408" w:lineRule="auto" w:before="144"/>
        <w:ind w:left="533" w:right="10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审计委员会的履职情况：</w:t>
      </w:r>
      <w:r>
        <w:rPr>
          <w:w w:val="99"/>
        </w:rPr>
        <w:t> </w:t>
      </w:r>
      <w:r>
        <w:rPr>
          <w:spacing w:val="-1"/>
        </w:rPr>
        <w:t>报告期内，公司审计委员会严格按照《董事会审计委员会工作细则》的相关要求，共召开审计委员会</w:t>
      </w:r>
    </w:p>
    <w:p>
      <w:pPr>
        <w:pStyle w:val="BodyText"/>
        <w:spacing w:line="227" w:lineRule="exact"/>
        <w:ind w:left="113" w:right="103"/>
        <w:jc w:val="left"/>
      </w:pPr>
      <w:r>
        <w:rPr/>
        <w:t>会议四次，对公司全年生产经营情况、内控制度体系建立情况、财务信息等进行了审核和监督，与审计会</w:t>
      </w:r>
    </w:p>
    <w:p>
      <w:pPr>
        <w:pStyle w:val="BodyText"/>
        <w:spacing w:line="326" w:lineRule="auto" w:before="99"/>
        <w:ind w:left="113" w:right="103"/>
        <w:jc w:val="left"/>
      </w:pPr>
      <w:r>
        <w:rPr>
          <w:spacing w:val="-1"/>
        </w:rPr>
        <w:t>计师进行沟通，制定年度审计计划并对年度审计工作进行安排，并就审计过程中发现的问题与相关人员进</w:t>
      </w:r>
      <w:r>
        <w:rPr>
          <w:spacing w:val="-81"/>
        </w:rPr>
        <w:t> </w:t>
      </w:r>
      <w:r>
        <w:rPr>
          <w:spacing w:val="-81"/>
        </w:rPr>
      </w:r>
      <w:r>
        <w:rPr/>
        <w:t>行有效沟通。同时，审议内审中心提交的年度审计计划及总结，切实履行了审计委员会工作职责。</w:t>
      </w:r>
    </w:p>
    <w:p>
      <w:pPr>
        <w:pStyle w:val="BodyText"/>
        <w:spacing w:line="408" w:lineRule="auto" w:before="144"/>
        <w:ind w:left="533" w:right="103" w:firstLine="105"/>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战略委员会履职情况：</w:t>
      </w:r>
      <w:r>
        <w:rPr>
          <w:w w:val="99"/>
        </w:rPr>
        <w:t> </w:t>
      </w:r>
      <w:r>
        <w:rPr>
          <w:spacing w:val="-1"/>
        </w:rPr>
        <w:t>报告期内，公司战略委员会严格按照《董事会战略委员会工作细则》的相关要求，共召开战略委员会</w:t>
      </w:r>
    </w:p>
    <w:p>
      <w:pPr>
        <w:pStyle w:val="BodyText"/>
        <w:spacing w:line="227" w:lineRule="exact"/>
        <w:ind w:left="113" w:right="103"/>
        <w:jc w:val="left"/>
      </w:pPr>
      <w:r>
        <w:rPr/>
        <w:t>会议五次，结合公司所处行业发展情况及公司自身发展状况，对公司长期发展战略和重大投资决策进行审</w:t>
      </w:r>
    </w:p>
    <w:p>
      <w:pPr>
        <w:pStyle w:val="BodyText"/>
        <w:spacing w:line="240" w:lineRule="auto" w:before="99"/>
        <w:ind w:left="113" w:right="103"/>
        <w:jc w:val="left"/>
      </w:pPr>
      <w:r>
        <w:rPr/>
        <w:t>议并提出建议。</w:t>
      </w:r>
    </w:p>
    <w:p>
      <w:pPr>
        <w:spacing w:line="240" w:lineRule="auto" w:before="10"/>
        <w:rPr>
          <w:rFonts w:ascii="宋体" w:hAnsi="宋体" w:cs="宋体" w:eastAsia="宋体" w:hint="default"/>
          <w:sz w:val="16"/>
          <w:szCs w:val="16"/>
        </w:rPr>
      </w:pPr>
    </w:p>
    <w:p>
      <w:pPr>
        <w:pStyle w:val="BodyText"/>
        <w:spacing w:line="408" w:lineRule="auto"/>
        <w:ind w:left="533" w:right="103" w:firstLine="105"/>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薪酬与考核委员会履职情况：</w:t>
      </w:r>
      <w:r>
        <w:rPr>
          <w:w w:val="99"/>
        </w:rPr>
        <w:t> </w:t>
      </w:r>
      <w:r>
        <w:rPr>
          <w:spacing w:val="-1"/>
        </w:rPr>
        <w:t>报告期内，薪酬与考核委员会严格按照《董事会薪酬与考核委员会工作细则》的相关要求，共召开薪</w:t>
      </w:r>
    </w:p>
    <w:p>
      <w:pPr>
        <w:pStyle w:val="BodyText"/>
        <w:spacing w:line="243" w:lineRule="exact"/>
        <w:ind w:left="113" w:right="103"/>
        <w:jc w:val="left"/>
      </w:pPr>
      <w:r>
        <w:rPr/>
        <w:t>酬与考核委员会会议三次，对公司内部董事、职工代表监事和高级管理人员</w:t>
      </w:r>
      <w:r>
        <w:rPr>
          <w:rFonts w:ascii="Times New Roman" w:hAnsi="Times New Roman" w:cs="Times New Roman" w:eastAsia="Times New Roman" w:hint="default"/>
        </w:rPr>
        <w:t>2014</w:t>
      </w:r>
      <w:r>
        <w:rPr/>
        <w:t>年度的履职情况、第三期</w:t>
      </w:r>
    </w:p>
    <w:p>
      <w:pPr>
        <w:pStyle w:val="BodyText"/>
        <w:spacing w:line="240" w:lineRule="auto" w:before="83"/>
        <w:ind w:left="113" w:right="103"/>
        <w:jc w:val="left"/>
      </w:pPr>
      <w:r>
        <w:rPr/>
        <w:t>限制性股票解锁事项进行审查并提出建议，切实履行薪酬与考核委员会的职能。</w:t>
      </w:r>
    </w:p>
    <w:p>
      <w:pPr>
        <w:spacing w:line="240" w:lineRule="auto" w:before="10"/>
        <w:rPr>
          <w:rFonts w:ascii="宋体" w:hAnsi="宋体" w:cs="宋体" w:eastAsia="宋体" w:hint="default"/>
          <w:sz w:val="16"/>
          <w:szCs w:val="16"/>
        </w:rPr>
      </w:pPr>
    </w:p>
    <w:p>
      <w:pPr>
        <w:pStyle w:val="BodyText"/>
        <w:spacing w:line="408" w:lineRule="auto"/>
        <w:ind w:left="533" w:right="98"/>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提名委员会履职情况：</w:t>
      </w:r>
      <w:r>
        <w:rPr>
          <w:w w:val="99"/>
        </w:rPr>
        <w:t> </w:t>
      </w:r>
      <w:r>
        <w:rPr>
          <w:spacing w:val="-3"/>
        </w:rPr>
        <w:t>报告期内，提名委员会严格按照《董事会提名委员会工作细则》的相关要求召开专业委员会会议一次，</w:t>
      </w:r>
    </w:p>
    <w:p>
      <w:pPr>
        <w:pStyle w:val="BodyText"/>
        <w:spacing w:line="227" w:lineRule="exact"/>
        <w:ind w:left="113" w:right="103"/>
        <w:jc w:val="left"/>
      </w:pPr>
      <w:r>
        <w:rPr/>
        <w:t>选举提名委员会会议召集人。</w:t>
      </w:r>
    </w:p>
    <w:p>
      <w:pPr>
        <w:spacing w:line="240" w:lineRule="auto" w:before="7"/>
        <w:rPr>
          <w:rFonts w:ascii="宋体" w:hAnsi="宋体" w:cs="宋体" w:eastAsia="宋体" w:hint="default"/>
          <w:sz w:val="26"/>
          <w:szCs w:val="26"/>
        </w:rPr>
      </w:pPr>
    </w:p>
    <w:p>
      <w:pPr>
        <w:pStyle w:val="Heading2"/>
        <w:spacing w:line="240" w:lineRule="auto"/>
        <w:ind w:left="114" w:right="103"/>
        <w:jc w:val="left"/>
        <w:rPr>
          <w:b w:val="0"/>
          <w:bCs w:val="0"/>
        </w:rPr>
      </w:pPr>
      <w:r>
        <w:rPr/>
        <w:t>七、监事会工作情况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34" w:right="103"/>
        <w:jc w:val="left"/>
      </w:pPr>
      <w:r>
        <w:rPr/>
        <w:t>监事会在报告期内的监督活动是否发现公司存在风险</w:t>
      </w:r>
    </w:p>
    <w:p>
      <w:pPr>
        <w:spacing w:line="240" w:lineRule="auto" w:before="10"/>
        <w:rPr>
          <w:rFonts w:ascii="宋体" w:hAnsi="宋体" w:cs="宋体" w:eastAsia="宋体" w:hint="default"/>
          <w:sz w:val="16"/>
          <w:szCs w:val="16"/>
        </w:rPr>
      </w:pPr>
    </w:p>
    <w:p>
      <w:pPr>
        <w:pStyle w:val="BodyText"/>
        <w:spacing w:line="240" w:lineRule="auto"/>
        <w:ind w:left="534" w:right="10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headerReference w:type="default" r:id="rId28"/>
          <w:footerReference w:type="default" r:id="rId29"/>
          <w:pgSz w:w="11910" w:h="16840"/>
          <w:pgMar w:header="0" w:footer="0" w:top="1420" w:bottom="280" w:left="1020" w:right="920"/>
        </w:sectPr>
      </w:pPr>
    </w:p>
    <w:p>
      <w:pPr>
        <w:pStyle w:val="BodyText"/>
        <w:spacing w:line="240" w:lineRule="auto" w:before="18"/>
        <w:ind w:left="534" w:right="103"/>
        <w:jc w:val="left"/>
      </w:pPr>
      <w:r>
        <w:rPr/>
        <w:t>公司监事会对报告期内的监督事项无异议。</w:t>
      </w:r>
    </w:p>
    <w:p>
      <w:pPr>
        <w:spacing w:line="240" w:lineRule="auto" w:before="6"/>
        <w:rPr>
          <w:rFonts w:ascii="宋体" w:hAnsi="宋体" w:cs="宋体" w:eastAsia="宋体" w:hint="default"/>
          <w:sz w:val="26"/>
          <w:szCs w:val="26"/>
        </w:rPr>
      </w:pPr>
    </w:p>
    <w:p>
      <w:pPr>
        <w:pStyle w:val="Heading2"/>
        <w:spacing w:line="240" w:lineRule="auto"/>
        <w:ind w:left="114" w:right="103"/>
        <w:jc w:val="left"/>
        <w:rPr>
          <w:b w:val="0"/>
          <w:bCs w:val="0"/>
        </w:rPr>
      </w:pPr>
      <w:bookmarkStart w:name="八、高级管理人员的考评及激励情况" w:id="140"/>
      <w:bookmarkEnd w:id="140"/>
      <w:r>
        <w:rPr>
          <w:b w:val="0"/>
          <w:bCs w:val="0"/>
        </w:rPr>
      </w:r>
      <w:r>
        <w:rPr/>
        <w:t>八、高级管理人员的考评及激励情况</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13" w:right="98" w:firstLine="420"/>
        <w:jc w:val="left"/>
      </w:pPr>
      <w:r>
        <w:rPr>
          <w:spacing w:val="-3"/>
        </w:rPr>
        <w:t>公司按照《高级管理人员薪酬管理制度》建立了完善的高级管理人员绩效考评体系和激励约束制机制，</w:t>
      </w:r>
      <w:r>
        <w:rPr/>
        <w:t> 高级管理人员的工作绩效与其收入直接挂钩。高级管理人员的聘任公开、透明，符合法律、法规的规定。 公司董事会下设的薪酬和考核委员会负责对公司董事及高级管理人员进行绩效考核。高级管理人员的激励 情况详见“第八节</w:t>
      </w:r>
      <w:r>
        <w:rPr>
          <w:spacing w:val="-1"/>
        </w:rPr>
        <w:t> </w:t>
      </w:r>
      <w:r>
        <w:rPr/>
        <w:t>董事、监事、高级管理人员和员工情况”之“四、董事、监事、高级管理人员报酬情</w:t>
      </w:r>
      <w:r>
        <w:rPr/>
        <w:t> 况”相关内容。</w:t>
      </w:r>
    </w:p>
    <w:p>
      <w:pPr>
        <w:spacing w:line="240" w:lineRule="auto" w:before="9"/>
        <w:rPr>
          <w:rFonts w:ascii="宋体" w:hAnsi="宋体" w:cs="宋体" w:eastAsia="宋体" w:hint="default"/>
          <w:sz w:val="20"/>
          <w:szCs w:val="20"/>
        </w:rPr>
      </w:pPr>
    </w:p>
    <w:p>
      <w:pPr>
        <w:pStyle w:val="Heading2"/>
        <w:spacing w:line="240" w:lineRule="auto"/>
        <w:ind w:left="114" w:right="103"/>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4" w:right="103"/>
        <w:jc w:val="left"/>
        <w:rPr>
          <w:b w:val="0"/>
          <w:bCs w:val="0"/>
        </w:rPr>
      </w:pPr>
      <w:r>
        <w:rPr>
          <w:rFonts w:ascii="Times New Roman" w:hAnsi="Times New Roman" w:cs="Times New Roman" w:eastAsia="Times New Roman" w:hint="default"/>
        </w:rPr>
        <w:t>1</w:t>
      </w:r>
      <w:r>
        <w:rPr/>
        <w:t>、报告期内发现的内部控制重大缺陷</w:t>
      </w:r>
      <w:bookmarkStart w:name="九、内部控制评价报告" w:id="141"/>
      <w:bookmarkEnd w:id="141"/>
      <w:r>
        <w:rPr/>
      </w:r>
      <w:bookmarkStart w:name="1、报告期内发现的内部控制重大缺陷的具体情况" w:id="142"/>
      <w:bookmarkEnd w:id="142"/>
      <w:r>
        <w:rPr/>
        <w:t>的具体情况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34" w:right="10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27"/>
          <w:szCs w:val="27"/>
        </w:rPr>
      </w:pPr>
    </w:p>
    <w:p>
      <w:pPr>
        <w:pStyle w:val="Heading4"/>
        <w:spacing w:line="240" w:lineRule="auto"/>
        <w:ind w:left="114" w:right="10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44"/>
        <w:ind w:left="0" w:right="221" w:firstLine="0"/>
        <w:jc w:val="right"/>
        <w:rPr>
          <w:rFonts w:ascii="宋体" w:hAnsi="宋体" w:cs="宋体" w:eastAsia="宋体" w:hint="default"/>
          <w:sz w:val="18"/>
          <w:szCs w:val="18"/>
        </w:rPr>
      </w:pPr>
      <w:r>
        <w:rPr/>
        <w:pict>
          <v:shape style="position:absolute;margin-left:56.459999pt;margin-top:-21.008293pt;width:479.1pt;height:396.8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8"/>
                    <w:gridCol w:w="3549"/>
                    <w:gridCol w:w="3330"/>
                  </w:tblGrid>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879" w:type="dxa"/>
                        <w:gridSpan w:val="2"/>
                        <w:tcBorders>
                          <w:top w:val="single" w:sz="4" w:space="0" w:color="000000"/>
                          <w:left w:val="single" w:sz="9" w:space="0" w:color="D4D4D4"/>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879" w:type="dxa"/>
                        <w:gridSpan w:val="2"/>
                        <w:tcBorders>
                          <w:top w:val="single" w:sz="4" w:space="0" w:color="000000"/>
                          <w:left w:val="single" w:sz="9" w:space="0" w:color="D4D4D4"/>
                          <w:bottom w:val="single" w:sz="4" w:space="0" w:color="000000"/>
                          <w:right w:val="single" w:sz="4" w:space="0" w:color="000000"/>
                        </w:tcBorders>
                      </w:tcPr>
                      <w:p>
                        <w:pPr>
                          <w:pStyle w:val="TableParagraph"/>
                          <w:spacing w:line="240" w:lineRule="auto" w:before="52"/>
                          <w:ind w:left="21"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pacing w:val="-5"/>
                            <w:sz w:val="18"/>
                            <w:szCs w:val="18"/>
                          </w:rPr>
                          <w:t>日在巨潮资讯网刊登的《</w:t>
                        </w:r>
                        <w:r>
                          <w:rPr>
                            <w:rFonts w:ascii="Times New Roman" w:hAnsi="Times New Roman" w:cs="Times New Roman" w:eastAsia="Times New Roman" w:hint="default"/>
                            <w:spacing w:val="-5"/>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26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6"/>
                          <w:jc w:val="left"/>
                          <w:rPr>
                            <w:rFonts w:ascii="宋体" w:hAnsi="宋体" w:cs="宋体" w:eastAsia="宋体" w:hint="default"/>
                            <w:sz w:val="18"/>
                            <w:szCs w:val="18"/>
                          </w:rPr>
                        </w:pPr>
                        <w:r>
                          <w:rPr>
                            <w:rFonts w:ascii="宋体" w:hAnsi="宋体" w:cs="宋体" w:eastAsia="宋体" w:hint="default"/>
                            <w:spacing w:val="8"/>
                            <w:sz w:val="18"/>
                            <w:szCs w:val="18"/>
                          </w:rPr>
                          <w:t>纳入评价范围单位资产总额占公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司合并财务报表资产总额的比例</w:t>
                        </w:r>
                      </w:p>
                    </w:tc>
                    <w:tc>
                      <w:tcPr>
                        <w:tcW w:w="6879" w:type="dxa"/>
                        <w:gridSpan w:val="2"/>
                        <w:tcBorders>
                          <w:top w:val="single" w:sz="4" w:space="0" w:color="000000"/>
                          <w:left w:val="single" w:sz="9"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6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6"/>
                          <w:jc w:val="left"/>
                          <w:rPr>
                            <w:rFonts w:ascii="宋体" w:hAnsi="宋体" w:cs="宋体" w:eastAsia="宋体" w:hint="default"/>
                            <w:sz w:val="18"/>
                            <w:szCs w:val="18"/>
                          </w:rPr>
                        </w:pPr>
                        <w:r>
                          <w:rPr>
                            <w:rFonts w:ascii="宋体" w:hAnsi="宋体" w:cs="宋体" w:eastAsia="宋体" w:hint="default"/>
                            <w:spacing w:val="8"/>
                            <w:sz w:val="18"/>
                            <w:szCs w:val="18"/>
                          </w:rPr>
                          <w:t>纳入评价范围单位营业收入占公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司合并财务报表营业收入的比例</w:t>
                        </w:r>
                      </w:p>
                    </w:tc>
                    <w:tc>
                      <w:tcPr>
                        <w:tcW w:w="6879" w:type="dxa"/>
                        <w:gridSpan w:val="2"/>
                        <w:tcBorders>
                          <w:top w:val="single" w:sz="4" w:space="0" w:color="000000"/>
                          <w:left w:val="single" w:sz="9"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26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354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财务报告</w:t>
                        </w:r>
                      </w:p>
                    </w:tc>
                    <w:tc>
                      <w:tcPr>
                        <w:tcW w:w="3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250" w:hRule="exact"/>
                    </w:trPr>
                    <w:tc>
                      <w:tcPr>
                        <w:tcW w:w="2688" w:type="dxa"/>
                        <w:tcBorders>
                          <w:top w:val="single" w:sz="4" w:space="0" w:color="000000"/>
                          <w:left w:val="single" w:sz="4" w:space="0" w:color="000000"/>
                          <w:bottom w:val="nil" w:sz="6" w:space="0" w:color="auto"/>
                          <w:right w:val="single" w:sz="4" w:space="0" w:color="000000"/>
                        </w:tcBorders>
                        <w:shd w:val="clear" w:color="auto" w:fill="D4D4D4"/>
                      </w:tcPr>
                      <w:p>
                        <w:pPr/>
                      </w:p>
                    </w:tc>
                    <w:tc>
                      <w:tcPr>
                        <w:tcW w:w="3549" w:type="dxa"/>
                        <w:vMerge w:val="restart"/>
                        <w:tcBorders>
                          <w:top w:val="single" w:sz="4" w:space="0" w:color="000000"/>
                          <w:left w:val="single" w:sz="9" w:space="0" w:color="D4D4D4"/>
                          <w:right w:val="single" w:sz="4" w:space="0" w:color="000000"/>
                        </w:tcBorders>
                      </w:tcPr>
                      <w:p>
                        <w:pPr>
                          <w:pStyle w:val="TableParagraph"/>
                          <w:spacing w:line="300" w:lineRule="auto" w:before="92"/>
                          <w:ind w:left="21" w:right="23"/>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、具有以下特征之一的缺陷，应认定为重大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缺陷：</w:t>
                        </w:r>
                      </w:p>
                      <w:p>
                        <w:pPr>
                          <w:pStyle w:val="TableParagraph"/>
                          <w:spacing w:line="240" w:lineRule="auto" w:before="71"/>
                          <w:ind w:left="21" w:right="0"/>
                          <w:jc w:val="left"/>
                          <w:rPr>
                            <w:rFonts w:ascii="宋体" w:hAnsi="宋体" w:cs="宋体" w:eastAsia="宋体" w:hint="default"/>
                            <w:sz w:val="18"/>
                            <w:szCs w:val="18"/>
                          </w:rPr>
                        </w:pPr>
                        <w:r>
                          <w:rPr>
                            <w:rFonts w:ascii="宋体" w:hAnsi="宋体" w:cs="宋体" w:eastAsia="宋体" w:hint="default"/>
                            <w:sz w:val="18"/>
                            <w:szCs w:val="18"/>
                          </w:rPr>
                          <w:t>① 董事、监事和高级管理人员舞弊；</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②严重违反法律法规的要求；</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③控制环境无效；</w:t>
                        </w:r>
                      </w:p>
                      <w:p>
                        <w:pPr>
                          <w:pStyle w:val="TableParagraph"/>
                          <w:spacing w:line="316" w:lineRule="auto" w:before="76"/>
                          <w:ind w:left="21" w:right="89"/>
                          <w:jc w:val="left"/>
                          <w:rPr>
                            <w:rFonts w:ascii="宋体" w:hAnsi="宋体" w:cs="宋体" w:eastAsia="宋体" w:hint="default"/>
                            <w:sz w:val="18"/>
                            <w:szCs w:val="18"/>
                          </w:rPr>
                        </w:pPr>
                        <w:r>
                          <w:rPr>
                            <w:rFonts w:ascii="宋体" w:hAnsi="宋体" w:cs="宋体" w:eastAsia="宋体" w:hint="default"/>
                            <w:sz w:val="18"/>
                            <w:szCs w:val="18"/>
                          </w:rPr>
                          <w:t>④ 注册会计师发现当期财务报表存在重大 错报，而内部控制在运行过程中未能发现该 错报；</w:t>
                        </w:r>
                      </w:p>
                      <w:p>
                        <w:pPr>
                          <w:pStyle w:val="TableParagraph"/>
                          <w:spacing w:line="312" w:lineRule="auto" w:before="19"/>
                          <w:ind w:left="21" w:right="23"/>
                          <w:jc w:val="left"/>
                          <w:rPr>
                            <w:rFonts w:ascii="宋体" w:hAnsi="宋体" w:cs="宋体" w:eastAsia="宋体" w:hint="default"/>
                            <w:sz w:val="18"/>
                            <w:szCs w:val="18"/>
                          </w:rPr>
                        </w:pPr>
                        <w:r>
                          <w:rPr>
                            <w:rFonts w:ascii="宋体" w:hAnsi="宋体" w:cs="宋体" w:eastAsia="宋体" w:hint="default"/>
                            <w:sz w:val="18"/>
                            <w:szCs w:val="18"/>
                          </w:rPr>
                          <w:t>⑤ 企业审计委员会和内部审计机构对内部 控制的监督无效。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、具有以下特征之一的缺陷，应认定为重要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缺陷：</w:t>
                        </w:r>
                      </w:p>
                      <w:p>
                        <w:pPr>
                          <w:pStyle w:val="TableParagraph"/>
                          <w:spacing w:line="316" w:lineRule="auto" w:before="61"/>
                          <w:ind w:left="21" w:right="179"/>
                          <w:jc w:val="left"/>
                          <w:rPr>
                            <w:rFonts w:ascii="宋体" w:hAnsi="宋体" w:cs="宋体" w:eastAsia="宋体" w:hint="default"/>
                            <w:sz w:val="18"/>
                            <w:szCs w:val="18"/>
                          </w:rPr>
                        </w:pPr>
                        <w:r>
                          <w:rPr>
                            <w:rFonts w:ascii="宋体" w:hAnsi="宋体" w:cs="宋体" w:eastAsia="宋体" w:hint="default"/>
                            <w:sz w:val="18"/>
                            <w:szCs w:val="18"/>
                          </w:rPr>
                          <w:t>① 沟通后的重要缺陷没有在合理的期间得 到纠正；</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② 更正已经公布的财务报表；</w:t>
                        </w:r>
                      </w:p>
                    </w:tc>
                    <w:tc>
                      <w:tcPr>
                        <w:tcW w:w="3330"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、具有以下特征之一的缺陷，应认定为重</w:t>
                        </w:r>
                        <w:r>
                          <w:rPr>
                            <w:rFonts w:ascii="宋体" w:hAnsi="宋体" w:cs="宋体" w:eastAsia="宋体" w:hint="default"/>
                            <w:sz w:val="18"/>
                            <w:szCs w:val="18"/>
                          </w:rPr>
                          <w:t> 大缺陷：</w:t>
                        </w:r>
                      </w:p>
                      <w:p>
                        <w:pPr>
                          <w:pStyle w:val="TableParagraph"/>
                          <w:spacing w:line="319" w:lineRule="auto" w:before="70"/>
                          <w:ind w:left="22" w:right="20"/>
                          <w:jc w:val="left"/>
                          <w:rPr>
                            <w:rFonts w:ascii="宋体" w:hAnsi="宋体" w:cs="宋体" w:eastAsia="宋体" w:hint="default"/>
                            <w:sz w:val="18"/>
                            <w:szCs w:val="18"/>
                          </w:rPr>
                        </w:pPr>
                        <w:r>
                          <w:rPr>
                            <w:rFonts w:ascii="宋体" w:hAnsi="宋体" w:cs="宋体" w:eastAsia="宋体" w:hint="default"/>
                            <w:sz w:val="18"/>
                            <w:szCs w:val="18"/>
                          </w:rPr>
                          <w:t>①</w:t>
                        </w:r>
                        <w:r>
                          <w:rPr>
                            <w:rFonts w:ascii="宋体" w:hAnsi="宋体" w:cs="宋体" w:eastAsia="宋体" w:hint="default"/>
                            <w:spacing w:val="10"/>
                            <w:sz w:val="18"/>
                            <w:szCs w:val="18"/>
                          </w:rPr>
                          <w:t> </w:t>
                        </w:r>
                        <w:r>
                          <w:rPr>
                            <w:rFonts w:ascii="宋体" w:hAnsi="宋体" w:cs="宋体" w:eastAsia="宋体" w:hint="default"/>
                            <w:spacing w:val="-4"/>
                            <w:sz w:val="18"/>
                            <w:szCs w:val="18"/>
                          </w:rPr>
                          <w:t>严重违犯国家法律、行政法规和规范性</w:t>
                        </w:r>
                        <w:r>
                          <w:rPr>
                            <w:rFonts w:ascii="宋体" w:hAnsi="宋体" w:cs="宋体" w:eastAsia="宋体" w:hint="default"/>
                            <w:sz w:val="18"/>
                            <w:szCs w:val="18"/>
                          </w:rPr>
                          <w:t> 文件；</w:t>
                        </w:r>
                      </w:p>
                      <w:p>
                        <w:pPr>
                          <w:pStyle w:val="TableParagraph"/>
                          <w:spacing w:line="319" w:lineRule="auto" w:before="56"/>
                          <w:ind w:left="22" w:right="145"/>
                          <w:jc w:val="left"/>
                          <w:rPr>
                            <w:rFonts w:ascii="宋体" w:hAnsi="宋体" w:cs="宋体" w:eastAsia="宋体" w:hint="default"/>
                            <w:sz w:val="18"/>
                            <w:szCs w:val="18"/>
                          </w:rPr>
                        </w:pPr>
                        <w:r>
                          <w:rPr>
                            <w:rFonts w:ascii="宋体" w:hAnsi="宋体" w:cs="宋体" w:eastAsia="宋体" w:hint="default"/>
                            <w:sz w:val="18"/>
                            <w:szCs w:val="18"/>
                          </w:rPr>
                          <w:t>② 关键岗位管理人员和技术人员流失严 重；</w:t>
                        </w:r>
                      </w:p>
                      <w:p>
                        <w:pPr>
                          <w:pStyle w:val="TableParagraph"/>
                          <w:spacing w:line="240" w:lineRule="auto" w:before="55"/>
                          <w:ind w:left="22" w:right="0"/>
                          <w:jc w:val="left"/>
                          <w:rPr>
                            <w:rFonts w:ascii="宋体" w:hAnsi="宋体" w:cs="宋体" w:eastAsia="宋体" w:hint="default"/>
                            <w:sz w:val="18"/>
                            <w:szCs w:val="18"/>
                          </w:rPr>
                        </w:pPr>
                        <w:r>
                          <w:rPr>
                            <w:rFonts w:ascii="宋体" w:hAnsi="宋体" w:cs="宋体" w:eastAsia="宋体" w:hint="default"/>
                            <w:sz w:val="18"/>
                            <w:szCs w:val="18"/>
                          </w:rPr>
                          <w:t>③ 媒体负面报道频现经查属实；</w:t>
                        </w:r>
                      </w:p>
                      <w:p>
                        <w:pPr>
                          <w:pStyle w:val="TableParagraph"/>
                          <w:spacing w:line="312" w:lineRule="auto" w:before="76"/>
                          <w:ind w:left="22" w:right="2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0"/>
                            <w:sz w:val="18"/>
                            <w:szCs w:val="18"/>
                          </w:rPr>
                          <w:t> </w:t>
                        </w:r>
                        <w:r>
                          <w:rPr>
                            <w:rFonts w:ascii="宋体" w:hAnsi="宋体" w:cs="宋体" w:eastAsia="宋体" w:hint="default"/>
                            <w:spacing w:val="-4"/>
                            <w:sz w:val="18"/>
                            <w:szCs w:val="18"/>
                          </w:rPr>
                          <w:t>信息披露内部控制失效，导致公司被监</w:t>
                        </w:r>
                        <w:r>
                          <w:rPr>
                            <w:rFonts w:ascii="宋体" w:hAnsi="宋体" w:cs="宋体" w:eastAsia="宋体" w:hint="default"/>
                            <w:sz w:val="18"/>
                            <w:szCs w:val="18"/>
                          </w:rPr>
                          <w:t> 管部门公开谴责。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、具有以下特征之一的缺陷，应认定为重</w:t>
                        </w:r>
                        <w:r>
                          <w:rPr>
                            <w:rFonts w:ascii="宋体" w:hAnsi="宋体" w:cs="宋体" w:eastAsia="宋体" w:hint="default"/>
                            <w:sz w:val="18"/>
                            <w:szCs w:val="18"/>
                          </w:rPr>
                          <w:t> 要缺陷：</w:t>
                        </w:r>
                      </w:p>
                      <w:p>
                        <w:pPr>
                          <w:pStyle w:val="TableParagraph"/>
                          <w:spacing w:line="316" w:lineRule="auto" w:before="61"/>
                          <w:ind w:left="22" w:right="145"/>
                          <w:jc w:val="left"/>
                          <w:rPr>
                            <w:rFonts w:ascii="宋体" w:hAnsi="宋体" w:cs="宋体" w:eastAsia="宋体" w:hint="default"/>
                            <w:sz w:val="18"/>
                            <w:szCs w:val="18"/>
                          </w:rPr>
                        </w:pPr>
                        <w:r>
                          <w:rPr>
                            <w:rFonts w:ascii="宋体" w:hAnsi="宋体" w:cs="宋体" w:eastAsia="宋体" w:hint="default"/>
                            <w:sz w:val="18"/>
                            <w:szCs w:val="18"/>
                          </w:rPr>
                          <w:t>① 涉及公司生产经营的重要业务缺乏制 度控制或制度系统失效；</w:t>
                        </w:r>
                      </w:p>
                      <w:p>
                        <w:pPr>
                          <w:pStyle w:val="TableParagraph"/>
                          <w:spacing w:line="316" w:lineRule="auto" w:before="19"/>
                          <w:ind w:left="22" w:right="145"/>
                          <w:jc w:val="left"/>
                          <w:rPr>
                            <w:rFonts w:ascii="宋体" w:hAnsi="宋体" w:cs="宋体" w:eastAsia="宋体" w:hint="default"/>
                            <w:sz w:val="18"/>
                            <w:szCs w:val="18"/>
                          </w:rPr>
                        </w:pPr>
                        <w:r>
                          <w:rPr>
                            <w:rFonts w:ascii="宋体" w:hAnsi="宋体" w:cs="宋体" w:eastAsia="宋体" w:hint="default"/>
                            <w:sz w:val="18"/>
                            <w:szCs w:val="18"/>
                          </w:rPr>
                          <w:t>② 内部控制评价的结果特别是重大缺陷 或重要缺陷未得到整改；</w:t>
                        </w:r>
                      </w:p>
                    </w:tc>
                  </w:tr>
                  <w:tr>
                    <w:trPr>
                      <w:trHeight w:val="391" w:hRule="exact"/>
                    </w:trPr>
                    <w:tc>
                      <w:tcPr>
                        <w:tcW w:w="268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549" w:type="dxa"/>
                        <w:vMerge/>
                        <w:tcBorders>
                          <w:left w:val="single" w:sz="9" w:space="0" w:color="D4D4D4"/>
                          <w:right w:val="single" w:sz="4" w:space="0" w:color="000000"/>
                        </w:tcBorders>
                      </w:tcPr>
                      <w:p>
                        <w:pPr/>
                      </w:p>
                    </w:tc>
                    <w:tc>
                      <w:tcPr>
                        <w:tcW w:w="3330" w:type="dxa"/>
                        <w:vMerge/>
                        <w:tcBorders>
                          <w:left w:val="single" w:sz="4" w:space="0" w:color="000000"/>
                          <w:right w:val="single" w:sz="4" w:space="0" w:color="000000"/>
                        </w:tcBorders>
                      </w:tcPr>
                      <w:p>
                        <w:pPr/>
                      </w:p>
                    </w:tc>
                  </w:tr>
                  <w:tr>
                    <w:trPr>
                      <w:trHeight w:val="2250" w:hRule="exact"/>
                    </w:trPr>
                    <w:tc>
                      <w:tcPr>
                        <w:tcW w:w="2688" w:type="dxa"/>
                        <w:tcBorders>
                          <w:top w:val="nil" w:sz="6" w:space="0" w:color="auto"/>
                          <w:left w:val="single" w:sz="4" w:space="0" w:color="000000"/>
                          <w:bottom w:val="single" w:sz="4" w:space="0" w:color="000000"/>
                          <w:right w:val="single" w:sz="4" w:space="0" w:color="000000"/>
                        </w:tcBorders>
                        <w:shd w:val="clear" w:color="auto" w:fill="D4D4D4"/>
                      </w:tcPr>
                      <w:p>
                        <w:pPr/>
                      </w:p>
                    </w:tc>
                    <w:tc>
                      <w:tcPr>
                        <w:tcW w:w="3549" w:type="dxa"/>
                        <w:vMerge/>
                        <w:tcBorders>
                          <w:left w:val="single" w:sz="9" w:space="0" w:color="D4D4D4"/>
                          <w:bottom w:val="single" w:sz="4" w:space="0" w:color="000000"/>
                          <w:right w:val="single" w:sz="4" w:space="0" w:color="000000"/>
                        </w:tcBorders>
                      </w:tcPr>
                      <w:p>
                        <w:pPr/>
                      </w:p>
                    </w:tc>
                    <w:tc>
                      <w:tcPr>
                        <w:tcW w:w="3330" w:type="dxa"/>
                        <w:vMerge/>
                        <w:tcBorders>
                          <w:left w:val="single" w:sz="4" w:space="0" w:color="000000"/>
                          <w:bottom w:val="single" w:sz="4" w:space="0" w:color="000000"/>
                          <w:right w:val="single" w:sz="4" w:space="0" w:color="000000"/>
                        </w:tcBorders>
                      </w:tcPr>
                      <w:p>
                        <w:pPr/>
                      </w:p>
                    </w:tc>
                  </w:tr>
                </w:tbl>
                <w:p>
                  <w:pPr/>
                </w:p>
              </w:txbxContent>
            </v:textbox>
            <w10:wrap type="none"/>
          </v:shape>
        </w:pict>
      </w:r>
      <w:bookmarkStart w:name="2、内控自我评价报告" w:id="143"/>
      <w:bookmarkEnd w:id="143"/>
      <w:r>
        <w:rPr/>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headerReference w:type="default" r:id="rId30"/>
          <w:footerReference w:type="default" r:id="rId31"/>
          <w:pgSz w:w="11910" w:h="16840"/>
          <w:pgMar w:header="0" w:footer="0" w:top="1420" w:bottom="280" w:left="1020" w:right="920"/>
        </w:sectPr>
      </w:pPr>
    </w:p>
    <w:p>
      <w:pPr>
        <w:spacing w:line="240" w:lineRule="auto" w:before="3"/>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2694"/>
        <w:gridCol w:w="3544"/>
        <w:gridCol w:w="3330"/>
      </w:tblGrid>
      <w:tr>
        <w:trPr>
          <w:trHeight w:val="192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③ 未建立反舞弊程序和控制措施；</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④ 公司内部审计职能无效；</w:t>
            </w:r>
          </w:p>
          <w:p>
            <w:pPr>
              <w:pStyle w:val="TableParagraph"/>
              <w:spacing w:line="312" w:lineRule="auto" w:before="76"/>
              <w:ind w:left="22" w:right="23"/>
              <w:jc w:val="left"/>
              <w:rPr>
                <w:rFonts w:ascii="宋体" w:hAnsi="宋体" w:cs="宋体" w:eastAsia="宋体" w:hint="default"/>
                <w:sz w:val="18"/>
                <w:szCs w:val="18"/>
              </w:rPr>
            </w:pPr>
            <w:r>
              <w:rPr>
                <w:rFonts w:ascii="宋体" w:hAnsi="宋体" w:cs="宋体" w:eastAsia="宋体" w:hint="default"/>
                <w:sz w:val="18"/>
                <w:szCs w:val="18"/>
              </w:rPr>
              <w:t>⑤ 对于是否根据一般公认会计原则对会计 政策进行选择和应用的控制无效。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、除上述重大缺陷、重要缺陷之外的其他控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制缺陷应认定为一般缺陷。</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③ 违反企业内部规章，造成损失的。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、除上述重大缺陷、重要缺陷之外的其他</w:t>
            </w:r>
            <w:r>
              <w:rPr>
                <w:rFonts w:ascii="宋体" w:hAnsi="宋体" w:cs="宋体" w:eastAsia="宋体" w:hint="default"/>
                <w:sz w:val="18"/>
                <w:szCs w:val="18"/>
              </w:rPr>
              <w:t> 产生一般影响或造成轻微损失的控制缺陷 应认定为一般缺陷。</w:t>
            </w:r>
          </w:p>
        </w:tc>
      </w:tr>
      <w:tr>
        <w:trPr>
          <w:trHeight w:val="2353"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年合并报表数据为基准，确定上市公 司合并报表错报（包括漏报）重要程度的定 量标准：</w:t>
            </w:r>
          </w:p>
          <w:p>
            <w:pPr>
              <w:pStyle w:val="TableParagraph"/>
              <w:spacing w:line="319" w:lineRule="auto" w:before="25"/>
              <w:ind w:left="22" w:right="23"/>
              <w:jc w:val="left"/>
              <w:rPr>
                <w:rFonts w:ascii="宋体" w:hAnsi="宋体" w:cs="宋体" w:eastAsia="宋体" w:hint="default"/>
                <w:sz w:val="18"/>
                <w:szCs w:val="18"/>
              </w:rPr>
            </w:pPr>
            <w:r>
              <w:rPr>
                <w:rFonts w:ascii="宋体" w:hAnsi="宋体" w:cs="宋体" w:eastAsia="宋体" w:hint="default"/>
                <w:sz w:val="18"/>
                <w:szCs w:val="18"/>
              </w:rPr>
              <w:t>重大缺陷：错报≥资产总额的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宋体" w:hAnsi="宋体" w:cs="宋体" w:eastAsia="宋体" w:hint="default"/>
                <w:spacing w:val="-4"/>
                <w:sz w:val="18"/>
                <w:szCs w:val="18"/>
              </w:rPr>
              <w:t>重要缺陷：资产总额的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≤错报＜资产总额 的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一般缺陷：错报＜资产总额的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重大缺陷：损失金额≥资产总额的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w:t>
            </w:r>
            <w:r>
              <w:rPr>
                <w:rFonts w:ascii="宋体" w:hAnsi="宋体" w:cs="宋体" w:eastAsia="宋体" w:hint="default"/>
                <w:spacing w:val="-7"/>
                <w:sz w:val="18"/>
                <w:szCs w:val="18"/>
              </w:rPr>
              <w:t>重要缺陷：资产总额的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≤损失金额＜资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40" w:lineRule="auto" w:before="36"/>
              <w:ind w:left="22" w:right="0"/>
              <w:jc w:val="left"/>
              <w:rPr>
                <w:rFonts w:ascii="宋体" w:hAnsi="宋体" w:cs="宋体" w:eastAsia="宋体" w:hint="default"/>
                <w:sz w:val="18"/>
                <w:szCs w:val="18"/>
              </w:rPr>
            </w:pPr>
            <w:r>
              <w:rPr>
                <w:rFonts w:ascii="宋体" w:hAnsi="宋体" w:cs="宋体" w:eastAsia="宋体" w:hint="default"/>
                <w:sz w:val="18"/>
                <w:szCs w:val="18"/>
              </w:rPr>
              <w:t>一般缺陷：损失金额＜资产总额的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8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14" w:right="4842"/>
        <w:jc w:val="left"/>
        <w:rPr>
          <w:b w:val="0"/>
          <w:bCs w:val="0"/>
        </w:rPr>
      </w:pPr>
      <w:r>
        <w:rPr/>
        <w:t>十、内部控制审计报告或鉴证报告</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34" w:right="4842"/>
        <w:jc w:val="left"/>
      </w:pPr>
      <w:r>
        <w:rPr/>
        <w:t>内部控制鉴证报告</w:t>
      </w:r>
    </w:p>
    <w:p>
      <w:pPr>
        <w:spacing w:line="240" w:lineRule="auto" w:before="7"/>
        <w:rPr>
          <w:rFonts w:ascii="宋体" w:hAnsi="宋体" w:cs="宋体" w:eastAsia="宋体"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我们认为，美亚柏科公司于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bookmarkStart w:name="十、内部控制审计报告或鉴证报告" w:id="144"/>
            <w:bookmarkEnd w:id="144"/>
            <w:r>
              <w:rPr>
                <w:rFonts w:ascii="Times New Roman" w:hAnsi="Times New Roman" w:cs="Times New Roman" w:eastAsia="Times New Roman" w:hint="default"/>
                <w:sz w:val="18"/>
                <w:szCs w:val="18"/>
              </w:rPr>
            </w:r>
            <w:r>
              <w:rPr>
                <w:rFonts w:ascii="宋体" w:hAnsi="宋体" w:cs="宋体" w:eastAsia="宋体" w:hint="default"/>
                <w:sz w:val="18"/>
                <w:szCs w:val="18"/>
              </w:rPr>
              <w:t>日在所有重大方面有效地保持了按照《企业内部控制基本规范》建立的与财 务报表相关的内部控制。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详见公司于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日在巨潮资讯网刊登的《内部控制鉴证报告》</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宋体" w:hAnsi="宋体" w:cs="宋体" w:eastAsia="宋体" w:hint="default"/>
          <w:sz w:val="7"/>
          <w:szCs w:val="7"/>
        </w:rPr>
      </w:pPr>
    </w:p>
    <w:p>
      <w:pPr>
        <w:pStyle w:val="BodyText"/>
        <w:spacing w:line="240" w:lineRule="auto" w:before="35"/>
        <w:ind w:left="534" w:right="2112"/>
        <w:jc w:val="left"/>
      </w:pPr>
      <w:r>
        <w:rPr/>
        <w:t>会计师事务所是否出具非标准意见的内部控制鉴证报告</w:t>
      </w:r>
    </w:p>
    <w:p>
      <w:pPr>
        <w:spacing w:line="240" w:lineRule="auto" w:before="10"/>
        <w:rPr>
          <w:rFonts w:ascii="宋体" w:hAnsi="宋体" w:cs="宋体" w:eastAsia="宋体" w:hint="default"/>
          <w:sz w:val="16"/>
          <w:szCs w:val="16"/>
        </w:rPr>
      </w:pPr>
    </w:p>
    <w:p>
      <w:pPr>
        <w:pStyle w:val="BodyText"/>
        <w:spacing w:line="408" w:lineRule="auto"/>
        <w:ind w:left="534" w:right="2112"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否 会计师事务所出具的内部控制鉴证报告与董事会的自我评价报告意见是否一致</w:t>
      </w:r>
    </w:p>
    <w:p>
      <w:pPr>
        <w:pStyle w:val="BodyText"/>
        <w:spacing w:line="240" w:lineRule="auto" w:before="72"/>
        <w:ind w:left="534" w:right="484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40" w:lineRule="auto"/>
        <w:jc w:val="left"/>
        <w:sectPr>
          <w:headerReference w:type="default" r:id="rId32"/>
          <w:footerReference w:type="default" r:id="rId33"/>
          <w:pgSz w:w="11910" w:h="16840"/>
          <w:pgMar w:header="0" w:footer="0" w:top="1340" w:bottom="280" w:left="10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1"/>
        <w:spacing w:line="240" w:lineRule="auto"/>
        <w:ind w:right="2423"/>
        <w:jc w:val="center"/>
        <w:rPr>
          <w:b w:val="0"/>
          <w:bCs w:val="0"/>
        </w:rPr>
      </w:pPr>
      <w:bookmarkStart w:name="第十节 财务报告" w:id="145"/>
      <w:bookmarkEnd w:id="145"/>
      <w:r>
        <w:rPr>
          <w:b w:val="0"/>
          <w:bCs w:val="0"/>
        </w:rPr>
      </w:r>
      <w:bookmarkStart w:name="_bookmark8" w:id="146"/>
      <w:bookmarkEnd w:id="146"/>
      <w:r>
        <w:rPr>
          <w:b w:val="0"/>
          <w:bCs w:val="0"/>
        </w:rPr>
      </w:r>
      <w:r>
        <w:rPr/>
        <w:t>第十节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bookmarkStart w:name="一、审计报告" w:id="147"/>
            <w:bookmarkEnd w:id="147"/>
            <w:r>
              <w:rPr/>
            </w: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350ZA0125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周俊超、余道前</w:t>
            </w:r>
          </w:p>
        </w:tc>
      </w:tr>
    </w:tbl>
    <w:p>
      <w:pPr>
        <w:spacing w:line="240" w:lineRule="auto" w:before="0"/>
        <w:rPr>
          <w:rFonts w:ascii="宋体" w:hAnsi="宋体" w:cs="宋体" w:eastAsia="宋体" w:hint="default"/>
          <w:b/>
          <w:bCs/>
          <w:sz w:val="25"/>
          <w:szCs w:val="25"/>
        </w:rPr>
      </w:pPr>
    </w:p>
    <w:p>
      <w:pPr>
        <w:pStyle w:val="Heading2"/>
        <w:spacing w:line="240" w:lineRule="auto" w:before="26"/>
        <w:ind w:left="2986" w:right="2504"/>
        <w:jc w:val="center"/>
        <w:rPr>
          <w:b w:val="0"/>
          <w:bCs w:val="0"/>
        </w:rPr>
      </w:pPr>
      <w:r>
        <w:rPr/>
        <w:t>审计报告正文</w:t>
      </w:r>
      <w:r>
        <w:rPr>
          <w:b w:val="0"/>
          <w:bCs w:val="0"/>
        </w:rPr>
      </w:r>
    </w:p>
    <w:p>
      <w:pPr>
        <w:spacing w:line="462" w:lineRule="exact" w:before="18"/>
        <w:ind w:left="574" w:right="0"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厦门市美亚柏科信息股份有限公司全体股东：</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我们审计了后附的厦门市美亚柏科信息股份有限公司（以下简称美亚柏科公司）财务报表，包括</w:t>
      </w:r>
      <w:r>
        <w:rPr>
          <w:rFonts w:ascii="Times New Roman" w:hAnsi="Times New Roman" w:cs="Times New Roman" w:eastAsia="Times New Roman" w:hint="default"/>
          <w:spacing w:val="-1"/>
          <w:sz w:val="21"/>
          <w:szCs w:val="21"/>
        </w:rPr>
        <w:t>2015</w:t>
      </w:r>
    </w:p>
    <w:p>
      <w:pPr>
        <w:pStyle w:val="BodyText"/>
        <w:spacing w:line="309" w:lineRule="auto" w:before="36"/>
        <w:ind w:left="154" w:right="0"/>
        <w:jc w:val="left"/>
      </w:pP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2015</w:t>
      </w:r>
      <w:r>
        <w:rPr>
          <w:spacing w:val="-1"/>
        </w:rPr>
        <w:t>年度的合并及公司利润表、合并及公司现金流量表、合并及公</w:t>
      </w:r>
      <w:r>
        <w:rPr>
          <w:spacing w:val="-86"/>
        </w:rPr>
        <w:t> </w:t>
      </w:r>
      <w:r>
        <w:rPr>
          <w:spacing w:val="-86"/>
        </w:rPr>
      </w:r>
      <w:r>
        <w:rPr/>
        <w:t>司股东权益变动表以及财务报表附注。</w:t>
      </w:r>
    </w:p>
    <w:p>
      <w:pPr>
        <w:spacing w:line="464" w:lineRule="exact" w:before="1"/>
        <w:ind w:left="574" w:right="217"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编制和公允列报财务报表是美亚柏科公司管理层的责任，这种责任包括：（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pStyle w:val="BodyText"/>
        <w:spacing w:line="309" w:lineRule="auto" w:before="36"/>
        <w:ind w:left="154" w:right="217"/>
        <w:jc w:val="left"/>
      </w:pPr>
      <w:r>
        <w:rPr/>
        <w:t>规定编制财务报表，并使其实现公允反映；（</w:t>
      </w:r>
      <w:r>
        <w:rPr>
          <w:rFonts w:ascii="Times New Roman" w:hAnsi="Times New Roman" w:cs="Times New Roman" w:eastAsia="Times New Roman" w:hint="default"/>
        </w:rPr>
        <w:t>2</w:t>
      </w:r>
      <w:r>
        <w:rPr/>
        <w:t>）设计、执行和维护必要的内部控制，以使财务报表不存 在由于舞弊或错误导致的重大错报。</w:t>
      </w:r>
    </w:p>
    <w:p>
      <w:pPr>
        <w:pStyle w:val="BodyText"/>
        <w:spacing w:line="405" w:lineRule="auto" w:before="127"/>
        <w:ind w:left="573" w:right="0" w:firstLine="2"/>
        <w:jc w:val="left"/>
      </w:pPr>
      <w:r>
        <w:rPr>
          <w:rFonts w:ascii="宋体" w:hAnsi="宋体" w:cs="宋体" w:eastAsia="宋体" w:hint="default"/>
          <w:b/>
          <w:bCs/>
        </w:rPr>
        <w:t>二、注册会计师的责任</w:t>
      </w:r>
      <w:r>
        <w:rPr>
          <w:rFonts w:ascii="宋体" w:hAnsi="宋体" w:cs="宋体" w:eastAsia="宋体" w:hint="default"/>
          <w:b/>
          <w:bCs/>
          <w:spacing w:val="1"/>
          <w:w w:val="99"/>
        </w:rPr>
        <w:t> </w:t>
      </w:r>
      <w:r>
        <w:rPr>
          <w:spacing w:val="-1"/>
        </w:rPr>
        <w:t>我们的责任是在执行审计工作的基础上对财务报表发表审计意见。我们按照中国注册会计师审计准则</w:t>
      </w:r>
    </w:p>
    <w:p>
      <w:pPr>
        <w:pStyle w:val="BodyText"/>
        <w:spacing w:line="230" w:lineRule="exact"/>
        <w:ind w:left="153" w:right="0"/>
        <w:jc w:val="left"/>
      </w:pPr>
      <w:r>
        <w:rPr/>
        <w:t>的规定执行了审计工作。中国注册会计师审计准则要求我们遵守中国注册会计师职业道德守则，计划和执</w:t>
      </w:r>
    </w:p>
    <w:p>
      <w:pPr>
        <w:pStyle w:val="BodyText"/>
        <w:spacing w:line="240" w:lineRule="auto" w:before="99"/>
        <w:ind w:left="153" w:right="0"/>
        <w:jc w:val="left"/>
      </w:pPr>
      <w:r>
        <w:rPr/>
        <w:t>行审计工作以对财务报表是否不存在重大错报获取合理保证。</w:t>
      </w:r>
    </w:p>
    <w:p>
      <w:pPr>
        <w:spacing w:line="240" w:lineRule="auto" w:before="10"/>
        <w:rPr>
          <w:rFonts w:ascii="宋体" w:hAnsi="宋体" w:cs="宋体" w:eastAsia="宋体" w:hint="default"/>
          <w:sz w:val="16"/>
          <w:szCs w:val="16"/>
        </w:rPr>
      </w:pPr>
    </w:p>
    <w:p>
      <w:pPr>
        <w:pStyle w:val="BodyText"/>
        <w:spacing w:line="326" w:lineRule="auto"/>
        <w:ind w:left="153" w:right="15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pStyle w:val="BodyText"/>
        <w:spacing w:line="405" w:lineRule="auto" w:before="144"/>
        <w:ind w:left="576" w:right="2003" w:hanging="3"/>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9" w:lineRule="auto" w:before="43"/>
        <w:ind w:left="153" w:right="0" w:firstLine="420"/>
        <w:jc w:val="left"/>
      </w:pPr>
      <w:r>
        <w:rPr>
          <w:spacing w:val="-1"/>
        </w:rPr>
        <w:t>我们认为，美亚柏科公司财务报表在所有重大方面按照企业会计准则的规定编制，公允反映了美亚柏</w:t>
      </w:r>
      <w:r>
        <w:rPr/>
        <w:t> 科公司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2015</w:t>
      </w:r>
      <w:r>
        <w:rPr/>
        <w:t>年度的合并及公司经营成果和合并及公司现金流 量。</w:t>
      </w:r>
    </w:p>
    <w:p>
      <w:pPr>
        <w:spacing w:after="0" w:line="319" w:lineRule="auto"/>
        <w:jc w:val="left"/>
        <w:sectPr>
          <w:headerReference w:type="default" r:id="rId34"/>
          <w:footerReference w:type="default" r:id="rId35"/>
          <w:pgSz w:w="11910" w:h="16840"/>
          <w:pgMar w:header="917" w:footer="1267" w:top="1140" w:bottom="1460" w:left="980" w:right="980"/>
          <w:pgNumType w:start="9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tbl>
      <w:tblPr>
        <w:tblW w:w="0" w:type="auto"/>
        <w:jc w:val="left"/>
        <w:tblInd w:w="383" w:type="dxa"/>
        <w:tblLayout w:type="fixed"/>
        <w:tblCellMar>
          <w:top w:w="0" w:type="dxa"/>
          <w:left w:w="0" w:type="dxa"/>
          <w:bottom w:w="0" w:type="dxa"/>
          <w:right w:w="0" w:type="dxa"/>
        </w:tblCellMar>
        <w:tblLook w:val="01E0"/>
      </w:tblPr>
      <w:tblGrid>
        <w:gridCol w:w="3224"/>
        <w:gridCol w:w="3101"/>
        <w:gridCol w:w="1050"/>
      </w:tblGrid>
      <w:tr>
        <w:trPr>
          <w:trHeight w:val="1519" w:hRule="exact"/>
        </w:trPr>
        <w:tc>
          <w:tcPr>
            <w:tcW w:w="3224"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t>致同会计师事务所</w:t>
            </w:r>
          </w:p>
          <w:p>
            <w:pPr>
              <w:pStyle w:val="TableParagraph"/>
              <w:spacing w:line="240" w:lineRule="auto" w:before="37"/>
              <w:ind w:left="200" w:right="0"/>
              <w:jc w:val="left"/>
              <w:rPr>
                <w:rFonts w:ascii="宋体" w:hAnsi="宋体" w:cs="宋体" w:eastAsia="宋体" w:hint="default"/>
                <w:sz w:val="21"/>
                <w:szCs w:val="21"/>
              </w:rPr>
            </w:pPr>
            <w:r>
              <w:rPr>
                <w:rFonts w:ascii="宋体" w:hAnsi="宋体" w:cs="宋体" w:eastAsia="宋体" w:hint="default"/>
                <w:sz w:val="21"/>
                <w:szCs w:val="21"/>
              </w:rPr>
              <w:t>（特殊普通合伙）</w:t>
            </w:r>
          </w:p>
        </w:tc>
        <w:tc>
          <w:tcPr>
            <w:tcW w:w="3101" w:type="dxa"/>
            <w:tcBorders>
              <w:top w:val="nil" w:sz="6" w:space="0" w:color="auto"/>
              <w:left w:val="nil" w:sz="6" w:space="0" w:color="auto"/>
              <w:bottom w:val="nil" w:sz="6" w:space="0" w:color="auto"/>
              <w:right w:val="nil" w:sz="6" w:space="0" w:color="auto"/>
            </w:tcBorders>
          </w:tcPr>
          <w:p>
            <w:pPr>
              <w:pStyle w:val="TableParagraph"/>
              <w:spacing w:line="210" w:lineRule="exact"/>
              <w:ind w:left="1411" w:right="0"/>
              <w:jc w:val="left"/>
              <w:rPr>
                <w:rFonts w:ascii="宋体" w:hAnsi="宋体" w:cs="宋体" w:eastAsia="宋体" w:hint="default"/>
                <w:sz w:val="21"/>
                <w:szCs w:val="21"/>
              </w:rPr>
            </w:pPr>
            <w:r>
              <w:rPr>
                <w:rFonts w:ascii="宋体" w:hAnsi="宋体" w:cs="宋体" w:eastAsia="宋体" w:hint="default"/>
                <w:sz w:val="21"/>
                <w:szCs w:val="21"/>
              </w:rPr>
              <w:t>中国注册会计师</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7"/>
              <w:ind w:left="1411" w:right="0"/>
              <w:jc w:val="left"/>
              <w:rPr>
                <w:rFonts w:ascii="宋体" w:hAnsi="宋体" w:cs="宋体" w:eastAsia="宋体" w:hint="default"/>
                <w:sz w:val="21"/>
                <w:szCs w:val="21"/>
              </w:rPr>
            </w:pPr>
            <w:r>
              <w:rPr>
                <w:rFonts w:ascii="宋体" w:hAnsi="宋体" w:cs="宋体" w:eastAsia="宋体" w:hint="default"/>
                <w:sz w:val="21"/>
                <w:szCs w:val="21"/>
              </w:rPr>
              <w:t>中国注册会计师</w:t>
            </w:r>
          </w:p>
        </w:tc>
        <w:tc>
          <w:tcPr>
            <w:tcW w:w="1050" w:type="dxa"/>
            <w:tcBorders>
              <w:top w:val="nil" w:sz="6" w:space="0" w:color="auto"/>
              <w:left w:val="nil" w:sz="6" w:space="0" w:color="auto"/>
              <w:bottom w:val="nil" w:sz="6" w:space="0" w:color="auto"/>
              <w:right w:val="nil" w:sz="6" w:space="0" w:color="auto"/>
            </w:tcBorders>
          </w:tcPr>
          <w:p>
            <w:pPr>
              <w:pStyle w:val="TableParagraph"/>
              <w:spacing w:line="210" w:lineRule="exact"/>
              <w:ind w:left="220" w:right="0"/>
              <w:jc w:val="left"/>
              <w:rPr>
                <w:rFonts w:ascii="宋体" w:hAnsi="宋体" w:cs="宋体" w:eastAsia="宋体" w:hint="default"/>
                <w:sz w:val="21"/>
                <w:szCs w:val="21"/>
              </w:rPr>
            </w:pPr>
            <w:r>
              <w:rPr>
                <w:rFonts w:ascii="宋体" w:hAnsi="宋体" w:cs="宋体" w:eastAsia="宋体" w:hint="default"/>
                <w:sz w:val="21"/>
                <w:szCs w:val="21"/>
              </w:rPr>
              <w:t>周俊超</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20" w:right="0"/>
              <w:jc w:val="left"/>
              <w:rPr>
                <w:rFonts w:ascii="宋体" w:hAnsi="宋体" w:cs="宋体" w:eastAsia="宋体" w:hint="default"/>
                <w:sz w:val="21"/>
                <w:szCs w:val="21"/>
              </w:rPr>
            </w:pPr>
            <w:r>
              <w:rPr>
                <w:rFonts w:ascii="宋体" w:hAnsi="宋体" w:cs="宋体" w:eastAsia="宋体" w:hint="default"/>
                <w:sz w:val="21"/>
                <w:szCs w:val="21"/>
              </w:rPr>
              <w:t>余道前</w:t>
            </w:r>
          </w:p>
        </w:tc>
      </w:tr>
      <w:tr>
        <w:trPr>
          <w:trHeight w:val="595" w:hRule="exact"/>
        </w:trPr>
        <w:tc>
          <w:tcPr>
            <w:tcW w:w="32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62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p>
        </w:tc>
        <w:tc>
          <w:tcPr>
            <w:tcW w:w="41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344" w:right="0"/>
              <w:jc w:val="left"/>
              <w:rPr>
                <w:rFonts w:ascii="宋体" w:hAnsi="宋体" w:cs="宋体" w:eastAsia="宋体" w:hint="default"/>
                <w:sz w:val="21"/>
                <w:szCs w:val="21"/>
              </w:rPr>
            </w:pPr>
            <w:r>
              <w:rPr>
                <w:rFonts w:ascii="宋体" w:hAnsi="宋体" w:cs="宋体" w:eastAsia="宋体" w:hint="default"/>
                <w:sz w:val="21"/>
                <w:szCs w:val="21"/>
              </w:rPr>
              <w:t>二Ｏ一六年 四</w:t>
            </w:r>
            <w:r>
              <w:rPr>
                <w:rFonts w:ascii="宋体" w:hAnsi="宋体" w:cs="宋体" w:eastAsia="宋体" w:hint="default"/>
                <w:spacing w:val="-42"/>
                <w:sz w:val="21"/>
                <w:szCs w:val="21"/>
              </w:rPr>
              <w:t> </w:t>
            </w:r>
            <w:r>
              <w:rPr>
                <w:rFonts w:ascii="宋体" w:hAnsi="宋体" w:cs="宋体" w:eastAsia="宋体" w:hint="default"/>
                <w:sz w:val="21"/>
                <w:szCs w:val="21"/>
              </w:rPr>
              <w:t>月二十二日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2"/>
        <w:spacing w:line="240" w:lineRule="auto" w:before="26"/>
        <w:ind w:right="0"/>
        <w:jc w:val="left"/>
        <w:rPr>
          <w:b w:val="0"/>
          <w:bCs w:val="0"/>
        </w:rPr>
      </w:pPr>
      <w:r>
        <w:rPr/>
        <w:t>二、财务报表</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620" w:lineRule="atLeast" w:before="40"/>
        <w:ind w:left="574" w:right="515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b/>
          <w:bCs/>
          <w:spacing w:val="1"/>
          <w:w w:val="99"/>
          <w:sz w:val="21"/>
          <w:szCs w:val="21"/>
        </w:rPr>
        <w:t> </w:t>
      </w:r>
      <w:bookmarkStart w:name="二、财务报表" w:id="148"/>
      <w:bookmarkEnd w:id="148"/>
      <w:r>
        <w:rPr>
          <w:rFonts w:ascii="宋体" w:hAnsi="宋体" w:cs="宋体" w:eastAsia="宋体" w:hint="default"/>
          <w:b/>
          <w:bCs/>
          <w:spacing w:val="1"/>
          <w:w w:val="99"/>
          <w:sz w:val="21"/>
          <w:szCs w:val="21"/>
        </w:rPr>
      </w:r>
      <w:r>
        <w:rPr>
          <w:rFonts w:ascii="宋体" w:hAnsi="宋体" w:cs="宋体" w:eastAsia="宋体" w:hint="default"/>
          <w:sz w:val="21"/>
          <w:szCs w:val="21"/>
        </w:rPr>
        <w:t>编制单位：厦门市美亚柏科信息股份有限公司</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bookmarkStart w:name="1、合并资产负债表" w:id="149"/>
      <w:bookmarkEnd w:id="149"/>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597,515,534.47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521,675,111.47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260,284,685.54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172,468,410.78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21,606,496.84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7,682,872.00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820,785.11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2,134,534.58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39,309,169.16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38,856,979.55</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250,357,531.01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185,015,384.88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42,764,970.48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753,399.38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1,212,659,172.61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929,586,692.64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61,861,350.00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10,494,012.21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3,850,530.97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8,416,087.90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9,749,104.35</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252,465,899.57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244,151,252.04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12,809,362.00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322,487.67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44,764,196.74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55,037,614.48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13,471,621.82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2,799,283.36</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565,628,678.86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43,856,030.99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1,472,863.91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901,166.11</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18,422,565.13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16,312,921.51</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989,806,638.14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384,860,391.48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2,202,465,810.75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1,314,447,084.12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87,667,107.52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67,241,518.83</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240,178,293.76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131,387,990.19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66,224,968.14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53,043,033.07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55,396,425.83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45,011,195.19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8,586,795.58</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24,693,230.20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37,499,319.09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482,746,821.03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334,183,056.37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7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27,665,000.97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22,302,918.52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726,090.00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28,391,090.97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22,302,918.52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511,137,912.00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356,485,974.89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443,163,200.00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221,581,600.00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5812"/>
        <w:gridCol w:w="1843"/>
        <w:gridCol w:w="1913"/>
      </w:tblGrid>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2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774,162,693.31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389,719,961.64</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18,750,139.20</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47,182,555.48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35,686,525.88</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408,351,375.98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296,653,550.96</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1,672,859,824.77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924,891,499.28</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18,468,073.98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33,069,609.95</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1,691,327,898.75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957,961,109.23</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2,202,465,810.75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1,314,447,084.12</w:t>
            </w:r>
          </w:p>
        </w:tc>
      </w:tr>
    </w:tbl>
    <w:p>
      <w:pPr>
        <w:spacing w:line="240" w:lineRule="auto" w:before="3"/>
        <w:rPr>
          <w:rFonts w:ascii="Times New Roman" w:hAnsi="Times New Roman" w:cs="Times New Roman" w:eastAsia="Times New Roman" w:hint="default"/>
          <w:sz w:val="23"/>
          <w:szCs w:val="23"/>
        </w:rPr>
      </w:pPr>
    </w:p>
    <w:p>
      <w:pPr>
        <w:tabs>
          <w:tab w:pos="3329" w:val="left" w:leader="none"/>
          <w:tab w:pos="7559" w:val="left" w:leader="none"/>
        </w:tabs>
        <w:spacing w:before="44"/>
        <w:ind w:left="0" w:right="250" w:firstLine="0"/>
        <w:jc w:val="right"/>
        <w:rPr>
          <w:rFonts w:ascii="宋体" w:hAnsi="宋体" w:cs="宋体" w:eastAsia="宋体" w:hint="default"/>
          <w:sz w:val="18"/>
          <w:szCs w:val="18"/>
        </w:rPr>
      </w:pPr>
      <w:r>
        <w:rPr>
          <w:rFonts w:ascii="宋体" w:hAnsi="宋体" w:cs="宋体" w:eastAsia="宋体" w:hint="default"/>
          <w:sz w:val="18"/>
          <w:szCs w:val="18"/>
        </w:rPr>
        <w:t>法定代表人：滕达</w:t>
        <w:tab/>
        <w:t>主管会计工作负责人：张乃军</w:t>
        <w:tab/>
        <w:t>会计机构负责人：陈志友</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2、母公司资产负债表" w:id="150"/>
      <w:bookmarkEnd w:id="150"/>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474,797,157.04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463,533,507.17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226,721,289.32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154,587,916.14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13,920,166.28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5,177,891.76</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820,785.11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2,134,534.58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31,453,277.32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35,500,974.00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196,921,888.83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169,577,662.03</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12,764,960.10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958,929,524.00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831,512,485.68</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1267" w:header="91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61,861,350.00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928,978,226.07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78,124,762.97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31,278,103.40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26,320,282.23</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225,257,451.46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225,921,965.32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12,450,262.00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322,487.67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38,915,711.86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54,974,101.48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13,471,621.82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2,799,283.36</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187,192.64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880,423.04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14,195,234.06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14,501,073.55</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1,326,595,153.31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411,724,379.62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2,285,524,677.31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1,243,236,865.30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76,595,555.57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74,220,569.08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200,823,929.41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114,672,273.78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49,796,720.36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44,292,065.33</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35,840,256.91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39,717,574.92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27,441,626.85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39,233,830.98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7"/>
          <w:pgSz w:w="11910" w:h="16840"/>
          <w:pgMar w:footer="1267" w:header="917" w:top="1140" w:bottom="1460" w:left="980" w:right="980"/>
          <w:pgNumType w:start="101"/>
        </w:sectPr>
      </w:pPr>
    </w:p>
    <w:p>
      <w:pPr>
        <w:spacing w:line="240" w:lineRule="auto" w:before="1"/>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390,498,089.10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312,136,314.09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7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26,925,000.97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21,962,918.52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26,925,000.97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21,962,918.52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417,423,090.07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334,099,232.61</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443,163,200.00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221,581,600.00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7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51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1,003,363,052.95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389,719,961.64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18,750,139.20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47,182,555.48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35,686,525.88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374,392,778.81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280,899,684.37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1,868,101,587.24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909,137,632.69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2,285,524,677.31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1,243,236,865.30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1"/>
      <w:bookmarkEnd w:id="15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1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86" w:right="0"/>
              <w:jc w:val="left"/>
              <w:rPr>
                <w:rFonts w:ascii="Times New Roman" w:hAnsi="Times New Roman" w:cs="Times New Roman" w:eastAsia="Times New Roman" w:hint="default"/>
                <w:sz w:val="18"/>
                <w:szCs w:val="18"/>
              </w:rPr>
            </w:pPr>
            <w:r>
              <w:rPr>
                <w:rFonts w:ascii="Times New Roman"/>
                <w:sz w:val="18"/>
              </w:rPr>
              <w:t>763,160,356.75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4" w:right="0"/>
              <w:jc w:val="left"/>
              <w:rPr>
                <w:rFonts w:ascii="Times New Roman" w:hAnsi="Times New Roman" w:cs="Times New Roman" w:eastAsia="Times New Roman" w:hint="default"/>
                <w:sz w:val="18"/>
                <w:szCs w:val="18"/>
              </w:rPr>
            </w:pPr>
            <w:r>
              <w:rPr>
                <w:rFonts w:ascii="Times New Roman"/>
                <w:sz w:val="18"/>
              </w:rPr>
              <w:t>603,095,207.02</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5812"/>
        <w:gridCol w:w="1843"/>
        <w:gridCol w:w="1913"/>
      </w:tblGrid>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763,160,356.75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603,095,207.02</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628,531,893.81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482,766,837.70</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263,329,725.06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218,718,371.68</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9,678,120.83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7,928,642.66</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107,032542.02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83,884,737.84</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235,186,115.38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171,753,866.36</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-6,814,658.82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-7,328,182.25</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20,120,049.34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7,809,401.41</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417"/>
              <w:jc w:val="right"/>
              <w:rPr>
                <w:rFonts w:ascii="宋体" w:hAnsi="宋体" w:cs="宋体" w:eastAsia="宋体" w:hint="default"/>
                <w:sz w:val="18"/>
                <w:szCs w:val="18"/>
              </w:rPr>
            </w:pPr>
            <w:r>
              <w:rPr>
                <w:rFonts w:ascii="宋体" w:hAnsi="宋体" w:cs="宋体" w:eastAsia="宋体" w:hint="default"/>
                <w:spacing w:val="-1"/>
                <w:sz w:val="18"/>
                <w:szCs w:val="18"/>
              </w:rPr>
              <w:t>加：公允价值变动收益（损失以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6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-5,861,412.89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-4,297,571.35</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397"/>
              <w:jc w:val="righ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-6,092,019.31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-4,297,571.35</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6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128,767,050.05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116,030,797.97</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44,765,202.87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22,194,764.81</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6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682,127.88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740,746.61</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6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137,593.82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256,715.51</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172,850,125.04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137,484,816.17</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20,374,550.84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14,065,351.40</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152,475,574.20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123,419,464.77</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133,165,026.62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114,602,055.27</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19,310,547.58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8,817,409.50</w:t>
            </w: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8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2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171" w:firstLine="13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171" w:firstLine="13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1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152,475,574.20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123,419,464.77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133,165,026.62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114,602,055.27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19,310,547.58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8,817,409.50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r>
    </w:tbl>
    <w:p>
      <w:pPr>
        <w:tabs>
          <w:tab w:pos="3483" w:val="left" w:leader="none"/>
          <w:tab w:pos="7713" w:val="left" w:leader="none"/>
        </w:tabs>
        <w:spacing w:line="592" w:lineRule="auto" w:before="51"/>
        <w:ind w:left="154" w:right="250"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法定代表人：滕达</w:t>
        <w:tab/>
        <w:t>主管会计工作负责人：张乃军</w:t>
        <w:tab/>
        <w:t>会计机构负责人：陈志友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7"/>
        <w:ind w:left="0" w:right="152" w:firstLine="0"/>
        <w:jc w:val="right"/>
        <w:rPr>
          <w:rFonts w:ascii="宋体" w:hAnsi="宋体" w:cs="宋体" w:eastAsia="宋体" w:hint="default"/>
          <w:sz w:val="18"/>
          <w:szCs w:val="18"/>
        </w:rPr>
      </w:pPr>
      <w:bookmarkStart w:name="4、母公司利润表" w:id="152"/>
      <w:bookmarkEnd w:id="152"/>
      <w:r>
        <w:rPr/>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639,405,022.00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555,036,077.42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257,496,014.11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230,708,138.04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7,195,180.24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6,456,850.77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84,274,447.48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69,573,337.39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186,233,734.62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143,471,379.67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-5,899,102.88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-6,595,774.43</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18,143,068.07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6,545,299.37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-944,912.89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-4,297,571.35</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-6,092,019.31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-4,297,571.35</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91,016,767.47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100,579,275.26</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38,841,251.46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19,331,962.80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515,957.01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736,706.62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5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136,496.98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253,660.77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129,342,061.92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119,174,531.44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14,381,765.88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12,278,161.57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114,960,296.04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106,896,369.87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171" w:firstLine="13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 收益中享有的份额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171" w:firstLine="13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 合收益中享有的份额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114,960,296.04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106,896,369.87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53"/>
      <w:bookmarkEnd w:id="15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686" w:right="0"/>
              <w:jc w:val="left"/>
              <w:rPr>
                <w:rFonts w:ascii="Times New Roman" w:hAnsi="Times New Roman" w:cs="Times New Roman" w:eastAsia="Times New Roman" w:hint="default"/>
                <w:sz w:val="18"/>
                <w:szCs w:val="18"/>
              </w:rPr>
            </w:pPr>
            <w:r>
              <w:rPr>
                <w:rFonts w:ascii="Times New Roman"/>
                <w:sz w:val="18"/>
              </w:rPr>
              <w:t>918,874,036.76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748,040,506.24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32,190,556.96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17,312,847.46</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28,463,183.46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21,307,279.72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979,527,777.18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786,660,633.42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404,660,691.59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325,719,909.71</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181,676,605.99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134,432,820.85</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96,655,911.71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59,795,319.58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114,948,404.34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93,051,425.87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797,941,613.63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612,999,476.01</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181,586,163.55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173,661,157.41</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218,203,263.84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173,971,537.39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6,180,159.34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4,106,724.63</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224,383,423.18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178,078,262.02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34,749,737.02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35,548,745.76</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290,616,677.96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271,314,174.63</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20,857,515.15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4,854,800.00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346,223,930.13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311,717,720.39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-121,840,506.95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-133,639,458.37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1,206,968.00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6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1,206,968.00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1,206,968.00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11,639,044.56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6,461,046.00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56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854,430.00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13,629,044.56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7,315,476.00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-11,719,044.56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-6,108,508.00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109,896.82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-29,385.22</w:t>
            </w:r>
            <w:r>
              <w:rPr>
                <w:rFonts w:ascii="Times New Roman"/>
                <w:sz w:val="18"/>
              </w:rPr>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48,136,508.86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33,883,805.82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246,699,791.23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212,815,985.41</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294,836,300.09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246,699,791.23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母公司现金流量表" w:id="154"/>
      <w:bookmarkEnd w:id="154"/>
      <w:r>
        <w:rPr/>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1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751,713,116.00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658,081,951.87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28,191,338.76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14,583,772.45</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24,837,192.64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16,178,694.36</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804,741,647.40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688,844,418.68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360,153,774.22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309,220,478.54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139,361,009.38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110,003,716.84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76,093,897.26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44,398,612.96</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90,876,315.66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74,392,471.84</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666,484,996.52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538,015,280.18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5789"/>
        <w:gridCol w:w="1855"/>
        <w:gridCol w:w="1913"/>
      </w:tblGrid>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138,256,650.88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150,829,138.50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218,203,263.84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173,971,537.39</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9,456,233.72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4,106,724.63</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227,659,497.56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178,078,262.02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31,602,434.79</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34,095,776.17</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302,301,150.00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272,570,406.63</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4,854,800.00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333,903,584.79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311,520,982.80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-106,244,087.23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-133,442,720.78</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855"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55" w:type="dxa"/>
            <w:tcBorders>
              <w:top w:val="single" w:sz="4" w:space="0" w:color="000000"/>
              <w:left w:val="single" w:sz="13" w:space="0" w:color="D4D4D4"/>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9,971,172.00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6,461,046.00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854,430.00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11,961,172.00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7,315,476.00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-11,961,172.00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-7,315,476.00</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-19,369.71</w:t>
            </w:r>
            <w:r>
              <w:rPr>
                <w:rFonts w:ascii="Times New Roman"/>
                <w:sz w:val="18"/>
              </w:rPr>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20,050,979.11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10,051,572.01</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189,008,986.93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178,957,414.92</w:t>
            </w:r>
          </w:p>
        </w:tc>
      </w:tr>
      <w:tr>
        <w:trPr>
          <w:trHeight w:val="402" w:hRule="exact"/>
        </w:trPr>
        <w:tc>
          <w:tcPr>
            <w:tcW w:w="57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85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209,059,966.04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189,008,986.93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55"/>
      <w:bookmarkEnd w:id="15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本期金额</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8120"/>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2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bl>
    <w:p>
      <w:pPr>
        <w:spacing w:after="0" w:line="240" w:lineRule="auto"/>
        <w:jc w:val="center"/>
        <w:rPr>
          <w:rFonts w:ascii="宋体" w:hAnsi="宋体" w:cs="宋体" w:eastAsia="宋体" w:hint="default"/>
          <w:sz w:val="18"/>
          <w:szCs w:val="18"/>
        </w:rPr>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60" w:type="dxa"/>
        <w:tblLayout w:type="fixed"/>
        <w:tblCellMar>
          <w:top w:w="0" w:type="dxa"/>
          <w:left w:w="0" w:type="dxa"/>
          <w:bottom w:w="0" w:type="dxa"/>
          <w:right w:w="0" w:type="dxa"/>
        </w:tblCellMar>
        <w:tblLook w:val="01E0"/>
      </w:tblPr>
      <w:tblGrid>
        <w:gridCol w:w="1426"/>
        <w:gridCol w:w="563"/>
        <w:gridCol w:w="530"/>
        <w:gridCol w:w="532"/>
        <w:gridCol w:w="530"/>
        <w:gridCol w:w="665"/>
        <w:gridCol w:w="665"/>
        <w:gridCol w:w="665"/>
        <w:gridCol w:w="665"/>
        <w:gridCol w:w="664"/>
        <w:gridCol w:w="666"/>
        <w:gridCol w:w="665"/>
        <w:gridCol w:w="665"/>
        <w:gridCol w:w="659"/>
      </w:tblGrid>
      <w:tr>
        <w:trPr>
          <w:trHeight w:val="251"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6809"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4D4D4"/>
          </w:tcPr>
          <w:p>
            <w:pPr/>
          </w:p>
        </w:tc>
        <w:tc>
          <w:tcPr>
            <w:tcW w:w="65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6" w:type="dxa"/>
            <w:vMerge/>
            <w:tcBorders>
              <w:left w:val="single" w:sz="4" w:space="0" w:color="000000"/>
              <w:right w:val="single" w:sz="4" w:space="0" w:color="000000"/>
            </w:tcBorders>
            <w:shd w:val="clear" w:color="auto" w:fill="D4D4D4"/>
          </w:tcPr>
          <w:p>
            <w:pPr/>
          </w:p>
        </w:tc>
        <w:tc>
          <w:tcPr>
            <w:tcW w:w="6809" w:type="dxa"/>
            <w:gridSpan w:val="11"/>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59"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tcBorders>
              <w:left w:val="single" w:sz="4" w:space="0" w:color="000000"/>
              <w:right w:val="single" w:sz="4" w:space="0" w:color="000000"/>
            </w:tcBorders>
            <w:shd w:val="clear" w:color="auto" w:fill="D4D4D4"/>
          </w:tcPr>
          <w:p>
            <w:pPr/>
          </w:p>
        </w:tc>
        <w:tc>
          <w:tcPr>
            <w:tcW w:w="563" w:type="dxa"/>
            <w:vMerge w:val="restart"/>
            <w:tcBorders>
              <w:top w:val="single" w:sz="4" w:space="0" w:color="000000"/>
              <w:left w:val="single" w:sz="4" w:space="0" w:color="000000"/>
              <w:right w:val="single" w:sz="4" w:space="0" w:color="000000"/>
            </w:tcBorders>
            <w:shd w:val="clear" w:color="auto" w:fill="D4D4D4"/>
          </w:tcPr>
          <w:p>
            <w:pPr/>
          </w:p>
        </w:tc>
        <w:tc>
          <w:tcPr>
            <w:tcW w:w="159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4" w:type="dxa"/>
            <w:tcBorders>
              <w:top w:val="single" w:sz="4" w:space="0" w:color="000000"/>
              <w:left w:val="single" w:sz="4" w:space="0" w:color="000000"/>
              <w:bottom w:val="nil" w:sz="6" w:space="0" w:color="auto"/>
              <w:right w:val="single" w:sz="4" w:space="0" w:color="000000"/>
            </w:tcBorders>
            <w:shd w:val="clear" w:color="auto" w:fill="D4D4D4"/>
          </w:tcPr>
          <w:p>
            <w:pPr/>
          </w:p>
        </w:tc>
        <w:tc>
          <w:tcPr>
            <w:tcW w:w="666"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4D4D4"/>
          </w:tcPr>
          <w:p>
            <w:pPr/>
          </w:p>
        </w:tc>
      </w:tr>
      <w:tr>
        <w:trPr>
          <w:trHeight w:val="191" w:hRule="exact"/>
        </w:trPr>
        <w:tc>
          <w:tcPr>
            <w:tcW w:w="1426" w:type="dxa"/>
            <w:vMerge/>
            <w:tcBorders>
              <w:left w:val="single" w:sz="4" w:space="0" w:color="000000"/>
              <w:right w:val="single" w:sz="4" w:space="0" w:color="000000"/>
            </w:tcBorders>
            <w:shd w:val="clear" w:color="auto" w:fill="D4D4D4"/>
          </w:tcPr>
          <w:p>
            <w:pPr/>
          </w:p>
        </w:tc>
        <w:tc>
          <w:tcPr>
            <w:tcW w:w="563" w:type="dxa"/>
            <w:vMerge/>
            <w:tcBorders>
              <w:left w:val="single" w:sz="4" w:space="0" w:color="000000"/>
              <w:bottom w:val="nil" w:sz="6" w:space="0" w:color="auto"/>
              <w:right w:val="single" w:sz="4" w:space="0" w:color="000000"/>
            </w:tcBorders>
            <w:shd w:val="clear" w:color="auto" w:fill="D4D4D4"/>
          </w:tcPr>
          <w:p>
            <w:pPr/>
          </w:p>
        </w:tc>
        <w:tc>
          <w:tcPr>
            <w:tcW w:w="1592"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66" w:hRule="exact"/>
        </w:trPr>
        <w:tc>
          <w:tcPr>
            <w:tcW w:w="1426" w:type="dxa"/>
            <w:vMerge/>
            <w:tcBorders>
              <w:left w:val="single" w:sz="4" w:space="0" w:color="000000"/>
              <w:right w:val="single" w:sz="4" w:space="0" w:color="000000"/>
            </w:tcBorders>
            <w:shd w:val="clear" w:color="auto" w:fill="D4D4D4"/>
          </w:tcPr>
          <w:p>
            <w:pPr/>
          </w:p>
        </w:tc>
        <w:tc>
          <w:tcPr>
            <w:tcW w:w="56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6"/>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6"/>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6"/>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4" w:type="dxa"/>
            <w:vMerge/>
            <w:tcBorders>
              <w:left w:val="single" w:sz="4" w:space="0" w:color="000000"/>
              <w:right w:val="single" w:sz="4" w:space="0" w:color="000000"/>
            </w:tcBorders>
            <w:shd w:val="clear" w:color="auto" w:fill="D4D4D4"/>
          </w:tcPr>
          <w:p>
            <w:pPr/>
          </w:p>
        </w:tc>
        <w:tc>
          <w:tcPr>
            <w:tcW w:w="666"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69" w:hRule="exact"/>
        </w:trPr>
        <w:tc>
          <w:tcPr>
            <w:tcW w:w="1426" w:type="dxa"/>
            <w:vMerge/>
            <w:tcBorders>
              <w:left w:val="single" w:sz="4" w:space="0" w:color="000000"/>
              <w:right w:val="single" w:sz="4" w:space="0" w:color="000000"/>
            </w:tcBorders>
            <w:shd w:val="clear" w:color="auto" w:fill="D4D4D4"/>
          </w:tcPr>
          <w:p>
            <w:pPr/>
          </w:p>
        </w:tc>
        <w:tc>
          <w:tcPr>
            <w:tcW w:w="563"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2"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4" w:type="dxa"/>
            <w:vMerge/>
            <w:tcBorders>
              <w:left w:val="single" w:sz="4" w:space="0" w:color="000000"/>
              <w:right w:val="single" w:sz="4" w:space="0" w:color="000000"/>
            </w:tcBorders>
            <w:shd w:val="clear" w:color="auto" w:fill="D4D4D4"/>
          </w:tcPr>
          <w:p>
            <w:pPr/>
          </w:p>
        </w:tc>
        <w:tc>
          <w:tcPr>
            <w:tcW w:w="666"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3"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2"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4" w:type="dxa"/>
            <w:vMerge/>
            <w:tcBorders>
              <w:left w:val="single" w:sz="4" w:space="0" w:color="000000"/>
              <w:bottom w:val="nil" w:sz="6" w:space="0" w:color="auto"/>
              <w:right w:val="single" w:sz="4" w:space="0" w:color="000000"/>
            </w:tcBorders>
            <w:shd w:val="clear" w:color="auto" w:fill="D4D4D4"/>
          </w:tcPr>
          <w:p>
            <w:pPr/>
          </w:p>
        </w:tc>
        <w:tc>
          <w:tcPr>
            <w:tcW w:w="666"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
        </w:tc>
        <w:tc>
          <w:tcPr>
            <w:tcW w:w="659" w:type="dxa"/>
            <w:vMerge/>
            <w:tcBorders>
              <w:left w:val="single" w:sz="4" w:space="0" w:color="000000"/>
              <w:bottom w:val="nil" w:sz="6" w:space="0" w:color="auto"/>
              <w:right w:val="single" w:sz="4" w:space="0" w:color="000000"/>
            </w:tcBorders>
            <w:shd w:val="clear" w:color="auto" w:fill="D4D4D4"/>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3"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2"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4" w:type="dxa"/>
            <w:tcBorders>
              <w:top w:val="nil" w:sz="6" w:space="0" w:color="auto"/>
              <w:left w:val="single" w:sz="4" w:space="0" w:color="000000"/>
              <w:bottom w:val="single" w:sz="4" w:space="0" w:color="000000"/>
              <w:right w:val="single" w:sz="4" w:space="0" w:color="000000"/>
            </w:tcBorders>
            <w:shd w:val="clear" w:color="auto" w:fill="D4D4D4"/>
          </w:tcPr>
          <w:p>
            <w:pPr/>
          </w:p>
        </w:tc>
        <w:tc>
          <w:tcPr>
            <w:tcW w:w="666"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5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3" w:type="dxa"/>
            <w:vMerge w:val="restart"/>
            <w:tcBorders>
              <w:top w:val="single" w:sz="4" w:space="0" w:color="000000"/>
              <w:left w:val="single" w:sz="9" w:space="0" w:color="D4D4D4"/>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221,58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389,719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,961.64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18,750,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139.20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525.88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296,653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,550.96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609.95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957,961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,109.23</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3"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2" w:right="0"/>
              <w:jc w:val="left"/>
              <w:rPr>
                <w:rFonts w:ascii="宋体" w:hAnsi="宋体" w:cs="宋体" w:eastAsia="宋体" w:hint="default"/>
                <w:sz w:val="18"/>
                <w:szCs w:val="18"/>
              </w:rPr>
            </w:pPr>
            <w:r>
              <w:rPr>
                <w:rFonts w:ascii="宋体" w:hAnsi="宋体" w:cs="宋体" w:eastAsia="宋体" w:hint="default"/>
                <w:spacing w:val="13"/>
                <w:sz w:val="18"/>
                <w:szCs w:val="18"/>
              </w:rPr>
              <w:t>前期差</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0" w:firstLine="801"/>
              <w:jc w:val="left"/>
              <w:rPr>
                <w:rFonts w:ascii="宋体" w:hAnsi="宋体" w:cs="宋体" w:eastAsia="宋体" w:hint="default"/>
                <w:sz w:val="18"/>
                <w:szCs w:val="18"/>
              </w:rPr>
            </w:pPr>
            <w:r>
              <w:rPr>
                <w:rFonts w:ascii="宋体" w:hAnsi="宋体" w:cs="宋体" w:eastAsia="宋体" w:hint="default"/>
                <w:spacing w:val="13"/>
                <w:sz w:val="18"/>
                <w:szCs w:val="18"/>
              </w:rPr>
              <w:t>同一控</w:t>
            </w:r>
            <w:r>
              <w:rPr>
                <w:rFonts w:ascii="宋体" w:hAnsi="宋体" w:cs="宋体" w:eastAsia="宋体" w:hint="default"/>
                <w:spacing w:val="-70"/>
                <w:sz w:val="18"/>
                <w:szCs w:val="18"/>
              </w:rPr>
              <w:t> </w:t>
            </w:r>
            <w:r>
              <w:rPr>
                <w:rFonts w:ascii="宋体" w:hAnsi="宋体" w:cs="宋体" w:eastAsia="宋体" w:hint="default"/>
                <w:sz w:val="18"/>
                <w:szCs w:val="18"/>
              </w:rPr>
              <w:t>制下企业合并</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3" w:type="dxa"/>
            <w:vMerge w:val="restart"/>
            <w:tcBorders>
              <w:top w:val="single" w:sz="4" w:space="0" w:color="000000"/>
              <w:left w:val="single" w:sz="9" w:space="0" w:color="D4D4D4"/>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221,58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389,719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,961.64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18,750,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139.20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35,686,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525.88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296,653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,550.96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609.95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957,961</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,109.23</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3"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11"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221,58</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384,442</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,731.67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-18,750,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11,496,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029.60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pacing w:val="-3"/>
                <w:sz w:val="18"/>
              </w:rPr>
              <w:t>111,697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,825.02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-14,601,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535.97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733,366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,789.52</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133,165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,026.62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19,310,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547.58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152,475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,574.20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606,024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,331.67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-18,750,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11,252,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219.93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636,026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,690.80</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通股</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-18,750,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3,288,2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36.23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22,038,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375.43</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持有者投入资本</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571,336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,522.22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571,336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,522.22</w:t>
            </w: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11" w:right="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所有者权益的金</w:t>
            </w:r>
            <w:r>
              <w:rPr>
                <w:rFonts w:ascii="宋体" w:hAnsi="宋体" w:cs="宋体" w:eastAsia="宋体" w:hint="default"/>
                <w:spacing w:val="-70"/>
                <w:sz w:val="18"/>
                <w:szCs w:val="18"/>
              </w:rPr>
              <w:t> </w:t>
            </w:r>
            <w:r>
              <w:rPr>
                <w:rFonts w:ascii="宋体" w:hAnsi="宋体" w:cs="宋体" w:eastAsia="宋体" w:hint="default"/>
                <w:sz w:val="18"/>
                <w:szCs w:val="18"/>
              </w:rPr>
              <w:t>额</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23,765,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715.32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23,765,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715.32</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3" w:type="dxa"/>
            <w:vMerge w:val="restart"/>
            <w:tcBorders>
              <w:top w:val="single" w:sz="4" w:space="0" w:color="000000"/>
              <w:left w:val="single" w:sz="9" w:space="0" w:color="D4D4D4"/>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10,922,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094.13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7,963,9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83.70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18,886,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077.83</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3"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3" w:type="dxa"/>
            <w:vMerge w:val="restart"/>
            <w:tcBorders>
              <w:top w:val="single" w:sz="4" w:space="0" w:color="000000"/>
              <w:left w:val="single" w:sz="9" w:space="0" w:color="D4D4D4"/>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029.60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-21,467,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201.60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-10,254,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668.14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-20,225,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840.14</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3"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3" w:type="dxa"/>
            <w:vMerge w:val="restart"/>
            <w:tcBorders>
              <w:top w:val="single" w:sz="4" w:space="0" w:color="000000"/>
              <w:left w:val="single" w:sz="9" w:space="0" w:color="D4D4D4"/>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11,496,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029.60</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-11,496,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029.60</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3"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w:t>
            </w:r>
          </w:p>
        </w:tc>
        <w:tc>
          <w:tcPr>
            <w:tcW w:w="563" w:type="dxa"/>
            <w:tcBorders>
              <w:top w:val="single" w:sz="4" w:space="0" w:color="000000"/>
              <w:left w:val="single" w:sz="9"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-9,971,1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72.00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-10,254,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668.14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-20,225,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840.14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221,58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-34,909,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635.34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-34,909,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635.34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221,58</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-221,58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-34,909,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635.34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-34,909,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635.34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443,16</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774,162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,693.31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47,182,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555.48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408,351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,375.98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18,468,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073.98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27,898.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bl>
    <w:p>
      <w:pPr>
        <w:spacing w:line="240" w:lineRule="auto" w:before="9"/>
        <w:rPr>
          <w:rFonts w:ascii="Times New Roman" w:hAnsi="Times New Roman" w:cs="Times New Roman" w:eastAsia="Times New Roman" w:hint="default"/>
          <w:sz w:val="8"/>
          <w:szCs w:val="8"/>
        </w:rPr>
      </w:pPr>
    </w:p>
    <w:p>
      <w:pPr>
        <w:pStyle w:val="BodyText"/>
        <w:spacing w:line="240" w:lineRule="auto" w:before="35"/>
        <w:ind w:right="0"/>
        <w:jc w:val="left"/>
      </w:pPr>
      <w:r>
        <w:rPr/>
        <w:t>上期金额</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4D4D4"/>
          </w:tcPr>
          <w:p>
            <w:pP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4D4D4"/>
          </w:tcPr>
          <w:p>
            <w:pPr/>
          </w:p>
        </w:tc>
        <w:tc>
          <w:tcPr>
            <w:tcW w:w="6821" w:type="dxa"/>
            <w:gridSpan w:val="11"/>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4D4D4"/>
          </w:tcPr>
          <w:p>
            <w:pPr/>
          </w:p>
        </w:tc>
        <w:tc>
          <w:tcPr>
            <w:tcW w:w="659"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6821" w:type="dxa"/>
            <w:gridSpan w:val="11"/>
            <w:vMerge/>
            <w:tcBorders>
              <w:left w:val="single" w:sz="4" w:space="0" w:color="000000"/>
              <w:bottom w:val="single" w:sz="4" w:space="0" w:color="000000"/>
              <w:right w:val="single" w:sz="4" w:space="0" w:color="000000"/>
            </w:tcBorders>
            <w:shd w:val="clear" w:color="auto" w:fill="D4D4D4"/>
          </w:tcPr>
          <w:p>
            <w:pPr/>
          </w:p>
        </w:tc>
        <w:tc>
          <w:tcPr>
            <w:tcW w:w="652" w:type="dxa"/>
            <w:vMerge/>
            <w:tcBorders>
              <w:left w:val="single" w:sz="4" w:space="0" w:color="000000"/>
              <w:bottom w:val="nil" w:sz="6" w:space="0" w:color="auto"/>
              <w:right w:val="single" w:sz="4" w:space="0" w:color="000000"/>
            </w:tcBorders>
            <w:shd w:val="clear" w:color="auto" w:fill="D4D4D4"/>
          </w:tcPr>
          <w:p>
            <w:pPr/>
          </w:p>
        </w:tc>
        <w:tc>
          <w:tcPr>
            <w:tcW w:w="659"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4D4D4"/>
          </w:tcPr>
          <w:p>
            <w:pPr/>
          </w:p>
        </w:tc>
        <w:tc>
          <w:tcPr>
            <w:tcW w:w="159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tcBorders>
              <w:top w:val="single" w:sz="4" w:space="0" w:color="000000"/>
              <w:left w:val="single" w:sz="4" w:space="0" w:color="000000"/>
              <w:bottom w:val="nil" w:sz="6" w:space="0" w:color="auto"/>
              <w:right w:val="single" w:sz="4" w:space="0" w:color="000000"/>
            </w:tcBorders>
            <w:shd w:val="clear" w:color="auto" w:fill="D4D4D4"/>
          </w:tcPr>
          <w:p>
            <w:pPr/>
          </w:p>
        </w:tc>
        <w:tc>
          <w:tcPr>
            <w:tcW w:w="678" w:type="dxa"/>
            <w:tcBorders>
              <w:top w:val="single" w:sz="4" w:space="0" w:color="000000"/>
              <w:left w:val="single" w:sz="4" w:space="0" w:color="000000"/>
              <w:bottom w:val="nil" w:sz="6" w:space="0" w:color="auto"/>
              <w:right w:val="single" w:sz="4" w:space="0" w:color="000000"/>
            </w:tcBorders>
            <w:shd w:val="clear" w:color="auto" w:fill="D4D4D4"/>
          </w:tcPr>
          <w:p>
            <w:pPr/>
          </w:p>
        </w:tc>
        <w:tc>
          <w:tcPr>
            <w:tcW w:w="652"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4D4D4"/>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1592" w:type="dxa"/>
            <w:gridSpan w:val="3"/>
            <w:vMerge/>
            <w:tcBorders>
              <w:left w:val="single" w:sz="4" w:space="0" w:color="000000"/>
              <w:bottom w:val="single" w:sz="4" w:space="0" w:color="000000"/>
              <w:right w:val="single" w:sz="4" w:space="0" w:color="000000"/>
            </w:tcBorders>
            <w:shd w:val="clear" w:color="auto" w:fill="D4D4D4"/>
          </w:tcPr>
          <w:p>
            <w:pP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4D4D4"/>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33"/>
              <w:ind w:left="9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8" w:type="dxa"/>
            <w:vMerge/>
            <w:tcBorders>
              <w:left w:val="single" w:sz="4" w:space="0" w:color="000000"/>
              <w:right w:val="single" w:sz="4" w:space="0" w:color="000000"/>
            </w:tcBorders>
            <w:shd w:val="clear" w:color="auto" w:fill="D4D4D4"/>
          </w:tcPr>
          <w:p>
            <w:pPr/>
          </w:p>
        </w:tc>
        <w:tc>
          <w:tcPr>
            <w:tcW w:w="652" w:type="dxa"/>
            <w:vMerge/>
            <w:tcBorders>
              <w:left w:val="single" w:sz="4" w:space="0" w:color="000000"/>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68" w:hRule="exact"/>
        </w:trPr>
        <w:tc>
          <w:tcPr>
            <w:tcW w:w="1426" w:type="dxa"/>
            <w:vMerge/>
            <w:tcBorders>
              <w:left w:val="single" w:sz="4" w:space="0" w:color="000000"/>
              <w:right w:val="single" w:sz="4" w:space="0" w:color="000000"/>
            </w:tcBorders>
            <w:shd w:val="clear" w:color="auto" w:fill="D4D4D4"/>
          </w:tcPr>
          <w:p>
            <w:pPr/>
          </w:p>
        </w:tc>
        <w:tc>
          <w:tcPr>
            <w:tcW w:w="562" w:type="dxa"/>
            <w:vMerge/>
            <w:tcBorders>
              <w:left w:val="single" w:sz="4" w:space="0" w:color="000000"/>
              <w:bottom w:val="nil" w:sz="6" w:space="0" w:color="auto"/>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2" w:type="dxa"/>
            <w:vMerge/>
            <w:tcBorders>
              <w:left w:val="single" w:sz="4" w:space="0" w:color="000000"/>
              <w:right w:val="single" w:sz="4" w:space="0" w:color="000000"/>
            </w:tcBorders>
            <w:shd w:val="clear" w:color="auto" w:fill="D4D4D4"/>
          </w:tcPr>
          <w:p>
            <w:pPr/>
          </w:p>
        </w:tc>
        <w:tc>
          <w:tcPr>
            <w:tcW w:w="53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65" w:type="dxa"/>
            <w:vMerge/>
            <w:tcBorders>
              <w:left w:val="single" w:sz="4" w:space="0" w:color="000000"/>
              <w:right w:val="single" w:sz="4" w:space="0" w:color="000000"/>
            </w:tcBorders>
            <w:shd w:val="clear" w:color="auto" w:fill="D4D4D4"/>
          </w:tcPr>
          <w:p>
            <w:pPr/>
          </w:p>
        </w:tc>
        <w:tc>
          <w:tcPr>
            <w:tcW w:w="678" w:type="dxa"/>
            <w:vMerge/>
            <w:tcBorders>
              <w:left w:val="single" w:sz="4" w:space="0" w:color="000000"/>
              <w:right w:val="single" w:sz="4" w:space="0" w:color="000000"/>
            </w:tcBorders>
            <w:shd w:val="clear" w:color="auto" w:fill="D4D4D4"/>
          </w:tcPr>
          <w:p>
            <w:pPr/>
          </w:p>
        </w:tc>
        <w:tc>
          <w:tcPr>
            <w:tcW w:w="652" w:type="dxa"/>
            <w:vMerge/>
            <w:tcBorders>
              <w:left w:val="single" w:sz="4" w:space="0" w:color="000000"/>
              <w:bottom w:val="nil" w:sz="6" w:space="0" w:color="auto"/>
              <w:right w:val="single" w:sz="4" w:space="0" w:color="000000"/>
            </w:tcBorders>
            <w:shd w:val="clear" w:color="auto" w:fill="D4D4D4"/>
          </w:tcPr>
          <w:p>
            <w:pPr/>
          </w:p>
        </w:tc>
        <w:tc>
          <w:tcPr>
            <w:tcW w:w="659" w:type="dxa"/>
            <w:vMerge/>
            <w:tcBorders>
              <w:left w:val="single" w:sz="4" w:space="0" w:color="000000"/>
              <w:right w:val="single" w:sz="4" w:space="0" w:color="000000"/>
            </w:tcBorders>
            <w:shd w:val="clear" w:color="auto" w:fill="D4D4D4"/>
          </w:tcPr>
          <w:p>
            <w:pPr/>
          </w:p>
        </w:tc>
      </w:tr>
      <w:tr>
        <w:trPr>
          <w:trHeight w:val="156" w:hRule="exact"/>
        </w:trPr>
        <w:tc>
          <w:tcPr>
            <w:tcW w:w="1426" w:type="dxa"/>
            <w:vMerge/>
            <w:tcBorders>
              <w:left w:val="single" w:sz="4" w:space="0" w:color="000000"/>
              <w:right w:val="single" w:sz="4" w:space="0" w:color="000000"/>
            </w:tcBorders>
            <w:shd w:val="clear" w:color="auto" w:fill="D4D4D4"/>
          </w:tcPr>
          <w:p>
            <w:pPr/>
          </w:p>
        </w:tc>
        <w:tc>
          <w:tcPr>
            <w:tcW w:w="562" w:type="dxa"/>
            <w:vMerge w:val="restart"/>
            <w:tcBorders>
              <w:top w:val="nil" w:sz="6" w:space="0" w:color="auto"/>
              <w:left w:val="single" w:sz="4" w:space="0" w:color="000000"/>
              <w:right w:val="single" w:sz="4" w:space="0" w:color="000000"/>
            </w:tcBorders>
            <w:shd w:val="clear" w:color="auto" w:fill="D4D4D4"/>
          </w:tcPr>
          <w:p>
            <w:pPr/>
          </w:p>
        </w:tc>
        <w:tc>
          <w:tcPr>
            <w:tcW w:w="530" w:type="dxa"/>
            <w:vMerge/>
            <w:tcBorders>
              <w:left w:val="single" w:sz="4" w:space="0" w:color="000000"/>
              <w:right w:val="single" w:sz="4" w:space="0" w:color="000000"/>
            </w:tcBorders>
            <w:shd w:val="clear" w:color="auto" w:fill="D4D4D4"/>
          </w:tcPr>
          <w:p>
            <w:pPr/>
          </w:p>
        </w:tc>
        <w:tc>
          <w:tcPr>
            <w:tcW w:w="532" w:type="dxa"/>
            <w:vMerge/>
            <w:tcBorders>
              <w:left w:val="single" w:sz="4" w:space="0" w:color="000000"/>
              <w:right w:val="single" w:sz="4" w:space="0" w:color="000000"/>
            </w:tcBorders>
            <w:shd w:val="clear" w:color="auto" w:fill="D4D4D4"/>
          </w:tcPr>
          <w:p>
            <w:pPr/>
          </w:p>
        </w:tc>
        <w:tc>
          <w:tcPr>
            <w:tcW w:w="530"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65" w:type="dxa"/>
            <w:vMerge/>
            <w:tcBorders>
              <w:left w:val="single" w:sz="4" w:space="0" w:color="000000"/>
              <w:bottom w:val="nil" w:sz="6" w:space="0" w:color="auto"/>
              <w:right w:val="single" w:sz="4" w:space="0" w:color="000000"/>
            </w:tcBorders>
            <w:shd w:val="clear" w:color="auto" w:fill="D4D4D4"/>
          </w:tcPr>
          <w:p>
            <w:pPr/>
          </w:p>
        </w:tc>
        <w:tc>
          <w:tcPr>
            <w:tcW w:w="678" w:type="dxa"/>
            <w:vMerge/>
            <w:tcBorders>
              <w:left w:val="single" w:sz="4" w:space="0" w:color="000000"/>
              <w:bottom w:val="nil" w:sz="6" w:space="0" w:color="auto"/>
              <w:right w:val="single" w:sz="4" w:space="0" w:color="000000"/>
            </w:tcBorders>
            <w:shd w:val="clear" w:color="auto" w:fill="D4D4D4"/>
          </w:tcPr>
          <w:p>
            <w:pPr/>
          </w:p>
        </w:tc>
        <w:tc>
          <w:tcPr>
            <w:tcW w:w="652" w:type="dxa"/>
            <w:vMerge w:val="restart"/>
            <w:tcBorders>
              <w:top w:val="nil" w:sz="6" w:space="0" w:color="auto"/>
              <w:left w:val="single" w:sz="4" w:space="0" w:color="000000"/>
              <w:right w:val="single" w:sz="4" w:space="0" w:color="000000"/>
            </w:tcBorders>
            <w:shd w:val="clear" w:color="auto" w:fill="D4D4D4"/>
          </w:tcPr>
          <w:p>
            <w:pPr/>
          </w:p>
        </w:tc>
        <w:tc>
          <w:tcPr>
            <w:tcW w:w="659" w:type="dxa"/>
            <w:vMerge/>
            <w:tcBorders>
              <w:left w:val="single" w:sz="4" w:space="0" w:color="000000"/>
              <w:bottom w:val="nil" w:sz="6" w:space="0" w:color="auto"/>
              <w:right w:val="single" w:sz="4" w:space="0" w:color="000000"/>
            </w:tcBorders>
            <w:shd w:val="clear" w:color="auto" w:fill="D4D4D4"/>
          </w:tcPr>
          <w:p>
            <w:pPr/>
          </w:p>
        </w:tc>
      </w:tr>
      <w:tr>
        <w:trPr>
          <w:trHeight w:val="228" w:hRule="exact"/>
        </w:trPr>
        <w:tc>
          <w:tcPr>
            <w:tcW w:w="1426" w:type="dxa"/>
            <w:vMerge/>
            <w:tcBorders>
              <w:left w:val="single" w:sz="4" w:space="0" w:color="000000"/>
              <w:bottom w:val="single" w:sz="4" w:space="0" w:color="000000"/>
              <w:right w:val="single" w:sz="4" w:space="0" w:color="000000"/>
            </w:tcBorders>
            <w:shd w:val="clear" w:color="auto" w:fill="D4D4D4"/>
          </w:tcPr>
          <w:p>
            <w:pPr/>
          </w:p>
        </w:tc>
        <w:tc>
          <w:tcPr>
            <w:tcW w:w="562" w:type="dxa"/>
            <w:vMerge/>
            <w:tcBorders>
              <w:left w:val="single" w:sz="4" w:space="0" w:color="000000"/>
              <w:bottom w:val="single" w:sz="4" w:space="0" w:color="000000"/>
              <w:right w:val="single" w:sz="4" w:space="0" w:color="000000"/>
            </w:tcBorders>
            <w:shd w:val="clear" w:color="auto" w:fill="D4D4D4"/>
          </w:tcPr>
          <w:p>
            <w:pPr/>
          </w:p>
        </w:tc>
        <w:tc>
          <w:tcPr>
            <w:tcW w:w="530" w:type="dxa"/>
            <w:vMerge/>
            <w:tcBorders>
              <w:left w:val="single" w:sz="4" w:space="0" w:color="000000"/>
              <w:bottom w:val="single" w:sz="4" w:space="0" w:color="000000"/>
              <w:right w:val="single" w:sz="4" w:space="0" w:color="000000"/>
            </w:tcBorders>
            <w:shd w:val="clear" w:color="auto" w:fill="D4D4D4"/>
          </w:tcPr>
          <w:p>
            <w:pPr/>
          </w:p>
        </w:tc>
        <w:tc>
          <w:tcPr>
            <w:tcW w:w="532" w:type="dxa"/>
            <w:vMerge/>
            <w:tcBorders>
              <w:left w:val="single" w:sz="4" w:space="0" w:color="000000"/>
              <w:bottom w:val="single" w:sz="4" w:space="0" w:color="000000"/>
              <w:right w:val="single" w:sz="4" w:space="0" w:color="000000"/>
            </w:tcBorders>
            <w:shd w:val="clear" w:color="auto" w:fill="D4D4D4"/>
          </w:tcPr>
          <w:p>
            <w:pPr/>
          </w:p>
        </w:tc>
        <w:tc>
          <w:tcPr>
            <w:tcW w:w="530"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tcBorders>
              <w:top w:val="nil" w:sz="6" w:space="0" w:color="auto"/>
              <w:left w:val="single" w:sz="4" w:space="0" w:color="000000"/>
              <w:bottom w:val="single" w:sz="4" w:space="0" w:color="000000"/>
              <w:right w:val="single" w:sz="4" w:space="0" w:color="000000"/>
            </w:tcBorders>
            <w:shd w:val="clear" w:color="auto" w:fill="D4D4D4"/>
          </w:tcPr>
          <w:p>
            <w:pPr/>
          </w:p>
        </w:tc>
        <w:tc>
          <w:tcPr>
            <w:tcW w:w="678" w:type="dxa"/>
            <w:tcBorders>
              <w:top w:val="nil" w:sz="6" w:space="0" w:color="auto"/>
              <w:left w:val="single" w:sz="4" w:space="0" w:color="000000"/>
              <w:bottom w:val="single" w:sz="4" w:space="0" w:color="000000"/>
              <w:right w:val="single" w:sz="4" w:space="0" w:color="000000"/>
            </w:tcBorders>
            <w:shd w:val="clear" w:color="auto" w:fill="D4D4D4"/>
          </w:tcPr>
          <w:p>
            <w:pPr/>
          </w:p>
        </w:tc>
        <w:tc>
          <w:tcPr>
            <w:tcW w:w="652" w:type="dxa"/>
            <w:vMerge/>
            <w:tcBorders>
              <w:left w:val="single" w:sz="4" w:space="0" w:color="000000"/>
              <w:bottom w:val="single" w:sz="4" w:space="0" w:color="000000"/>
              <w:right w:val="single" w:sz="4" w:space="0" w:color="000000"/>
            </w:tcBorders>
            <w:shd w:val="clear" w:color="auto" w:fill="D4D4D4"/>
          </w:tcPr>
          <w:p>
            <w:pPr/>
          </w:p>
        </w:tc>
        <w:tc>
          <w:tcPr>
            <w:tcW w:w="659"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318" w:hRule="exact"/>
        </w:trPr>
        <w:tc>
          <w:tcPr>
            <w:tcW w:w="1426" w:type="dxa"/>
            <w:tcBorders>
              <w:top w:val="single" w:sz="4" w:space="0" w:color="000000"/>
              <w:left w:val="single" w:sz="4" w:space="0" w:color="000000"/>
              <w:bottom w:val="nil" w:sz="6" w:space="0" w:color="auto"/>
              <w:right w:val="single" w:sz="4" w:space="0" w:color="000000"/>
            </w:tcBorders>
            <w:shd w:val="clear" w:color="auto" w:fill="D4D4D4"/>
          </w:tcPr>
          <w:p>
            <w:pPr/>
          </w:p>
        </w:tc>
        <w:tc>
          <w:tcPr>
            <w:tcW w:w="562" w:type="dxa"/>
            <w:vMerge w:val="restart"/>
            <w:tcBorders>
              <w:top w:val="single" w:sz="4" w:space="0" w:color="000000"/>
              <w:left w:val="single" w:sz="9" w:space="0" w:color="D4D4D4"/>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221,81</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381,666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,980.65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19,860,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742.80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888.89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199,392</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,324.68</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232.45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831,053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,883.87</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4D4D4"/>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4D4D4"/>
          </w:tcPr>
          <w:p>
            <w:pPr/>
          </w:p>
        </w:tc>
        <w:tc>
          <w:tcPr>
            <w:tcW w:w="562" w:type="dxa"/>
            <w:vMerge/>
            <w:tcBorders>
              <w:left w:val="single" w:sz="9" w:space="0" w:color="D4D4D4"/>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12" w:right="0"/>
              <w:jc w:val="left"/>
              <w:rPr>
                <w:rFonts w:ascii="宋体" w:hAnsi="宋体" w:cs="宋体" w:eastAsia="宋体" w:hint="default"/>
                <w:sz w:val="18"/>
                <w:szCs w:val="18"/>
              </w:rPr>
            </w:pPr>
            <w:r>
              <w:rPr>
                <w:rFonts w:ascii="宋体" w:hAnsi="宋体" w:cs="宋体" w:eastAsia="宋体" w:hint="default"/>
                <w:spacing w:val="13"/>
                <w:sz w:val="18"/>
                <w:szCs w:val="18"/>
              </w:rPr>
              <w:t>前期差</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4D4D4"/>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 w:firstLine="801"/>
              <w:jc w:val="left"/>
              <w:rPr>
                <w:rFonts w:ascii="宋体" w:hAnsi="宋体" w:cs="宋体" w:eastAsia="宋体" w:hint="default"/>
                <w:sz w:val="18"/>
                <w:szCs w:val="18"/>
              </w:rPr>
            </w:pPr>
            <w:r>
              <w:rPr>
                <w:rFonts w:ascii="宋体" w:hAnsi="宋体" w:cs="宋体" w:eastAsia="宋体" w:hint="default"/>
                <w:spacing w:val="13"/>
                <w:sz w:val="18"/>
                <w:szCs w:val="18"/>
              </w:rPr>
              <w:t>同一控</w:t>
            </w:r>
            <w:r>
              <w:rPr>
                <w:rFonts w:ascii="宋体" w:hAnsi="宋体" w:cs="宋体" w:eastAsia="宋体" w:hint="default"/>
                <w:spacing w:val="-71"/>
                <w:sz w:val="18"/>
                <w:szCs w:val="18"/>
              </w:rPr>
              <w:t> </w:t>
            </w:r>
            <w:r>
              <w:rPr>
                <w:rFonts w:ascii="宋体" w:hAnsi="宋体" w:cs="宋体" w:eastAsia="宋体" w:hint="default"/>
                <w:sz w:val="18"/>
                <w:szCs w:val="18"/>
              </w:rPr>
              <w:t>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221,81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381,666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,980.65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19,860,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742.80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888.89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199,392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,324.68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232.45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831,053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,883.87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8,052,9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80.99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-1,110,6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10,689,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636.99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97,261,</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226.28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10,024,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377.50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126,907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,225.36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114,602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,055.27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8,817,4</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09.50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123,419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,464.77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8,052,9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80.99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-1,110,6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1,206,9</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68.00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10,138,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952.59</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w:t>
            </w:r>
            <w:r>
              <w:rPr>
                <w:rFonts w:ascii="宋体" w:hAnsi="宋体" w:cs="宋体" w:eastAsia="宋体" w:hint="default"/>
                <w:sz w:val="18"/>
                <w:szCs w:val="18"/>
              </w:rPr>
              <w:t>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-231,6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-742,95</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-1,110,6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03.60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1,206,9</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68.00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1,343,0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21.60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w:t>
            </w:r>
            <w:r>
              <w:rPr>
                <w:rFonts w:ascii="宋体" w:hAnsi="宋体" w:cs="宋体" w:eastAsia="宋体" w:hint="default"/>
                <w:sz w:val="18"/>
                <w:szCs w:val="18"/>
              </w:rPr>
              <w:t>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w:t>
            </w:r>
            <w:r>
              <w:rPr>
                <w:rFonts w:ascii="宋体" w:hAnsi="宋体" w:cs="宋体" w:eastAsia="宋体" w:hint="default"/>
                <w:sz w:val="18"/>
                <w:szCs w:val="18"/>
              </w:rPr>
              <w:t> </w:t>
            </w:r>
            <w:r>
              <w:rPr>
                <w:rFonts w:ascii="宋体" w:hAnsi="宋体" w:cs="宋体" w:eastAsia="宋体" w:hint="default"/>
                <w:spacing w:val="17"/>
                <w:sz w:val="18"/>
                <w:szCs w:val="18"/>
              </w:rPr>
              <w:t>所有者权益的金</w:t>
            </w:r>
            <w:r>
              <w:rPr>
                <w:rFonts w:ascii="宋体" w:hAnsi="宋体" w:cs="宋体" w:eastAsia="宋体" w:hint="default"/>
                <w:sz w:val="18"/>
                <w:szCs w:val="18"/>
              </w:rPr>
              <w:t>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2,088,8</w:t>
            </w:r>
          </w:p>
          <w:p>
            <w:pPr>
              <w:pStyle w:val="TableParagraph"/>
              <w:spacing w:line="240" w:lineRule="auto" w:before="106"/>
              <w:ind w:left="211" w:right="0"/>
              <w:jc w:val="center"/>
              <w:rPr>
                <w:rFonts w:ascii="Times New Roman" w:hAnsi="Times New Roman" w:cs="Times New Roman" w:eastAsia="Times New Roman" w:hint="default"/>
                <w:sz w:val="18"/>
                <w:szCs w:val="18"/>
              </w:rPr>
            </w:pPr>
            <w:r>
              <w:rPr>
                <w:rFonts w:ascii="Times New Roman"/>
                <w:sz w:val="18"/>
              </w:rPr>
              <w:t>68.11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2,088,8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68.11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6,707,0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62.88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6,707,0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62.88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10,689,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636.99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-17,340,</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828.99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92.00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10,689,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636.99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-10,689,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636.99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．提取一般风险</w:t>
            </w:r>
            <w:r>
              <w:rPr>
                <w:rFonts w:ascii="宋体" w:hAnsi="宋体" w:cs="宋体" w:eastAsia="宋体" w:hint="default"/>
                <w:sz w:val="18"/>
                <w:szCs w:val="18"/>
              </w:rPr>
              <w:t>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．对所有者（或</w:t>
            </w:r>
            <w:r>
              <w:rPr>
                <w:rFonts w:ascii="宋体" w:hAnsi="宋体" w:cs="宋体" w:eastAsia="宋体" w:hint="default"/>
                <w:sz w:val="18"/>
                <w:szCs w:val="18"/>
              </w:rPr>
              <w:t>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92.00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92.00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w:t>
            </w:r>
            <w:r>
              <w:rPr>
                <w:rFonts w:ascii="宋体" w:hAnsi="宋体" w:cs="宋体" w:eastAsia="宋体" w:hint="default"/>
                <w:sz w:val="18"/>
                <w:szCs w:val="18"/>
              </w:rPr>
              <w:t>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w:t>
            </w:r>
            <w:r>
              <w:rPr>
                <w:rFonts w:ascii="宋体" w:hAnsi="宋体" w:cs="宋体" w:eastAsia="宋体" w:hint="default"/>
                <w:sz w:val="18"/>
                <w:szCs w:val="18"/>
              </w:rPr>
              <w:t>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w:t>
            </w:r>
            <w:r>
              <w:rPr>
                <w:rFonts w:ascii="宋体" w:hAnsi="宋体" w:cs="宋体" w:eastAsia="宋体" w:hint="default"/>
                <w:sz w:val="18"/>
                <w:szCs w:val="18"/>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221,58</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1,600.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389,719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,961.64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18,750,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35,686,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525.88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296,653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,550.96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33,069,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609.95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957,961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,109.23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本期金额</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bookmarkStart w:name="8、母公司所有者权益变动表" w:id="156"/>
      <w:bookmarkEnd w:id="156"/>
      <w:r>
        <w:rPr/>
      </w: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9"/>
        <w:gridCol w:w="703"/>
        <w:gridCol w:w="665"/>
        <w:gridCol w:w="665"/>
        <w:gridCol w:w="665"/>
        <w:gridCol w:w="797"/>
        <w:gridCol w:w="798"/>
        <w:gridCol w:w="798"/>
        <w:gridCol w:w="798"/>
        <w:gridCol w:w="797"/>
        <w:gridCol w:w="676"/>
        <w:gridCol w:w="781"/>
      </w:tblGrid>
      <w:tr>
        <w:trPr>
          <w:trHeight w:val="397"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29" w:type="dxa"/>
            <w:vMerge/>
            <w:tcBorders>
              <w:left w:val="single" w:sz="4" w:space="0" w:color="000000"/>
              <w:bottom w:val="nil" w:sz="6" w:space="0" w:color="auto"/>
              <w:right w:val="single" w:sz="4" w:space="0" w:color="000000"/>
            </w:tcBorders>
            <w:shd w:val="clear" w:color="auto" w:fill="D4D4D4"/>
          </w:tcPr>
          <w:p>
            <w:pPr/>
          </w:p>
        </w:tc>
        <w:tc>
          <w:tcPr>
            <w:tcW w:w="70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4D4D4"/>
          </w:tcPr>
          <w:p>
            <w:pPr/>
          </w:p>
        </w:tc>
        <w:tc>
          <w:tcPr>
            <w:tcW w:w="781" w:type="dxa"/>
            <w:vMerge/>
            <w:tcBorders>
              <w:left w:val="single" w:sz="4" w:space="0" w:color="000000"/>
              <w:right w:val="single" w:sz="4" w:space="0" w:color="000000"/>
            </w:tcBorders>
            <w:shd w:val="clear" w:color="auto" w:fill="D4D4D4"/>
          </w:tcPr>
          <w:p>
            <w:pPr/>
          </w:p>
        </w:tc>
      </w:tr>
      <w:tr>
        <w:trPr>
          <w:trHeight w:val="199" w:hRule="exact"/>
        </w:trPr>
        <w:tc>
          <w:tcPr>
            <w:tcW w:w="1429" w:type="dxa"/>
            <w:vMerge w:val="restart"/>
            <w:tcBorders>
              <w:top w:val="nil" w:sz="6" w:space="0" w:color="auto"/>
              <w:left w:val="single" w:sz="4" w:space="0" w:color="000000"/>
              <w:right w:val="single" w:sz="4" w:space="0" w:color="000000"/>
            </w:tcBorders>
            <w:shd w:val="clear" w:color="auto" w:fill="D4D4D4"/>
          </w:tcPr>
          <w:p>
            <w:pPr/>
          </w:p>
        </w:tc>
        <w:tc>
          <w:tcPr>
            <w:tcW w:w="703"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6" w:type="dxa"/>
            <w:vMerge/>
            <w:tcBorders>
              <w:left w:val="single" w:sz="4" w:space="0" w:color="000000"/>
              <w:right w:val="single" w:sz="4" w:space="0" w:color="000000"/>
            </w:tcBorders>
            <w:shd w:val="clear" w:color="auto" w:fill="D4D4D4"/>
          </w:tcPr>
          <w:p>
            <w:pPr/>
          </w:p>
        </w:tc>
        <w:tc>
          <w:tcPr>
            <w:tcW w:w="781" w:type="dxa"/>
            <w:vMerge/>
            <w:tcBorders>
              <w:left w:val="single" w:sz="4" w:space="0" w:color="000000"/>
              <w:right w:val="single" w:sz="4" w:space="0" w:color="000000"/>
            </w:tcBorders>
            <w:shd w:val="clear" w:color="auto" w:fill="D4D4D4"/>
          </w:tcPr>
          <w:p>
            <w:pPr/>
          </w:p>
        </w:tc>
      </w:tr>
      <w:tr>
        <w:trPr>
          <w:trHeight w:val="205" w:hRule="exact"/>
        </w:trPr>
        <w:tc>
          <w:tcPr>
            <w:tcW w:w="1429" w:type="dxa"/>
            <w:vMerge/>
            <w:tcBorders>
              <w:left w:val="single" w:sz="4" w:space="0" w:color="000000"/>
              <w:bottom w:val="single" w:sz="4" w:space="0" w:color="000000"/>
              <w:right w:val="single" w:sz="4" w:space="0" w:color="000000"/>
            </w:tcBorders>
            <w:shd w:val="clear" w:color="auto" w:fill="D4D4D4"/>
          </w:tcPr>
          <w:p>
            <w:pPr/>
          </w:p>
        </w:tc>
        <w:tc>
          <w:tcPr>
            <w:tcW w:w="70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6" w:type="dxa"/>
            <w:vMerge/>
            <w:tcBorders>
              <w:left w:val="single" w:sz="4" w:space="0" w:color="000000"/>
              <w:bottom w:val="single" w:sz="4" w:space="0" w:color="000000"/>
              <w:right w:val="single" w:sz="4" w:space="0" w:color="000000"/>
            </w:tcBorders>
            <w:shd w:val="clear" w:color="auto" w:fill="D4D4D4"/>
          </w:tcPr>
          <w:p>
            <w:pPr/>
          </w:p>
        </w:tc>
        <w:tc>
          <w:tcPr>
            <w:tcW w:w="781" w:type="dxa"/>
            <w:vMerge/>
            <w:tcBorders>
              <w:left w:val="single" w:sz="4" w:space="0" w:color="000000"/>
              <w:bottom w:val="single" w:sz="4" w:space="0" w:color="000000"/>
              <w:right w:val="single" w:sz="4" w:space="0" w:color="000000"/>
            </w:tcBorders>
            <w:shd w:val="clear" w:color="auto" w:fill="D4D4D4"/>
          </w:tcPr>
          <w:p>
            <w:pPr/>
          </w:p>
        </w:tc>
      </w:tr>
      <w:tr>
        <w:trPr>
          <w:trHeight w:val="162"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3" w:type="dxa"/>
            <w:vMerge w:val="restart"/>
            <w:tcBorders>
              <w:top w:val="single" w:sz="4" w:space="0" w:color="000000"/>
              <w:left w:val="single" w:sz="10" w:space="0" w:color="D4D4D4"/>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221,581,</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389,719,9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61.64</w:t>
            </w:r>
          </w:p>
        </w:tc>
        <w:tc>
          <w:tcPr>
            <w:tcW w:w="798" w:type="dxa"/>
            <w:vMerge w:val="restart"/>
            <w:tcBorders>
              <w:top w:val="single" w:sz="22" w:space="0" w:color="D4D4D4"/>
              <w:left w:val="single" w:sz="4" w:space="0" w:color="000000"/>
              <w:right w:val="single" w:sz="4" w:space="0" w:color="000000"/>
            </w:tcBorders>
          </w:tcPr>
          <w:p>
            <w:pPr>
              <w:pStyle w:val="TableParagraph"/>
              <w:spacing w:line="240" w:lineRule="auto" w:before="70"/>
              <w:ind w:left="45" w:right="0"/>
              <w:jc w:val="left"/>
              <w:rPr>
                <w:rFonts w:ascii="Times New Roman" w:hAnsi="Times New Roman" w:cs="Times New Roman" w:eastAsia="Times New Roman" w:hint="default"/>
                <w:sz w:val="18"/>
                <w:szCs w:val="18"/>
              </w:rPr>
            </w:pPr>
            <w:r>
              <w:rPr>
                <w:rFonts w:ascii="Times New Roman"/>
                <w:sz w:val="18"/>
              </w:rPr>
              <w:t>18,750,13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9.20</w:t>
            </w:r>
          </w:p>
        </w:tc>
        <w:tc>
          <w:tcPr>
            <w:tcW w:w="798" w:type="dxa"/>
            <w:vMerge w:val="restart"/>
            <w:tcBorders>
              <w:top w:val="single" w:sz="22" w:space="0" w:color="D4D4D4"/>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35,686,52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5.88</w:t>
            </w:r>
          </w:p>
        </w:tc>
        <w:tc>
          <w:tcPr>
            <w:tcW w:w="676" w:type="dxa"/>
            <w:vMerge w:val="restart"/>
            <w:tcBorders>
              <w:top w:val="single" w:sz="22" w:space="0" w:color="D4D4D4"/>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280,899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,684.37</w:t>
            </w:r>
          </w:p>
        </w:tc>
        <w:tc>
          <w:tcPr>
            <w:tcW w:w="781" w:type="dxa"/>
            <w:vMerge w:val="restart"/>
            <w:tcBorders>
              <w:top w:val="single" w:sz="22" w:space="0" w:color="D4D4D4"/>
              <w:left w:val="single" w:sz="4" w:space="0" w:color="000000"/>
              <w:right w:val="single" w:sz="4" w:space="0" w:color="000000"/>
            </w:tcBorders>
          </w:tcPr>
          <w:p>
            <w:pPr>
              <w:pStyle w:val="TableParagraph"/>
              <w:spacing w:line="240" w:lineRule="auto" w:before="70"/>
              <w:ind w:left="27" w:right="0"/>
              <w:jc w:val="left"/>
              <w:rPr>
                <w:rFonts w:ascii="Times New Roman" w:hAnsi="Times New Roman" w:cs="Times New Roman" w:eastAsia="Times New Roman" w:hint="default"/>
                <w:sz w:val="18"/>
                <w:szCs w:val="18"/>
              </w:rPr>
            </w:pPr>
            <w:r>
              <w:rPr>
                <w:rFonts w:ascii="Times New Roman"/>
                <w:sz w:val="18"/>
              </w:rPr>
              <w:t>909,137,6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32.69</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3"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25" w:right="0"/>
              <w:jc w:val="left"/>
              <w:rPr>
                <w:rFonts w:ascii="宋体" w:hAnsi="宋体" w:cs="宋体" w:eastAsia="宋体" w:hint="default"/>
                <w:sz w:val="18"/>
                <w:szCs w:val="18"/>
              </w:rPr>
            </w:pPr>
            <w:r>
              <w:rPr>
                <w:rFonts w:ascii="宋体" w:hAnsi="宋体" w:cs="宋体" w:eastAsia="宋体" w:hint="default"/>
                <w:spacing w:val="13"/>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29" w:type="dxa"/>
            <w:tcBorders>
              <w:top w:val="single" w:sz="4" w:space="0" w:color="000000"/>
              <w:left w:val="single" w:sz="4" w:space="0" w:color="000000"/>
              <w:bottom w:val="nil" w:sz="6" w:space="0" w:color="auto"/>
              <w:right w:val="single" w:sz="4" w:space="0" w:color="000000"/>
            </w:tcBorders>
            <w:shd w:val="clear" w:color="auto" w:fill="D4D4D4"/>
          </w:tcPr>
          <w:p>
            <w:pPr/>
          </w:p>
        </w:tc>
        <w:tc>
          <w:tcPr>
            <w:tcW w:w="703" w:type="dxa"/>
            <w:vMerge w:val="restart"/>
            <w:tcBorders>
              <w:top w:val="single" w:sz="4" w:space="0" w:color="000000"/>
              <w:left w:val="single" w:sz="10" w:space="0" w:color="D4D4D4"/>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221,581,</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389,719,9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61.64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18,750,13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35,686,52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5.88</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280,899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,684.37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909,137,6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32.69</w:t>
            </w:r>
          </w:p>
        </w:tc>
      </w:tr>
      <w:tr>
        <w:trPr>
          <w:trHeight w:val="391" w:hRule="exact"/>
        </w:trPr>
        <w:tc>
          <w:tcPr>
            <w:tcW w:w="1429"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29" w:type="dxa"/>
            <w:tcBorders>
              <w:top w:val="nil" w:sz="6" w:space="0" w:color="auto"/>
              <w:left w:val="single" w:sz="4" w:space="0" w:color="000000"/>
              <w:bottom w:val="single" w:sz="4" w:space="0" w:color="000000"/>
              <w:right w:val="single" w:sz="4" w:space="0" w:color="000000"/>
            </w:tcBorders>
            <w:shd w:val="clear" w:color="auto" w:fill="D4D4D4"/>
          </w:tcPr>
          <w:p>
            <w:pPr/>
          </w:p>
        </w:tc>
        <w:tc>
          <w:tcPr>
            <w:tcW w:w="703"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2"/>
              <w:ind w:left="22"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221,581,</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613,643,0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-18,750,1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39.20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11,496,02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93,493,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094.44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958,963,9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54.55</w:t>
            </w:r>
          </w:p>
        </w:tc>
      </w:tr>
      <w:tr>
        <w:trPr>
          <w:trHeight w:val="714"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114,960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,296.04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114,960,2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96.04</w:t>
            </w:r>
          </w:p>
        </w:tc>
      </w:tr>
      <w:tr>
        <w:trPr>
          <w:trHeight w:val="714"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835,224,6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-18,750,1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39.20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853,974,8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30.51</w:t>
            </w:r>
          </w:p>
        </w:tc>
      </w:tr>
      <w:tr>
        <w:trPr>
          <w:trHeight w:val="714"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2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-18,750,1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39.20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18,750,13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9.20</w:t>
            </w:r>
          </w:p>
        </w:tc>
      </w:tr>
      <w:tr>
        <w:trPr>
          <w:trHeight w:val="715" w:hRule="exact"/>
        </w:trPr>
        <w:tc>
          <w:tcPr>
            <w:tcW w:w="142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22" w:right="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持有者投入资本</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800,536,8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81.86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800,536,8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81.86</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sz w:val="18"/>
                <w:szCs w:val="18"/>
              </w:rPr>
              <w:t>所有者权益的金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23,765,71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5.32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23,765,71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5.32</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10,922,09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10,922,09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4.13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11,496,02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-21,467,</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201.60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-9,971,17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11,496,02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-11,496,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029.60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-9,971,1</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72.00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-9,971,17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221,581,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-221,581,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221,581,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-221,581,</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443,163,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1,003,363</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,052.95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47,182,55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374,392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,778.81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1,868,101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,587.24</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上期金额</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4D4D4"/>
          </w:tcPr>
          <w:p>
            <w:pPr/>
          </w:p>
        </w:tc>
        <w:tc>
          <w:tcPr>
            <w:tcW w:w="8142" w:type="dxa"/>
            <w:gridSpan w:val="11"/>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上期</w:t>
            </w:r>
          </w:p>
        </w:tc>
      </w:tr>
      <w:tr>
        <w:trPr>
          <w:trHeight w:val="210" w:hRule="exact"/>
        </w:trPr>
        <w:tc>
          <w:tcPr>
            <w:tcW w:w="141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4D4D4"/>
          </w:tcPr>
          <w:p>
            <w:pPr/>
          </w:p>
        </w:tc>
        <w:tc>
          <w:tcPr>
            <w:tcW w:w="1994"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100"/>
              <w:ind w:left="23" w:right="13"/>
              <w:jc w:val="left"/>
              <w:rPr>
                <w:rFonts w:ascii="宋体" w:hAnsi="宋体" w:cs="宋体" w:eastAsia="宋体" w:hint="default"/>
                <w:sz w:val="18"/>
                <w:szCs w:val="18"/>
              </w:rPr>
            </w:pPr>
            <w:r>
              <w:rPr>
                <w:rFonts w:ascii="宋体" w:hAnsi="宋体" w:cs="宋体" w:eastAsia="宋体" w:hint="default"/>
                <w:spacing w:val="7"/>
                <w:sz w:val="18"/>
                <w:szCs w:val="18"/>
              </w:rPr>
              <w:t>减：库存 </w:t>
            </w:r>
            <w:r>
              <w:rPr>
                <w:rFonts w:ascii="宋体" w:hAnsi="宋体" w:cs="宋体" w:eastAsia="宋体" w:hint="default"/>
                <w:sz w:val="18"/>
                <w:szCs w:val="18"/>
              </w:rPr>
              <w:t>股</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100"/>
              <w:ind w:left="23" w:right="13"/>
              <w:jc w:val="left"/>
              <w:rPr>
                <w:rFonts w:ascii="宋体" w:hAnsi="宋体" w:cs="宋体" w:eastAsia="宋体" w:hint="default"/>
                <w:sz w:val="18"/>
                <w:szCs w:val="18"/>
              </w:rPr>
            </w:pPr>
            <w:r>
              <w:rPr>
                <w:rFonts w:ascii="宋体" w:hAnsi="宋体" w:cs="宋体" w:eastAsia="宋体" w:hint="default"/>
                <w:spacing w:val="7"/>
                <w:sz w:val="18"/>
                <w:szCs w:val="18"/>
              </w:rPr>
              <w:t>其他综合 </w:t>
            </w:r>
            <w:r>
              <w:rPr>
                <w:rFonts w:ascii="宋体" w:hAnsi="宋体" w:cs="宋体" w:eastAsia="宋体" w:hint="default"/>
                <w:sz w:val="18"/>
                <w:szCs w:val="18"/>
              </w:rPr>
              <w:t>收益</w:t>
            </w:r>
          </w:p>
        </w:tc>
        <w:tc>
          <w:tcPr>
            <w:tcW w:w="798" w:type="dxa"/>
            <w:tcBorders>
              <w:top w:val="single" w:sz="4" w:space="0" w:color="000000"/>
              <w:left w:val="single" w:sz="4" w:space="0" w:color="000000"/>
              <w:bottom w:val="nil" w:sz="6" w:space="0" w:color="auto"/>
              <w:right w:val="single" w:sz="4" w:space="0" w:color="000000"/>
            </w:tcBorders>
            <w:shd w:val="clear" w:color="auto" w:fill="D4D4D4"/>
          </w:tcPr>
          <w:p>
            <w:pPr/>
          </w:p>
        </w:tc>
        <w:tc>
          <w:tcPr>
            <w:tcW w:w="797" w:type="dxa"/>
            <w:tcBorders>
              <w:top w:val="single" w:sz="4" w:space="0" w:color="000000"/>
              <w:left w:val="single" w:sz="4" w:space="0" w:color="000000"/>
              <w:bottom w:val="nil" w:sz="6" w:space="0" w:color="auto"/>
              <w:right w:val="single" w:sz="4" w:space="0" w:color="000000"/>
            </w:tcBorders>
            <w:shd w:val="clear" w:color="auto" w:fill="D4D4D4"/>
          </w:tcPr>
          <w:p>
            <w:pPr/>
          </w:p>
        </w:tc>
        <w:tc>
          <w:tcPr>
            <w:tcW w:w="676"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100"/>
              <w:ind w:left="22" w:right="-16"/>
              <w:jc w:val="left"/>
              <w:rPr>
                <w:rFonts w:ascii="宋体" w:hAnsi="宋体" w:cs="宋体" w:eastAsia="宋体" w:hint="default"/>
                <w:sz w:val="18"/>
                <w:szCs w:val="18"/>
              </w:rPr>
            </w:pPr>
            <w:r>
              <w:rPr>
                <w:rFonts w:ascii="宋体" w:hAnsi="宋体" w:cs="宋体" w:eastAsia="宋体" w:hint="default"/>
                <w:spacing w:val="26"/>
                <w:sz w:val="18"/>
                <w:szCs w:val="18"/>
              </w:rPr>
              <w:t>未分配</w:t>
            </w:r>
            <w:r>
              <w:rPr>
                <w:rFonts w:ascii="宋体" w:hAnsi="宋体" w:cs="宋体" w:eastAsia="宋体" w:hint="default"/>
                <w:spacing w:val="-51"/>
                <w:sz w:val="18"/>
                <w:szCs w:val="18"/>
              </w:rPr>
              <w:t> </w:t>
            </w:r>
            <w:r>
              <w:rPr>
                <w:rFonts w:ascii="宋体" w:hAnsi="宋体" w:cs="宋体" w:eastAsia="宋体" w:hint="default"/>
                <w:sz w:val="18"/>
                <w:szCs w:val="18"/>
              </w:rPr>
              <w:t>利润</w:t>
            </w:r>
          </w:p>
        </w:tc>
        <w:tc>
          <w:tcPr>
            <w:tcW w:w="781"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100"/>
              <w:ind w:left="22" w:right="21"/>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z w:val="18"/>
                <w:szCs w:val="18"/>
              </w:rPr>
              <w:t>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4D4D4"/>
          </w:tcPr>
          <w:p>
            <w:pPr/>
          </w:p>
        </w:tc>
        <w:tc>
          <w:tcPr>
            <w:tcW w:w="70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vMerge/>
            <w:tcBorders>
              <w:left w:val="single" w:sz="4" w:space="0" w:color="000000"/>
              <w:bottom w:val="single" w:sz="4" w:space="0" w:color="000000"/>
              <w:right w:val="single" w:sz="4" w:space="0" w:color="000000"/>
            </w:tcBorders>
            <w:shd w:val="clear" w:color="auto" w:fill="D4D4D4"/>
          </w:tcPr>
          <w:p>
            <w:pP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4D4D4"/>
          </w:tcPr>
          <w:p>
            <w:pPr/>
          </w:p>
        </w:tc>
        <w:tc>
          <w:tcPr>
            <w:tcW w:w="781" w:type="dxa"/>
            <w:vMerge/>
            <w:tcBorders>
              <w:left w:val="single" w:sz="4" w:space="0" w:color="000000"/>
              <w:right w:val="single" w:sz="4" w:space="0" w:color="000000"/>
            </w:tcBorders>
            <w:shd w:val="clear" w:color="auto" w:fill="D4D4D4"/>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4D4D4"/>
          </w:tcPr>
          <w:p>
            <w:pPr/>
          </w:p>
        </w:tc>
        <w:tc>
          <w:tcPr>
            <w:tcW w:w="703" w:type="dxa"/>
            <w:vMerge/>
            <w:tcBorders>
              <w:left w:val="single" w:sz="4" w:space="0" w:color="000000"/>
              <w:bottom w:val="nil" w:sz="6" w:space="0" w:color="auto"/>
              <w:right w:val="single" w:sz="4" w:space="0" w:color="000000"/>
            </w:tcBorders>
            <w:shd w:val="clear" w:color="auto" w:fill="D4D4D4"/>
          </w:tcPr>
          <w:p>
            <w:pP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right w:val="single" w:sz="4" w:space="0" w:color="000000"/>
            </w:tcBorders>
            <w:shd w:val="clear" w:color="auto" w:fill="D4D4D4"/>
          </w:tcPr>
          <w:p>
            <w:pPr/>
          </w:p>
        </w:tc>
        <w:tc>
          <w:tcPr>
            <w:tcW w:w="798" w:type="dxa"/>
            <w:vMerge/>
            <w:tcBorders>
              <w:left w:val="single" w:sz="4" w:space="0" w:color="000000"/>
              <w:bottom w:val="nil" w:sz="6" w:space="0" w:color="auto"/>
              <w:right w:val="single" w:sz="4" w:space="0" w:color="000000"/>
            </w:tcBorders>
            <w:shd w:val="clear" w:color="auto" w:fill="D4D4D4"/>
          </w:tcPr>
          <w:p>
            <w:pPr/>
          </w:p>
        </w:tc>
        <w:tc>
          <w:tcPr>
            <w:tcW w:w="797" w:type="dxa"/>
            <w:vMerge/>
            <w:tcBorders>
              <w:left w:val="single" w:sz="4" w:space="0" w:color="000000"/>
              <w:bottom w:val="nil" w:sz="6" w:space="0" w:color="auto"/>
              <w:right w:val="single" w:sz="4" w:space="0" w:color="000000"/>
            </w:tcBorders>
            <w:shd w:val="clear" w:color="auto" w:fill="D4D4D4"/>
          </w:tcPr>
          <w:p>
            <w:pPr/>
          </w:p>
        </w:tc>
        <w:tc>
          <w:tcPr>
            <w:tcW w:w="676" w:type="dxa"/>
            <w:vMerge/>
            <w:tcBorders>
              <w:left w:val="single" w:sz="4" w:space="0" w:color="000000"/>
              <w:right w:val="single" w:sz="4" w:space="0" w:color="000000"/>
            </w:tcBorders>
            <w:shd w:val="clear" w:color="auto" w:fill="D4D4D4"/>
          </w:tcPr>
          <w:p>
            <w:pPr/>
          </w:p>
        </w:tc>
        <w:tc>
          <w:tcPr>
            <w:tcW w:w="781" w:type="dxa"/>
            <w:vMerge/>
            <w:tcBorders>
              <w:left w:val="single" w:sz="4" w:space="0" w:color="000000"/>
              <w:right w:val="single" w:sz="4" w:space="0" w:color="000000"/>
            </w:tcBorders>
            <w:shd w:val="clear" w:color="auto" w:fill="D4D4D4"/>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703" w:type="dxa"/>
            <w:tcBorders>
              <w:top w:val="nil" w:sz="6" w:space="0" w:color="auto"/>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665"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tcBorders>
              <w:top w:val="nil" w:sz="6" w:space="0" w:color="auto"/>
              <w:left w:val="single" w:sz="4" w:space="0" w:color="000000"/>
              <w:bottom w:val="single" w:sz="4" w:space="0" w:color="000000"/>
              <w:right w:val="single" w:sz="4" w:space="0" w:color="000000"/>
            </w:tcBorders>
            <w:shd w:val="clear" w:color="auto" w:fill="D4D4D4"/>
          </w:tcPr>
          <w:p>
            <w:pPr/>
          </w:p>
        </w:tc>
        <w:tc>
          <w:tcPr>
            <w:tcW w:w="797" w:type="dxa"/>
            <w:tcBorders>
              <w:top w:val="nil" w:sz="6" w:space="0" w:color="auto"/>
              <w:left w:val="single" w:sz="4" w:space="0" w:color="000000"/>
              <w:bottom w:val="single" w:sz="4" w:space="0" w:color="000000"/>
              <w:right w:val="single" w:sz="4" w:space="0" w:color="000000"/>
            </w:tcBorders>
            <w:shd w:val="clear" w:color="auto" w:fill="D4D4D4"/>
          </w:tcPr>
          <w:p>
            <w:pPr/>
          </w:p>
        </w:tc>
        <w:tc>
          <w:tcPr>
            <w:tcW w:w="676" w:type="dxa"/>
            <w:vMerge/>
            <w:tcBorders>
              <w:left w:val="single" w:sz="4" w:space="0" w:color="000000"/>
              <w:bottom w:val="single" w:sz="4" w:space="0" w:color="000000"/>
              <w:right w:val="single" w:sz="4" w:space="0" w:color="000000"/>
            </w:tcBorders>
            <w:shd w:val="clear" w:color="auto" w:fill="D4D4D4"/>
          </w:tcPr>
          <w:p>
            <w:pPr/>
          </w:p>
        </w:tc>
        <w:tc>
          <w:tcPr>
            <w:tcW w:w="781" w:type="dxa"/>
            <w:vMerge/>
            <w:tcBorders>
              <w:left w:val="single" w:sz="4" w:space="0" w:color="000000"/>
              <w:bottom w:val="single" w:sz="4" w:space="0" w:color="000000"/>
              <w:right w:val="single" w:sz="4" w:space="0" w:color="000000"/>
            </w:tcBorders>
            <w:shd w:val="clear" w:color="auto" w:fill="D4D4D4"/>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4D4D4"/>
          </w:tcPr>
          <w:p>
            <w:pPr/>
          </w:p>
        </w:tc>
        <w:tc>
          <w:tcPr>
            <w:tcW w:w="703" w:type="dxa"/>
            <w:vMerge w:val="restart"/>
            <w:tcBorders>
              <w:top w:val="single" w:sz="4" w:space="0" w:color="000000"/>
              <w:left w:val="single" w:sz="10" w:space="0" w:color="D4D4D4"/>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221,813,</w:t>
            </w:r>
          </w:p>
          <w:p>
            <w:pPr>
              <w:pStyle w:val="TableParagraph"/>
              <w:spacing w:line="240" w:lineRule="auto" w:before="105"/>
              <w:ind w:left="145" w:right="0"/>
              <w:jc w:val="center"/>
              <w:rPr>
                <w:rFonts w:ascii="Times New Roman" w:hAnsi="Times New Roman" w:cs="Times New Roman" w:eastAsia="Times New Roman" w:hint="default"/>
                <w:sz w:val="18"/>
                <w:szCs w:val="18"/>
              </w:rPr>
            </w:pPr>
            <w:r>
              <w:rPr>
                <w:rFonts w:ascii="Times New Roman"/>
                <w:sz w:val="18"/>
              </w:rPr>
              <w:t>200.00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381,666,9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80.65</w:t>
            </w:r>
          </w:p>
        </w:tc>
        <w:tc>
          <w:tcPr>
            <w:tcW w:w="798" w:type="dxa"/>
            <w:vMerge w:val="restart"/>
            <w:tcBorders>
              <w:top w:val="single" w:sz="22" w:space="0" w:color="D4D4D4"/>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19,860,74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2.80</w:t>
            </w:r>
          </w:p>
        </w:tc>
        <w:tc>
          <w:tcPr>
            <w:tcW w:w="798" w:type="dxa"/>
            <w:vMerge w:val="restart"/>
            <w:tcBorders>
              <w:top w:val="single" w:sz="22" w:space="0" w:color="D4D4D4"/>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24,996,88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8.89</w:t>
            </w:r>
          </w:p>
        </w:tc>
        <w:tc>
          <w:tcPr>
            <w:tcW w:w="676" w:type="dxa"/>
            <w:vMerge w:val="restart"/>
            <w:tcBorders>
              <w:top w:val="single" w:sz="22" w:space="0" w:color="D4D4D4"/>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191,344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,143.49</w:t>
            </w:r>
          </w:p>
        </w:tc>
        <w:tc>
          <w:tcPr>
            <w:tcW w:w="781" w:type="dxa"/>
            <w:vMerge w:val="restart"/>
            <w:tcBorders>
              <w:top w:val="single" w:sz="22" w:space="0" w:color="D4D4D4"/>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799,960,4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70.23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4D4D4"/>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4D4D4"/>
          </w:tcPr>
          <w:p>
            <w:pPr/>
          </w:p>
        </w:tc>
        <w:tc>
          <w:tcPr>
            <w:tcW w:w="703" w:type="dxa"/>
            <w:vMerge/>
            <w:tcBorders>
              <w:left w:val="single" w:sz="10" w:space="0" w:color="D4D4D4"/>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4D4D4"/>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5" w:right="0"/>
              <w:jc w:val="left"/>
              <w:rPr>
                <w:rFonts w:ascii="宋体" w:hAnsi="宋体" w:cs="宋体" w:eastAsia="宋体" w:hint="default"/>
                <w:sz w:val="18"/>
                <w:szCs w:val="18"/>
              </w:rPr>
            </w:pPr>
            <w:r>
              <w:rPr>
                <w:rFonts w:ascii="宋体" w:hAnsi="宋体" w:cs="宋体" w:eastAsia="宋体" w:hint="default"/>
                <w:spacing w:val="13"/>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221,813,</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381,666,9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19,860,74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24,996,88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8.89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191,344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,143.49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799,960,4</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70.23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-231,60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8,052,980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-1,110,60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10,689,63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89,555,</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540.88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109,177,1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62.46</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106,896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,369.87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106,896,3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69.87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-231,60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8,052,980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-1,110,60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8,931,984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．股东投入的普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-231,60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-742,950.</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-1,110,60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136,053.6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9"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sz w:val="18"/>
                <w:szCs w:val="18"/>
              </w:rPr>
              <w:t>所有者权益的金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2,088,868</w:t>
            </w:r>
          </w:p>
          <w:p>
            <w:pPr>
              <w:pStyle w:val="TableParagraph"/>
              <w:spacing w:line="240" w:lineRule="auto" w:before="106"/>
              <w:ind w:right="28"/>
              <w:jc w:val="righ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6,707,062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10,689,63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-17,340,</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828.99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-6,651,19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10,689,63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-10,689,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636.99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-6,651,1</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92.00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-6,651,19</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221,581,</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389,719,9</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61.64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18,750,13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35,686,52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5.88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280,899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,684.37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909,137,6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32.69</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12"/>
        <w:rPr>
          <w:rFonts w:ascii="宋体" w:hAnsi="宋体" w:cs="宋体" w:eastAsia="宋体" w:hint="default"/>
          <w:b/>
          <w:bCs/>
          <w:sz w:val="26"/>
          <w:szCs w:val="26"/>
        </w:rPr>
      </w:pPr>
    </w:p>
    <w:p>
      <w:pPr>
        <w:pStyle w:val="BodyText"/>
        <w:spacing w:line="314" w:lineRule="auto"/>
        <w:ind w:left="154" w:right="152" w:firstLine="419"/>
        <w:jc w:val="both"/>
      </w:pPr>
      <w:bookmarkStart w:name="三、公司基本情况" w:id="157"/>
      <w:bookmarkEnd w:id="157"/>
      <w:r>
        <w:rPr/>
      </w:r>
      <w:r>
        <w:rPr/>
        <w:t>厦门市美亚柏科信息股份有限公司（以下简称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）是一家在厦门市注册的股份有限公司，由郭 </w:t>
      </w:r>
      <w:r>
        <w:rPr>
          <w:spacing w:val="-1"/>
        </w:rPr>
        <w:t>永芳、刘祥南、李国林、广州通连投资咨询有限公司等十六名发起人共同发起设立，经厦门市工商行政管</w:t>
      </w:r>
      <w:r>
        <w:rPr>
          <w:spacing w:val="-86"/>
        </w:rPr>
        <w:t> </w:t>
      </w:r>
      <w:r>
        <w:rPr>
          <w:spacing w:val="-86"/>
        </w:rPr>
      </w:r>
      <w:r>
        <w:rPr>
          <w:spacing w:val="-1"/>
        </w:rPr>
        <w:t>理局核准登记，企业法人营业执照</w:t>
      </w:r>
      <w:r>
        <w:rPr>
          <w:rFonts w:ascii="Times New Roman" w:hAnsi="Times New Roman" w:cs="Times New Roman" w:eastAsia="Times New Roman" w:hint="default"/>
          <w:spacing w:val="-1"/>
        </w:rPr>
        <w:t>350298200005610</w:t>
      </w:r>
      <w:r>
        <w:rPr>
          <w:spacing w:val="-1"/>
        </w:rPr>
        <w:t>号；</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28</w:t>
      </w:r>
      <w:r>
        <w:rPr>
          <w:spacing w:val="-1"/>
        </w:rPr>
        <w:t>日，本公司经厦门市市场监督管理局</w:t>
      </w:r>
      <w:r>
        <w:rPr>
          <w:spacing w:val="-84"/>
        </w:rPr>
        <w:t> </w:t>
      </w:r>
      <w:r>
        <w:rPr>
          <w:spacing w:val="-84"/>
        </w:rPr>
      </w:r>
      <w:r>
        <w:rPr>
          <w:spacing w:val="-2"/>
        </w:rPr>
        <w:t>核准取得统一社会信用代码为</w:t>
      </w:r>
      <w:r>
        <w:rPr>
          <w:rFonts w:ascii="Times New Roman" w:hAnsi="Times New Roman" w:cs="Times New Roman" w:eastAsia="Times New Roman" w:hint="default"/>
          <w:spacing w:val="-2"/>
        </w:rPr>
        <w:t>91350200705420347R</w:t>
      </w:r>
      <w:r>
        <w:rPr>
          <w:spacing w:val="-2"/>
        </w:rPr>
        <w:t>的法人营业执照。本公司注册地址：厦门市软件园二期</w:t>
      </w:r>
      <w:r>
        <w:rPr>
          <w:spacing w:val="-63"/>
        </w:rPr>
        <w:t> </w:t>
      </w:r>
      <w:r>
        <w:rPr>
          <w:spacing w:val="-63"/>
        </w:rPr>
      </w:r>
      <w:r>
        <w:rPr/>
        <w:t>观日路</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102-402</w:t>
      </w:r>
      <w:r>
        <w:rPr/>
        <w:t>单元，法定代表人：滕达。</w:t>
      </w:r>
    </w:p>
    <w:p>
      <w:pPr>
        <w:pStyle w:val="BodyText"/>
        <w:spacing w:line="309" w:lineRule="auto" w:before="131"/>
        <w:ind w:left="154" w:right="235" w:firstLine="420"/>
        <w:jc w:val="both"/>
      </w:pPr>
      <w:r>
        <w:rPr/>
        <w:t>本公司前身为原厦门市美亚柏科资讯科技有限公司，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22</w:t>
      </w:r>
      <w:r>
        <w:rPr/>
        <w:t>日在该公司基础上改组为股份有限 公司。</w:t>
      </w:r>
    </w:p>
    <w:p>
      <w:pPr>
        <w:pStyle w:val="BodyText"/>
        <w:spacing w:line="240" w:lineRule="auto" w:before="158"/>
        <w:ind w:right="0"/>
        <w:jc w:val="left"/>
      </w:pPr>
      <w:r>
        <w:rPr/>
        <w:t>根据本公司</w:t>
      </w:r>
      <w:r>
        <w:rPr>
          <w:rFonts w:ascii="Times New Roman" w:hAnsi="Times New Roman" w:cs="Times New Roman" w:eastAsia="Times New Roman" w:hint="default"/>
        </w:rPr>
        <w:t>2010</w:t>
      </w:r>
      <w:r>
        <w:rPr/>
        <w:t>年第一次临时股东大会决议，并经中国证券监督管理委员会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[2011]263</w:t>
      </w:r>
      <w:r>
        <w:rPr/>
        <w:t>号</w:t>
      </w:r>
      <w:r>
        <w:rPr>
          <w:rFonts w:ascii="Times New Roman" w:hAnsi="Times New Roman" w:cs="Times New Roman" w:eastAsia="Times New Roman" w:hint="default"/>
        </w:rPr>
        <w:t>”</w:t>
      </w:r>
      <w:r>
        <w:rPr/>
        <w:t>文</w:t>
      </w:r>
    </w:p>
    <w:p>
      <w:pPr>
        <w:pStyle w:val="BodyText"/>
        <w:spacing w:line="314" w:lineRule="auto" w:before="83"/>
        <w:ind w:left="154" w:right="0"/>
        <w:jc w:val="left"/>
      </w:pPr>
      <w:r>
        <w:rPr>
          <w:spacing w:val="-1"/>
        </w:rPr>
        <w:t>《关于核准厦门市美亚柏科信息股份有限公司首次公开发行股票并在创业板上市的批复》核准，本公司申</w:t>
      </w:r>
      <w:r>
        <w:rPr>
          <w:spacing w:val="-81"/>
        </w:rPr>
        <w:t> </w:t>
      </w:r>
      <w:r>
        <w:rPr>
          <w:spacing w:val="-81"/>
        </w:rPr>
      </w:r>
      <w:r>
        <w:rPr/>
        <w:t>请首次向社会公开发行人民币普通股（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1,350</w:t>
      </w:r>
      <w:r>
        <w:rPr/>
        <w:t>万股，每股面值</w:t>
      </w:r>
      <w:r>
        <w:rPr>
          <w:rFonts w:ascii="Times New Roman" w:hAnsi="Times New Roman" w:cs="Times New Roman" w:eastAsia="Times New Roman" w:hint="default"/>
        </w:rPr>
        <w:t>1</w:t>
      </w:r>
      <w:r>
        <w:rPr/>
        <w:t>元，实际发行价格</w:t>
      </w:r>
      <w:r>
        <w:rPr>
          <w:rFonts w:ascii="Times New Roman" w:hAnsi="Times New Roman" w:cs="Times New Roman" w:eastAsia="Times New Roman" w:hint="default"/>
        </w:rPr>
        <w:t>40</w:t>
      </w:r>
      <w:r>
        <w:rPr/>
        <w:t>元</w:t>
      </w:r>
      <w:r>
        <w:rPr>
          <w:rFonts w:ascii="Times New Roman" w:hAnsi="Times New Roman" w:cs="Times New Roman" w:eastAsia="Times New Roman" w:hint="default"/>
        </w:rPr>
        <w:t>/</w:t>
      </w:r>
      <w:r>
        <w:rPr/>
        <w:t>股，发行后本 公司注册资本（股本）变更为</w:t>
      </w:r>
      <w:r>
        <w:rPr>
          <w:rFonts w:ascii="Times New Roman" w:hAnsi="Times New Roman" w:cs="Times New Roman" w:eastAsia="Times New Roman" w:hint="default"/>
        </w:rPr>
        <w:t>5,350</w:t>
      </w:r>
      <w:r>
        <w:rPr/>
        <w:t>万元。本公司</w:t>
      </w:r>
      <w:r>
        <w:rPr>
          <w:rFonts w:ascii="Times New Roman" w:hAnsi="Times New Roman" w:cs="Times New Roman" w:eastAsia="Times New Roman" w:hint="default"/>
        </w:rPr>
        <w:t>A</w:t>
      </w:r>
      <w:r>
        <w:rPr/>
        <w:t>股股票自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日起在深圳证券交易所创业板上 市交易，证券简称为</w:t>
      </w:r>
      <w:r>
        <w:rPr>
          <w:rFonts w:ascii="Times New Roman" w:hAnsi="Times New Roman" w:cs="Times New Roman" w:eastAsia="Times New Roman" w:hint="default"/>
        </w:rPr>
        <w:t>“</w:t>
      </w:r>
      <w:r>
        <w:rPr/>
        <w:t>美亚柏科</w:t>
      </w:r>
      <w:r>
        <w:rPr>
          <w:rFonts w:ascii="Times New Roman" w:hAnsi="Times New Roman" w:cs="Times New Roman" w:eastAsia="Times New Roman" w:hint="default"/>
        </w:rPr>
        <w:t>”</w:t>
      </w:r>
      <w:r>
        <w:rPr/>
        <w:t>，证券代码为</w:t>
      </w:r>
      <w:r>
        <w:rPr>
          <w:rFonts w:ascii="Times New Roman" w:hAnsi="Times New Roman" w:cs="Times New Roman" w:eastAsia="Times New Roman" w:hint="default"/>
        </w:rPr>
        <w:t>“300188”</w:t>
      </w:r>
      <w:r>
        <w:rPr/>
        <w:t>。</w:t>
      </w:r>
    </w:p>
    <w:p>
      <w:pPr>
        <w:pStyle w:val="BodyText"/>
        <w:spacing w:line="309" w:lineRule="auto" w:before="131"/>
        <w:ind w:left="154" w:right="136" w:firstLine="420"/>
        <w:jc w:val="left"/>
      </w:pPr>
      <w:r>
        <w:rPr/>
        <w:t>根据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日本公司召开的</w:t>
      </w:r>
      <w:r>
        <w:rPr>
          <w:rFonts w:ascii="Times New Roman" w:hAnsi="Times New Roman" w:cs="Times New Roman" w:eastAsia="Times New Roman" w:hint="default"/>
        </w:rPr>
        <w:t>2011</w:t>
      </w:r>
      <w:r>
        <w:rPr/>
        <w:t>年度股东大会审议通过</w:t>
      </w:r>
      <w:r>
        <w:rPr>
          <w:rFonts w:ascii="Times New Roman" w:hAnsi="Times New Roman" w:cs="Times New Roman" w:eastAsia="Times New Roman" w:hint="default"/>
        </w:rPr>
        <w:t>2011</w:t>
      </w:r>
      <w:r>
        <w:rPr/>
        <w:t>年度利润分配方案，以</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 </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5,350</w:t>
      </w:r>
      <w:r>
        <w:rPr>
          <w:spacing w:val="-1"/>
        </w:rPr>
        <w:t>万股为基数，以资本公积金每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w:t>
      </w:r>
      <w:r>
        <w:rPr>
          <w:rFonts w:ascii="Times New Roman" w:hAnsi="Times New Roman" w:cs="Times New Roman" w:eastAsia="Times New Roman" w:hint="default"/>
          <w:spacing w:val="-1"/>
        </w:rPr>
        <w:t>5,350</w:t>
      </w:r>
      <w:r>
        <w:rPr>
          <w:spacing w:val="-1"/>
        </w:rPr>
        <w:t>万股。根据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日本</w:t>
      </w:r>
      <w:r>
        <w:rPr>
          <w:spacing w:val="-87"/>
        </w:rPr>
        <w:t> </w:t>
      </w:r>
      <w:r>
        <w:rPr/>
        <w:t>公司召开的</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年第一次临时股东大会决议、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日第一届董事会第二十一次会议决议和修改后 的章程规定，本公司以定向增发方式向</w:t>
      </w:r>
      <w:r>
        <w:rPr>
          <w:rFonts w:ascii="Times New Roman" w:hAnsi="Times New Roman" w:cs="Times New Roman" w:eastAsia="Times New Roman" w:hint="default"/>
        </w:rPr>
        <w:t>201</w:t>
      </w:r>
      <w:r>
        <w:rPr/>
        <w:t>名激励对象授予限制性人民币普通股（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6"/>
        </w:rPr>
        <w:t> </w:t>
      </w:r>
      <w:r>
        <w:rPr>
          <w:spacing w:val="-5"/>
        </w:rPr>
        <w:t>股）</w:t>
      </w:r>
      <w:r>
        <w:rPr>
          <w:rFonts w:ascii="Times New Roman" w:hAnsi="Times New Roman" w:cs="Times New Roman" w:eastAsia="Times New Roman" w:hint="default"/>
          <w:spacing w:val="-5"/>
        </w:rPr>
        <w:t>390.66</w:t>
      </w:r>
      <w:r>
        <w:rPr>
          <w:spacing w:val="-5"/>
        </w:rPr>
        <w:t>万股，每股</w:t>
      </w:r>
      <w:r>
        <w:rPr/>
        <w:t> 面值</w:t>
      </w:r>
      <w:r>
        <w:rPr>
          <w:rFonts w:ascii="Times New Roman" w:hAnsi="Times New Roman" w:cs="Times New Roman" w:eastAsia="Times New Roman" w:hint="default"/>
        </w:rPr>
        <w:t>1</w:t>
      </w:r>
      <w:r>
        <w:rPr/>
        <w:t>元，发行价格每股</w:t>
      </w:r>
      <w:r>
        <w:rPr>
          <w:rFonts w:ascii="Times New Roman" w:hAnsi="Times New Roman" w:cs="Times New Roman" w:eastAsia="Times New Roman" w:hint="default"/>
        </w:rPr>
        <w:t>8.58</w:t>
      </w:r>
      <w:r>
        <w:rPr/>
        <w:t>元</w:t>
      </w:r>
      <w:r>
        <w:rPr>
          <w:rFonts w:ascii="Times New Roman" w:hAnsi="Times New Roman" w:cs="Times New Roman" w:eastAsia="Times New Roman" w:hint="default"/>
        </w:rPr>
        <w:t>/</w:t>
      </w:r>
      <w:r>
        <w:rPr/>
        <w:t>股，募集资金总额</w:t>
      </w:r>
      <w:r>
        <w:rPr>
          <w:rFonts w:ascii="Times New Roman" w:hAnsi="Times New Roman" w:cs="Times New Roman" w:eastAsia="Times New Roman" w:hint="default"/>
        </w:rPr>
        <w:t>33,518,628.00 </w:t>
      </w:r>
      <w:r>
        <w:rPr/>
        <w:t>元，其中计入股本</w:t>
      </w:r>
      <w:r>
        <w:rPr>
          <w:rFonts w:ascii="Times New Roman" w:hAnsi="Times New Roman" w:cs="Times New Roman" w:eastAsia="Times New Roman" w:hint="default"/>
        </w:rPr>
        <w:t>3,906,600.00</w:t>
      </w:r>
      <w:r>
        <w:rPr>
          <w:rFonts w:ascii="Times New Roman" w:hAnsi="Times New Roman" w:cs="Times New Roman" w:eastAsia="Times New Roman" w:hint="default"/>
          <w:spacing w:val="-10"/>
        </w:rPr>
        <w:t> </w:t>
      </w:r>
      <w:r>
        <w:rPr>
          <w:spacing w:val="-5"/>
        </w:rPr>
        <w:t>元，计入资</w:t>
      </w:r>
      <w:r>
        <w:rPr/>
        <w:t> 本公积</w:t>
      </w:r>
      <w:r>
        <w:rPr>
          <w:rFonts w:ascii="Times New Roman" w:hAnsi="Times New Roman" w:cs="Times New Roman" w:eastAsia="Times New Roman" w:hint="default"/>
        </w:rPr>
        <w:t>29,612,028.00</w:t>
      </w:r>
      <w:r>
        <w:rPr/>
        <w:t>元。上述增资后注册资本变更为人民币</w:t>
      </w:r>
      <w:r>
        <w:rPr>
          <w:rFonts w:ascii="Times New Roman" w:hAnsi="Times New Roman" w:cs="Times New Roman" w:eastAsia="Times New Roman" w:hint="default"/>
        </w:rPr>
        <w:t>110,906,600</w:t>
      </w:r>
      <w:r>
        <w:rPr/>
        <w:t>元。</w:t>
      </w:r>
    </w:p>
    <w:p>
      <w:pPr>
        <w:pStyle w:val="BodyText"/>
        <w:spacing w:line="309" w:lineRule="auto" w:before="136"/>
        <w:ind w:left="154" w:right="152" w:firstLine="420"/>
        <w:jc w:val="both"/>
      </w:pPr>
      <w:r>
        <w:rPr/>
        <w:t>根据</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日本公司召开的</w:t>
      </w:r>
      <w:r>
        <w:rPr>
          <w:rFonts w:ascii="Times New Roman" w:hAnsi="Times New Roman" w:cs="Times New Roman" w:eastAsia="Times New Roman" w:hint="default"/>
        </w:rPr>
        <w:t>2012</w:t>
      </w:r>
      <w:r>
        <w:rPr/>
        <w:t>年度股东大会审议通过</w:t>
      </w:r>
      <w:r>
        <w:rPr>
          <w:rFonts w:ascii="Times New Roman" w:hAnsi="Times New Roman" w:cs="Times New Roman" w:eastAsia="Times New Roman" w:hint="default"/>
        </w:rPr>
        <w:t>2012</w:t>
      </w:r>
      <w:r>
        <w:rPr/>
        <w:t>年度利润分配方案，以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 </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11,090.66</w:t>
      </w:r>
      <w:r>
        <w:rPr>
          <w:spacing w:val="-1"/>
        </w:rPr>
        <w:t>万股为基数，以资本公积金每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w:t>
      </w:r>
      <w:r>
        <w:rPr>
          <w:rFonts w:ascii="Times New Roman" w:hAnsi="Times New Roman" w:cs="Times New Roman" w:eastAsia="Times New Roman" w:hint="default"/>
          <w:spacing w:val="-1"/>
        </w:rPr>
        <w:t>11,090.66</w:t>
      </w:r>
      <w:r>
        <w:rPr>
          <w:spacing w:val="-1"/>
        </w:rPr>
        <w:t>万股，注册资本变更</w:t>
      </w:r>
      <w:r>
        <w:rPr>
          <w:spacing w:val="-86"/>
        </w:rPr>
        <w:t> </w:t>
      </w:r>
      <w:r>
        <w:rPr>
          <w:spacing w:val="-86"/>
        </w:rPr>
      </w:r>
      <w:r>
        <w:rPr/>
        <w:t>为人民币</w:t>
      </w:r>
      <w:r>
        <w:rPr>
          <w:rFonts w:ascii="Times New Roman" w:hAnsi="Times New Roman" w:cs="Times New Roman" w:eastAsia="Times New Roman" w:hint="default"/>
        </w:rPr>
        <w:t>221,813,200</w:t>
      </w:r>
      <w:r>
        <w:rPr/>
        <w:t>元。</w:t>
      </w:r>
    </w:p>
    <w:p>
      <w:pPr>
        <w:pStyle w:val="BodyText"/>
        <w:spacing w:line="309" w:lineRule="auto" w:before="136"/>
        <w:ind w:left="154" w:right="152" w:firstLine="419"/>
        <w:jc w:val="both"/>
      </w:pPr>
      <w:r>
        <w:rPr>
          <w:spacing w:val="-2"/>
        </w:rPr>
        <w:t>因部分激励对象离职，</w:t>
      </w:r>
      <w:r>
        <w:rPr>
          <w:rFonts w:ascii="Times New Roman" w:hAnsi="Times New Roman" w:cs="Times New Roman" w:eastAsia="Times New Roman" w:hint="default"/>
          <w:spacing w:val="-2"/>
        </w:rPr>
        <w:t>2014</w:t>
      </w:r>
      <w:r>
        <w:rPr>
          <w:spacing w:val="-2"/>
        </w:rPr>
        <w:t>年度本公司回购注销限制性股票数量共计</w:t>
      </w:r>
      <w:r>
        <w:rPr>
          <w:rFonts w:ascii="Times New Roman" w:hAnsi="Times New Roman" w:cs="Times New Roman" w:eastAsia="Times New Roman" w:hint="default"/>
          <w:spacing w:val="-2"/>
        </w:rPr>
        <w:t>23.16</w:t>
      </w:r>
      <w:r>
        <w:rPr>
          <w:spacing w:val="-2"/>
        </w:rPr>
        <w:t>万股，回购注销完成后，本</w:t>
      </w:r>
      <w:r>
        <w:rPr/>
        <w:t> 公司总股本从</w:t>
      </w:r>
      <w:r>
        <w:rPr>
          <w:rFonts w:ascii="Times New Roman" w:hAnsi="Times New Roman" w:cs="Times New Roman" w:eastAsia="Times New Roman" w:hint="default"/>
        </w:rPr>
        <w:t>22,181.32</w:t>
      </w:r>
      <w:r>
        <w:rPr/>
        <w:t>万股减至</w:t>
      </w:r>
      <w:r>
        <w:rPr>
          <w:rFonts w:ascii="Times New Roman" w:hAnsi="Times New Roman" w:cs="Times New Roman" w:eastAsia="Times New Roman" w:hint="default"/>
        </w:rPr>
        <w:t>22,158.16</w:t>
      </w:r>
      <w:r>
        <w:rPr/>
        <w:t>万股，注册资本变更为人民币</w:t>
      </w:r>
      <w:r>
        <w:rPr>
          <w:rFonts w:ascii="Times New Roman" w:hAnsi="Times New Roman" w:cs="Times New Roman" w:eastAsia="Times New Roman" w:hint="default"/>
        </w:rPr>
        <w:t>221,581,600.00</w:t>
      </w:r>
      <w:r>
        <w:rPr/>
        <w:t>元。</w:t>
      </w:r>
    </w:p>
    <w:p>
      <w:pPr>
        <w:pStyle w:val="BodyText"/>
        <w:spacing w:line="309" w:lineRule="auto" w:before="136"/>
        <w:ind w:left="154" w:right="152" w:firstLine="420"/>
        <w:jc w:val="both"/>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日本公司召开的</w:t>
      </w:r>
      <w:r>
        <w:rPr>
          <w:rFonts w:ascii="Times New Roman" w:hAnsi="Times New Roman" w:cs="Times New Roman" w:eastAsia="Times New Roman" w:hint="default"/>
        </w:rPr>
        <w:t>2014</w:t>
      </w:r>
      <w:r>
        <w:rPr/>
        <w:t>年度股东大会审议通过</w:t>
      </w:r>
      <w:r>
        <w:rPr>
          <w:rFonts w:ascii="Times New Roman" w:hAnsi="Times New Roman" w:cs="Times New Roman" w:eastAsia="Times New Roman" w:hint="default"/>
        </w:rPr>
        <w:t>2014</w:t>
      </w:r>
      <w:r>
        <w:rPr/>
        <w:t>年度利润分配方案，以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 </w:t>
      </w:r>
      <w:r>
        <w:rPr>
          <w:rFonts w:ascii="Times New Roman" w:hAnsi="Times New Roman" w:cs="Times New Roman" w:eastAsia="Times New Roman" w:hint="default"/>
          <w:spacing w:val="-1"/>
        </w:rPr>
        <w:t>31</w:t>
      </w:r>
      <w:r>
        <w:rPr>
          <w:spacing w:val="-1"/>
        </w:rPr>
        <w:t>日总股本</w:t>
      </w:r>
      <w:r>
        <w:rPr>
          <w:rFonts w:ascii="Times New Roman" w:hAnsi="Times New Roman" w:cs="Times New Roman" w:eastAsia="Times New Roman" w:hint="default"/>
          <w:spacing w:val="-1"/>
        </w:rPr>
        <w:t>22,158.16</w:t>
      </w:r>
      <w:r>
        <w:rPr>
          <w:spacing w:val="-1"/>
        </w:rPr>
        <w:t>万股为基数，以资本公积金每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股，共计转增</w:t>
      </w:r>
      <w:r>
        <w:rPr>
          <w:rFonts w:ascii="Times New Roman" w:hAnsi="Times New Roman" w:cs="Times New Roman" w:eastAsia="Times New Roman" w:hint="default"/>
          <w:spacing w:val="-1"/>
        </w:rPr>
        <w:t>22,158.16</w:t>
      </w:r>
      <w:r>
        <w:rPr>
          <w:spacing w:val="-1"/>
        </w:rPr>
        <w:t>万股，注册资本变更</w:t>
      </w:r>
      <w:r>
        <w:rPr>
          <w:spacing w:val="-86"/>
        </w:rPr>
        <w:t> </w:t>
      </w:r>
      <w:r>
        <w:rPr>
          <w:spacing w:val="-86"/>
        </w:rPr>
      </w:r>
      <w:r>
        <w:rPr/>
        <w:t>为人民币</w:t>
      </w:r>
      <w:r>
        <w:rPr>
          <w:rFonts w:ascii="Times New Roman" w:hAnsi="Times New Roman" w:cs="Times New Roman" w:eastAsia="Times New Roman" w:hint="default"/>
        </w:rPr>
        <w:t>443,163,200.00</w:t>
      </w:r>
      <w:r>
        <w:rPr/>
        <w:t>元。</w:t>
      </w:r>
    </w:p>
    <w:p>
      <w:pPr>
        <w:spacing w:after="0" w:line="309" w:lineRule="auto"/>
        <w:jc w:val="both"/>
        <w:sectPr>
          <w:pgSz w:w="11910" w:h="16840"/>
          <w:pgMar w:header="917" w:footer="1267" w:top="1140" w:bottom="1460" w:left="980" w:right="980"/>
        </w:sectPr>
      </w:pPr>
    </w:p>
    <w:p>
      <w:pPr>
        <w:spacing w:line="240" w:lineRule="auto" w:before="6"/>
        <w:rPr>
          <w:rFonts w:ascii="宋体" w:hAnsi="宋体" w:cs="宋体" w:eastAsia="宋体" w:hint="default"/>
          <w:sz w:val="21"/>
          <w:szCs w:val="21"/>
        </w:rPr>
      </w:pPr>
    </w:p>
    <w:p>
      <w:pPr>
        <w:pStyle w:val="BodyText"/>
        <w:spacing w:line="326" w:lineRule="auto" w:before="35"/>
        <w:ind w:left="154" w:right="103" w:firstLine="420"/>
        <w:jc w:val="left"/>
      </w:pPr>
      <w:bookmarkStart w:name="五、重要会计政策及会计估计" w:id="158"/>
      <w:bookmarkEnd w:id="158"/>
      <w:r>
        <w:rPr/>
      </w:r>
      <w:bookmarkStart w:name="1、遵循企业会计准则的声明" w:id="159"/>
      <w:bookmarkEnd w:id="159"/>
      <w:r>
        <w:rPr/>
      </w:r>
      <w:r>
        <w:rPr/>
        <w:t>本公司建立了股东大会、董事会、监事会的法人治理结构，目前设营销中心、采购中心、研究院等部 </w:t>
      </w:r>
      <w:r>
        <w:rPr>
          <w:spacing w:val="-3"/>
        </w:rPr>
        <w:t>门，拥有厦门美亚中敏电子科技有限公司、珠海市新德汇信息技术有限公司、厦门安胜网络科技有限公司、</w:t>
      </w:r>
      <w:r>
        <w:rPr>
          <w:spacing w:val="-90"/>
        </w:rPr>
        <w:t> </w:t>
      </w:r>
      <w:r>
        <w:rPr>
          <w:spacing w:val="-90"/>
        </w:rPr>
      </w:r>
      <w:r>
        <w:rPr/>
        <w:t>武汉大千信息技术有限公司、江苏税软软件科技有限公司等八家子公司。</w:t>
      </w:r>
    </w:p>
    <w:p>
      <w:pPr>
        <w:pStyle w:val="BodyText"/>
        <w:spacing w:line="321" w:lineRule="auto" w:before="144"/>
        <w:ind w:left="154" w:right="211" w:firstLine="420"/>
        <w:jc w:val="both"/>
      </w:pPr>
      <w:r>
        <w:rPr/>
        <w:t>本公司及其子公司（以下简称</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t>）属电子信息行业，经营范围主要包括：系统集成、计算机软 </w:t>
      </w:r>
      <w:r>
        <w:rPr>
          <w:spacing w:val="-1"/>
        </w:rPr>
        <w:t>件开发、信息咨询服务等。主要产品包括：电子数据取证、视频分析及专项执法装备、大搜索及大数据信</w:t>
      </w:r>
      <w:r>
        <w:rPr>
          <w:spacing w:val="-83"/>
        </w:rPr>
        <w:t> </w:t>
      </w:r>
      <w:r>
        <w:rPr>
          <w:spacing w:val="-83"/>
        </w:rPr>
      </w:r>
      <w:r>
        <w:rPr>
          <w:spacing w:val="-1"/>
        </w:rPr>
        <w:t>息化产品，在四大产品的技术基础上衍生发展出存证云及其衍生服务、搜索云及其衍生服务、数据服务及</w:t>
      </w:r>
      <w:r>
        <w:rPr>
          <w:spacing w:val="-83"/>
        </w:rPr>
        <w:t> </w:t>
      </w:r>
      <w:r>
        <w:rPr>
          <w:spacing w:val="-83"/>
        </w:rPr>
      </w:r>
      <w:r>
        <w:rPr/>
        <w:t>信息安全服务四大服务体系等服务系列。主要客户包括全国各级司法机关、行政执法部门。</w:t>
      </w:r>
    </w:p>
    <w:p>
      <w:pPr>
        <w:pStyle w:val="BodyText"/>
        <w:spacing w:line="408" w:lineRule="auto" w:before="148"/>
        <w:ind w:right="172"/>
        <w:jc w:val="left"/>
      </w:pPr>
      <w:r>
        <w:rPr/>
        <w:t>本财务报表及财务报表附注业经本公司第三届董事会第九次会议于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日批准。 </w:t>
      </w:r>
      <w:r>
        <w:rPr>
          <w:rFonts w:ascii="Times New Roman" w:hAnsi="Times New Roman" w:cs="Times New Roman" w:eastAsia="Times New Roman" w:hint="default"/>
        </w:rPr>
        <w:t>2</w:t>
      </w:r>
      <w:r>
        <w:rPr/>
        <w:t>、合并财务报表范围 本集团合并财务报表范围包括本公司及全部子公司，本报告期新增非同一控制下企业合并的子公司：</w:t>
      </w:r>
    </w:p>
    <w:p>
      <w:pPr>
        <w:pStyle w:val="BodyText"/>
        <w:spacing w:line="227" w:lineRule="exact"/>
        <w:ind w:left="154" w:right="0"/>
        <w:jc w:val="left"/>
      </w:pPr>
      <w:r>
        <w:rPr>
          <w:spacing w:val="-3"/>
        </w:rPr>
        <w:t>武汉大千信息技术有限公司、江苏税软软件科技有限公司，新设成立子公司：厦门安胜网络科技有限公司，</w:t>
      </w:r>
    </w:p>
    <w:p>
      <w:pPr>
        <w:pStyle w:val="BodyText"/>
        <w:spacing w:line="240" w:lineRule="auto" w:before="99"/>
        <w:ind w:left="154" w:right="97"/>
        <w:jc w:val="left"/>
      </w:pPr>
      <w:r>
        <w:rPr/>
        <w:t>合并财务报表范围变化情况详见本</w:t>
      </w:r>
      <w:r>
        <w:rPr>
          <w:rFonts w:ascii="Times New Roman" w:hAnsi="Times New Roman" w:cs="Times New Roman" w:eastAsia="Times New Roman" w:hint="default"/>
        </w:rPr>
        <w:t>“</w:t>
      </w:r>
      <w:r>
        <w:rPr/>
        <w:t>附注六、合并范围的变动</w:t>
      </w:r>
      <w:r>
        <w:rPr>
          <w:rFonts w:ascii="Times New Roman" w:hAnsi="Times New Roman" w:cs="Times New Roman" w:eastAsia="Times New Roman" w:hint="default"/>
        </w:rPr>
        <w:t>”</w:t>
      </w:r>
      <w:r>
        <w:rPr/>
        <w:t>、本</w:t>
      </w:r>
      <w:r>
        <w:rPr>
          <w:rFonts w:ascii="Times New Roman" w:hAnsi="Times New Roman" w:cs="Times New Roman" w:eastAsia="Times New Roman" w:hint="default"/>
        </w:rPr>
        <w:t>“</w:t>
      </w:r>
      <w:r>
        <w:rPr/>
        <w:t>附注七、在其他主体中的权益披露</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5"/>
          <w:szCs w:val="25"/>
        </w:rPr>
      </w:pPr>
    </w:p>
    <w:p>
      <w:pPr>
        <w:pStyle w:val="Heading2"/>
        <w:spacing w:line="240" w:lineRule="auto"/>
        <w:ind w:right="97"/>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7"/>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2"/>
        <w:rPr>
          <w:rFonts w:ascii="宋体" w:hAnsi="宋体" w:cs="宋体" w:eastAsia="宋体" w:hint="default"/>
          <w:b/>
          <w:bCs/>
          <w:sz w:val="26"/>
          <w:szCs w:val="26"/>
        </w:rPr>
      </w:pPr>
    </w:p>
    <w:p>
      <w:pPr>
        <w:pStyle w:val="BodyText"/>
        <w:spacing w:line="309" w:lineRule="auto"/>
        <w:ind w:left="154" w:right="97" w:firstLine="419"/>
        <w:jc w:val="left"/>
      </w:pPr>
      <w:r>
        <w:rPr>
          <w:spacing w:val="-1"/>
        </w:rPr>
        <w:t>本财务报表按照财政部</w:t>
      </w:r>
      <w:r>
        <w:rPr>
          <w:rFonts w:ascii="Times New Roman" w:hAnsi="Times New Roman" w:cs="Times New Roman" w:eastAsia="Times New Roman" w:hint="default"/>
          <w:spacing w:val="-1"/>
        </w:rPr>
        <w:t>2006</w:t>
      </w:r>
      <w:r>
        <w:rPr>
          <w:spacing w:val="-1"/>
        </w:rPr>
        <w:t>年</w:t>
      </w:r>
      <w:r>
        <w:rPr>
          <w:rFonts w:ascii="Times New Roman" w:hAnsi="Times New Roman" w:cs="Times New Roman" w:eastAsia="Times New Roman" w:hint="default"/>
          <w:spacing w:val="-1"/>
        </w:rPr>
        <w:t>2</w:t>
      </w:r>
      <w:r>
        <w:rPr>
          <w:spacing w:val="-1"/>
        </w:rPr>
        <w:t>月颁</w:t>
      </w:r>
      <w:bookmarkStart w:name="四、财务报表的编制基础" w:id="160"/>
      <w:bookmarkEnd w:id="160"/>
      <w:r>
        <w:rPr>
          <w:spacing w:val="-1"/>
        </w:rPr>
      </w:r>
      <w:bookmarkStart w:name="1、编制基础" w:id="161"/>
      <w:bookmarkEnd w:id="161"/>
      <w:r>
        <w:rPr>
          <w:spacing w:val="-1"/>
        </w:rPr>
        <w:t>布的企业会计准则及其应用指南</w:t>
      </w:r>
      <w:r>
        <w:rPr>
          <w:spacing w:val="-1"/>
        </w:rPr>
        <w:t>、解释及其他有关规定（统称</w:t>
      </w:r>
      <w:r>
        <w:rPr>
          <w:rFonts w:ascii="Times New Roman" w:hAnsi="Times New Roman" w:cs="Times New Roman" w:eastAsia="Times New Roman" w:hint="default"/>
          <w:spacing w:val="-1"/>
        </w:rPr>
        <w:t>“</w:t>
      </w:r>
      <w:r>
        <w:rPr>
          <w:spacing w:val="-1"/>
        </w:rPr>
        <w:t>企</w:t>
      </w:r>
      <w:r>
        <w:rPr/>
        <w:t> 业会计准则</w:t>
      </w:r>
      <w:r>
        <w:rPr>
          <w:rFonts w:ascii="Times New Roman" w:hAnsi="Times New Roman" w:cs="Times New Roman" w:eastAsia="Times New Roman" w:hint="default"/>
        </w:rPr>
        <w:t>”</w:t>
      </w:r>
      <w:r>
        <w:rPr/>
        <w:t>）编制。此外，本集团还按照中国证监会《公开发行证券的公司信息披露编报规则第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 </w:t>
      </w:r>
      <w:r>
        <w:rPr/>
        <w:t>财务报告的一般规定》（</w:t>
      </w:r>
      <w:r>
        <w:rPr>
          <w:rFonts w:ascii="Times New Roman" w:hAnsi="Times New Roman" w:cs="Times New Roman" w:eastAsia="Times New Roman" w:hint="default"/>
        </w:rPr>
        <w:t>2014</w:t>
      </w:r>
      <w:r>
        <w:rPr/>
        <w:t>年修订）披露有关财务信息。</w:t>
      </w:r>
    </w:p>
    <w:p>
      <w:pPr>
        <w:spacing w:line="240" w:lineRule="auto" w:before="11"/>
        <w:rPr>
          <w:rFonts w:ascii="宋体" w:hAnsi="宋体" w:cs="宋体" w:eastAsia="宋体" w:hint="default"/>
          <w:sz w:val="21"/>
          <w:szCs w:val="21"/>
        </w:rPr>
      </w:pPr>
    </w:p>
    <w:p>
      <w:pPr>
        <w:pStyle w:val="Heading4"/>
        <w:spacing w:line="240" w:lineRule="auto"/>
        <w:ind w:right="97"/>
        <w:jc w:val="left"/>
        <w:rPr>
          <w:b w:val="0"/>
          <w:bCs w:val="0"/>
        </w:rPr>
      </w:pPr>
      <w:r>
        <w:rPr>
          <w:rFonts w:ascii="Times New Roman" w:hAnsi="Times New Roman" w:cs="Times New Roman" w:eastAsia="Times New Roman" w:hint="default"/>
        </w:rPr>
        <w:t>2</w:t>
      </w:r>
      <w:r>
        <w:rPr/>
        <w:t>、持续经营</w:t>
      </w:r>
      <w:r>
        <w:rPr>
          <w:b w:val="0"/>
          <w:bCs w:val="0"/>
        </w:rPr>
      </w:r>
    </w:p>
    <w:p>
      <w:pPr>
        <w:pStyle w:val="BodyText"/>
        <w:spacing w:line="490" w:lineRule="atLeast" w:before="137"/>
        <w:ind w:right="97"/>
        <w:jc w:val="left"/>
      </w:pPr>
      <w:r>
        <w:rPr/>
        <w:t>本财务报表以持续经营为基础列报。 </w:t>
      </w:r>
      <w:r>
        <w:rPr>
          <w:spacing w:val="-1"/>
        </w:rPr>
        <w:t>本集团会计核算以权责发生制为基础。除某些金融工具外，</w:t>
      </w:r>
      <w:bookmarkStart w:name="2、持续经营" w:id="162"/>
      <w:bookmarkEnd w:id="162"/>
      <w:r>
        <w:rPr>
          <w:spacing w:val="-1"/>
        </w:rPr>
        <w:t>本财务报表均以历史成本为计量基础</w:t>
      </w:r>
      <w:r>
        <w:rPr>
          <w:spacing w:val="-1"/>
        </w:rPr>
        <w:t>。资</w:t>
      </w:r>
    </w:p>
    <w:p>
      <w:pPr>
        <w:pStyle w:val="BodyText"/>
        <w:spacing w:line="240" w:lineRule="auto" w:before="99"/>
        <w:ind w:left="154" w:right="97"/>
        <w:jc w:val="left"/>
      </w:pPr>
      <w:r>
        <w:rPr/>
        <w:t>产如果发生减值，则按照相关规定计提相应的减值准备。</w:t>
      </w:r>
    </w:p>
    <w:p>
      <w:pPr>
        <w:spacing w:line="240" w:lineRule="auto" w:before="6"/>
        <w:rPr>
          <w:rFonts w:ascii="宋体" w:hAnsi="宋体" w:cs="宋体" w:eastAsia="宋体" w:hint="default"/>
          <w:sz w:val="26"/>
          <w:szCs w:val="26"/>
        </w:rPr>
      </w:pPr>
    </w:p>
    <w:p>
      <w:pPr>
        <w:pStyle w:val="Heading2"/>
        <w:spacing w:line="240" w:lineRule="auto"/>
        <w:ind w:right="97"/>
        <w:jc w:val="left"/>
        <w:rPr>
          <w:b w:val="0"/>
          <w:bCs w:val="0"/>
        </w:rPr>
      </w:pPr>
      <w:r>
        <w:rPr/>
        <w:t>五、重要会计政策及会计估计</w:t>
      </w:r>
      <w:r>
        <w:rPr>
          <w:b w:val="0"/>
          <w:bCs w:val="0"/>
        </w:rPr>
      </w:r>
    </w:p>
    <w:p>
      <w:pPr>
        <w:spacing w:line="240" w:lineRule="auto" w:before="12"/>
        <w:rPr>
          <w:rFonts w:ascii="宋体" w:hAnsi="宋体" w:cs="宋体" w:eastAsia="宋体" w:hint="default"/>
          <w:b/>
          <w:bCs/>
          <w:sz w:val="26"/>
          <w:szCs w:val="26"/>
        </w:rPr>
      </w:pPr>
    </w:p>
    <w:p>
      <w:pPr>
        <w:pStyle w:val="BodyText"/>
        <w:spacing w:line="432" w:lineRule="auto"/>
        <w:ind w:right="1852"/>
        <w:jc w:val="left"/>
      </w:pPr>
      <w:r>
        <w:rPr/>
        <w:t>具体会计政策和会计估计提示： 本集团根据自身生产经营特点确定收入确认政策，具体会计政策参见附注五之</w:t>
      </w:r>
      <w:r>
        <w:rPr>
          <w:rFonts w:ascii="Times New Roman" w:hAnsi="Times New Roman" w:cs="Times New Roman" w:eastAsia="Times New Roman" w:hint="default"/>
        </w:rPr>
        <w:t>28</w:t>
      </w:r>
      <w:r>
        <w:rPr/>
        <w:t>。</w:t>
      </w:r>
    </w:p>
    <w:p>
      <w:pPr>
        <w:pStyle w:val="Heading4"/>
        <w:spacing w:line="240" w:lineRule="auto" w:before="167"/>
        <w:ind w:right="97"/>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2"/>
        <w:rPr>
          <w:rFonts w:ascii="宋体" w:hAnsi="宋体" w:cs="宋体" w:eastAsia="宋体" w:hint="default"/>
          <w:b/>
          <w:bCs/>
          <w:sz w:val="26"/>
          <w:szCs w:val="26"/>
        </w:rPr>
      </w:pPr>
    </w:p>
    <w:p>
      <w:pPr>
        <w:pStyle w:val="BodyText"/>
        <w:spacing w:line="309" w:lineRule="auto"/>
        <w:ind w:left="153" w:right="97" w:firstLine="420"/>
        <w:jc w:val="left"/>
      </w:pPr>
      <w:r>
        <w:rPr>
          <w:spacing w:val="-1"/>
        </w:rPr>
        <w:t>本财务报表符合企业会计准则的要求，真实、完整地反映了本集团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日的合并及公司财务</w:t>
      </w:r>
      <w:r>
        <w:rPr/>
        <w:t> 状况以及</w:t>
      </w:r>
      <w:r>
        <w:rPr>
          <w:rFonts w:ascii="Times New Roman" w:hAnsi="Times New Roman" w:cs="Times New Roman" w:eastAsia="Times New Roman" w:hint="default"/>
        </w:rPr>
        <w:t>2015</w:t>
      </w:r>
      <w:r>
        <w:rPr/>
        <w:t>年度的合并及公司经营成果和合并及公司现金流量等有关信息。</w:t>
      </w:r>
    </w:p>
    <w:p>
      <w:pPr>
        <w:spacing w:after="0" w:line="309" w:lineRule="auto"/>
        <w:jc w:val="left"/>
        <w:sectPr>
          <w:pgSz w:w="11910" w:h="16840"/>
          <w:pgMar w:header="917" w:footer="1267" w:top="1140" w:bottom="1460" w:left="980" w:right="92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合并财务报表的编制方法" w:id="163"/>
      <w:bookmarkEnd w:id="163"/>
      <w:r>
        <w:rPr>
          <w:b w:val="0"/>
          <w:bCs w:val="0"/>
        </w:rPr>
      </w:r>
      <w:r>
        <w:rPr>
          <w:rFonts w:ascii="Times New Roman" w:hAnsi="Times New Roman" w:cs="Times New Roman" w:eastAsia="Times New Roman" w:hint="default"/>
        </w:rPr>
        <w:t>2</w:t>
      </w:r>
      <w:bookmarkStart w:name="2、会计期间" w:id="164"/>
      <w:bookmarkEnd w:id="164"/>
      <w:r>
        <w:rPr>
          <w:rFonts w:ascii="Times New Roman" w:hAnsi="Times New Roman" w:cs="Times New Roman" w:eastAsia="Times New Roman" w:hint="default"/>
        </w:rPr>
      </w:r>
      <w:r>
        <w:rPr/>
        <w:t>、会计期间</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bookmarkStart w:name="3、营业周期" w:id="165"/>
      <w:bookmarkEnd w:id="165"/>
      <w:r>
        <w:rPr/>
      </w:r>
      <w:r>
        <w:rPr/>
        <w:t>本集团的营业周期为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152" w:firstLine="420"/>
        <w:jc w:val="both"/>
      </w:pPr>
      <w:bookmarkStart w:name="4、记账本位币" w:id="166"/>
      <w:bookmarkEnd w:id="166"/>
      <w:r>
        <w:rPr/>
      </w:r>
      <w:r>
        <w:rPr>
          <w:spacing w:val="-1"/>
        </w:rPr>
        <w:t>本公司及境内子公司以人民币为记账本位币。本公司下属子公司香港鼎永泰克科技有限公司采用美元</w:t>
      </w:r>
      <w:r>
        <w:rPr/>
        <w:t> 为记账本位币，编制财务报表时折算为人民币。本集团编制本财务报表时所采用的货币为人民币。</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w:t>
      </w:r>
      <w:bookmarkStart w:name="5、同一控制下和非同一控制下企业合并的会计处理方法" w:id="167"/>
      <w:bookmarkEnd w:id="167"/>
      <w:r>
        <w:rPr/>
        <w:t>并的会计</w:t>
      </w:r>
      <w:r>
        <w:rPr/>
        <w:t>处理方法</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0"/>
        <w:jc w:val="left"/>
      </w:pPr>
      <w:r>
        <w:rPr/>
        <w:t>（</w:t>
      </w:r>
      <w:r>
        <w:rPr>
          <w:rFonts w:ascii="Times New Roman" w:hAnsi="Times New Roman" w:cs="Times New Roman" w:eastAsia="Times New Roman" w:hint="default"/>
        </w:rPr>
        <w:t>1</w:t>
      </w:r>
      <w:r>
        <w:rPr/>
        <w:t>）同一控制下的企业合并 </w:t>
      </w:r>
      <w:r>
        <w:rPr>
          <w:spacing w:val="-1"/>
        </w:rPr>
        <w:t>对于同一控制下的企业合并，合并方在合并中取得的被合并方的资产、负债，除因会计政策不同而进</w:t>
      </w:r>
    </w:p>
    <w:p>
      <w:pPr>
        <w:pStyle w:val="BodyText"/>
        <w:spacing w:line="227" w:lineRule="exact"/>
        <w:ind w:left="154" w:right="0"/>
        <w:jc w:val="left"/>
      </w:pPr>
      <w:r>
        <w:rPr/>
        <w:t>行的调整以外，按合并日被合并方在最终控制方合并财务报表中的账面价值计量。合并对价的账面价值与</w:t>
      </w:r>
    </w:p>
    <w:p>
      <w:pPr>
        <w:pStyle w:val="BodyText"/>
        <w:spacing w:line="326" w:lineRule="auto" w:before="99"/>
        <w:ind w:left="154" w:right="0"/>
        <w:jc w:val="left"/>
      </w:pPr>
      <w:r>
        <w:rPr>
          <w:spacing w:val="-1"/>
        </w:rPr>
        <w:t>合并中取得的净资产账面价值的差额调整资本公积（股本溢价），资本公积（股本溢价）不足冲减的，调</w:t>
      </w:r>
      <w:r>
        <w:rPr>
          <w:spacing w:val="-83"/>
        </w:rPr>
        <w:t> </w:t>
      </w:r>
      <w:r>
        <w:rPr>
          <w:spacing w:val="-83"/>
        </w:rPr>
      </w:r>
      <w:r>
        <w:rPr/>
        <w:t>整留存收益。</w:t>
      </w:r>
    </w:p>
    <w:p>
      <w:pPr>
        <w:pStyle w:val="BodyText"/>
        <w:spacing w:line="408" w:lineRule="auto" w:before="144"/>
        <w:ind w:right="0"/>
        <w:jc w:val="left"/>
      </w:pPr>
      <w:r>
        <w:rPr/>
        <w:t>（</w:t>
      </w:r>
      <w:r>
        <w:rPr>
          <w:rFonts w:ascii="Times New Roman" w:hAnsi="Times New Roman" w:cs="Times New Roman" w:eastAsia="Times New Roman" w:hint="default"/>
        </w:rPr>
        <w:t>2</w:t>
      </w:r>
      <w:r>
        <w:rPr/>
        <w:t>）非同一控制下的企业合并 </w:t>
      </w:r>
      <w:r>
        <w:rPr>
          <w:spacing w:val="-1"/>
        </w:rPr>
        <w:t>对于非同一控制下的企业合并，合并成本为购买日为取得对被购买方的控制权而付出的资产、发生或</w:t>
      </w:r>
    </w:p>
    <w:p>
      <w:pPr>
        <w:pStyle w:val="BodyText"/>
        <w:spacing w:line="227" w:lineRule="exact"/>
        <w:ind w:left="154" w:right="0"/>
        <w:jc w:val="left"/>
      </w:pPr>
      <w:r>
        <w:rPr/>
        <w:t>承担的负债以及发行的权益性证券的公允价值。在购买日，取得的被购买方的资产、负债及或有负债按公</w:t>
      </w:r>
    </w:p>
    <w:p>
      <w:pPr>
        <w:pStyle w:val="BodyText"/>
        <w:spacing w:line="240" w:lineRule="auto" w:before="99"/>
        <w:ind w:left="154" w:right="0"/>
        <w:jc w:val="left"/>
      </w:pPr>
      <w:r>
        <w:rPr/>
        <w:t>允价值确认。</w:t>
      </w:r>
    </w:p>
    <w:p>
      <w:pPr>
        <w:spacing w:line="240" w:lineRule="auto" w:before="10"/>
        <w:rPr>
          <w:rFonts w:ascii="宋体" w:hAnsi="宋体" w:cs="宋体" w:eastAsia="宋体" w:hint="default"/>
          <w:sz w:val="16"/>
          <w:szCs w:val="16"/>
        </w:rPr>
      </w:pPr>
    </w:p>
    <w:p>
      <w:pPr>
        <w:pStyle w:val="BodyText"/>
        <w:spacing w:line="326" w:lineRule="auto"/>
        <w:ind w:left="154" w:right="130" w:firstLine="420"/>
        <w:jc w:val="both"/>
      </w:pPr>
      <w:r>
        <w:rPr>
          <w:spacing w:val="-1"/>
        </w:rPr>
        <w:t>对合并成本大于合并中取得的被购买方可辨认净资产公允价值份额的差额，确认为商誉，按成本扣除</w:t>
      </w:r>
      <w:r>
        <w:rPr/>
        <w:t> 累计减值准备进行后续计量；对合并成本小于合并中取得的被购买方可辨认净资产公允价值份额的差额， 经复核后计入当期损益。</w:t>
      </w:r>
    </w:p>
    <w:p>
      <w:pPr>
        <w:pStyle w:val="BodyText"/>
        <w:spacing w:line="309" w:lineRule="auto" w:before="144"/>
        <w:ind w:left="154" w:right="153" w:firstLine="420"/>
        <w:jc w:val="both"/>
      </w:pPr>
      <w:r>
        <w:rPr>
          <w:spacing w:val="-1"/>
        </w:rPr>
        <w:t>所涉及的或有对价按其在购买日的公允价值计入合并成本，购买日后</w:t>
      </w:r>
      <w:r>
        <w:rPr>
          <w:rFonts w:ascii="Times New Roman" w:hAnsi="Times New Roman" w:cs="Times New Roman" w:eastAsia="Times New Roman" w:hint="default"/>
          <w:spacing w:val="-1"/>
        </w:rPr>
        <w:t>12</w:t>
      </w:r>
      <w:r>
        <w:rPr>
          <w:spacing w:val="-1"/>
        </w:rPr>
        <w:t>个月内出现对购买日已存在情</w:t>
      </w:r>
      <w:r>
        <w:rPr/>
        <w:t> 况的新的或进一步证据而需要调整或有对价的，相应调整合并商誉。</w:t>
      </w:r>
    </w:p>
    <w:p>
      <w:pPr>
        <w:pStyle w:val="BodyText"/>
        <w:spacing w:line="408" w:lineRule="auto" w:before="158"/>
        <w:ind w:right="0"/>
        <w:jc w:val="left"/>
      </w:pPr>
      <w:r>
        <w:rPr/>
        <w:t>（</w:t>
      </w:r>
      <w:r>
        <w:rPr>
          <w:rFonts w:ascii="Times New Roman" w:hAnsi="Times New Roman" w:cs="Times New Roman" w:eastAsia="Times New Roman" w:hint="default"/>
        </w:rPr>
        <w:t>3</w:t>
      </w:r>
      <w:r>
        <w:rPr/>
        <w:t>）企业合并中有关交易费用的处理 </w:t>
      </w:r>
      <w:r>
        <w:rPr>
          <w:spacing w:val="-1"/>
        </w:rPr>
        <w:t>为进行企业合并发生的审计、法律服务、评估咨询等中介费用以及其他相关管理费用，于发生时计入</w:t>
      </w:r>
    </w:p>
    <w:p>
      <w:pPr>
        <w:pStyle w:val="BodyText"/>
        <w:spacing w:line="227" w:lineRule="exact"/>
        <w:ind w:left="154" w:right="0"/>
        <w:jc w:val="left"/>
      </w:pPr>
      <w:r>
        <w:rPr/>
        <w:t>当期损益。作为合并对价发行的权益性证券或债务性证券的交易费用，计入权益性证券或债务性证券的初</w:t>
      </w:r>
    </w:p>
    <w:p>
      <w:pPr>
        <w:pStyle w:val="BodyText"/>
        <w:spacing w:line="240" w:lineRule="auto" w:before="99"/>
        <w:ind w:left="154" w:right="0"/>
        <w:jc w:val="left"/>
      </w:pPr>
      <w:r>
        <w:rPr/>
        <w:t>始确认金额。</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w:t>
      </w:r>
      <w:r>
        <w:rPr>
          <w:rFonts w:ascii="Times New Roman" w:hAnsi="Times New Roman" w:cs="Times New Roman" w:eastAsia="Times New Roman" w:hint="default"/>
        </w:rPr>
        <w:t>1</w:t>
      </w:r>
      <w:r>
        <w:rPr/>
        <w:t>）合并范围</w:t>
      </w:r>
    </w:p>
    <w:p>
      <w:pPr>
        <w:spacing w:after="0" w:line="240" w:lineRule="auto"/>
        <w:jc w:val="left"/>
        <w:sectPr>
          <w:pgSz w:w="11910" w:h="16840"/>
          <w:pgMar w:header="917" w:footer="1267" w:top="1140" w:bottom="1460" w:left="980" w:right="980"/>
        </w:sectPr>
      </w:pPr>
    </w:p>
    <w:p>
      <w:pPr>
        <w:spacing w:line="240" w:lineRule="auto" w:before="6"/>
        <w:rPr>
          <w:rFonts w:ascii="宋体" w:hAnsi="宋体" w:cs="宋体" w:eastAsia="宋体" w:hint="default"/>
          <w:sz w:val="21"/>
          <w:szCs w:val="21"/>
        </w:rPr>
      </w:pPr>
    </w:p>
    <w:p>
      <w:pPr>
        <w:pStyle w:val="BodyText"/>
        <w:spacing w:line="326" w:lineRule="auto" w:before="35"/>
        <w:ind w:left="154" w:right="103" w:firstLine="420"/>
        <w:jc w:val="left"/>
      </w:pPr>
      <w:bookmarkStart w:name="7、合营安排分类及共同经营会计处理方法" w:id="168"/>
      <w:bookmarkEnd w:id="168"/>
      <w:r>
        <w:rPr/>
      </w:r>
      <w:bookmarkStart w:name="8、现金及现金等价物的确定标准" w:id="169"/>
      <w:bookmarkEnd w:id="169"/>
      <w:r>
        <w:rPr/>
      </w:r>
      <w:r>
        <w:rPr/>
        <w:t>合并财务报表的合并范围以控制为基础予以确定。控制是指本公司拥有对被投资单位的权力，通过参 </w:t>
      </w:r>
      <w:r>
        <w:rPr>
          <w:spacing w:val="-3"/>
        </w:rPr>
        <w:t>与被投资单位的相关活动而享有可变回报，并且有能力运用对被投资单位的权力影响其回报金额。子公司，</w:t>
      </w:r>
      <w:r>
        <w:rPr>
          <w:spacing w:val="-92"/>
        </w:rPr>
        <w:t> </w:t>
      </w:r>
      <w:r>
        <w:rPr>
          <w:spacing w:val="-92"/>
        </w:rPr>
      </w:r>
      <w:r>
        <w:rPr/>
        <w:t>是指被本公司控制的主体（含企业、被投资单位中可分割的部分，以及企业所控制的结构化主体等）。</w:t>
      </w:r>
    </w:p>
    <w:p>
      <w:pPr>
        <w:pStyle w:val="BodyText"/>
        <w:spacing w:line="408" w:lineRule="auto" w:before="144"/>
        <w:ind w:right="97"/>
        <w:jc w:val="left"/>
      </w:pPr>
      <w:r>
        <w:rPr/>
        <w:t>（</w:t>
      </w:r>
      <w:r>
        <w:rPr>
          <w:rFonts w:ascii="Times New Roman" w:hAnsi="Times New Roman" w:cs="Times New Roman" w:eastAsia="Times New Roman" w:hint="default"/>
        </w:rPr>
        <w:t>2</w:t>
      </w:r>
      <w:r>
        <w:rPr/>
        <w:t>）合并财务报表的编制方法 </w:t>
      </w:r>
      <w:r>
        <w:rPr>
          <w:spacing w:val="-1"/>
        </w:rPr>
        <w:t>合并财务报表以本公司和子公司的财务报表为基础，根据其他有关资料，由本公司编制。在编制合并</w:t>
      </w:r>
    </w:p>
    <w:p>
      <w:pPr>
        <w:pStyle w:val="BodyText"/>
        <w:spacing w:line="227" w:lineRule="exact"/>
        <w:ind w:left="154" w:right="97"/>
        <w:jc w:val="left"/>
      </w:pPr>
      <w:r>
        <w:rPr/>
        <w:t>财务报表时，本公司和子公司的会计政策和会计期间要求保持一致，公司间的重大交易和往来余额予以抵</w:t>
      </w:r>
    </w:p>
    <w:p>
      <w:pPr>
        <w:pStyle w:val="BodyText"/>
        <w:spacing w:line="240" w:lineRule="auto" w:before="99"/>
        <w:ind w:left="154" w:right="97"/>
        <w:jc w:val="left"/>
      </w:pPr>
      <w:r>
        <w:rPr/>
        <w:t>销。</w:t>
      </w:r>
    </w:p>
    <w:p>
      <w:pPr>
        <w:spacing w:line="240" w:lineRule="auto" w:before="10"/>
        <w:rPr>
          <w:rFonts w:ascii="宋体" w:hAnsi="宋体" w:cs="宋体" w:eastAsia="宋体" w:hint="default"/>
          <w:sz w:val="16"/>
          <w:szCs w:val="16"/>
        </w:rPr>
      </w:pPr>
    </w:p>
    <w:p>
      <w:pPr>
        <w:pStyle w:val="BodyText"/>
        <w:spacing w:line="326" w:lineRule="auto"/>
        <w:ind w:left="154" w:right="212" w:firstLine="420"/>
        <w:jc w:val="both"/>
      </w:pPr>
      <w:r>
        <w:rPr>
          <w:spacing w:val="-1"/>
        </w:rPr>
        <w:t>在报告期内因同一控制下企业合并增加的子公司以及业务，视同该子公司以及业务自同受最终控制方</w:t>
      </w:r>
      <w:r>
        <w:rPr/>
        <w:t> </w:t>
      </w:r>
      <w:r>
        <w:rPr>
          <w:spacing w:val="-1"/>
        </w:rPr>
        <w:t>控制之日起纳入本公司的合并范围，将其自同受最终控制方控制之日起的经营成果和现金流量纳入合并利</w:t>
      </w:r>
      <w:r>
        <w:rPr>
          <w:spacing w:val="-81"/>
        </w:rPr>
        <w:t> </w:t>
      </w:r>
      <w:r>
        <w:rPr>
          <w:spacing w:val="-81"/>
        </w:rPr>
      </w:r>
      <w:r>
        <w:rPr/>
        <w:t>润表和合并现金流量表中。</w:t>
      </w:r>
    </w:p>
    <w:p>
      <w:pPr>
        <w:pStyle w:val="BodyText"/>
        <w:spacing w:line="326" w:lineRule="auto" w:before="144"/>
        <w:ind w:left="154" w:right="97" w:firstLine="420"/>
        <w:jc w:val="left"/>
      </w:pPr>
      <w:r>
        <w:rPr>
          <w:spacing w:val="-1"/>
        </w:rPr>
        <w:t>在报告期内因非同一控制下企业合并增加的子公司以及业务，将该子公司以及业务自购买日至报告期</w:t>
      </w:r>
      <w:r>
        <w:rPr/>
        <w:t> 末的收入、费用、利润纳入合并利润表，将其现金流量纳入合并现金流量表。</w:t>
      </w:r>
    </w:p>
    <w:p>
      <w:pPr>
        <w:pStyle w:val="BodyText"/>
        <w:spacing w:line="240" w:lineRule="auto" w:before="144"/>
        <w:ind w:left="578" w:right="97"/>
        <w:jc w:val="left"/>
      </w:pPr>
      <w:r>
        <w:rPr/>
        <w:t>（</w:t>
      </w:r>
      <w:r>
        <w:rPr>
          <w:rFonts w:ascii="Times New Roman" w:hAnsi="Times New Roman" w:cs="Times New Roman" w:eastAsia="Times New Roman" w:hint="default"/>
        </w:rPr>
        <w:t>3</w:t>
      </w:r>
      <w:r>
        <w:rPr/>
        <w:t>）购买子公司少数股东股权</w:t>
      </w:r>
    </w:p>
    <w:p>
      <w:pPr>
        <w:spacing w:line="240" w:lineRule="auto" w:before="12"/>
        <w:rPr>
          <w:rFonts w:ascii="宋体" w:hAnsi="宋体" w:cs="宋体" w:eastAsia="宋体" w:hint="default"/>
          <w:sz w:val="22"/>
          <w:szCs w:val="22"/>
        </w:rPr>
      </w:pPr>
    </w:p>
    <w:p>
      <w:pPr>
        <w:pStyle w:val="BodyText"/>
        <w:spacing w:line="326" w:lineRule="auto"/>
        <w:ind w:left="154" w:right="172" w:firstLine="420"/>
        <w:jc w:val="left"/>
      </w:pPr>
      <w:r>
        <w:rPr/>
        <w:t>因购买少数股权新取得的长期股权投资成本与按照新增持股比例计算应享有子公司自购买日或合并 </w:t>
      </w:r>
      <w:r>
        <w:rPr>
          <w:spacing w:val="-1"/>
        </w:rPr>
        <w:t>日开始持续计算的净资产份额之间的差额，以及在不丧失控制权的情况下因部分处置对子公司的股权投资</w:t>
      </w:r>
      <w:r>
        <w:rPr>
          <w:spacing w:val="-81"/>
        </w:rPr>
        <w:t> </w:t>
      </w:r>
      <w:r>
        <w:rPr>
          <w:spacing w:val="-81"/>
        </w:rPr>
      </w:r>
      <w:r>
        <w:rPr/>
        <w:t>而取得的处置价款与处置长期股权投资相对应享有子公司自购买日或合并日开始持续计算的净资产份额 之间的差额，均调整合并资产负债表中的资本公积（股本溢价），资本公积不足冲减的，调整留存收益。</w:t>
      </w:r>
    </w:p>
    <w:p>
      <w:pPr>
        <w:spacing w:line="240" w:lineRule="auto" w:before="4"/>
        <w:rPr>
          <w:rFonts w:ascii="宋体" w:hAnsi="宋体" w:cs="宋体" w:eastAsia="宋体" w:hint="default"/>
          <w:sz w:val="18"/>
          <w:szCs w:val="18"/>
        </w:rPr>
      </w:pPr>
    </w:p>
    <w:p>
      <w:pPr>
        <w:pStyle w:val="BodyText"/>
        <w:spacing w:line="408" w:lineRule="auto"/>
        <w:ind w:right="97"/>
        <w:jc w:val="left"/>
      </w:pPr>
      <w:r>
        <w:rPr/>
        <w:t>（</w:t>
      </w:r>
      <w:r>
        <w:rPr>
          <w:rFonts w:ascii="Times New Roman" w:hAnsi="Times New Roman" w:cs="Times New Roman" w:eastAsia="Times New Roman" w:hint="default"/>
        </w:rPr>
        <w:t>4</w:t>
      </w:r>
      <w:r>
        <w:rPr/>
        <w:t>）丧失子公司控制权的处理 </w:t>
      </w:r>
      <w:r>
        <w:rPr>
          <w:spacing w:val="-1"/>
        </w:rPr>
        <w:t>因处置部分股权投资或其他原因丧失了对原有子公司控制权的，剩余股权按照其在丧失控制权日的公</w:t>
      </w:r>
    </w:p>
    <w:p>
      <w:pPr>
        <w:pStyle w:val="BodyText"/>
        <w:spacing w:line="227" w:lineRule="exact"/>
        <w:ind w:left="154" w:right="97"/>
        <w:jc w:val="left"/>
      </w:pPr>
      <w:r>
        <w:rPr/>
        <w:t>允价值进行重新计量；处置股权取得的对价与剩余股权公允价值之和，减去按原持股比例计算应享有原子</w:t>
      </w:r>
    </w:p>
    <w:p>
      <w:pPr>
        <w:pStyle w:val="BodyText"/>
        <w:spacing w:line="240" w:lineRule="auto" w:before="99"/>
        <w:ind w:left="154" w:right="0"/>
        <w:jc w:val="left"/>
      </w:pPr>
      <w:r>
        <w:rPr>
          <w:spacing w:val="-3"/>
        </w:rPr>
        <w:t>公司自购买日开始持续计算的净资产的份额之间的差额，计入丧失控制权当期的投资收益，同时冲减商誉。</w:t>
      </w:r>
    </w:p>
    <w:p>
      <w:pPr>
        <w:spacing w:line="240" w:lineRule="auto" w:before="10"/>
        <w:rPr>
          <w:rFonts w:ascii="宋体" w:hAnsi="宋体" w:cs="宋体" w:eastAsia="宋体" w:hint="default"/>
          <w:sz w:val="16"/>
          <w:szCs w:val="16"/>
        </w:rPr>
      </w:pPr>
    </w:p>
    <w:p>
      <w:pPr>
        <w:pStyle w:val="BodyText"/>
        <w:spacing w:line="326" w:lineRule="auto"/>
        <w:ind w:left="154" w:right="97" w:firstLine="420"/>
        <w:jc w:val="left"/>
      </w:pPr>
      <w:r>
        <w:rPr>
          <w:spacing w:val="-1"/>
        </w:rPr>
        <w:t>与原有子公司的股权投资相关的其他综合收益、其他所有者权益变动，应当在丧失控制权时转入当期</w:t>
      </w:r>
      <w:r>
        <w:rPr/>
        <w:t> 损益，由于被投资方重新计量设定收益计划净负债或净资产变动而产生的其他综合收益除外。</w:t>
      </w:r>
    </w:p>
    <w:p>
      <w:pPr>
        <w:spacing w:line="240" w:lineRule="auto" w:before="6"/>
        <w:rPr>
          <w:rFonts w:ascii="宋体" w:hAnsi="宋体" w:cs="宋体" w:eastAsia="宋体" w:hint="default"/>
          <w:sz w:val="22"/>
          <w:szCs w:val="22"/>
        </w:rPr>
      </w:pPr>
    </w:p>
    <w:p>
      <w:pPr>
        <w:pStyle w:val="Heading4"/>
        <w:spacing w:line="240" w:lineRule="auto"/>
        <w:ind w:right="97"/>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6"/>
          <w:szCs w:val="26"/>
        </w:rPr>
      </w:pPr>
    </w:p>
    <w:p>
      <w:pPr>
        <w:spacing w:before="0"/>
        <w:ind w:left="154" w:right="97"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630" w:lineRule="atLeast" w:before="10"/>
        <w:ind w:left="574" w:right="9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现金是指库存现金以及可以随时用于支付的存款。现金等价物，是指本集团持有的期限短、流动性强、</w:t>
      </w:r>
    </w:p>
    <w:p>
      <w:pPr>
        <w:pStyle w:val="BodyText"/>
        <w:spacing w:line="240" w:lineRule="auto" w:before="99"/>
        <w:ind w:left="153" w:right="97"/>
        <w:jc w:val="left"/>
      </w:pPr>
      <w:r>
        <w:rPr/>
        <w:t>易于转换为已知金额现金、价值变动风险很小的投资。</w:t>
      </w:r>
    </w:p>
    <w:p>
      <w:pPr>
        <w:spacing w:after="0" w:line="240" w:lineRule="auto"/>
        <w:jc w:val="left"/>
        <w:sectPr>
          <w:pgSz w:w="11910" w:h="16840"/>
          <w:pgMar w:header="917" w:footer="1267" w:top="1140" w:bottom="1460" w:left="980" w:right="92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9</w:t>
      </w:r>
      <w:bookmarkStart w:name="9、外币业务和外币报表折算" w:id="170"/>
      <w:bookmarkEnd w:id="170"/>
      <w:r>
        <w:rPr>
          <w:rFonts w:ascii="Times New Roman" w:hAnsi="Times New Roman" w:cs="Times New Roman" w:eastAsia="Times New Roman" w:hint="default"/>
        </w:rPr>
      </w:r>
      <w:r>
        <w:rPr/>
        <w:t>、外币业务和外币报表折算</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2632"/>
        <w:jc w:val="left"/>
      </w:pPr>
      <w:r>
        <w:rPr/>
        <w:t>（</w:t>
      </w:r>
      <w:r>
        <w:rPr>
          <w:rFonts w:ascii="Times New Roman" w:hAnsi="Times New Roman" w:cs="Times New Roman" w:eastAsia="Times New Roman" w:hint="default"/>
        </w:rPr>
        <w:t>1</w:t>
      </w:r>
      <w:r>
        <w:rPr/>
        <w:t>）外币业务 本集团发生外币业务，按交易发生日的即期汇率折算为记账本位币金额。</w:t>
      </w:r>
    </w:p>
    <w:p>
      <w:pPr>
        <w:pStyle w:val="BodyText"/>
        <w:spacing w:line="326" w:lineRule="auto" w:before="72"/>
        <w:ind w:left="154" w:right="151" w:firstLine="420"/>
        <w:jc w:val="both"/>
      </w:pPr>
      <w:r>
        <w:rPr>
          <w:spacing w:val="-1"/>
        </w:rPr>
        <w:t>资产负债表日，对外币货币性项目，采用资产负债表日即期汇率折算。因资产负债表日即期汇率与初</w:t>
      </w:r>
      <w:r>
        <w:rPr/>
        <w:t> </w:t>
      </w:r>
      <w:r>
        <w:rPr>
          <w:spacing w:val="-1"/>
        </w:rPr>
        <w:t>始确认时或者前一资产负债表日即期汇率不同而产生的汇兑差额，计入当期损益；对以历史成本计量的外</w:t>
      </w:r>
      <w:r>
        <w:rPr>
          <w:spacing w:val="-81"/>
        </w:rPr>
        <w:t> </w:t>
      </w:r>
      <w:r>
        <w:rPr>
          <w:spacing w:val="-81"/>
        </w:rPr>
      </w:r>
      <w:r>
        <w:rPr>
          <w:spacing w:val="-1"/>
        </w:rPr>
        <w:t>币非货币性项目，仍采用交易发生日的即期汇率折算；对以公允价值计量的外币非货币性项目，采用公允</w:t>
      </w:r>
      <w:r>
        <w:rPr>
          <w:spacing w:val="-83"/>
        </w:rPr>
        <w:t> </w:t>
      </w:r>
      <w:r>
        <w:rPr>
          <w:spacing w:val="-83"/>
        </w:rPr>
      </w:r>
      <w:r>
        <w:rPr/>
        <w:t>价值确定日的即期汇率折算，折算后的记账本位币金额与原记账本位币金额的差额，计入当期损益。</w:t>
      </w:r>
    </w:p>
    <w:p>
      <w:pPr>
        <w:pStyle w:val="BodyText"/>
        <w:spacing w:line="408" w:lineRule="auto" w:before="144"/>
        <w:ind w:right="0"/>
        <w:jc w:val="left"/>
      </w:pPr>
      <w:r>
        <w:rPr/>
        <w:t>（</w:t>
      </w:r>
      <w:r>
        <w:rPr>
          <w:rFonts w:ascii="Times New Roman" w:hAnsi="Times New Roman" w:cs="Times New Roman" w:eastAsia="Times New Roman" w:hint="default"/>
        </w:rPr>
        <w:t>2</w:t>
      </w:r>
      <w:r>
        <w:rPr/>
        <w:t>）外币财务报表的折算 </w:t>
      </w:r>
      <w:r>
        <w:rPr>
          <w:spacing w:val="-1"/>
        </w:rPr>
        <w:t>资产负债表日，对境外子公司外币财务报表进行折算时，资产负债表中的资产和负债项目，采用资产</w:t>
      </w:r>
    </w:p>
    <w:p>
      <w:pPr>
        <w:pStyle w:val="BodyText"/>
        <w:spacing w:line="243" w:lineRule="exact"/>
        <w:ind w:left="154" w:right="0"/>
        <w:jc w:val="left"/>
      </w:pPr>
      <w:r>
        <w:rPr/>
        <w:t>负债表日的即期汇率折算，股东权益项目除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w:t>
      </w:r>
    </w:p>
    <w:p>
      <w:pPr>
        <w:pStyle w:val="BodyText"/>
        <w:spacing w:line="396" w:lineRule="auto" w:before="180"/>
        <w:ind w:left="573" w:right="323"/>
        <w:jc w:val="left"/>
      </w:pPr>
      <w:r>
        <w:rPr/>
        <w:t>利润表中的收入和费用项目，</w:t>
      </w:r>
      <w:r>
        <w:rPr>
          <w:sz w:val="24"/>
          <w:szCs w:val="24"/>
        </w:rPr>
        <w:t>采用按期初汇率折算</w:t>
      </w:r>
      <w:r>
        <w:rPr/>
        <w:t>。</w:t>
      </w:r>
      <w:r>
        <w:rPr/>
        <w:t> 现金流量表所有项目均按照现金流量发生日的即期汇率折算。汇率变动对现金的影响额作为调节项</w:t>
      </w:r>
    </w:p>
    <w:p>
      <w:pPr>
        <w:pStyle w:val="BodyText"/>
        <w:spacing w:line="254" w:lineRule="exact"/>
        <w:ind w:left="153" w:right="0"/>
        <w:jc w:val="left"/>
      </w:pPr>
      <w:r>
        <w:rPr/>
        <w:t>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t>项目反映。</w:t>
      </w:r>
    </w:p>
    <w:p>
      <w:pPr>
        <w:spacing w:line="240" w:lineRule="auto" w:before="7"/>
        <w:rPr>
          <w:rFonts w:ascii="宋体" w:hAnsi="宋体" w:cs="宋体" w:eastAsia="宋体" w:hint="default"/>
          <w:sz w:val="15"/>
          <w:szCs w:val="15"/>
        </w:rPr>
      </w:pPr>
    </w:p>
    <w:p>
      <w:pPr>
        <w:pStyle w:val="BodyText"/>
        <w:spacing w:line="408" w:lineRule="auto"/>
        <w:ind w:left="573" w:right="0"/>
        <w:jc w:val="left"/>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 </w:t>
      </w:r>
      <w:r>
        <w:rPr>
          <w:spacing w:val="-1"/>
        </w:rPr>
        <w:t>处置境外经营并丧失控制权时，将资产负债表中股东权益项目下列示的、与该境外经营相关的外币报</w:t>
      </w:r>
    </w:p>
    <w:p>
      <w:pPr>
        <w:pStyle w:val="BodyText"/>
        <w:spacing w:line="227" w:lineRule="exact"/>
        <w:ind w:left="153" w:right="0"/>
        <w:jc w:val="left"/>
      </w:pPr>
      <w:r>
        <w:rPr/>
        <w:t>表折算差额，全部或按处置该境外经营的比例转入处置当期损益。</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bookmarkStart w:name="10、金融工具" w:id="171"/>
      <w:bookmarkEnd w:id="171"/>
      <w:r>
        <w:rPr/>
      </w:r>
      <w:r>
        <w:rPr/>
        <w:t>金融工具是指形成一个企业的金融资产，并形成其他单位的金融负债或权益工具的合同。</w:t>
      </w:r>
    </w:p>
    <w:p>
      <w:pPr>
        <w:pStyle w:val="BodyText"/>
        <w:spacing w:line="240" w:lineRule="auto" w:before="157"/>
        <w:ind w:right="0"/>
        <w:jc w:val="left"/>
      </w:pPr>
      <w:r>
        <w:rPr/>
        <w:t>（</w:t>
      </w:r>
      <w:r>
        <w:rPr>
          <w:rFonts w:ascii="Times New Roman" w:hAnsi="Times New Roman" w:cs="Times New Roman" w:eastAsia="Times New Roman" w:hint="default"/>
        </w:rPr>
        <w:t>1</w:t>
      </w:r>
      <w:r>
        <w:rPr/>
        <w:t>）金融工具的确认和终止确认</w:t>
      </w:r>
    </w:p>
    <w:p>
      <w:pPr>
        <w:spacing w:line="240" w:lineRule="auto" w:before="2"/>
        <w:rPr>
          <w:rFonts w:ascii="宋体" w:hAnsi="宋体" w:cs="宋体" w:eastAsia="宋体" w:hint="default"/>
          <w:sz w:val="18"/>
          <w:szCs w:val="18"/>
        </w:rPr>
      </w:pPr>
    </w:p>
    <w:p>
      <w:pPr>
        <w:pStyle w:val="BodyText"/>
        <w:spacing w:line="376" w:lineRule="auto"/>
        <w:ind w:right="3052"/>
        <w:jc w:val="left"/>
      </w:pPr>
      <w:r>
        <w:rPr/>
        <w:t>本集团于成为金融工具合同的一方时确认一项金融资产或金融负债。 金融资产满足下列条件之一的，终止确认：</w:t>
      </w:r>
    </w:p>
    <w:p>
      <w:pPr>
        <w:pStyle w:val="BodyText"/>
        <w:spacing w:line="240" w:lineRule="auto" w:before="37"/>
        <w:ind w:right="0"/>
        <w:jc w:val="left"/>
      </w:pPr>
      <w:r>
        <w:rPr/>
        <w:t>①</w:t>
      </w:r>
      <w:r>
        <w:rPr>
          <w:spacing w:val="-21"/>
        </w:rPr>
        <w:t> </w:t>
      </w:r>
      <w:r>
        <w:rPr/>
        <w:t>收取该金融资产现金流量的合同权利终止；</w:t>
      </w:r>
    </w:p>
    <w:p>
      <w:pPr>
        <w:pStyle w:val="BodyText"/>
        <w:spacing w:line="430" w:lineRule="atLeast" w:before="2"/>
        <w:ind w:right="0"/>
        <w:jc w:val="left"/>
      </w:pPr>
      <w:r>
        <w:rPr/>
        <w:t>②</w:t>
      </w:r>
      <w:r>
        <w:rPr>
          <w:spacing w:val="-21"/>
        </w:rPr>
        <w:t> </w:t>
      </w:r>
      <w:r>
        <w:rPr/>
        <w:t>该金融资产已转移，且符合下述金融资产转移的终止确认条件。</w:t>
      </w:r>
      <w:r>
        <w:rPr/>
        <w:t> </w:t>
      </w:r>
      <w:r>
        <w:rPr>
          <w:spacing w:val="-1"/>
        </w:rPr>
        <w:t>金融负债的现时义务全部或部分已经解除的，终止确认该金融负债或其一部分。本集团（债务人）与</w:t>
      </w:r>
    </w:p>
    <w:p>
      <w:pPr>
        <w:pStyle w:val="BodyText"/>
        <w:spacing w:line="273" w:lineRule="auto" w:before="37"/>
        <w:ind w:left="154" w:right="0"/>
        <w:jc w:val="left"/>
      </w:pPr>
      <w:r>
        <w:rPr>
          <w:spacing w:val="-1"/>
        </w:rPr>
        <w:t>债权人之间签订协议，以承担新金融负债方式替换现存金融负债，且新金融负债与现存金融负债的合同条</w:t>
      </w:r>
      <w:r>
        <w:rPr>
          <w:spacing w:val="-81"/>
        </w:rPr>
        <w:t> </w:t>
      </w:r>
      <w:r>
        <w:rPr>
          <w:spacing w:val="-81"/>
        </w:rPr>
      </w:r>
      <w:r>
        <w:rPr/>
        <w:t>款实质上不同的，终止确认现存金融负债，并同时确认新金融负债。</w:t>
      </w:r>
    </w:p>
    <w:p>
      <w:pPr>
        <w:pStyle w:val="BodyText"/>
        <w:spacing w:line="240" w:lineRule="auto" w:before="127"/>
        <w:ind w:right="0"/>
        <w:jc w:val="left"/>
      </w:pPr>
      <w:r>
        <w:rPr/>
        <w:t>以常规方式买卖金融资产，按交易日进行会计确认和终止确认。</w:t>
      </w:r>
    </w:p>
    <w:p>
      <w:pPr>
        <w:pStyle w:val="BodyText"/>
        <w:spacing w:line="240" w:lineRule="auto" w:before="157"/>
        <w:ind w:right="0"/>
        <w:jc w:val="left"/>
      </w:pPr>
      <w:r>
        <w:rPr/>
        <w:t>（</w:t>
      </w:r>
      <w:r>
        <w:rPr>
          <w:rFonts w:ascii="Times New Roman" w:hAnsi="Times New Roman" w:cs="Times New Roman" w:eastAsia="Times New Roman" w:hint="default"/>
        </w:rPr>
        <w:t>2</w:t>
      </w:r>
      <w:r>
        <w:rPr/>
        <w:t>）金融资产分类和计量</w:t>
      </w:r>
    </w:p>
    <w:p>
      <w:pPr>
        <w:spacing w:line="240" w:lineRule="auto" w:before="2"/>
        <w:rPr>
          <w:rFonts w:ascii="宋体" w:hAnsi="宋体" w:cs="宋体" w:eastAsia="宋体" w:hint="default"/>
          <w:sz w:val="18"/>
          <w:szCs w:val="18"/>
        </w:rPr>
      </w:pPr>
    </w:p>
    <w:p>
      <w:pPr>
        <w:pStyle w:val="BodyText"/>
        <w:spacing w:line="273" w:lineRule="auto"/>
        <w:ind w:left="154" w:right="130" w:firstLine="420"/>
        <w:jc w:val="both"/>
      </w:pPr>
      <w:r>
        <w:rPr/>
        <w:t>本集团的金融资产于初始确认时分为以下四类：以公允价值计量且其变动计入当期损益的金融资产、 </w:t>
      </w:r>
      <w:r>
        <w:rPr>
          <w:spacing w:val="-1"/>
        </w:rPr>
        <w:t>持有至到期投资、应收款项、可供出售金融资产。金融资产在初始确认时以公允价值计量。对于以公允价</w:t>
      </w:r>
      <w:r>
        <w:rPr>
          <w:spacing w:val="-86"/>
        </w:rPr>
        <w:t> </w:t>
      </w:r>
      <w:r>
        <w:rPr>
          <w:spacing w:val="-86"/>
        </w:rPr>
      </w:r>
      <w:r>
        <w:rPr>
          <w:spacing w:val="-1"/>
        </w:rPr>
        <w:t>值计量且其变动计入当期损益的金融资产，相关交易费用直接计入当期损益，其他类别的金融资产相关交</w:t>
      </w:r>
    </w:p>
    <w:p>
      <w:pPr>
        <w:spacing w:after="0" w:line="273" w:lineRule="auto"/>
        <w:jc w:val="both"/>
        <w:sectPr>
          <w:pgSz w:w="11910" w:h="16840"/>
          <w:pgMar w:header="917" w:footer="1267" w:top="1140" w:bottom="1460" w:left="980" w:right="980"/>
        </w:sectPr>
      </w:pPr>
    </w:p>
    <w:p>
      <w:pPr>
        <w:spacing w:line="240" w:lineRule="auto" w:before="1"/>
        <w:rPr>
          <w:rFonts w:ascii="宋体" w:hAnsi="宋体" w:cs="宋体" w:eastAsia="宋体" w:hint="default"/>
          <w:sz w:val="19"/>
          <w:szCs w:val="19"/>
        </w:rPr>
      </w:pPr>
    </w:p>
    <w:p>
      <w:pPr>
        <w:pStyle w:val="BodyText"/>
        <w:spacing w:line="376" w:lineRule="auto" w:before="35"/>
        <w:ind w:right="4522" w:hanging="420"/>
        <w:jc w:val="left"/>
      </w:pPr>
      <w:r>
        <w:rPr/>
        <w:t>易费用计入其初始确认金额。 以公允价值计量且其变动计入当期损益的金融资产：</w:t>
      </w:r>
    </w:p>
    <w:p>
      <w:pPr>
        <w:pStyle w:val="BodyText"/>
        <w:spacing w:line="273" w:lineRule="auto" w:before="37"/>
        <w:ind w:left="154" w:right="151" w:firstLine="420"/>
        <w:jc w:val="both"/>
      </w:pPr>
      <w:r>
        <w:rPr>
          <w:spacing w:val="-1"/>
        </w:rPr>
        <w:t>以公允价值计量且其变动计入当期损益的金融资产，包括交易性金融资产和初始确认时指定为以公允</w:t>
      </w:r>
      <w:r>
        <w:rPr/>
        <w:t> </w:t>
      </w:r>
      <w:r>
        <w:rPr>
          <w:spacing w:val="-1"/>
        </w:rPr>
        <w:t>价值计量且其变动计入当期损益的金融资产。对于此类金融资产，采用公允价值进行后续计量，公允价值</w:t>
      </w:r>
      <w:r>
        <w:rPr>
          <w:spacing w:val="-83"/>
        </w:rPr>
        <w:t> </w:t>
      </w:r>
      <w:r>
        <w:rPr>
          <w:spacing w:val="-83"/>
        </w:rPr>
      </w:r>
      <w:r>
        <w:rPr/>
        <w:t>变动形成的利得或损失以及与该等金融资产相关的股利和利息收入计入当期损益。</w:t>
      </w:r>
    </w:p>
    <w:p>
      <w:pPr>
        <w:pStyle w:val="BodyText"/>
        <w:spacing w:line="432" w:lineRule="exact" w:before="27"/>
        <w:ind w:right="0"/>
        <w:jc w:val="left"/>
      </w:pPr>
      <w:r>
        <w:rPr/>
        <w:t>持有至到期投资： </w:t>
      </w:r>
      <w:r>
        <w:rPr>
          <w:spacing w:val="-1"/>
        </w:rPr>
        <w:t>持有至到期投资，是指到期日固定、回收金额固定或可确定，且本集团有明确意图和能力持有至到期</w:t>
      </w:r>
    </w:p>
    <w:p>
      <w:pPr>
        <w:pStyle w:val="BodyText"/>
        <w:spacing w:line="255" w:lineRule="exact"/>
        <w:ind w:left="154" w:right="0"/>
        <w:jc w:val="left"/>
      </w:pPr>
      <w:r>
        <w:rPr/>
        <w:t>的非衍生金融资产。持有至到期投资采用实际利率法，按照摊余成本进行后续计量，其终止确认、发生减</w:t>
      </w:r>
    </w:p>
    <w:p>
      <w:pPr>
        <w:pStyle w:val="BodyText"/>
        <w:spacing w:line="376" w:lineRule="auto" w:before="37"/>
        <w:ind w:right="5362" w:hanging="420"/>
        <w:jc w:val="left"/>
      </w:pPr>
      <w:r>
        <w:rPr/>
        <w:t>值或摊销产生的利得或损失，均计入当期损益。 应收款项：</w:t>
      </w:r>
    </w:p>
    <w:p>
      <w:pPr>
        <w:pStyle w:val="BodyText"/>
        <w:spacing w:line="264" w:lineRule="auto" w:before="37"/>
        <w:ind w:left="154" w:right="151" w:firstLine="420"/>
        <w:jc w:val="both"/>
      </w:pPr>
      <w:r>
        <w:rPr>
          <w:spacing w:val="-1"/>
        </w:rPr>
        <w:t>应收款项，是指在活跃市场中没有报价、回收金额固定或可确定的非衍生金融资产，包括应收账款和</w:t>
      </w:r>
      <w:r>
        <w:rPr/>
        <w:t> </w:t>
      </w:r>
      <w:r>
        <w:rPr>
          <w:spacing w:val="-1"/>
        </w:rPr>
        <w:t>其他应收款等（附注五、</w:t>
      </w:r>
      <w:r>
        <w:rPr>
          <w:rFonts w:ascii="Times New Roman" w:hAnsi="Times New Roman" w:cs="Times New Roman" w:eastAsia="Times New Roman" w:hint="default"/>
          <w:spacing w:val="-1"/>
        </w:rPr>
        <w:t>11</w:t>
      </w:r>
      <w:r>
        <w:rPr>
          <w:spacing w:val="-1"/>
        </w:rPr>
        <w:t>）。应收款项采用实际利率法，按摊余成本进行后续计量，在终止确认、发生</w:t>
      </w:r>
      <w:r>
        <w:rPr>
          <w:spacing w:val="-85"/>
        </w:rPr>
        <w:t> </w:t>
      </w:r>
      <w:r>
        <w:rPr>
          <w:spacing w:val="-85"/>
        </w:rPr>
      </w:r>
      <w:r>
        <w:rPr/>
        <w:t>减值或摊销时产生的利得或损失，计入当期损益。</w:t>
      </w:r>
    </w:p>
    <w:p>
      <w:pPr>
        <w:pStyle w:val="BodyText"/>
        <w:spacing w:line="432" w:lineRule="exact" w:before="36"/>
        <w:ind w:right="0"/>
        <w:jc w:val="left"/>
      </w:pPr>
      <w:r>
        <w:rPr/>
        <w:t>可供出售金融资产： </w:t>
      </w:r>
      <w:r>
        <w:rPr>
          <w:spacing w:val="-1"/>
        </w:rPr>
        <w:t>可供出售金融资产，是指初始确认时即指定为可供出售的非衍生金融资产，以及除上述金融资产类别</w:t>
      </w:r>
    </w:p>
    <w:p>
      <w:pPr>
        <w:pStyle w:val="BodyText"/>
        <w:spacing w:line="255" w:lineRule="exact"/>
        <w:ind w:left="154" w:right="0"/>
        <w:jc w:val="left"/>
      </w:pPr>
      <w:r>
        <w:rPr/>
        <w:t>以外的金融资产。可供出售金融资产采用公允价值进行后续计量，其折溢价采用实际利率法摊销并确认为</w:t>
      </w:r>
    </w:p>
    <w:p>
      <w:pPr>
        <w:pStyle w:val="BodyText"/>
        <w:spacing w:line="273" w:lineRule="auto" w:before="37"/>
        <w:ind w:left="154" w:right="151"/>
        <w:jc w:val="both"/>
      </w:pPr>
      <w:r>
        <w:rPr>
          <w:spacing w:val="-1"/>
        </w:rPr>
        <w:t>利息收入。除减值损失及外币货币性金融资产的汇兑差额确认为当期损益外，可供出售金融资产的公允价</w:t>
      </w:r>
      <w:r>
        <w:rPr>
          <w:spacing w:val="-81"/>
        </w:rPr>
        <w:t> </w:t>
      </w:r>
      <w:r>
        <w:rPr>
          <w:spacing w:val="-81"/>
        </w:rPr>
      </w:r>
      <w:r>
        <w:rPr>
          <w:spacing w:val="-1"/>
        </w:rPr>
        <w:t>值变动确认为其他综合收益，在该金融资产终止确认时转出，计入当期损益。与可供出售金融资产相关的</w:t>
      </w:r>
      <w:r>
        <w:rPr>
          <w:spacing w:val="-83"/>
        </w:rPr>
        <w:t> </w:t>
      </w:r>
      <w:r>
        <w:rPr>
          <w:spacing w:val="-83"/>
        </w:rPr>
      </w:r>
      <w:r>
        <w:rPr/>
        <w:t>股利或利息收入，计入当期损益。</w:t>
      </w:r>
    </w:p>
    <w:p>
      <w:pPr>
        <w:pStyle w:val="BodyText"/>
        <w:spacing w:line="273" w:lineRule="auto" w:before="127"/>
        <w:ind w:left="154" w:right="152" w:firstLine="420"/>
        <w:jc w:val="both"/>
      </w:pPr>
      <w:r>
        <w:rPr>
          <w:spacing w:val="-1"/>
        </w:rPr>
        <w:t>对于在活跃市场中没有报价且其公允价值不能可靠计量的权益工具投资，以及与该权益工具挂钩并须</w:t>
      </w:r>
      <w:r>
        <w:rPr/>
        <w:t> 通过交付该权益工具结算的衍生金融资产，按成本计量。</w:t>
      </w:r>
    </w:p>
    <w:p>
      <w:pPr>
        <w:pStyle w:val="BodyText"/>
        <w:spacing w:line="240" w:lineRule="auto" w:before="127"/>
        <w:ind w:right="0"/>
        <w:jc w:val="left"/>
      </w:pPr>
      <w:r>
        <w:rPr/>
        <w:t>（</w:t>
      </w:r>
      <w:r>
        <w:rPr>
          <w:rFonts w:ascii="Times New Roman" w:hAnsi="Times New Roman" w:cs="Times New Roman" w:eastAsia="Times New Roman" w:hint="default"/>
        </w:rPr>
        <w:t>3</w:t>
      </w:r>
      <w:r>
        <w:rPr/>
        <w:t>）金融负债分类和计量</w:t>
      </w:r>
    </w:p>
    <w:p>
      <w:pPr>
        <w:spacing w:line="240" w:lineRule="auto" w:before="2"/>
        <w:rPr>
          <w:rFonts w:ascii="宋体" w:hAnsi="宋体" w:cs="宋体" w:eastAsia="宋体" w:hint="default"/>
          <w:sz w:val="18"/>
          <w:szCs w:val="18"/>
        </w:rPr>
      </w:pPr>
    </w:p>
    <w:p>
      <w:pPr>
        <w:pStyle w:val="BodyText"/>
        <w:spacing w:line="273" w:lineRule="auto"/>
        <w:ind w:left="154" w:right="152" w:firstLine="420"/>
        <w:jc w:val="both"/>
      </w:pPr>
      <w:r>
        <w:rPr>
          <w:spacing w:val="-1"/>
        </w:rPr>
        <w:t>本集团的金融负债于初始确认时分类为：以公允价值计量且其变动计入当期损益的金融负债、其他金</w:t>
      </w:r>
      <w:r>
        <w:rPr/>
        <w:t> </w:t>
      </w:r>
      <w:r>
        <w:rPr>
          <w:spacing w:val="-1"/>
        </w:rPr>
        <w:t>融负债。对于未划分为以公允价值计量且其变动计入当期损益的金融负债的，相关交易费用计入其初始确</w:t>
      </w:r>
      <w:r>
        <w:rPr>
          <w:spacing w:val="-81"/>
        </w:rPr>
        <w:t> </w:t>
      </w:r>
      <w:r>
        <w:rPr>
          <w:spacing w:val="-81"/>
        </w:rPr>
      </w:r>
      <w:r>
        <w:rPr/>
        <w:t>认金额。</w:t>
      </w:r>
    </w:p>
    <w:p>
      <w:pPr>
        <w:pStyle w:val="BodyText"/>
        <w:spacing w:line="432" w:lineRule="exact" w:before="27"/>
        <w:ind w:right="0"/>
        <w:jc w:val="left"/>
      </w:pPr>
      <w:r>
        <w:rPr/>
        <w:t>以公允价值计量且其变动计入当期损益的金融负债： </w:t>
      </w:r>
      <w:r>
        <w:rPr>
          <w:spacing w:val="-1"/>
        </w:rPr>
        <w:t>以公允价值计量且其变动计入当期损益的金融负债，包括交易性金融负债和初始确认时指定为以公允</w:t>
      </w:r>
    </w:p>
    <w:p>
      <w:pPr>
        <w:pStyle w:val="BodyText"/>
        <w:spacing w:line="255" w:lineRule="exact"/>
        <w:ind w:left="154" w:right="0"/>
        <w:jc w:val="left"/>
      </w:pPr>
      <w:r>
        <w:rPr/>
        <w:t>价值计量且其变动计入当期损益的金融负债。对于此类金融负债，按照公允价值进行后续计量，公允价值</w:t>
      </w:r>
    </w:p>
    <w:p>
      <w:pPr>
        <w:pStyle w:val="BodyText"/>
        <w:spacing w:line="376" w:lineRule="auto" w:before="37"/>
        <w:ind w:right="2212" w:hanging="420"/>
        <w:jc w:val="left"/>
      </w:pPr>
      <w:r>
        <w:rPr/>
        <w:t>变动形成的利得或损失以及与该等金融负债相关的股利和利息支出计入当期损益。 其他金融负债：</w:t>
      </w:r>
    </w:p>
    <w:p>
      <w:pPr>
        <w:pStyle w:val="BodyText"/>
        <w:spacing w:line="273" w:lineRule="auto" w:before="37"/>
        <w:ind w:left="154" w:right="152" w:firstLine="420"/>
        <w:jc w:val="both"/>
      </w:pPr>
      <w:r>
        <w:rPr>
          <w:spacing w:val="-1"/>
        </w:rPr>
        <w:t>与在活跃市场中没有报价、公允价值不能可靠计量的权益工具挂钩并须通过交付该权益工具结算的衍</w:t>
      </w:r>
      <w:r>
        <w:rPr/>
        <w:t> </w:t>
      </w: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436" w:lineRule="auto" w:before="127"/>
        <w:ind w:right="4312"/>
        <w:jc w:val="left"/>
      </w:pPr>
      <w:r>
        <w:rPr/>
        <w:t>（</w:t>
      </w:r>
      <w:r>
        <w:rPr>
          <w:rFonts w:ascii="Times New Roman" w:hAnsi="Times New Roman" w:cs="Times New Roman" w:eastAsia="Times New Roman" w:hint="default"/>
        </w:rPr>
        <w:t>4</w:t>
      </w:r>
      <w:r>
        <w:rPr/>
        <w:t>）金融工具的公允价值 金融资产和金融负债的公允价值确定方法：附注十、八</w:t>
      </w:r>
    </w:p>
    <w:p>
      <w:pPr>
        <w:pStyle w:val="BodyText"/>
        <w:spacing w:line="276" w:lineRule="exact"/>
        <w:ind w:left="573" w:right="0"/>
        <w:jc w:val="left"/>
      </w:pPr>
      <w:r>
        <w:rPr/>
        <w:t>（</w:t>
      </w:r>
      <w:r>
        <w:rPr>
          <w:rFonts w:ascii="Times New Roman" w:hAnsi="Times New Roman" w:cs="Times New Roman" w:eastAsia="Times New Roman" w:hint="default"/>
        </w:rPr>
        <w:t>5</w:t>
      </w:r>
      <w:r>
        <w:rPr/>
        <w:t>）金融资产减值</w:t>
      </w:r>
    </w:p>
    <w:p>
      <w:pPr>
        <w:spacing w:after="0" w:line="276" w:lineRule="exact"/>
        <w:jc w:val="left"/>
        <w:sectPr>
          <w:pgSz w:w="11910" w:h="16840"/>
          <w:pgMar w:header="917" w:footer="1267" w:top="1140" w:bottom="1460" w:left="980" w:right="980"/>
        </w:sectPr>
      </w:pPr>
    </w:p>
    <w:p>
      <w:pPr>
        <w:spacing w:line="240" w:lineRule="auto" w:before="1"/>
        <w:rPr>
          <w:rFonts w:ascii="宋体" w:hAnsi="宋体" w:cs="宋体" w:eastAsia="宋体" w:hint="default"/>
          <w:sz w:val="19"/>
          <w:szCs w:val="19"/>
        </w:rPr>
      </w:pPr>
    </w:p>
    <w:p>
      <w:pPr>
        <w:pStyle w:val="BodyText"/>
        <w:spacing w:line="273" w:lineRule="auto" w:before="35"/>
        <w:ind w:left="154" w:right="151" w:firstLine="420"/>
        <w:jc w:val="both"/>
      </w:pPr>
      <w:r>
        <w:rPr>
          <w:spacing w:val="-1"/>
        </w:rPr>
        <w:t>除了以公允价值计量且其变动计入当期损益的金融资产外，本集团于资产负债表日对其他金融资产的</w:t>
      </w:r>
      <w:r>
        <w:rPr/>
        <w:t> </w:t>
      </w:r>
      <w:r>
        <w:rPr>
          <w:spacing w:val="-1"/>
        </w:rPr>
        <w:t>账面价值进行检查，有客观证据表明该金融资产发生减值的，计提减值准备。表明金融资产发生减值的客</w:t>
      </w:r>
      <w:r>
        <w:rPr>
          <w:spacing w:val="-83"/>
        </w:rPr>
        <w:t> </w:t>
      </w:r>
      <w:r>
        <w:rPr>
          <w:spacing w:val="-83"/>
        </w:rPr>
      </w:r>
      <w:r>
        <w:rPr>
          <w:spacing w:val="-1"/>
        </w:rPr>
        <w:t>观证据，是指金融资产初始确认后实际发生的、对该金融资产的预计未来现金流量有影响，且企业能够对</w:t>
      </w:r>
      <w:r>
        <w:rPr>
          <w:spacing w:val="-83"/>
        </w:rPr>
        <w:t> </w:t>
      </w:r>
      <w:r>
        <w:rPr>
          <w:spacing w:val="-83"/>
        </w:rPr>
      </w:r>
      <w:r>
        <w:rPr/>
        <w:t>该影响进行可靠计量的事项。</w:t>
      </w:r>
    </w:p>
    <w:p>
      <w:pPr>
        <w:pStyle w:val="BodyText"/>
        <w:spacing w:line="240" w:lineRule="auto" w:before="127"/>
        <w:ind w:right="0"/>
        <w:jc w:val="left"/>
      </w:pPr>
      <w:r>
        <w:rPr/>
        <w:t>金融资产发生减值的客观证据，包括下列可观察到的情形：</w:t>
      </w:r>
    </w:p>
    <w:p>
      <w:pPr>
        <w:pStyle w:val="BodyText"/>
        <w:spacing w:line="240" w:lineRule="auto" w:before="157"/>
        <w:ind w:right="0"/>
        <w:jc w:val="left"/>
      </w:pPr>
      <w:r>
        <w:rPr/>
        <w:t>①发行方或债务人发生严重财务困难；</w:t>
      </w:r>
    </w:p>
    <w:p>
      <w:pPr>
        <w:pStyle w:val="BodyText"/>
        <w:spacing w:line="240" w:lineRule="auto" w:before="157"/>
        <w:ind w:right="0"/>
        <w:jc w:val="left"/>
      </w:pPr>
      <w:r>
        <w:rPr/>
        <w:t>②债务人违反了合同条款，如偿付利息或本金发生违约或逾期等；</w:t>
      </w:r>
    </w:p>
    <w:p>
      <w:pPr>
        <w:pStyle w:val="BodyText"/>
        <w:spacing w:line="240" w:lineRule="auto" w:before="157"/>
        <w:ind w:right="0"/>
        <w:jc w:val="left"/>
      </w:pPr>
      <w:r>
        <w:rPr/>
        <w:t>③本集团出于经济或法律等方面因素的考虑，对发生财务困难的债务人作出让步；</w:t>
      </w:r>
    </w:p>
    <w:p>
      <w:pPr>
        <w:pStyle w:val="BodyText"/>
        <w:spacing w:line="240" w:lineRule="auto" w:before="157"/>
        <w:ind w:right="0"/>
        <w:jc w:val="left"/>
      </w:pPr>
      <w:r>
        <w:rPr/>
        <w:t>④债务人很可能倒闭或者进行其他财务重组；</w:t>
      </w:r>
    </w:p>
    <w:p>
      <w:pPr>
        <w:pStyle w:val="BodyText"/>
        <w:spacing w:line="240" w:lineRule="auto" w:before="157"/>
        <w:ind w:right="0"/>
        <w:jc w:val="left"/>
      </w:pPr>
      <w:r>
        <w:rPr/>
        <w:t>⑤因发行方发生重大财务困难，导致金融资产无法在活跃市场继续交易；</w:t>
      </w:r>
    </w:p>
    <w:p>
      <w:pPr>
        <w:pStyle w:val="BodyText"/>
        <w:spacing w:line="273" w:lineRule="auto" w:before="157"/>
        <w:ind w:left="154" w:right="152" w:firstLine="420"/>
        <w:jc w:val="both"/>
      </w:pPr>
      <w:r>
        <w:rPr>
          <w:spacing w:val="-1"/>
        </w:rPr>
        <w:t>⑥无法辨认一组金融资产中的某项资产的现金流量是否已经减少，但根据公开的数据对其进行总体评</w:t>
      </w:r>
      <w:r>
        <w:rPr/>
        <w:t> 价后发现，该组金融资产自初始确认以来的预计未来现金流量确已减少且可计量，包括：</w:t>
      </w:r>
    </w:p>
    <w:p>
      <w:pPr>
        <w:pStyle w:val="BodyText"/>
        <w:spacing w:line="376" w:lineRule="auto" w:before="127"/>
        <w:ind w:right="2422"/>
        <w:jc w:val="left"/>
      </w:pPr>
      <w:r>
        <w:rPr/>
        <w:t>该组金融资产的债务人支付能力逐步恶化； 债务人所在国家或地区经济出现了可能导致该组金融资产无法支付的状况；</w:t>
      </w:r>
    </w:p>
    <w:p>
      <w:pPr>
        <w:pStyle w:val="BodyText"/>
        <w:spacing w:line="273" w:lineRule="auto" w:before="37"/>
        <w:ind w:left="154" w:right="151" w:firstLine="420"/>
        <w:jc w:val="both"/>
      </w:pPr>
      <w:r>
        <w:rPr>
          <w:spacing w:val="-1"/>
        </w:rPr>
        <w:t>⑦债务人经营所处的技术、市场、经济或法律环境等发生重大不利变化，使权益工具投资人可能无法</w:t>
      </w:r>
      <w:r>
        <w:rPr/>
        <w:t> 收回投资成本；</w:t>
      </w:r>
    </w:p>
    <w:p>
      <w:pPr>
        <w:pStyle w:val="BodyText"/>
        <w:spacing w:line="376" w:lineRule="auto" w:before="127"/>
        <w:ind w:right="5362"/>
        <w:jc w:val="left"/>
      </w:pPr>
      <w:r>
        <w:rPr/>
        <w:t>⑧其他表明金融资产发生减值的客观证据。 以摊余成本计量的金融资产：</w:t>
      </w:r>
    </w:p>
    <w:p>
      <w:pPr>
        <w:pStyle w:val="BodyText"/>
        <w:spacing w:line="273" w:lineRule="auto" w:before="37"/>
        <w:ind w:left="154" w:right="152" w:firstLine="420"/>
        <w:jc w:val="both"/>
      </w:pPr>
      <w:r>
        <w:rPr>
          <w:spacing w:val="-1"/>
        </w:rPr>
        <w:t>如果有客观证据表明该金融资产发生减值，则将该金融资产的账面价值减记至预计未来现金流量（不</w:t>
      </w:r>
      <w:r>
        <w:rPr/>
        <w:t> </w:t>
      </w:r>
      <w:r>
        <w:rPr>
          <w:spacing w:val="-1"/>
        </w:rPr>
        <w:t>包括尚未发生的未来信用损失）现值，减记金额计入当期损益。预计未来现金流量现值，按照该金融资产</w:t>
      </w:r>
      <w:r>
        <w:rPr>
          <w:spacing w:val="-86"/>
        </w:rPr>
        <w:t> </w:t>
      </w:r>
      <w:r>
        <w:rPr>
          <w:spacing w:val="-86"/>
        </w:rPr>
      </w:r>
      <w:r>
        <w:rPr/>
        <w:t>原实际利率折现确定，并考虑相关担保物的价值。</w:t>
      </w:r>
    </w:p>
    <w:p>
      <w:pPr>
        <w:pStyle w:val="BodyText"/>
        <w:spacing w:line="273" w:lineRule="auto" w:before="127"/>
        <w:ind w:left="154" w:right="151" w:firstLine="420"/>
        <w:jc w:val="both"/>
      </w:pPr>
      <w:r>
        <w:rPr>
          <w:spacing w:val="-1"/>
        </w:rPr>
        <w:t>对单项金额重大的金融资产单独进行减值测试，如有客观证据表明其已发生减值，确认减值损失，计</w:t>
      </w:r>
      <w:r>
        <w:rPr/>
        <w:t> </w:t>
      </w:r>
      <w:r>
        <w:rPr>
          <w:spacing w:val="-1"/>
        </w:rPr>
        <w:t>入当期损益。对单项金额不重大的金融资产，包括在具有类似信用风险特征的金融资产组合中进行减值测</w:t>
      </w:r>
      <w:r>
        <w:rPr>
          <w:spacing w:val="-81"/>
        </w:rPr>
        <w:t> </w:t>
      </w:r>
      <w:r>
        <w:rPr>
          <w:spacing w:val="-81"/>
        </w:rPr>
      </w:r>
      <w:r>
        <w:rPr>
          <w:spacing w:val="-1"/>
        </w:rPr>
        <w:t>试。单独测试未发生减值的金融资产（包括单项金额重大和不重大的金融资产），包括在具有类似信用风</w:t>
      </w:r>
      <w:r>
        <w:rPr>
          <w:spacing w:val="-86"/>
        </w:rPr>
        <w:t> </w:t>
      </w:r>
      <w:r>
        <w:rPr>
          <w:spacing w:val="-86"/>
        </w:rPr>
      </w:r>
      <w:r>
        <w:rPr>
          <w:spacing w:val="-1"/>
        </w:rPr>
        <w:t>险特征的金融资产组合中再进行减值测试。已单项确认减值损失的金融资产，不包括在具有类似信用风险</w:t>
      </w:r>
      <w:r>
        <w:rPr>
          <w:spacing w:val="-81"/>
        </w:rPr>
        <w:t> </w:t>
      </w:r>
      <w:r>
        <w:rPr>
          <w:spacing w:val="-81"/>
        </w:rPr>
      </w:r>
      <w:r>
        <w:rPr/>
        <w:t>特征的金融资产组合中进行减值测试。</w:t>
      </w:r>
    </w:p>
    <w:p>
      <w:pPr>
        <w:pStyle w:val="BodyText"/>
        <w:spacing w:line="273" w:lineRule="auto" w:before="127"/>
        <w:ind w:left="154" w:right="152" w:firstLine="420"/>
        <w:jc w:val="both"/>
      </w:pPr>
      <w:r>
        <w:rPr>
          <w:spacing w:val="-1"/>
        </w:rPr>
        <w:t>本集团对以摊余成本计量的金融资产确认减值损失后，如有客观证据表明该金融资产价值已恢复，且</w:t>
      </w:r>
      <w:r>
        <w:rPr/>
        <w:t> </w:t>
      </w:r>
      <w:r>
        <w:rPr>
          <w:spacing w:val="-1"/>
        </w:rPr>
        <w:t>客观上与确认该损失后发生的事项有关，原确认的减值损失予以转回，计入当期损益。但是，该转回后的</w:t>
      </w:r>
      <w:r>
        <w:rPr>
          <w:spacing w:val="-86"/>
        </w:rPr>
        <w:t> </w:t>
      </w:r>
      <w:r>
        <w:rPr>
          <w:spacing w:val="-86"/>
        </w:rPr>
      </w:r>
      <w:r>
        <w:rPr/>
        <w:t>账面价值不超过假定不计提减值准备情况下该金融资产在转回日的摊余成本。</w:t>
      </w:r>
    </w:p>
    <w:p>
      <w:pPr>
        <w:pStyle w:val="BodyText"/>
        <w:spacing w:line="432" w:lineRule="exact" w:before="27"/>
        <w:ind w:right="0"/>
        <w:jc w:val="left"/>
      </w:pPr>
      <w:r>
        <w:rPr/>
        <w:t>可供出售金融资产： </w:t>
      </w:r>
      <w:r>
        <w:rPr>
          <w:spacing w:val="-1"/>
        </w:rPr>
        <w:t>如果有客观证据表明该金融资产发生减值，原直接计入其他综合收益的因公允价值下降形成的累计损</w:t>
      </w:r>
    </w:p>
    <w:p>
      <w:pPr>
        <w:pStyle w:val="BodyText"/>
        <w:spacing w:line="255" w:lineRule="exact"/>
        <w:ind w:left="154" w:right="0"/>
        <w:jc w:val="left"/>
      </w:pPr>
      <w:r>
        <w:rPr/>
        <w:t>失，予以转出，计入当期损益。该转出的累计损失，为可供出售金融资产的初始取得成本扣除已收回本金</w:t>
      </w:r>
    </w:p>
    <w:p>
      <w:pPr>
        <w:pStyle w:val="BodyText"/>
        <w:spacing w:line="240" w:lineRule="auto" w:before="37"/>
        <w:ind w:left="154" w:right="0"/>
        <w:jc w:val="left"/>
      </w:pPr>
      <w:r>
        <w:rPr/>
        <w:t>和已摊销金额、当前公允价值和原已计入损益的减值损失后的余额。</w:t>
      </w:r>
    </w:p>
    <w:p>
      <w:pPr>
        <w:pStyle w:val="BodyText"/>
        <w:spacing w:line="273" w:lineRule="auto" w:before="157"/>
        <w:ind w:left="154" w:right="151" w:firstLine="420"/>
        <w:jc w:val="both"/>
      </w:pPr>
      <w:r>
        <w:rPr>
          <w:spacing w:val="-1"/>
        </w:rPr>
        <w:t>对于已确认减值损失的可供出售债务工具，在随后的会计期间公允价值已上升且客观上与确认原减值</w:t>
      </w:r>
      <w:r>
        <w:rPr/>
        <w:t> </w:t>
      </w:r>
      <w:r>
        <w:rPr>
          <w:spacing w:val="-1"/>
        </w:rPr>
        <w:t>损失确认后发生的事项有关的，原确认的减值损失予以转回，计入当期损益。可供出售权益工具投资发生</w:t>
      </w:r>
      <w:r>
        <w:rPr>
          <w:spacing w:val="-83"/>
        </w:rPr>
        <w:t> </w:t>
      </w:r>
      <w:r>
        <w:rPr>
          <w:spacing w:val="-83"/>
        </w:rPr>
      </w:r>
      <w:r>
        <w:rPr/>
        <w:t>的减值损失，不通过损益转回。</w:t>
      </w:r>
    </w:p>
    <w:p>
      <w:pPr>
        <w:pStyle w:val="BodyText"/>
        <w:spacing w:line="240" w:lineRule="auto" w:before="127"/>
        <w:ind w:right="0"/>
        <w:jc w:val="left"/>
      </w:pPr>
      <w:r>
        <w:rPr/>
        <w:t>以成本计量的金融资产：</w:t>
      </w:r>
    </w:p>
    <w:p>
      <w:pPr>
        <w:spacing w:after="0" w:line="240" w:lineRule="auto"/>
        <w:jc w:val="left"/>
        <w:sectPr>
          <w:pgSz w:w="11910" w:h="16840"/>
          <w:pgMar w:header="917" w:footer="1267" w:top="1140" w:bottom="1460" w:left="980" w:right="980"/>
        </w:sectPr>
      </w:pPr>
    </w:p>
    <w:p>
      <w:pPr>
        <w:spacing w:line="240" w:lineRule="auto" w:before="1"/>
        <w:rPr>
          <w:rFonts w:ascii="宋体" w:hAnsi="宋体" w:cs="宋体" w:eastAsia="宋体" w:hint="default"/>
          <w:sz w:val="19"/>
          <w:szCs w:val="19"/>
        </w:rPr>
      </w:pPr>
    </w:p>
    <w:p>
      <w:pPr>
        <w:pStyle w:val="BodyText"/>
        <w:spacing w:line="273" w:lineRule="auto" w:before="35"/>
        <w:ind w:left="154" w:right="151" w:firstLine="420"/>
        <w:jc w:val="both"/>
      </w:pPr>
      <w:r>
        <w:rPr>
          <w:spacing w:val="-1"/>
        </w:rPr>
        <w:t>在活跃市场中没有报价且其公允价值不能可靠计量的权益工具投资，或与该权益工具挂钩并须通过交</w:t>
      </w:r>
      <w:r>
        <w:rPr/>
        <w:t> </w:t>
      </w:r>
      <w:r>
        <w:rPr>
          <w:spacing w:val="-1"/>
        </w:rPr>
        <w:t>付该权益工具结算的衍生金融资产发生减值时，将该金融资产的账面价值，与按照类似金融资产当时市场</w:t>
      </w:r>
      <w:r>
        <w:rPr>
          <w:spacing w:val="-81"/>
        </w:rPr>
        <w:t> </w:t>
      </w:r>
      <w:r>
        <w:rPr>
          <w:spacing w:val="-81"/>
        </w:rPr>
      </w:r>
      <w:r>
        <w:rPr>
          <w:spacing w:val="-1"/>
        </w:rPr>
        <w:t>收益率对未来现金流量折现确定的现值之间的差额，确认为减值损失，计入当期损益。发生的减值损失一</w:t>
      </w:r>
      <w:r>
        <w:rPr>
          <w:spacing w:val="-83"/>
        </w:rPr>
        <w:t> </w:t>
      </w:r>
      <w:r>
        <w:rPr>
          <w:spacing w:val="-83"/>
        </w:rPr>
      </w:r>
      <w:r>
        <w:rPr/>
        <w:t>经确认，不得转回。</w:t>
      </w:r>
    </w:p>
    <w:p>
      <w:pPr>
        <w:pStyle w:val="Heading3"/>
        <w:spacing w:line="240" w:lineRule="auto"/>
        <w:ind w:right="0"/>
        <w:jc w:val="left"/>
      </w:pPr>
      <w:r>
        <w:rPr/>
        <w:t>（</w:t>
      </w:r>
      <w:r>
        <w:rPr>
          <w:rFonts w:ascii="Times New Roman" w:hAnsi="Times New Roman" w:cs="Times New Roman" w:eastAsia="Times New Roman" w:hint="default"/>
        </w:rPr>
        <w:t>6</w:t>
      </w:r>
      <w:r>
        <w:rPr/>
        <w:t>）金融资产转移</w:t>
      </w:r>
    </w:p>
    <w:p>
      <w:pPr>
        <w:pStyle w:val="BodyText"/>
        <w:spacing w:line="430" w:lineRule="atLeast" w:before="65"/>
        <w:ind w:right="0"/>
        <w:jc w:val="left"/>
      </w:pPr>
      <w:r>
        <w:rPr/>
        <w:t>金融资产转移，是指将金融资产让与或交付给该金融资产发行方以外的另一方（转入方）。 </w:t>
      </w:r>
      <w:r>
        <w:rPr>
          <w:spacing w:val="-1"/>
        </w:rPr>
        <w:t>本集团已将金融资产所有权上几乎所有的风险和报酬转移给转入方的，终止确认该金融资产；保留了</w:t>
      </w:r>
    </w:p>
    <w:p>
      <w:pPr>
        <w:pStyle w:val="BodyText"/>
        <w:spacing w:line="240" w:lineRule="auto" w:before="37"/>
        <w:ind w:left="154" w:right="0"/>
        <w:jc w:val="left"/>
      </w:pPr>
      <w:r>
        <w:rPr/>
        <w:t>金融资产所有权上几乎所有的风险和报酬的，不终止确认该金融资产。</w:t>
      </w:r>
    </w:p>
    <w:p>
      <w:pPr>
        <w:pStyle w:val="BodyText"/>
        <w:spacing w:line="273" w:lineRule="auto" w:before="157"/>
        <w:ind w:left="154" w:right="151" w:firstLine="420"/>
        <w:jc w:val="both"/>
      </w:pPr>
      <w:r>
        <w:rPr>
          <w:spacing w:val="-1"/>
        </w:rPr>
        <w:t>本集团既没有转移也没有保留金融资产所有权上几乎所有的风险和报酬的，分别下列情况处理：放弃</w:t>
      </w:r>
      <w:r>
        <w:rPr/>
        <w:t> </w:t>
      </w:r>
      <w:r>
        <w:rPr>
          <w:spacing w:val="-1"/>
        </w:rPr>
        <w:t>了对该金融资产控制的，终止确认该金融资产并确认产生的资产和负债；未放弃对该金融资产控制的，按</w:t>
      </w:r>
      <w:r>
        <w:rPr>
          <w:spacing w:val="-83"/>
        </w:rPr>
        <w:t> </w:t>
      </w:r>
      <w:r>
        <w:rPr>
          <w:spacing w:val="-83"/>
        </w:rPr>
      </w:r>
      <w:r>
        <w:rPr/>
        <w:t>照其继续涉入所转移金融资产的程度确认有关金融资产，并相应确认有关负债。</w:t>
      </w:r>
    </w:p>
    <w:p>
      <w:pPr>
        <w:pStyle w:val="Heading3"/>
        <w:spacing w:line="240" w:lineRule="auto"/>
        <w:ind w:right="0"/>
        <w:jc w:val="left"/>
      </w:pPr>
      <w:r>
        <w:rPr/>
        <w:t>（</w:t>
      </w:r>
      <w:r>
        <w:rPr>
          <w:rFonts w:ascii="Times New Roman" w:hAnsi="Times New Roman" w:cs="Times New Roman" w:eastAsia="Times New Roman" w:hint="default"/>
        </w:rPr>
        <w:t>7</w:t>
      </w:r>
      <w:r>
        <w:rPr/>
        <w:t>）金融资产和金融负债的抵销</w:t>
      </w:r>
    </w:p>
    <w:p>
      <w:pPr>
        <w:spacing w:line="240" w:lineRule="auto" w:before="11"/>
        <w:rPr>
          <w:rFonts w:ascii="宋体" w:hAnsi="宋体" w:cs="宋体" w:eastAsia="宋体" w:hint="default"/>
          <w:sz w:val="16"/>
          <w:szCs w:val="16"/>
        </w:rPr>
      </w:pPr>
    </w:p>
    <w:p>
      <w:pPr>
        <w:pStyle w:val="BodyText"/>
        <w:spacing w:line="273" w:lineRule="auto"/>
        <w:ind w:left="154" w:right="152" w:firstLine="420"/>
        <w:jc w:val="both"/>
      </w:pPr>
      <w:r>
        <w:rPr>
          <w:spacing w:val="-1"/>
        </w:rPr>
        <w:t>当本集团具有抵销已确认金融资产和金融负债的法定权利，且目前可执行该种法定权利，同时本集团</w:t>
      </w:r>
      <w:r>
        <w:rPr/>
        <w:t> </w:t>
      </w: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432" w:lineRule="exact" w:before="27"/>
        <w:ind w:right="0"/>
        <w:jc w:val="left"/>
      </w:pPr>
      <w:r>
        <w:rPr/>
        <w:t>（</w:t>
      </w:r>
      <w:r>
        <w:rPr>
          <w:rFonts w:ascii="宋体" w:hAnsi="宋体" w:cs="宋体" w:eastAsia="宋体" w:hint="default"/>
        </w:rPr>
        <w:t>8</w:t>
      </w:r>
      <w:r>
        <w:rPr/>
        <w:t>）公允价值计量 </w:t>
      </w:r>
      <w:r>
        <w:rPr>
          <w:spacing w:val="-1"/>
        </w:rPr>
        <w:t>公允价值是指市场参与者在计量日发生的有序交易中，出售一项资产所能收到或者转移一项负债所需</w:t>
      </w:r>
    </w:p>
    <w:p>
      <w:pPr>
        <w:pStyle w:val="BodyText"/>
        <w:spacing w:line="255" w:lineRule="exact"/>
        <w:ind w:left="154" w:right="0"/>
        <w:jc w:val="left"/>
      </w:pPr>
      <w:r>
        <w:rPr/>
        <w:t>支付的价格。</w:t>
      </w:r>
    </w:p>
    <w:p>
      <w:pPr>
        <w:pStyle w:val="BodyText"/>
        <w:spacing w:line="273" w:lineRule="auto" w:before="157"/>
        <w:ind w:left="154" w:right="150" w:firstLine="420"/>
        <w:jc w:val="both"/>
      </w:pPr>
      <w:r>
        <w:rPr>
          <w:spacing w:val="-1"/>
        </w:rPr>
        <w:t>本集团以公允价值计量相关资产或负债，假定出售资产或者转移负债的有序交易在相关资产或负债的</w:t>
      </w:r>
      <w:r>
        <w:rPr/>
        <w:t> </w:t>
      </w:r>
      <w:r>
        <w:rPr>
          <w:spacing w:val="-5"/>
        </w:rPr>
        <w:t>主要市场进行；不存在主要市场的，本集团假定该交易在相关资产或负债的最有利市场进行。主要市场（或</w:t>
      </w:r>
      <w:r>
        <w:rPr>
          <w:spacing w:val="-102"/>
        </w:rPr>
        <w:t> </w:t>
      </w:r>
      <w:r>
        <w:rPr>
          <w:spacing w:val="-102"/>
        </w:rPr>
      </w:r>
      <w:r>
        <w:rPr>
          <w:spacing w:val="-1"/>
        </w:rPr>
        <w:t>最有利市场）是本集团在计量日能够进入的交易市场。本集团采用市场参与者在对该资产或负债定价时为</w:t>
      </w:r>
      <w:r>
        <w:rPr>
          <w:spacing w:val="-81"/>
        </w:rPr>
        <w:t> </w:t>
      </w:r>
      <w:r>
        <w:rPr>
          <w:spacing w:val="-81"/>
        </w:rPr>
      </w:r>
      <w:r>
        <w:rPr/>
        <w:t>实现其经济利益最大化所使用的假设。</w:t>
      </w:r>
    </w:p>
    <w:p>
      <w:pPr>
        <w:pStyle w:val="BodyText"/>
        <w:spacing w:line="273" w:lineRule="auto" w:before="127"/>
        <w:ind w:left="154" w:right="152" w:firstLine="420"/>
        <w:jc w:val="both"/>
      </w:pPr>
      <w:r>
        <w:rPr>
          <w:spacing w:val="-1"/>
        </w:rPr>
        <w:t>存在活跃市场的金融资产或金融负债，本集团采用活跃市场中的报价确定其公允价值。金融工具不存</w:t>
      </w:r>
      <w:r>
        <w:rPr/>
        <w:t> 在活跃市场的，本集团采用估值技术确定其公允价值。</w:t>
      </w:r>
    </w:p>
    <w:p>
      <w:pPr>
        <w:pStyle w:val="BodyText"/>
        <w:spacing w:line="273" w:lineRule="auto" w:before="127"/>
        <w:ind w:left="154" w:right="152" w:firstLine="420"/>
        <w:jc w:val="both"/>
      </w:pPr>
      <w:r>
        <w:rPr>
          <w:spacing w:val="-1"/>
        </w:rPr>
        <w:t>以公允价值计量非金融资产的，考虑市场参与者将该资产用于最佳用途产生经济利益的能力，或者将</w:t>
      </w:r>
      <w:r>
        <w:rPr/>
        <w:t> 该资产出售给能够用于最佳用途的其他市场参与者产生经济利益的能力。</w:t>
      </w:r>
    </w:p>
    <w:p>
      <w:pPr>
        <w:pStyle w:val="BodyText"/>
        <w:spacing w:line="273" w:lineRule="auto" w:before="127"/>
        <w:ind w:left="154" w:right="152" w:firstLine="420"/>
        <w:jc w:val="both"/>
      </w:pPr>
      <w:r>
        <w:rPr>
          <w:spacing w:val="-1"/>
        </w:rPr>
        <w:t>本集团采用在当前情况下适用并且有足够可利用数据和其他信息支持的估值技术，优先使用相关可观</w:t>
      </w:r>
      <w:r>
        <w:rPr/>
        <w:t> 察输入值，只有在可观察输入值无法取得或取得不切实可行的情况下，才使用不可观察输入值。</w:t>
      </w:r>
    </w:p>
    <w:p>
      <w:pPr>
        <w:pStyle w:val="BodyText"/>
        <w:spacing w:line="273" w:lineRule="auto" w:before="127"/>
        <w:ind w:left="154" w:right="151" w:firstLine="420"/>
        <w:jc w:val="both"/>
      </w:pPr>
      <w:r>
        <w:rPr>
          <w:spacing w:val="-1"/>
        </w:rPr>
        <w:t>在财务报表中以公允价值计量或披露的资产和负债，根据对公允价值计量整体而言具有重要意义的最</w:t>
      </w:r>
      <w:r>
        <w:rPr/>
        <w:t> </w:t>
      </w:r>
      <w:r>
        <w:rPr>
          <w:spacing w:val="-1"/>
        </w:rPr>
        <w:t>低层次输入值，确定所属的公允价值层次：第一层次输入值，是在计量日能够取得的相同资产或负债在活</w:t>
      </w:r>
      <w:r>
        <w:rPr>
          <w:spacing w:val="-83"/>
        </w:rPr>
        <w:t> </w:t>
      </w:r>
      <w:r>
        <w:rPr>
          <w:spacing w:val="-83"/>
        </w:rPr>
      </w:r>
      <w:r>
        <w:rPr>
          <w:spacing w:val="-1"/>
        </w:rPr>
        <w:t>跃市场上未经调整的报价；第二层次输入值，是除第一层次输入值外相关资产或负债直接或间接可观察的</w:t>
      </w:r>
      <w:r>
        <w:rPr>
          <w:spacing w:val="-81"/>
        </w:rPr>
        <w:t> </w:t>
      </w:r>
      <w:r>
        <w:rPr>
          <w:spacing w:val="-81"/>
        </w:rPr>
      </w:r>
      <w:r>
        <w:rPr/>
        <w:t>输入值；第三层次输入值，是相关资产或负债的不可观察输入值。</w:t>
      </w:r>
    </w:p>
    <w:p>
      <w:pPr>
        <w:pStyle w:val="BodyText"/>
        <w:spacing w:line="273" w:lineRule="auto" w:before="127"/>
        <w:ind w:left="154" w:right="130" w:firstLine="420"/>
        <w:jc w:val="both"/>
      </w:pPr>
      <w:r>
        <w:rPr/>
        <w:t>每个资产负债表日，本集团对在财务报表中确认的持续以公允价值计量的资产和负债进行重新评估， 以确定是否在公允价值计量层次之间发生转换。</w:t>
      </w:r>
    </w:p>
    <w:p>
      <w:pPr>
        <w:spacing w:after="0" w:line="273" w:lineRule="auto"/>
        <w:jc w:val="both"/>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单项金额不重大但单独计提坏账准备的应收款项" w:id="172"/>
      <w:bookmarkEnd w:id="172"/>
      <w:r>
        <w:rPr>
          <w:b w:val="0"/>
          <w:bCs w:val="0"/>
        </w:rPr>
      </w:r>
      <w:r>
        <w:rPr>
          <w:rFonts w:ascii="Times New Roman" w:hAnsi="Times New Roman" w:cs="Times New Roman" w:eastAsia="Times New Roman" w:hint="default"/>
        </w:rPr>
        <w:t>11</w:t>
      </w:r>
      <w:bookmarkStart w:name="11、应收款项" w:id="173"/>
      <w:bookmarkEnd w:id="173"/>
      <w:r>
        <w:rPr>
          <w:rFonts w:ascii="Times New Roman" w:hAnsi="Times New Roman" w:cs="Times New Roman" w:eastAsia="Times New Roman" w:hint="default"/>
        </w:rPr>
      </w:r>
      <w:r>
        <w:rPr/>
        <w:t>、应收款项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1）单项金额重大并单独计提坏账准备的应收款项" w:id="174"/>
      <w:bookmarkEnd w:id="174"/>
      <w:r>
        <w:rPr>
          <w:rFonts w:ascii="Times New Roman" w:hAnsi="Times New Roman" w:cs="Times New Roman" w:eastAsia="Times New Roman" w:hint="default"/>
        </w:rPr>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835"/>
        <w:gridCol w:w="6733"/>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15"/>
              <w:jc w:val="left"/>
              <w:rPr>
                <w:rFonts w:ascii="宋体" w:hAnsi="宋体" w:cs="宋体" w:eastAsia="宋体" w:hint="default"/>
                <w:sz w:val="18"/>
                <w:szCs w:val="18"/>
              </w:rPr>
            </w:pPr>
            <w:r>
              <w:rPr>
                <w:rFonts w:ascii="宋体" w:hAnsi="宋体" w:cs="宋体" w:eastAsia="宋体" w:hint="default"/>
                <w:spacing w:val="4"/>
                <w:sz w:val="18"/>
                <w:szCs w:val="18"/>
              </w:rPr>
              <w:t>单项金额重大的判断依据或金额标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准</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将单个欠款单位金额在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万元（含</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万元）以上的应收账款或单个欠款单位金额</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万元）以上的其他应收款，确定为单项金额重大的应收款项。</w:t>
            </w:r>
          </w:p>
        </w:tc>
      </w:tr>
      <w:tr>
        <w:trPr>
          <w:trHeight w:val="1026" w:hRule="exact"/>
        </w:trPr>
        <w:tc>
          <w:tcPr>
            <w:tcW w:w="283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5"/>
              <w:jc w:val="left"/>
              <w:rPr>
                <w:rFonts w:ascii="宋体" w:hAnsi="宋体" w:cs="宋体" w:eastAsia="宋体" w:hint="default"/>
                <w:sz w:val="18"/>
                <w:szCs w:val="18"/>
              </w:rPr>
            </w:pPr>
            <w:r>
              <w:rPr>
                <w:rFonts w:ascii="宋体" w:hAnsi="宋体" w:cs="宋体" w:eastAsia="宋体" w:hint="default"/>
                <w:spacing w:val="4"/>
                <w:sz w:val="18"/>
                <w:szCs w:val="18"/>
              </w:rPr>
              <w:t>单项金额重大并单项计提坏账准备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的计提方法</w:t>
            </w:r>
          </w:p>
        </w:tc>
        <w:tc>
          <w:tcPr>
            <w:tcW w:w="67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both"/>
              <w:rPr>
                <w:rFonts w:ascii="宋体" w:hAnsi="宋体" w:cs="宋体" w:eastAsia="宋体" w:hint="default"/>
                <w:sz w:val="18"/>
                <w:szCs w:val="18"/>
              </w:rPr>
            </w:pPr>
            <w:r>
              <w:rPr>
                <w:rFonts w:ascii="宋体" w:hAnsi="宋体" w:cs="宋体" w:eastAsia="宋体" w:hint="default"/>
                <w:sz w:val="18"/>
                <w:szCs w:val="18"/>
              </w:rPr>
              <w:t>对于单项金额重大的应收款项单独进行减值测试，有客观证据表明发生了减值，根据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其未来现金流量现值低于其账面价值的差额计提坏账准备。单项金额重大经单独测试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未发生减值的应收款项，再按组合计提坏账准备。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w:t>
      </w:r>
      <w:bookmarkStart w:name="（2）按信用风险特征组合计提坏账准备的应收款项" w:id="175"/>
      <w:bookmarkEnd w:id="175"/>
      <w:r>
        <w:rPr/>
        <w:t>计提坏账</w:t>
      </w:r>
      <w:r>
        <w:rPr/>
        <w:t>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76"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信用风险较小</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销售货款及其他</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57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57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57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573" w:right="61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w w:val="99"/>
          <w:sz w:val="18"/>
          <w:szCs w:val="18"/>
        </w:rPr>
        <w:t> </w:t>
      </w:r>
      <w:r>
        <w:rPr>
          <w:rFonts w:ascii="宋体" w:hAnsi="宋体" w:cs="宋体" w:eastAsia="宋体" w:hint="default"/>
          <w:sz w:val="18"/>
          <w:szCs w:val="18"/>
        </w:rPr>
        <w:t>组合中，采用其他方法计提坏账准备的：</w:t>
      </w:r>
    </w:p>
    <w:p>
      <w:pPr>
        <w:spacing w:before="43"/>
        <w:ind w:left="57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8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8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81"/>
        <w:gridCol w:w="6342"/>
      </w:tblGrid>
      <w:tr>
        <w:trPr>
          <w:trHeight w:val="557"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34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0"/>
              <w:ind w:left="103" w:right="0"/>
              <w:jc w:val="left"/>
              <w:rPr>
                <w:rFonts w:ascii="宋体" w:hAnsi="宋体" w:cs="宋体" w:eastAsia="宋体" w:hint="default"/>
                <w:sz w:val="18"/>
                <w:szCs w:val="18"/>
              </w:rPr>
            </w:pPr>
            <w:r>
              <w:rPr>
                <w:rFonts w:ascii="宋体" w:hAnsi="宋体" w:cs="宋体" w:eastAsia="宋体" w:hint="default"/>
                <w:sz w:val="18"/>
                <w:szCs w:val="18"/>
              </w:rPr>
              <w:t>单个欠款单位金额在</w:t>
            </w:r>
            <w:r>
              <w:rPr>
                <w:rFonts w:ascii="宋体" w:hAnsi="宋体" w:cs="宋体" w:eastAsia="宋体" w:hint="default"/>
                <w:spacing w:val="-42"/>
                <w:sz w:val="18"/>
                <w:szCs w:val="18"/>
              </w:rPr>
              <w:t> </w:t>
            </w:r>
            <w:r>
              <w:rPr>
                <w:rFonts w:ascii="宋体" w:hAnsi="宋体" w:cs="宋体" w:eastAsia="宋体" w:hint="default"/>
                <w:sz w:val="18"/>
                <w:szCs w:val="18"/>
              </w:rPr>
              <w:t>200</w:t>
            </w:r>
            <w:r>
              <w:rPr>
                <w:rFonts w:ascii="宋体" w:hAnsi="宋体" w:cs="宋体" w:eastAsia="宋体" w:hint="default"/>
                <w:spacing w:val="-42"/>
                <w:sz w:val="18"/>
                <w:szCs w:val="18"/>
              </w:rPr>
              <w:t> </w:t>
            </w:r>
            <w:r>
              <w:rPr>
                <w:rFonts w:ascii="宋体" w:hAnsi="宋体" w:cs="宋体" w:eastAsia="宋体" w:hint="default"/>
                <w:sz w:val="18"/>
                <w:szCs w:val="18"/>
              </w:rPr>
              <w:t>万元以下，但有证据表明难以收回的应收账款或单个</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欠款单位金额在</w:t>
            </w:r>
            <w:r>
              <w:rPr>
                <w:rFonts w:ascii="宋体" w:hAnsi="宋体" w:cs="宋体" w:eastAsia="宋体" w:hint="default"/>
                <w:spacing w:val="-46"/>
                <w:sz w:val="18"/>
                <w:szCs w:val="18"/>
              </w:rPr>
              <w:t>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万元以下，但有证据表明难以收回的其他应收款</w:t>
            </w:r>
          </w:p>
        </w:tc>
      </w:tr>
      <w:tr>
        <w:trPr>
          <w:trHeight w:val="401"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4、长期股权投资" w:id="176"/>
      <w:bookmarkEnd w:id="176"/>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436" w:lineRule="auto"/>
        <w:ind w:right="322"/>
        <w:jc w:val="left"/>
      </w:pPr>
      <w:bookmarkStart w:name="12、存货" w:id="177"/>
      <w:bookmarkEnd w:id="177"/>
      <w:r>
        <w:rPr/>
      </w:r>
      <w:r>
        <w:rPr/>
        <w:t>（</w:t>
      </w:r>
      <w:r>
        <w:rPr>
          <w:rFonts w:ascii="Times New Roman" w:hAnsi="Times New Roman" w:cs="Times New Roman" w:eastAsia="Times New Roman" w:hint="default"/>
        </w:rPr>
        <w:t>1</w:t>
      </w:r>
      <w:r>
        <w:rPr/>
        <w:t>）存货的分类 本集团存货分为原材料、委托加工材料、周转材料、在产品、库存商品、发出商品、工程施工等。</w:t>
      </w:r>
    </w:p>
    <w:p>
      <w:pPr>
        <w:pStyle w:val="BodyText"/>
        <w:spacing w:line="276" w:lineRule="exact"/>
        <w:ind w:right="0"/>
        <w:jc w:val="left"/>
      </w:pPr>
      <w:r>
        <w:rPr/>
        <w:t>（</w:t>
      </w:r>
      <w:r>
        <w:rPr>
          <w:rFonts w:ascii="Times New Roman" w:hAnsi="Times New Roman" w:cs="Times New Roman" w:eastAsia="Times New Roman" w:hint="default"/>
        </w:rPr>
        <w:t>2</w:t>
      </w:r>
      <w:r>
        <w:rPr/>
        <w:t>）发出存货的计价方法</w:t>
      </w:r>
    </w:p>
    <w:p>
      <w:pPr>
        <w:spacing w:line="240" w:lineRule="auto" w:before="2"/>
        <w:rPr>
          <w:rFonts w:ascii="宋体" w:hAnsi="宋体" w:cs="宋体" w:eastAsia="宋体" w:hint="default"/>
          <w:sz w:val="18"/>
          <w:szCs w:val="18"/>
        </w:rPr>
      </w:pPr>
    </w:p>
    <w:p>
      <w:pPr>
        <w:pStyle w:val="BodyText"/>
        <w:spacing w:line="273" w:lineRule="auto"/>
        <w:ind w:left="154" w:right="153" w:firstLine="420"/>
        <w:jc w:val="both"/>
      </w:pPr>
      <w:r>
        <w:rPr>
          <w:spacing w:val="-1"/>
        </w:rPr>
        <w:t>本集团存货取得时按实际成本计价。原材料、在产品、库存商品、发出商品等发出时采用加权平均法</w:t>
      </w:r>
      <w:r>
        <w:rPr/>
        <w:t> 计价。</w:t>
      </w:r>
    </w:p>
    <w:p>
      <w:pPr>
        <w:pStyle w:val="BodyText"/>
        <w:spacing w:line="273" w:lineRule="auto" w:before="127"/>
        <w:ind w:left="154" w:right="151" w:firstLine="420"/>
        <w:jc w:val="both"/>
      </w:pPr>
      <w:r>
        <w:rPr>
          <w:spacing w:val="-1"/>
        </w:rPr>
        <w:t>工程施工成本的具体核算方法为：按照单个项目为核算对象，分别归集所发生的实际施工成本，包括</w:t>
      </w:r>
      <w:r>
        <w:rPr/>
        <w:t> </w:t>
      </w:r>
      <w:r>
        <w:rPr>
          <w:spacing w:val="-1"/>
        </w:rPr>
        <w:t>材料、人工、其他费用等。年末或者项目完工时，按照完工进度确认收入的同时结转该项目相应进度的项</w:t>
      </w:r>
      <w:r>
        <w:rPr>
          <w:spacing w:val="-86"/>
        </w:rPr>
        <w:t> </w:t>
      </w:r>
      <w:r>
        <w:rPr>
          <w:spacing w:val="-86"/>
        </w:rPr>
      </w:r>
      <w:r>
        <w:rPr/>
        <w:t>目成本。</w:t>
      </w:r>
    </w:p>
    <w:p>
      <w:pPr>
        <w:pStyle w:val="BodyText"/>
        <w:spacing w:line="240" w:lineRule="auto" w:before="127"/>
        <w:ind w:right="0"/>
        <w:jc w:val="left"/>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2"/>
        <w:rPr>
          <w:rFonts w:ascii="宋体" w:hAnsi="宋体" w:cs="宋体" w:eastAsia="宋体" w:hint="default"/>
          <w:sz w:val="18"/>
          <w:szCs w:val="18"/>
        </w:rPr>
      </w:pPr>
    </w:p>
    <w:p>
      <w:pPr>
        <w:pStyle w:val="BodyText"/>
        <w:spacing w:line="273" w:lineRule="auto"/>
        <w:ind w:left="154" w:right="151" w:firstLine="420"/>
        <w:jc w:val="both"/>
      </w:pPr>
      <w:r>
        <w:rPr>
          <w:spacing w:val="-1"/>
        </w:rPr>
        <w:t>存货可变现净值是按存货的估计售价减去至完工时估计将要发生的成本、估计的销售费用以及相关税</w:t>
      </w:r>
      <w:r>
        <w:rPr/>
        <w:t> </w:t>
      </w:r>
      <w:r>
        <w:rPr>
          <w:spacing w:val="-1"/>
        </w:rPr>
        <w:t>费后的金额。在确定存货的可变现净值时，以取得的确凿证据为基础，同时考虑持有存货的目的以及资产</w:t>
      </w:r>
      <w:r>
        <w:rPr>
          <w:spacing w:val="-83"/>
        </w:rPr>
        <w:t> </w:t>
      </w:r>
      <w:r>
        <w:rPr>
          <w:spacing w:val="-83"/>
        </w:rPr>
      </w:r>
      <w:r>
        <w:rPr/>
        <w:t>负债表日后事项的影响。</w:t>
      </w:r>
    </w:p>
    <w:p>
      <w:pPr>
        <w:pStyle w:val="BodyText"/>
        <w:spacing w:line="273" w:lineRule="auto" w:before="127"/>
        <w:ind w:left="154" w:right="151" w:firstLine="420"/>
        <w:jc w:val="both"/>
      </w:pPr>
      <w:r>
        <w:rPr>
          <w:spacing w:val="-1"/>
        </w:rPr>
        <w:t>资产负债表日，存货成本高于其可变现净值的，计提存货跌价准备。本集团通常按照单个存货项目计</w:t>
      </w:r>
      <w:r>
        <w:rPr/>
        <w:t> </w:t>
      </w:r>
      <w:r>
        <w:rPr>
          <w:spacing w:val="-1"/>
        </w:rPr>
        <w:t>提存货跌价准备，资产负债表日，以前减记存货价值的影响因素已经消失的，存货跌价准备在原已计提的</w:t>
      </w:r>
      <w:r>
        <w:rPr>
          <w:spacing w:val="-83"/>
        </w:rPr>
        <w:t> </w:t>
      </w:r>
      <w:r>
        <w:rPr>
          <w:spacing w:val="-83"/>
        </w:rPr>
      </w:r>
      <w:r>
        <w:rPr/>
        <w:t>金额内转回。</w:t>
      </w:r>
    </w:p>
    <w:p>
      <w:pPr>
        <w:pStyle w:val="BodyText"/>
        <w:spacing w:line="273" w:lineRule="auto" w:before="127"/>
        <w:ind w:left="154" w:right="153" w:firstLine="420"/>
        <w:jc w:val="both"/>
      </w:pPr>
      <w:r>
        <w:rPr>
          <w:spacing w:val="-1"/>
        </w:rPr>
        <w:t>对于工程施工成本，年末按照预计项目总成本超过项目预计总收入（扣除相关税费）的部分，计提存</w:t>
      </w:r>
      <w:r>
        <w:rPr/>
        <w:t> 货跌价准备，在项目完工时，转销存货跌价准备，计入当期损益。</w:t>
      </w:r>
    </w:p>
    <w:p>
      <w:pPr>
        <w:pStyle w:val="BodyText"/>
        <w:spacing w:line="436" w:lineRule="auto" w:before="127"/>
        <w:ind w:right="5782"/>
        <w:jc w:val="left"/>
      </w:pPr>
      <w:r>
        <w:rPr/>
        <w:t>（</w:t>
      </w:r>
      <w:r>
        <w:rPr>
          <w:rFonts w:ascii="Times New Roman" w:hAnsi="Times New Roman" w:cs="Times New Roman" w:eastAsia="Times New Roman" w:hint="default"/>
        </w:rPr>
        <w:t>4</w:t>
      </w:r>
      <w:r>
        <w:rPr/>
        <w:t>）存货的盘存制度 本集团存货盘存制度采用永续盘存制。</w:t>
      </w:r>
    </w:p>
    <w:p>
      <w:pPr>
        <w:pStyle w:val="BodyText"/>
        <w:spacing w:line="276" w:lineRule="exact"/>
        <w:ind w:right="0"/>
        <w:jc w:val="left"/>
      </w:pPr>
      <w:r>
        <w:rPr/>
        <w:t>（</w:t>
      </w:r>
      <w:r>
        <w:rPr>
          <w:rFonts w:ascii="Times New Roman" w:hAnsi="Times New Roman" w:cs="Times New Roman" w:eastAsia="Times New Roman" w:hint="default"/>
        </w:rPr>
        <w:t>5</w:t>
      </w:r>
      <w:r>
        <w:rPr/>
        <w:t>）低值易耗品的摊销方法</w:t>
      </w:r>
    </w:p>
    <w:p>
      <w:pPr>
        <w:spacing w:line="240" w:lineRule="auto" w:before="2"/>
        <w:rPr>
          <w:rFonts w:ascii="宋体" w:hAnsi="宋体" w:cs="宋体" w:eastAsia="宋体" w:hint="default"/>
          <w:sz w:val="18"/>
          <w:szCs w:val="18"/>
        </w:rPr>
      </w:pPr>
    </w:p>
    <w:p>
      <w:pPr>
        <w:pStyle w:val="BodyText"/>
        <w:spacing w:line="240" w:lineRule="auto"/>
        <w:ind w:right="0"/>
        <w:jc w:val="left"/>
      </w:pPr>
      <w:r>
        <w:rPr/>
        <w:t>本集团低值易耗品领用时采用一次转销法摊销。</w:t>
      </w:r>
    </w:p>
    <w:p>
      <w:pPr>
        <w:spacing w:line="240" w:lineRule="auto" w:before="11"/>
        <w:rPr>
          <w:rFonts w:ascii="宋体" w:hAnsi="宋体" w:cs="宋体" w:eastAsia="宋体" w:hint="default"/>
          <w:sz w:val="25"/>
          <w:szCs w:val="25"/>
        </w:rPr>
      </w:pPr>
    </w:p>
    <w:p>
      <w:pPr>
        <w:pStyle w:val="Heading4"/>
        <w:spacing w:line="530" w:lineRule="auto"/>
        <w:ind w:left="574" w:right="7454" w:hanging="420"/>
        <w:jc w:val="left"/>
        <w:rPr>
          <w:rFonts w:ascii="宋体" w:hAnsi="宋体" w:cs="宋体" w:eastAsia="宋体" w:hint="default"/>
          <w:b w:val="0"/>
          <w:bCs w:val="0"/>
        </w:rPr>
      </w:pPr>
      <w:r>
        <w:rPr>
          <w:rFonts w:ascii="Times New Roman" w:hAnsi="Times New Roman" w:cs="Times New Roman" w:eastAsia="Times New Roman" w:hint="default"/>
        </w:rPr>
        <w:t>13</w:t>
      </w:r>
      <w:r>
        <w:rPr/>
        <w:t>、划分为持有待售资产</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152" w:firstLine="420"/>
        <w:jc w:val="both"/>
      </w:pPr>
      <w:r>
        <w:rPr>
          <w:spacing w:val="-1"/>
        </w:rPr>
        <w:t>本集团长期股权投资包括对被投资单位实施控制、重大影响的权益性投资，</w:t>
      </w:r>
      <w:bookmarkStart w:name="13、划分为持有待售资产" w:id="178"/>
      <w:bookmarkEnd w:id="178"/>
      <w:r>
        <w:rPr>
          <w:spacing w:val="-1"/>
        </w:rPr>
        <w:t>以及对合营企业的权益性</w:t>
      </w:r>
      <w:r>
        <w:rPr/>
        <w:t> 投资。本集团能够对被投资单位施加重大影响的，为本集团的联营企业。</w:t>
      </w:r>
    </w:p>
    <w:p>
      <w:pPr>
        <w:pStyle w:val="BodyText"/>
        <w:spacing w:line="240" w:lineRule="auto" w:before="127"/>
        <w:ind w:right="0"/>
        <w:jc w:val="left"/>
      </w:pPr>
      <w:r>
        <w:rPr/>
        <w:t>（</w:t>
      </w:r>
      <w:r>
        <w:rPr>
          <w:rFonts w:ascii="Times New Roman" w:hAnsi="Times New Roman" w:cs="Times New Roman" w:eastAsia="Times New Roman" w:hint="default"/>
        </w:rPr>
        <w:t>1</w:t>
      </w:r>
      <w:r>
        <w:rPr/>
        <w:t>）初始投资成本确定</w:t>
      </w:r>
    </w:p>
    <w:p>
      <w:pPr>
        <w:spacing w:line="240" w:lineRule="auto" w:before="2"/>
        <w:rPr>
          <w:rFonts w:ascii="宋体" w:hAnsi="宋体" w:cs="宋体" w:eastAsia="宋体" w:hint="default"/>
          <w:sz w:val="18"/>
          <w:szCs w:val="18"/>
        </w:rPr>
      </w:pPr>
    </w:p>
    <w:p>
      <w:pPr>
        <w:pStyle w:val="BodyText"/>
        <w:spacing w:line="273" w:lineRule="auto"/>
        <w:ind w:left="154" w:right="152" w:firstLine="420"/>
        <w:jc w:val="both"/>
      </w:pPr>
      <w:r>
        <w:rPr>
          <w:spacing w:val="-1"/>
        </w:rPr>
        <w:t>对于企业合并形成的长期股权投资：同一控制下企业合并取得的长期股权投资，在合并日按照取得被</w:t>
      </w:r>
      <w:r>
        <w:rPr/>
        <w:t> </w:t>
      </w:r>
      <w:r>
        <w:rPr>
          <w:spacing w:val="-1"/>
        </w:rPr>
        <w:t>合并方所有者权益在最终控制方合并财务报表中的账面价值份额作为投资成本；非同一控制下企业合并取</w:t>
      </w:r>
      <w:r>
        <w:rPr>
          <w:spacing w:val="-81"/>
        </w:rPr>
        <w:t> </w:t>
      </w:r>
      <w:r>
        <w:rPr>
          <w:spacing w:val="-81"/>
        </w:rPr>
      </w:r>
      <w:r>
        <w:rPr/>
        <w:t>得的长期股权投资，按照合并成本作为长期股权投资的投资成本。</w:t>
      </w:r>
    </w:p>
    <w:p>
      <w:pPr>
        <w:spacing w:after="0" w:line="273" w:lineRule="auto"/>
        <w:jc w:val="both"/>
        <w:sectPr>
          <w:pgSz w:w="11910" w:h="16840"/>
          <w:pgMar w:header="917" w:footer="1267" w:top="1140" w:bottom="1460" w:left="980" w:right="980"/>
        </w:sectPr>
      </w:pPr>
    </w:p>
    <w:p>
      <w:pPr>
        <w:spacing w:line="240" w:lineRule="auto" w:before="1"/>
        <w:rPr>
          <w:rFonts w:ascii="宋体" w:hAnsi="宋体" w:cs="宋体" w:eastAsia="宋体" w:hint="default"/>
          <w:sz w:val="19"/>
          <w:szCs w:val="19"/>
        </w:rPr>
      </w:pPr>
    </w:p>
    <w:p>
      <w:pPr>
        <w:pStyle w:val="BodyText"/>
        <w:spacing w:line="273" w:lineRule="auto" w:before="35"/>
        <w:ind w:left="154" w:right="212" w:firstLine="420"/>
        <w:jc w:val="both"/>
      </w:pPr>
      <w:r>
        <w:rPr>
          <w:spacing w:val="-1"/>
        </w:rPr>
        <w:t>对于以企业合并以外的其他方式取得的长期股权投资：支付现金取得的长期股权投资，按照实际支付</w:t>
      </w:r>
      <w:r>
        <w:rPr/>
        <w:t> </w:t>
      </w:r>
      <w:r>
        <w:rPr>
          <w:spacing w:val="-1"/>
        </w:rPr>
        <w:t>的购买价款作为初始投资成本；发行权益性证券取得的长期股权投资，以发行权益性证券的公允价值作为</w:t>
      </w:r>
      <w:r>
        <w:rPr>
          <w:spacing w:val="-81"/>
        </w:rPr>
        <w:t> </w:t>
      </w:r>
      <w:r>
        <w:rPr>
          <w:spacing w:val="-81"/>
        </w:rPr>
      </w:r>
      <w:r>
        <w:rPr/>
        <w:t>初始投资成本。</w:t>
      </w:r>
    </w:p>
    <w:p>
      <w:pPr>
        <w:pStyle w:val="BodyText"/>
        <w:spacing w:line="240" w:lineRule="auto" w:before="127"/>
        <w:ind w:right="97"/>
        <w:jc w:val="left"/>
      </w:pPr>
      <w:r>
        <w:rPr/>
        <w:t>（</w:t>
      </w:r>
      <w:r>
        <w:rPr>
          <w:rFonts w:ascii="Times New Roman" w:hAnsi="Times New Roman" w:cs="Times New Roman" w:eastAsia="Times New Roman" w:hint="default"/>
        </w:rPr>
        <w:t>2</w:t>
      </w:r>
      <w:r>
        <w:rPr/>
        <w:t>）后续计量及损益确认方法</w:t>
      </w:r>
    </w:p>
    <w:p>
      <w:pPr>
        <w:pStyle w:val="BodyText"/>
        <w:spacing w:line="528" w:lineRule="exact" w:before="60"/>
        <w:ind w:right="97"/>
        <w:jc w:val="left"/>
      </w:pPr>
      <w:r>
        <w:rPr/>
        <w:t>本公司对子公司的投资，采用成本法核算；对联营企业和合营企业的投资，采用权益法核算。 </w:t>
      </w:r>
      <w:r>
        <w:rPr>
          <w:spacing w:val="-1"/>
        </w:rPr>
        <w:t>采用成本法核算的长期股权投资，除取得投资时实际支付的价款或对价中包含的已宣告但尚未发放的</w:t>
      </w:r>
    </w:p>
    <w:p>
      <w:pPr>
        <w:pStyle w:val="BodyText"/>
        <w:spacing w:line="236" w:lineRule="exact"/>
        <w:ind w:left="154" w:right="97"/>
        <w:jc w:val="left"/>
      </w:pPr>
      <w:r>
        <w:rPr/>
        <w:t>现金股利或利润外，被投资单位宣告分派的现金股利或利润，确认为投资收益计入当期损益。</w:t>
      </w:r>
    </w:p>
    <w:p>
      <w:pPr>
        <w:pStyle w:val="BodyText"/>
        <w:spacing w:line="273" w:lineRule="auto" w:before="157"/>
        <w:ind w:left="154" w:right="212" w:firstLine="420"/>
        <w:jc w:val="both"/>
      </w:pPr>
      <w:r>
        <w:rPr>
          <w:spacing w:val="-1"/>
        </w:rPr>
        <w:t>采用权益法核算的长期股权投资，初始投资成本大于投资时应享有被投资单位可辨认净资产公允价值</w:t>
      </w:r>
      <w:r>
        <w:rPr/>
        <w:t> </w:t>
      </w:r>
      <w:r>
        <w:rPr>
          <w:spacing w:val="-1"/>
        </w:rPr>
        <w:t>份额的，不调整长期股权投资的投资成本；初始投资成本小于投资时应享有被投资单位可辨认净资产公允</w:t>
      </w:r>
      <w:r>
        <w:rPr>
          <w:spacing w:val="-81"/>
        </w:rPr>
        <w:t> </w:t>
      </w:r>
      <w:r>
        <w:rPr>
          <w:spacing w:val="-81"/>
        </w:rPr>
      </w:r>
      <w:r>
        <w:rPr/>
        <w:t>价值份额的，对长期股权投资的账面价值进行调整，差额计入投资当期的损益。</w:t>
      </w:r>
    </w:p>
    <w:p>
      <w:pPr>
        <w:pStyle w:val="BodyText"/>
        <w:spacing w:line="273" w:lineRule="auto" w:before="127"/>
        <w:ind w:left="154" w:right="211"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股利计算应享有的部分，相应减少长期股权投资的账面价值；被投资单位除净损益、其他综合收益和利润</w:t>
      </w:r>
      <w:r>
        <w:rPr>
          <w:spacing w:val="-83"/>
        </w:rPr>
        <w:t> </w:t>
      </w:r>
      <w:r>
        <w:rPr>
          <w:spacing w:val="-83"/>
        </w:rPr>
      </w:r>
      <w:r>
        <w:rPr>
          <w:spacing w:val="-1"/>
        </w:rPr>
        <w:t>分配以外所有者权益的其他变动，调整长期股权投资的账面价值并计入所有者权益。在确认应享有被投资</w:t>
      </w:r>
      <w:r>
        <w:rPr>
          <w:spacing w:val="-81"/>
        </w:rPr>
        <w:t> </w:t>
      </w:r>
      <w:r>
        <w:rPr>
          <w:spacing w:val="-81"/>
        </w:rPr>
      </w:r>
      <w:r>
        <w:rPr>
          <w:spacing w:val="-1"/>
        </w:rPr>
        <w:t>单位净损益的份额时，以取得投资时被投资单位各项可辨认资产等的公允价值为基础，并按照本集团的会</w:t>
      </w:r>
      <w:r>
        <w:rPr>
          <w:spacing w:val="-81"/>
        </w:rPr>
        <w:t> </w:t>
      </w:r>
      <w:r>
        <w:rPr>
          <w:spacing w:val="-81"/>
        </w:rPr>
      </w:r>
      <w:r>
        <w:rPr/>
        <w:t>计政策及会计期间，对被投资单位的净利润进行调整后确认。</w:t>
      </w:r>
    </w:p>
    <w:p>
      <w:pPr>
        <w:pStyle w:val="BodyText"/>
        <w:spacing w:line="273" w:lineRule="auto" w:before="127"/>
        <w:ind w:left="154" w:right="212" w:firstLine="420"/>
        <w:jc w:val="both"/>
      </w:pPr>
      <w:r>
        <w:rPr>
          <w:spacing w:val="-1"/>
        </w:rPr>
        <w:t>因追加投资等原因能够对被投资单位施加重大影响或实施共同控制但不构成控制的，按照原持有的股</w:t>
      </w:r>
      <w:r>
        <w:rPr/>
        <w:t> </w:t>
      </w:r>
      <w:r>
        <w:rPr>
          <w:spacing w:val="-1"/>
        </w:rPr>
        <w:t>权投资的公允价值加上新增投资成本之和，作为改按权益法核算的初始投资成本。原持有的股权投资分类</w:t>
      </w:r>
      <w:r>
        <w:rPr>
          <w:spacing w:val="-81"/>
        </w:rPr>
        <w:t> </w:t>
      </w:r>
      <w:r>
        <w:rPr>
          <w:spacing w:val="-81"/>
        </w:rPr>
      </w:r>
      <w:r>
        <w:rPr>
          <w:spacing w:val="-1"/>
        </w:rPr>
        <w:t>为可供出售金融资产的，其公允价值与账面价值之间的差额，以及原计入其他综合收益的累计公允价值变</w:t>
      </w:r>
      <w:r>
        <w:rPr>
          <w:spacing w:val="-81"/>
        </w:rPr>
        <w:t> </w:t>
      </w:r>
      <w:r>
        <w:rPr>
          <w:spacing w:val="-81"/>
        </w:rPr>
      </w:r>
      <w:r>
        <w:rPr/>
        <w:t>动应当转入改按权益法核算的当期损益。</w:t>
      </w:r>
    </w:p>
    <w:p>
      <w:pPr>
        <w:pStyle w:val="BodyText"/>
        <w:spacing w:line="268" w:lineRule="auto" w:before="127"/>
        <w:ind w:left="154" w:right="211" w:firstLine="420"/>
        <w:jc w:val="both"/>
      </w:pPr>
      <w:r>
        <w:rPr>
          <w:spacing w:val="-1"/>
        </w:rPr>
        <w:t>因处置部分股权投资等原因丧失了对被投资单位的共同控制或重大影响的，处置后的剩余股权应当改</w:t>
      </w:r>
      <w:r>
        <w:rPr/>
        <w:t> </w:t>
      </w:r>
      <w:r>
        <w:rPr>
          <w:spacing w:val="-1"/>
        </w:rPr>
        <w:t>按《企业会计准则第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金融工具确认和计量》进行会计处理，在丧失共同控制或重大影响之日的公允</w:t>
      </w:r>
      <w:r>
        <w:rPr>
          <w:spacing w:val="-83"/>
        </w:rPr>
        <w:t> </w:t>
      </w:r>
      <w:r>
        <w:rPr>
          <w:spacing w:val="-83"/>
        </w:rPr>
      </w:r>
      <w:r>
        <w:rPr>
          <w:spacing w:val="-1"/>
        </w:rPr>
        <w:t>价值与账面价值之间的差额计入当期损益。原股权投资因采用权益法核算而确认的其他综合收益，应当在</w:t>
      </w:r>
      <w:r>
        <w:rPr>
          <w:spacing w:val="-81"/>
        </w:rPr>
        <w:t> </w:t>
      </w:r>
      <w:r>
        <w:rPr>
          <w:spacing w:val="-81"/>
        </w:rPr>
      </w:r>
      <w:r>
        <w:rPr>
          <w:spacing w:val="-1"/>
        </w:rPr>
        <w:t>终止采用权益法核算时采用与被投资单位直接处置相关资产或负债相同的基础进行会计处理；原股权投资</w:t>
      </w:r>
      <w:r>
        <w:rPr>
          <w:spacing w:val="-81"/>
        </w:rPr>
        <w:t> </w:t>
      </w:r>
      <w:r>
        <w:rPr>
          <w:spacing w:val="-81"/>
        </w:rPr>
      </w:r>
      <w:r>
        <w:rPr/>
        <w:t>相关的其他所有者权益变动转入当期损益。</w:t>
      </w:r>
    </w:p>
    <w:p>
      <w:pPr>
        <w:pStyle w:val="BodyText"/>
        <w:spacing w:line="268" w:lineRule="auto" w:before="132"/>
        <w:ind w:left="154" w:right="103" w:firstLine="420"/>
        <w:jc w:val="left"/>
      </w:pPr>
      <w:r>
        <w:rPr/>
        <w:t>因处置部分股权投资等原因丧失了对被投资单位的控制的，处置后的剩余股权能够对被投资单位实施 </w:t>
      </w:r>
      <w:r>
        <w:rPr>
          <w:spacing w:val="-3"/>
        </w:rPr>
        <w:t>共同控制或施加重大影响的，改按权益法核算，并对该剩余股权视同自取得时即采用权益法核算进行调整；</w:t>
      </w:r>
      <w:r>
        <w:rPr>
          <w:spacing w:val="-92"/>
        </w:rPr>
        <w:t> </w:t>
      </w:r>
      <w:r>
        <w:rPr>
          <w:spacing w:val="-92"/>
        </w:rPr>
      </w:r>
      <w:r>
        <w:rPr/>
        <w:t>处置后的剩余股权不能对被投资单位实施共同控制或施加重大影响的，改按《企业会计准则第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w:t>
      </w:r>
      <w:r>
        <w:rPr>
          <w:spacing w:val="-2"/>
        </w:rPr>
        <w:t> </w:t>
      </w:r>
      <w:r>
        <w:rPr/>
        <w:t>工具确认和计量》的有关规定进行会计处理，其在丧失控制之日的公允价值与账面价值间的差额计入当期</w:t>
      </w:r>
      <w:r>
        <w:rPr/>
        <w:t> 损益。</w:t>
      </w:r>
    </w:p>
    <w:p>
      <w:pPr>
        <w:pStyle w:val="BodyText"/>
        <w:spacing w:line="273" w:lineRule="auto" w:before="132"/>
        <w:ind w:left="154" w:right="212" w:firstLine="420"/>
        <w:jc w:val="both"/>
      </w:pPr>
      <w:r>
        <w:rPr>
          <w:spacing w:val="-1"/>
        </w:rPr>
        <w:t>因其他投资方增资而导致本公司持股比例下降、从而丧失控制权但能对被投资单位实施共同控制或施</w:t>
      </w:r>
      <w:r>
        <w:rPr/>
        <w:t> </w:t>
      </w:r>
      <w:r>
        <w:rPr>
          <w:spacing w:val="-1"/>
        </w:rPr>
        <w:t>加重大影响的，按照新的持股比例确认本公司应享有的被投资单位因增资扩股而增加净资产的份额，与应</w:t>
      </w:r>
      <w:r>
        <w:rPr>
          <w:spacing w:val="-81"/>
        </w:rPr>
        <w:t> </w:t>
      </w:r>
      <w:r>
        <w:rPr>
          <w:spacing w:val="-81"/>
        </w:rPr>
      </w:r>
      <w:r>
        <w:rPr>
          <w:spacing w:val="-1"/>
        </w:rPr>
        <w:t>结转持股比例下降部分所对应的长期股权投资原账面价值之间的差额计入当期损益；然后，按照新的持股</w:t>
      </w:r>
      <w:r>
        <w:rPr>
          <w:spacing w:val="-81"/>
        </w:rPr>
        <w:t> </w:t>
      </w:r>
      <w:r>
        <w:rPr>
          <w:spacing w:val="-81"/>
        </w:rPr>
      </w:r>
      <w:r>
        <w:rPr/>
        <w:t>比例视同自取得投资时即采用权益法核算进行调整。</w:t>
      </w:r>
    </w:p>
    <w:p>
      <w:pPr>
        <w:spacing w:line="240" w:lineRule="auto" w:before="1"/>
        <w:rPr>
          <w:rFonts w:ascii="宋体" w:hAnsi="宋体" w:cs="宋体" w:eastAsia="宋体" w:hint="default"/>
          <w:sz w:val="17"/>
          <w:szCs w:val="17"/>
        </w:rPr>
      </w:pPr>
    </w:p>
    <w:p>
      <w:pPr>
        <w:pStyle w:val="BodyText"/>
        <w:spacing w:line="273" w:lineRule="auto"/>
        <w:ind w:left="154" w:right="205" w:firstLine="419"/>
        <w:jc w:val="both"/>
      </w:pPr>
      <w:r>
        <w:rPr>
          <w:spacing w:val="3"/>
        </w:rPr>
        <w:t>本公司与联营企业及合营企业之间发生的未实现内部交易损益按照持股比例计算归属于本公司的部 </w:t>
      </w:r>
      <w:r>
        <w:rPr>
          <w:spacing w:val="-1"/>
        </w:rPr>
        <w:t>分，在抵销基础上确认投资损益。但本集团与被投资单位发生的未实现内部交易损失，属于所转让资产减</w:t>
      </w:r>
      <w:r>
        <w:rPr>
          <w:spacing w:val="-83"/>
        </w:rPr>
        <w:t> </w:t>
      </w:r>
      <w:r>
        <w:rPr>
          <w:spacing w:val="-83"/>
        </w:rPr>
      </w:r>
      <w:r>
        <w:rPr/>
        <w:t>值损失的，不予以抵销。</w:t>
      </w:r>
    </w:p>
    <w:p>
      <w:pPr>
        <w:pStyle w:val="BodyText"/>
        <w:spacing w:line="240" w:lineRule="auto" w:before="127"/>
        <w:ind w:right="97"/>
        <w:jc w:val="left"/>
      </w:pPr>
      <w:r>
        <w:rPr/>
        <w:t>（</w:t>
      </w:r>
      <w:r>
        <w:rPr>
          <w:rFonts w:ascii="Times New Roman" w:hAnsi="Times New Roman" w:cs="Times New Roman" w:eastAsia="Times New Roman" w:hint="default"/>
        </w:rPr>
        <w:t>3</w:t>
      </w:r>
      <w:r>
        <w:rPr/>
        <w:t>）确定对被投资单位具有共同控制、重大影响的依据</w:t>
      </w:r>
    </w:p>
    <w:p>
      <w:pPr>
        <w:spacing w:after="0" w:line="240" w:lineRule="auto"/>
        <w:jc w:val="left"/>
        <w:sectPr>
          <w:pgSz w:w="11910" w:h="16840"/>
          <w:pgMar w:header="917" w:footer="1267" w:top="1140" w:bottom="1460" w:left="980" w:right="920"/>
        </w:sectPr>
      </w:pPr>
    </w:p>
    <w:p>
      <w:pPr>
        <w:spacing w:line="240" w:lineRule="auto" w:before="1"/>
        <w:rPr>
          <w:rFonts w:ascii="宋体" w:hAnsi="宋体" w:cs="宋体" w:eastAsia="宋体" w:hint="default"/>
          <w:sz w:val="19"/>
          <w:szCs w:val="19"/>
        </w:rPr>
      </w:pPr>
    </w:p>
    <w:p>
      <w:pPr>
        <w:pStyle w:val="BodyText"/>
        <w:spacing w:line="273" w:lineRule="auto" w:before="35"/>
        <w:ind w:left="154" w:right="211" w:firstLine="420"/>
        <w:jc w:val="both"/>
      </w:pPr>
      <w:r>
        <w:rPr>
          <w:spacing w:val="-1"/>
        </w:rPr>
        <w:t>共同控制，是指按照相关约定对某项安排所共有的控制，并且该安排的相关活动必须经过分享控制权</w:t>
      </w:r>
      <w:r>
        <w:rPr/>
        <w:t> </w:t>
      </w:r>
      <w:r>
        <w:rPr>
          <w:spacing w:val="-1"/>
        </w:rPr>
        <w:t>的参与方一致同意后才能决策。在判断是否存在共同控制时，首先判断所有参与方或参与方组合是否集体</w:t>
      </w:r>
      <w:r>
        <w:rPr>
          <w:spacing w:val="-81"/>
        </w:rPr>
        <w:t> </w:t>
      </w:r>
      <w:r>
        <w:rPr>
          <w:spacing w:val="-81"/>
        </w:rPr>
      </w:r>
      <w:r>
        <w:rPr>
          <w:spacing w:val="-1"/>
        </w:rPr>
        <w:t>控制该安排，如果所有参与方或一组参与方必须一致行动才能决定某项安排的相关活动，则认为所有参与</w:t>
      </w:r>
      <w:r>
        <w:rPr>
          <w:spacing w:val="-81"/>
        </w:rPr>
        <w:t> </w:t>
      </w:r>
      <w:r>
        <w:rPr>
          <w:spacing w:val="-81"/>
        </w:rPr>
      </w:r>
      <w:r>
        <w:rPr>
          <w:spacing w:val="-1"/>
        </w:rPr>
        <w:t>方或一组参与方集体控制该安排。其次再判断该安排相关活动的决策是否必须经过这些集体控制该安排的</w:t>
      </w:r>
      <w:r>
        <w:rPr>
          <w:spacing w:val="-81"/>
        </w:rPr>
        <w:t> </w:t>
      </w:r>
      <w:r>
        <w:rPr>
          <w:spacing w:val="-81"/>
        </w:rPr>
      </w:r>
      <w:r>
        <w:rPr>
          <w:spacing w:val="-1"/>
        </w:rPr>
        <w:t>参与方一致同意。如果存在两个或两个以上的参与方组合能够集体控制某项安排的，不构成共同控制。判</w:t>
      </w:r>
      <w:r>
        <w:rPr>
          <w:spacing w:val="-83"/>
        </w:rPr>
        <w:t> </w:t>
      </w:r>
      <w:r>
        <w:rPr>
          <w:spacing w:val="-83"/>
        </w:rPr>
      </w:r>
      <w:r>
        <w:rPr/>
        <w:t>断是否存在共同控制时，不考虑享有的保护性权利。</w:t>
      </w:r>
    </w:p>
    <w:p>
      <w:pPr>
        <w:pStyle w:val="BodyText"/>
        <w:spacing w:line="273" w:lineRule="auto" w:before="127"/>
        <w:ind w:left="154" w:right="204" w:firstLine="420"/>
        <w:jc w:val="both"/>
      </w:pPr>
      <w:r>
        <w:rPr>
          <w:spacing w:val="-1"/>
        </w:rPr>
        <w:t>重大影响，是指投资方对被投资单位的财务和经营政策有参与决策的权力，但并不能够控制或者与其</w:t>
      </w:r>
      <w:r>
        <w:rPr/>
        <w:t> </w:t>
      </w:r>
      <w:r>
        <w:rPr>
          <w:spacing w:val="-1"/>
        </w:rPr>
        <w:t>他方一起共同控制这些政策的制定。在确定能否对被投资单位施加重大影响时，考虑投资方直接或间接持</w:t>
      </w:r>
      <w:r>
        <w:rPr>
          <w:spacing w:val="-81"/>
        </w:rPr>
        <w:t> </w:t>
      </w:r>
      <w:r>
        <w:rPr>
          <w:spacing w:val="-81"/>
        </w:rPr>
      </w:r>
      <w:r>
        <w:rPr>
          <w:spacing w:val="3"/>
        </w:rPr>
        <w:t>有被投资单位的表决权股份以及投资方及其他方持有的当期可执行潜在表决权在假定转换为对被投资方</w:t>
      </w:r>
      <w:r>
        <w:rPr>
          <w:spacing w:val="-78"/>
        </w:rPr>
        <w:t> </w:t>
      </w:r>
      <w:r>
        <w:rPr>
          <w:spacing w:val="-78"/>
        </w:rPr>
      </w:r>
      <w:r>
        <w:rPr>
          <w:spacing w:val="-1"/>
        </w:rPr>
        <w:t>单位的股权后产生的影响，包括被投资单位发行的当期可转换的认股权证、股份期权及可转换公司债券等</w:t>
      </w:r>
      <w:r>
        <w:rPr>
          <w:spacing w:val="-81"/>
        </w:rPr>
        <w:t> </w:t>
      </w:r>
      <w:r>
        <w:rPr>
          <w:spacing w:val="-81"/>
        </w:rPr>
      </w:r>
      <w:r>
        <w:rPr/>
        <w:t>的影响。</w:t>
      </w:r>
    </w:p>
    <w:p>
      <w:pPr>
        <w:pStyle w:val="BodyText"/>
        <w:spacing w:line="261" w:lineRule="auto" w:before="127"/>
        <w:ind w:left="153" w:right="207" w:firstLine="42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的表决权股份时，除</w:t>
      </w:r>
      <w:r>
        <w:rPr>
          <w:spacing w:val="2"/>
        </w:rPr>
        <w:t> </w:t>
      </w:r>
      <w:r>
        <w:rPr>
          <w:spacing w:val="-1"/>
        </w:rPr>
        <w:t>非有明确证据表明该种情况下不能参与被投资单位的生产经营决策，不形成重大影响外，均确定对被投资</w:t>
      </w:r>
      <w:r>
        <w:rPr>
          <w:spacing w:val="-81"/>
        </w:rPr>
        <w:t> </w:t>
      </w:r>
      <w:r>
        <w:rPr>
          <w:spacing w:val="-81"/>
        </w:rPr>
      </w:r>
      <w:r>
        <w:rPr/>
        <w:t>单位具有重大影响；本公司拥有被投资单位</w:t>
      </w:r>
      <w:r>
        <w:rPr>
          <w:rFonts w:ascii="Times New Roman" w:hAnsi="Times New Roman" w:cs="Times New Roman" w:eastAsia="Times New Roman" w:hint="default"/>
        </w:rPr>
        <w:t>20%</w:t>
      </w:r>
      <w:r>
        <w:rPr/>
        <w:t>（不含）以下的表决权股份，一般不认为对被投资单位具</w:t>
      </w:r>
      <w:r>
        <w:rPr>
          <w:spacing w:val="-98"/>
        </w:rPr>
        <w:t> </w:t>
      </w:r>
      <w:r>
        <w:rPr>
          <w:spacing w:val="-98"/>
        </w:rPr>
      </w:r>
      <w:r>
        <w:rPr/>
        <w:t>有重大影响，除非有明确证据表明该种情况下能够参与被投资单位的生产经营决策，形成重大影响。</w:t>
      </w:r>
    </w:p>
    <w:p>
      <w:pPr>
        <w:pStyle w:val="BodyText"/>
        <w:spacing w:line="436" w:lineRule="auto" w:before="138"/>
        <w:ind w:left="573" w:right="1643"/>
        <w:jc w:val="left"/>
      </w:pPr>
      <w:r>
        <w:rPr/>
        <w:t>（</w:t>
      </w:r>
      <w:r>
        <w:rPr>
          <w:rFonts w:ascii="Times New Roman" w:hAnsi="Times New Roman" w:cs="Times New Roman" w:eastAsia="Times New Roman" w:hint="default"/>
        </w:rPr>
        <w:t>4</w:t>
      </w:r>
      <w:r>
        <w:rPr/>
        <w:t>）减值测试方法及减值准备计提方法 对子公司、联营企业及合营企业的投资，本集团计提资产减值的方法见附注五之</w:t>
      </w:r>
      <w:r>
        <w:rPr>
          <w:rFonts w:ascii="Times New Roman" w:hAnsi="Times New Roman" w:cs="Times New Roman" w:eastAsia="Times New Roman" w:hint="default"/>
        </w:rPr>
        <w:t>22</w:t>
      </w:r>
      <w:r>
        <w:rPr/>
        <w:t>。</w:t>
      </w:r>
    </w:p>
    <w:p>
      <w:pPr>
        <w:pStyle w:val="Heading4"/>
        <w:spacing w:line="240" w:lineRule="auto" w:before="131"/>
        <w:ind w:right="97"/>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12"/>
        <w:rPr>
          <w:rFonts w:ascii="宋体" w:hAnsi="宋体" w:cs="宋体" w:eastAsia="宋体" w:hint="default"/>
          <w:b/>
          <w:bCs/>
          <w:sz w:val="26"/>
          <w:szCs w:val="26"/>
        </w:rPr>
      </w:pPr>
    </w:p>
    <w:p>
      <w:pPr>
        <w:pStyle w:val="BodyText"/>
        <w:spacing w:line="432" w:lineRule="auto"/>
        <w:ind w:right="7312"/>
        <w:jc w:val="left"/>
      </w:pPr>
      <w:r>
        <w:rPr/>
        <w:t>投资性房地产计量模式 成本法计量 折旧或摊销方法</w:t>
      </w:r>
    </w:p>
    <w:p>
      <w:pPr>
        <w:pStyle w:val="BodyText"/>
        <w:spacing w:line="273" w:lineRule="auto" w:before="20"/>
        <w:ind w:left="154" w:right="212" w:firstLine="420"/>
        <w:jc w:val="both"/>
      </w:pPr>
      <w:r>
        <w:rPr>
          <w:spacing w:val="-1"/>
        </w:rPr>
        <w:t>投资性房地产是指为赚取租金或资本增值，</w:t>
      </w:r>
      <w:bookmarkStart w:name="15、投资性房地产" w:id="179"/>
      <w:bookmarkEnd w:id="179"/>
      <w:r>
        <w:rPr>
          <w:spacing w:val="-1"/>
        </w:rPr>
        <w:t>或两者兼有而持有的房地产</w:t>
      </w:r>
      <w:r>
        <w:rPr>
          <w:spacing w:val="-1"/>
        </w:rPr>
        <w:t>。本集团投资性房地产包括已</w:t>
      </w:r>
      <w:r>
        <w:rPr/>
        <w:t> 出租的建筑物。</w:t>
      </w:r>
    </w:p>
    <w:p>
      <w:pPr>
        <w:pStyle w:val="BodyText"/>
        <w:spacing w:line="273" w:lineRule="auto" w:before="127"/>
        <w:ind w:left="154" w:right="212" w:firstLine="420"/>
        <w:jc w:val="both"/>
      </w:pPr>
      <w:r>
        <w:rPr>
          <w:spacing w:val="-1"/>
        </w:rPr>
        <w:t>本集团投资性房地产按照取得时的成本进行初始计量，并按照固定资产或无形资产的有关规定，按期</w:t>
      </w:r>
      <w:r>
        <w:rPr/>
        <w:t> 计提折旧或摊销。本集团确定投资性房地产的年折旧率如下：</w:t>
      </w:r>
    </w:p>
    <w:p>
      <w:pPr>
        <w:spacing w:line="240" w:lineRule="auto" w:before="12"/>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2734"/>
        <w:gridCol w:w="2128"/>
        <w:gridCol w:w="2146"/>
        <w:gridCol w:w="2147"/>
      </w:tblGrid>
      <w:tr>
        <w:trPr>
          <w:trHeight w:val="347" w:hRule="exact"/>
        </w:trPr>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12" w:right="0"/>
              <w:jc w:val="left"/>
              <w:rPr>
                <w:rFonts w:ascii="宋体" w:hAnsi="宋体" w:cs="宋体" w:eastAsia="宋体" w:hint="default"/>
                <w:sz w:val="18"/>
                <w:szCs w:val="18"/>
              </w:rPr>
            </w:pPr>
            <w:r>
              <w:rPr>
                <w:rFonts w:ascii="宋体" w:hAnsi="宋体" w:cs="宋体" w:eastAsia="宋体" w:hint="default"/>
                <w:b/>
                <w:bCs/>
                <w:sz w:val="18"/>
                <w:szCs w:val="18"/>
              </w:rPr>
              <w:t>类</w:t>
            </w:r>
            <w:r>
              <w:rPr>
                <w:rFonts w:ascii="宋体" w:hAnsi="宋体" w:cs="宋体" w:eastAsia="宋体" w:hint="default"/>
                <w:b/>
                <w:bCs/>
                <w:spacing w:val="62"/>
                <w:sz w:val="18"/>
                <w:szCs w:val="18"/>
              </w:rPr>
              <w:t> </w:t>
            </w:r>
            <w:r>
              <w:rPr>
                <w:rFonts w:ascii="宋体" w:hAnsi="宋体" w:cs="宋体" w:eastAsia="宋体" w:hint="default"/>
                <w:b/>
                <w:bCs/>
                <w:sz w:val="18"/>
                <w:szCs w:val="18"/>
              </w:rPr>
              <w:t>别</w:t>
            </w:r>
            <w:r>
              <w:rPr>
                <w:rFonts w:ascii="宋体" w:hAnsi="宋体" w:cs="宋体" w:eastAsia="宋体" w:hint="default"/>
                <w:sz w:val="18"/>
                <w:szCs w:val="18"/>
              </w:rPr>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34" w:right="0"/>
              <w:jc w:val="left"/>
              <w:rPr>
                <w:rFonts w:ascii="宋体" w:hAnsi="宋体" w:cs="宋体" w:eastAsia="宋体" w:hint="default"/>
                <w:sz w:val="18"/>
                <w:szCs w:val="18"/>
              </w:rPr>
            </w:pPr>
            <w:r>
              <w:rPr>
                <w:rFonts w:ascii="宋体" w:hAnsi="宋体" w:cs="宋体" w:eastAsia="宋体" w:hint="default"/>
                <w:b/>
                <w:bCs/>
                <w:sz w:val="18"/>
                <w:szCs w:val="18"/>
              </w:rPr>
              <w:t>使用年限（年）</w:t>
            </w:r>
            <w:r>
              <w:rPr>
                <w:rFonts w:ascii="宋体" w:hAnsi="宋体" w:cs="宋体" w:eastAsia="宋体" w:hint="default"/>
                <w:sz w:val="18"/>
                <w:szCs w:val="18"/>
              </w:rPr>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915"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残值率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26"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年折旧率</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48" w:hRule="exact"/>
        </w:trPr>
        <w:tc>
          <w:tcPr>
            <w:tcW w:w="2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22" w:right="0"/>
              <w:jc w:val="left"/>
              <w:rPr>
                <w:rFonts w:ascii="宋体" w:hAnsi="宋体" w:cs="宋体" w:eastAsia="宋体" w:hint="default"/>
                <w:sz w:val="18"/>
                <w:szCs w:val="18"/>
              </w:rPr>
            </w:pPr>
            <w:r>
              <w:rPr>
                <w:rFonts w:ascii="宋体" w:hAnsi="宋体" w:cs="宋体" w:eastAsia="宋体" w:hint="default"/>
                <w:sz w:val="18"/>
                <w:szCs w:val="18"/>
              </w:rPr>
              <w:t>出租的建筑物</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20-30</w:t>
            </w:r>
          </w:p>
        </w:tc>
        <w:tc>
          <w:tcPr>
            <w:tcW w:w="21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9"/>
              <w:jc w:val="right"/>
              <w:rPr>
                <w:rFonts w:ascii="Times New Roman" w:hAnsi="Times New Roman" w:cs="Times New Roman" w:eastAsia="Times New Roman" w:hint="default"/>
                <w:sz w:val="18"/>
                <w:szCs w:val="18"/>
              </w:rPr>
            </w:pPr>
            <w:r>
              <w:rPr>
                <w:rFonts w:ascii="Times New Roman"/>
                <w:sz w:val="18"/>
              </w:rPr>
              <w:t>5</w:t>
            </w:r>
          </w:p>
        </w:tc>
        <w:tc>
          <w:tcPr>
            <w:tcW w:w="2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14" w:right="0"/>
              <w:jc w:val="left"/>
              <w:rPr>
                <w:rFonts w:ascii="Times New Roman" w:hAnsi="Times New Roman" w:cs="Times New Roman" w:eastAsia="Times New Roman" w:hint="default"/>
                <w:sz w:val="18"/>
                <w:szCs w:val="18"/>
              </w:rPr>
            </w:pPr>
            <w:r>
              <w:rPr>
                <w:rFonts w:ascii="Times New Roman"/>
                <w:sz w:val="18"/>
              </w:rPr>
              <w:t>3.17-4.75</w:t>
            </w:r>
          </w:p>
        </w:tc>
      </w:tr>
    </w:tbl>
    <w:p>
      <w:pPr>
        <w:spacing w:line="240" w:lineRule="auto" w:before="5"/>
        <w:rPr>
          <w:rFonts w:ascii="宋体" w:hAnsi="宋体" w:cs="宋体" w:eastAsia="宋体" w:hint="default"/>
          <w:sz w:val="5"/>
          <w:szCs w:val="5"/>
        </w:rPr>
      </w:pPr>
    </w:p>
    <w:p>
      <w:pPr>
        <w:pStyle w:val="BodyText"/>
        <w:spacing w:line="357" w:lineRule="auto" w:before="35"/>
        <w:ind w:left="573" w:right="98"/>
        <w:jc w:val="left"/>
      </w:pPr>
      <w:r>
        <w:rPr/>
        <w:t>采用成本模式进行后续计量的投资性房地产，计提资产减值方法见附注五之</w:t>
      </w:r>
      <w:r>
        <w:rPr>
          <w:rFonts w:ascii="Times New Roman" w:hAnsi="Times New Roman" w:cs="Times New Roman" w:eastAsia="Times New Roman" w:hint="default"/>
        </w:rPr>
        <w:t>22</w:t>
      </w:r>
      <w:r>
        <w:rPr/>
        <w:t>。 </w:t>
      </w:r>
      <w:r>
        <w:rPr>
          <w:spacing w:val="-3"/>
        </w:rPr>
        <w:t>投资性房地产出售、转让、报废或毁损的处置收入扣除其账面价值和相关税费后的差额计入当期损益。</w:t>
      </w:r>
    </w:p>
    <w:p>
      <w:pPr>
        <w:spacing w:after="0" w:line="357" w:lineRule="auto"/>
        <w:jc w:val="left"/>
        <w:sectPr>
          <w:pgSz w:w="11910" w:h="16840"/>
          <w:pgMar w:header="917" w:footer="1267" w:top="1140" w:bottom="1460" w:left="980" w:right="92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融资租入固定资产的认定依据、计价和折旧方法" w:id="180"/>
      <w:bookmarkEnd w:id="180"/>
      <w:r>
        <w:rPr>
          <w:b w:val="0"/>
          <w:bCs w:val="0"/>
        </w:rPr>
      </w:r>
      <w:bookmarkStart w:name="17、在建工程" w:id="181"/>
      <w:bookmarkEnd w:id="181"/>
      <w:r>
        <w:rPr>
          <w:b w:val="0"/>
          <w:bCs w:val="0"/>
        </w:rPr>
      </w:r>
      <w:r>
        <w:rPr>
          <w:rFonts w:ascii="Times New Roman" w:hAnsi="Times New Roman" w:cs="Times New Roman" w:eastAsia="Times New Roman" w:hint="default"/>
        </w:rPr>
        <w:t>16</w:t>
      </w:r>
      <w:bookmarkStart w:name="16、固定资产" w:id="182"/>
      <w:bookmarkEnd w:id="182"/>
      <w:r>
        <w:rPr>
          <w:rFonts w:ascii="Times New Roman" w:hAnsi="Times New Roman" w:cs="Times New Roman" w:eastAsia="Times New Roman" w:hint="default"/>
        </w:rPr>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w:t>
      </w:r>
      <w:bookmarkStart w:name="（1）确认条件" w:id="183"/>
      <w:bookmarkEnd w:id="183"/>
      <w:r>
        <w:rPr/>
        <w:t>确</w:t>
      </w:r>
      <w:r>
        <w:rPr/>
        <w:t>认条件</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130" w:firstLine="420"/>
        <w:jc w:val="both"/>
      </w:pPr>
      <w:r>
        <w:rPr>
          <w:spacing w:val="-1"/>
        </w:rPr>
        <w:t>本集团固定资产是指为生产商品、提供劳务、出租或经营管理而持有的，使用寿命超过一个会计年度</w:t>
      </w:r>
      <w:r>
        <w:rPr/>
        <w:t> 的有形资产。与该固定资产有关的经济利益很可能流入企业，并且该固定资产的成本能够可靠地计量时， 固定资产才能予以确认。本集团固定资产按照取得时的实际成本进行初始计量。</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bookmarkStart w:name="（2）折旧方法" w:id="184"/>
            <w:bookmarkEnd w:id="184"/>
            <w:r>
              <w:rPr/>
            </w: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91" w:right="0"/>
              <w:jc w:val="left"/>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20-30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3.17%-4.75%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19%-31.67%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19%-23.75%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2" w:right="0"/>
              <w:jc w:val="lef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10"/>
        <w:rPr>
          <w:rFonts w:ascii="宋体" w:hAnsi="宋体" w:cs="宋体" w:eastAsia="宋体" w:hint="default"/>
          <w:b/>
          <w:bCs/>
          <w:sz w:val="7"/>
          <w:szCs w:val="7"/>
        </w:rPr>
      </w:pPr>
    </w:p>
    <w:p>
      <w:pPr>
        <w:pStyle w:val="BodyText"/>
        <w:spacing w:line="424" w:lineRule="auto" w:before="35"/>
        <w:ind w:right="112"/>
        <w:jc w:val="left"/>
      </w:pPr>
      <w:r>
        <w:rPr/>
        <w:t>其中，已计提减值准备的固定资产，还应扣除已计提的固定资产减值准备累计金额计算确定折旧率。 固定资产的减值测试方法、减值准备计提方法见附注五之</w:t>
      </w:r>
      <w:r>
        <w:rPr>
          <w:rFonts w:ascii="Times New Roman" w:hAnsi="Times New Roman" w:cs="Times New Roman" w:eastAsia="Times New Roman" w:hint="default"/>
        </w:rPr>
        <w:t>22</w:t>
      </w:r>
      <w:r>
        <w:rPr/>
        <w:t>。 每年年度终了，本集团对固定资产的使用寿命、预计净残值和折旧方法进行复核。 </w:t>
      </w:r>
      <w:r>
        <w:rPr>
          <w:spacing w:val="-1"/>
        </w:rPr>
        <w:t>使用寿命预计数与原先估计数有差异的，调整固定资产使用寿命；预计净残值预计数与原先估计数有</w:t>
      </w:r>
    </w:p>
    <w:p>
      <w:pPr>
        <w:pStyle w:val="BodyText"/>
        <w:spacing w:line="213" w:lineRule="exact"/>
        <w:ind w:left="154" w:right="0"/>
        <w:jc w:val="left"/>
      </w:pPr>
      <w:r>
        <w:rPr/>
        <w:t>差异的，调整预计净残值。</w:t>
      </w:r>
    </w:p>
    <w:p>
      <w:pPr>
        <w:pStyle w:val="BodyText"/>
        <w:spacing w:line="490" w:lineRule="atLeast" w:before="4"/>
        <w:ind w:right="112"/>
        <w:jc w:val="left"/>
      </w:pPr>
      <w:r>
        <w:rPr/>
        <w:t>大修理费用 本集团对固定资产进行定期检查发生的大修理费用，有确凿证据表明符合固定资产确认条件的部分，</w:t>
      </w:r>
    </w:p>
    <w:p>
      <w:pPr>
        <w:pStyle w:val="BodyText"/>
        <w:spacing w:line="326" w:lineRule="auto" w:before="99"/>
        <w:ind w:left="154" w:right="0"/>
        <w:jc w:val="left"/>
      </w:pPr>
      <w:r>
        <w:rPr>
          <w:spacing w:val="-1"/>
        </w:rPr>
        <w:t>计入固定资产成本，不符合固定资产确认条件的计入当期损益。固定资产在定期大修理间隔期间，照提折</w:t>
      </w:r>
      <w:r>
        <w:rPr>
          <w:spacing w:val="-83"/>
        </w:rPr>
        <w:t> </w:t>
      </w:r>
      <w:r>
        <w:rPr>
          <w:spacing w:val="-83"/>
        </w:rPr>
      </w:r>
      <w:r>
        <w:rPr/>
        <w:t>旧。</w:t>
      </w:r>
    </w:p>
    <w:p>
      <w:pPr>
        <w:spacing w:line="240" w:lineRule="auto" w:before="6"/>
        <w:rPr>
          <w:rFonts w:ascii="宋体" w:hAnsi="宋体" w:cs="宋体" w:eastAsia="宋体" w:hint="default"/>
          <w:sz w:val="22"/>
          <w:szCs w:val="22"/>
        </w:rPr>
      </w:pPr>
    </w:p>
    <w:p>
      <w:pPr>
        <w:pStyle w:val="Heading4"/>
        <w:spacing w:line="530" w:lineRule="auto"/>
        <w:ind w:left="574" w:right="4818"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）融资租入固定资产的认定依据、计价和折旧方法</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0" w:firstLine="420"/>
        <w:jc w:val="left"/>
      </w:pPr>
      <w:r>
        <w:rPr>
          <w:spacing w:val="-1"/>
        </w:rPr>
        <w:t>本集团在建工程成本按实际工程支出确定，包括在建期间发生的各项必要工程支出、工程达到预定可</w:t>
      </w:r>
      <w:r>
        <w:rPr/>
        <w:t> 使用状态前的应予资本化的借款费用以及其他相关费用等。</w:t>
      </w:r>
    </w:p>
    <w:p>
      <w:pPr>
        <w:pStyle w:val="BodyText"/>
        <w:spacing w:line="376" w:lineRule="auto" w:before="127"/>
        <w:ind w:right="4732"/>
        <w:jc w:val="left"/>
      </w:pPr>
      <w:r>
        <w:rPr/>
        <w:t>在建工程在达到预定可使用状态时转入固定资产。 在建工程计提资产减值方法见附注五之</w:t>
      </w:r>
      <w:r>
        <w:rPr>
          <w:rFonts w:ascii="Times New Roman" w:hAnsi="Times New Roman" w:cs="Times New Roman" w:eastAsia="Times New Roman" w:hint="default"/>
        </w:rPr>
        <w:t>22</w:t>
      </w:r>
      <w:r>
        <w:rPr/>
        <w:t>。</w:t>
      </w:r>
    </w:p>
    <w:p>
      <w:pPr>
        <w:spacing w:after="0" w:line="376" w:lineRule="auto"/>
        <w:jc w:val="left"/>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1、无形资产" w:id="185"/>
      <w:bookmarkEnd w:id="185"/>
      <w:r>
        <w:rPr>
          <w:b w:val="0"/>
          <w:bCs w:val="0"/>
        </w:rPr>
      </w:r>
      <w:bookmarkStart w:name="（1）计价方法、使用寿命、减值测试" w:id="186"/>
      <w:bookmarkEnd w:id="186"/>
      <w:r>
        <w:rPr>
          <w:b w:val="0"/>
          <w:bCs w:val="0"/>
        </w:rPr>
      </w:r>
      <w:r>
        <w:rPr>
          <w:rFonts w:ascii="Times New Roman" w:hAnsi="Times New Roman" w:cs="Times New Roman" w:eastAsia="Times New Roman" w:hint="default"/>
        </w:rPr>
        <w:t>18</w:t>
      </w:r>
      <w:bookmarkStart w:name="18、借款费用" w:id="187"/>
      <w:bookmarkEnd w:id="187"/>
      <w:r>
        <w:rPr>
          <w:rFonts w:ascii="Times New Roman" w:hAnsi="Times New Roman" w:cs="Times New Roman" w:eastAsia="Times New Roman" w:hint="default"/>
        </w:rPr>
      </w:r>
      <w:r>
        <w:rPr/>
        <w:t>、借款费用</w:t>
      </w:r>
      <w:r>
        <w:rPr>
          <w:b w:val="0"/>
          <w:bCs w:val="0"/>
        </w:rPr>
      </w:r>
    </w:p>
    <w:p>
      <w:pPr>
        <w:pStyle w:val="BodyText"/>
        <w:spacing w:line="510" w:lineRule="atLeast" w:before="102"/>
        <w:ind w:right="0"/>
        <w:jc w:val="left"/>
      </w:pPr>
      <w:r>
        <w:rPr/>
        <w:t>（</w:t>
      </w:r>
      <w:r>
        <w:rPr>
          <w:rFonts w:ascii="Times New Roman" w:hAnsi="Times New Roman" w:cs="Times New Roman" w:eastAsia="Times New Roman" w:hint="default"/>
        </w:rPr>
        <w:t>1</w:t>
      </w:r>
      <w:r>
        <w:rPr/>
        <w:t>）借款费用资本化的确认原则 </w:t>
      </w:r>
      <w:r>
        <w:rPr>
          <w:spacing w:val="-1"/>
        </w:rPr>
        <w:t>本集团发生的借款费用，可直接归属于符合资本化条件的资产的购建或者生产的，予以资本化，计入</w:t>
      </w:r>
    </w:p>
    <w:p>
      <w:pPr>
        <w:pStyle w:val="BodyText"/>
        <w:spacing w:line="273" w:lineRule="auto" w:before="37"/>
        <w:ind w:left="154" w:right="0"/>
        <w:jc w:val="left"/>
      </w:pPr>
      <w:r>
        <w:rPr>
          <w:spacing w:val="-1"/>
        </w:rPr>
        <w:t>相关资产成本；其他借款费用，在发生时根据其发生额确认为费用，计入当期损益。借款费用同时满足下</w:t>
      </w:r>
      <w:r>
        <w:rPr>
          <w:spacing w:val="-86"/>
        </w:rPr>
        <w:t> </w:t>
      </w:r>
      <w:r>
        <w:rPr>
          <w:spacing w:val="-86"/>
        </w:rPr>
      </w:r>
      <w:r>
        <w:rPr/>
        <w:t>列条件的，开始资本化：</w:t>
      </w:r>
    </w:p>
    <w:p>
      <w:pPr>
        <w:pStyle w:val="BodyText"/>
        <w:spacing w:line="273" w:lineRule="auto" w:before="127"/>
        <w:ind w:left="153" w:right="154" w:firstLine="420"/>
        <w:jc w:val="both"/>
      </w:pPr>
      <w:r>
        <w:rPr/>
        <w:t>①</w:t>
      </w:r>
      <w:r>
        <w:rPr>
          <w:spacing w:val="50"/>
        </w:rPr>
        <w:t> </w:t>
      </w:r>
      <w:r>
        <w:rPr/>
        <w:t>资产支出已经发生，资产支出包括为购建或者生产符合资本化条件的资产而以支付现金、转移非</w:t>
      </w:r>
      <w:r>
        <w:rPr>
          <w:spacing w:val="2"/>
        </w:rPr>
        <w:t> </w:t>
      </w:r>
      <w:r>
        <w:rPr/>
        <w:t>现金资产或者承担带息债务形式发生的支出；</w:t>
      </w:r>
    </w:p>
    <w:p>
      <w:pPr>
        <w:pStyle w:val="BodyText"/>
        <w:spacing w:line="240" w:lineRule="auto" w:before="127"/>
        <w:ind w:left="573" w:right="0"/>
        <w:jc w:val="left"/>
      </w:pPr>
      <w:r>
        <w:rPr/>
        <w:t>②</w:t>
      </w:r>
      <w:r>
        <w:rPr>
          <w:spacing w:val="-21"/>
        </w:rPr>
        <w:t> </w:t>
      </w:r>
      <w:r>
        <w:rPr/>
        <w:t>借款费用已经发生；</w:t>
      </w:r>
    </w:p>
    <w:p>
      <w:pPr>
        <w:pStyle w:val="BodyText"/>
        <w:spacing w:line="240" w:lineRule="auto" w:before="157"/>
        <w:ind w:left="573" w:right="0"/>
        <w:jc w:val="left"/>
      </w:pPr>
      <w:r>
        <w:rPr/>
        <w:t>③</w:t>
      </w:r>
      <w:r>
        <w:rPr>
          <w:spacing w:val="-21"/>
        </w:rPr>
        <w:t> </w:t>
      </w:r>
      <w:r>
        <w:rPr/>
        <w:t>为使资产达到预定可使用或者可销售状态所必要的购建或者生产活动已经开始。</w:t>
      </w:r>
    </w:p>
    <w:p>
      <w:pPr>
        <w:pStyle w:val="BodyText"/>
        <w:spacing w:line="240" w:lineRule="auto" w:before="157"/>
        <w:ind w:left="573" w:right="0"/>
        <w:jc w:val="left"/>
      </w:pPr>
      <w:r>
        <w:rPr/>
        <w:t>（</w:t>
      </w:r>
      <w:r>
        <w:rPr>
          <w:rFonts w:ascii="Times New Roman" w:hAnsi="Times New Roman" w:cs="Times New Roman" w:eastAsia="Times New Roman" w:hint="default"/>
        </w:rPr>
        <w:t>2</w:t>
      </w:r>
      <w:r>
        <w:rPr/>
        <w:t>）借款费用资本化期间</w:t>
      </w:r>
    </w:p>
    <w:p>
      <w:pPr>
        <w:spacing w:line="240" w:lineRule="auto" w:before="2"/>
        <w:rPr>
          <w:rFonts w:ascii="宋体" w:hAnsi="宋体" w:cs="宋体" w:eastAsia="宋体" w:hint="default"/>
          <w:sz w:val="18"/>
          <w:szCs w:val="18"/>
        </w:rPr>
      </w:pPr>
    </w:p>
    <w:p>
      <w:pPr>
        <w:pStyle w:val="BodyText"/>
        <w:spacing w:line="273" w:lineRule="auto"/>
        <w:ind w:left="153" w:right="149" w:firstLine="420"/>
        <w:jc w:val="both"/>
      </w:pPr>
      <w:r>
        <w:rPr>
          <w:spacing w:val="3"/>
        </w:rPr>
        <w:t>本集团购建或者生产符合资本化条件的资产达到预定可使用或者可销售状态时，借款费用停止资本</w:t>
      </w:r>
      <w:r>
        <w:rPr/>
        <w:t> </w:t>
      </w:r>
      <w:r>
        <w:rPr>
          <w:spacing w:val="-1"/>
        </w:rPr>
        <w:t>化。在符合资本化条件的资产达到预定可使用或者可销售状态之后所发生的借款费用，在发生时根据其发</w:t>
      </w:r>
      <w:r>
        <w:rPr>
          <w:spacing w:val="-81"/>
        </w:rPr>
        <w:t> </w:t>
      </w:r>
      <w:r>
        <w:rPr>
          <w:spacing w:val="-81"/>
        </w:rPr>
      </w:r>
      <w:r>
        <w:rPr/>
        <w:t>生额确认为费用，计入当期损益。</w:t>
      </w:r>
    </w:p>
    <w:p>
      <w:pPr>
        <w:pStyle w:val="BodyText"/>
        <w:spacing w:line="256" w:lineRule="auto" w:before="127"/>
        <w:ind w:left="153" w:right="150" w:firstLine="420"/>
        <w:jc w:val="both"/>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w:t>
      </w:r>
      <w:r>
        <w:rPr>
          <w:spacing w:val="2"/>
        </w:rPr>
        <w:t> </w:t>
      </w:r>
      <w:r>
        <w:rPr/>
        <w:t>借款费用的资本化；正常中断期间的借款费用继续资本化。</w:t>
      </w:r>
    </w:p>
    <w:p>
      <w:pPr>
        <w:pStyle w:val="BodyText"/>
        <w:spacing w:line="240" w:lineRule="auto" w:before="142"/>
        <w:ind w:left="573" w:right="0"/>
        <w:jc w:val="left"/>
      </w:pPr>
      <w:r>
        <w:rPr/>
        <w:t>（</w:t>
      </w:r>
      <w:r>
        <w:rPr>
          <w:rFonts w:ascii="Times New Roman" w:hAnsi="Times New Roman" w:cs="Times New Roman" w:eastAsia="Times New Roman" w:hint="default"/>
        </w:rPr>
        <w:t>3</w:t>
      </w:r>
      <w:r>
        <w:rPr/>
        <w:t>）借款费用资本化率以及资本化金额的计算方法</w:t>
      </w:r>
    </w:p>
    <w:p>
      <w:pPr>
        <w:spacing w:line="240" w:lineRule="auto" w:before="2"/>
        <w:rPr>
          <w:rFonts w:ascii="宋体" w:hAnsi="宋体" w:cs="宋体" w:eastAsia="宋体" w:hint="default"/>
          <w:sz w:val="18"/>
          <w:szCs w:val="18"/>
        </w:rPr>
      </w:pPr>
    </w:p>
    <w:p>
      <w:pPr>
        <w:pStyle w:val="BodyText"/>
        <w:spacing w:line="273" w:lineRule="auto"/>
        <w:ind w:left="153" w:right="152"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spacing w:line="240" w:lineRule="auto" w:before="8"/>
        <w:rPr>
          <w:rFonts w:ascii="宋体" w:hAnsi="宋体" w:cs="宋体" w:eastAsia="宋体" w:hint="default"/>
          <w:sz w:val="23"/>
          <w:szCs w:val="23"/>
        </w:rPr>
      </w:pPr>
    </w:p>
    <w:p>
      <w:pPr>
        <w:spacing w:line="520" w:lineRule="auto" w:before="0"/>
        <w:ind w:left="134" w:right="8506" w:firstLine="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b/>
          <w:bCs/>
          <w:w w:val="99"/>
          <w:sz w:val="21"/>
          <w:szCs w:val="21"/>
        </w:rPr>
        <w:t> </w:t>
      </w:r>
      <w:r>
        <w:rPr>
          <w:rFonts w:ascii="宋体" w:hAnsi="宋体" w:cs="宋体" w:eastAsia="宋体" w:hint="default"/>
          <w:sz w:val="21"/>
          <w:szCs w:val="21"/>
        </w:rPr>
        <w:t>无。 </w:t>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t>无。 </w:t>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pStyle w:val="Heading4"/>
        <w:spacing w:line="240" w:lineRule="auto" w:before="50"/>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490" w:lineRule="atLeast" w:before="137"/>
        <w:ind w:right="0"/>
        <w:jc w:val="left"/>
      </w:pPr>
      <w:bookmarkStart w:name="19、生物资产" w:id="188"/>
      <w:bookmarkEnd w:id="188"/>
      <w:r>
        <w:rPr/>
      </w:r>
      <w:r>
        <w:rPr/>
        <w:t>本集团无形资产包括计算机软件、商标权、开发支出、武汉大千无形资产评估增值等。 </w:t>
      </w:r>
      <w:r>
        <w:rPr>
          <w:spacing w:val="-1"/>
        </w:rPr>
        <w:t>无形资产按照成本进行初始计量，并于取得无形资产时分析判断其使用寿命。使用寿命为有限的，</w:t>
      </w:r>
      <w:bookmarkStart w:name="20、油气资产" w:id="189"/>
      <w:bookmarkEnd w:id="189"/>
      <w:r>
        <w:rPr>
          <w:spacing w:val="-1"/>
        </w:rPr>
        <w:t>自</w:t>
      </w:r>
    </w:p>
    <w:p>
      <w:pPr>
        <w:pStyle w:val="BodyText"/>
        <w:spacing w:line="326" w:lineRule="auto" w:before="99"/>
        <w:ind w:left="154" w:right="0"/>
        <w:jc w:val="left"/>
      </w:pPr>
      <w:r>
        <w:rPr>
          <w:spacing w:val="-1"/>
        </w:rPr>
        <w:t>无形资产可供使用时起，采用能反映与该资产有关的经济利益的预期实现方式的摊销方法，在预计使用年</w:t>
      </w:r>
      <w:r>
        <w:rPr>
          <w:spacing w:val="-81"/>
        </w:rPr>
        <w:t> </w:t>
      </w:r>
      <w:r>
        <w:rPr>
          <w:spacing w:val="-81"/>
        </w:rPr>
      </w:r>
      <w:r>
        <w:rPr/>
        <w:t>限内摊销；无法可靠确定预期实现方式的，采用直线法摊销；使用寿命不确定的无形资产，不作摊销。</w:t>
      </w:r>
    </w:p>
    <w:p>
      <w:pPr>
        <w:spacing w:after="0" w:line="326" w:lineRule="auto"/>
        <w:jc w:val="left"/>
        <w:sectPr>
          <w:pgSz w:w="11910" w:h="16840"/>
          <w:pgMar w:header="917" w:footer="1267" w:top="1140" w:bottom="1460" w:left="980" w:right="980"/>
        </w:sectPr>
      </w:pPr>
    </w:p>
    <w:p>
      <w:pPr>
        <w:spacing w:line="240" w:lineRule="auto" w:before="6"/>
        <w:rPr>
          <w:rFonts w:ascii="宋体" w:hAnsi="宋体" w:cs="宋体" w:eastAsia="宋体" w:hint="default"/>
          <w:sz w:val="21"/>
          <w:szCs w:val="21"/>
        </w:rPr>
      </w:pPr>
    </w:p>
    <w:p>
      <w:pPr>
        <w:pStyle w:val="BodyText"/>
        <w:spacing w:line="240" w:lineRule="auto" w:before="35"/>
        <w:ind w:right="0"/>
        <w:jc w:val="left"/>
      </w:pPr>
      <w:bookmarkStart w:name="22、长期资产减值" w:id="190"/>
      <w:bookmarkEnd w:id="190"/>
      <w:r>
        <w:rPr/>
      </w:r>
      <w:r>
        <w:rPr/>
        <w:t>使用寿命有限的无形资产摊销方法如下：</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3040"/>
        <w:gridCol w:w="2018"/>
        <w:gridCol w:w="2365"/>
        <w:gridCol w:w="1858"/>
      </w:tblGrid>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7"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b/>
                <w:bCs/>
                <w:sz w:val="18"/>
                <w:szCs w:val="18"/>
              </w:rPr>
              <w:t>使用寿命</w:t>
            </w:r>
            <w:r>
              <w:rPr>
                <w:rFonts w:ascii="宋体" w:hAnsi="宋体" w:cs="宋体" w:eastAsia="宋体" w:hint="default"/>
                <w:sz w:val="18"/>
                <w:szCs w:val="18"/>
              </w:rPr>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b/>
                <w:bCs/>
                <w:w w:val="95"/>
                <w:sz w:val="18"/>
                <w:szCs w:val="18"/>
              </w:rPr>
              <w:t>摊销方法</w:t>
            </w:r>
            <w:r>
              <w:rPr>
                <w:rFonts w:ascii="宋体" w:hAnsi="宋体" w:cs="宋体" w:eastAsia="宋体" w:hint="default"/>
                <w:sz w:val="18"/>
                <w:szCs w:val="18"/>
              </w:rPr>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4" w:right="0"/>
              <w:jc w:val="left"/>
              <w:rPr>
                <w:rFonts w:ascii="宋体" w:hAnsi="宋体" w:cs="宋体" w:eastAsia="宋体" w:hint="default"/>
                <w:sz w:val="18"/>
                <w:szCs w:val="18"/>
              </w:rPr>
            </w:pPr>
            <w:r>
              <w:rPr>
                <w:rFonts w:ascii="宋体" w:hAnsi="宋体" w:cs="宋体" w:eastAsia="宋体" w:hint="default"/>
                <w:sz w:val="18"/>
                <w:szCs w:val="18"/>
              </w:rPr>
              <w:t>武汉大千评估增值无形资产</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年限平均法</w:t>
            </w:r>
          </w:p>
        </w:tc>
        <w:tc>
          <w:tcPr>
            <w:tcW w:w="18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326" w:lineRule="auto" w:before="35"/>
        <w:ind w:left="154" w:right="152" w:firstLine="420"/>
        <w:jc w:val="both"/>
      </w:pPr>
      <w:r>
        <w:rPr>
          <w:spacing w:val="-1"/>
        </w:rPr>
        <w:t>本集团于每年年度终了，对使用寿命有限的无形资产的使用寿命及摊销方法进行复核，与以前估计不</w:t>
      </w:r>
      <w:r>
        <w:rPr/>
        <w:t> 同的，调整原先估计数，并按会计估计变更处理。</w:t>
      </w:r>
    </w:p>
    <w:p>
      <w:pPr>
        <w:pStyle w:val="BodyText"/>
        <w:spacing w:line="326" w:lineRule="auto" w:before="144"/>
        <w:ind w:left="154" w:right="152" w:firstLine="420"/>
        <w:jc w:val="both"/>
      </w:pPr>
      <w:r>
        <w:rPr>
          <w:spacing w:val="-1"/>
        </w:rPr>
        <w:t>资产负债表日预计某项无形资产已经不能给企业带来未来经济利益的，将该项无形资产的账面价值全</w:t>
      </w:r>
      <w:r>
        <w:rPr/>
        <w:t> 部转入当期损益。</w:t>
      </w:r>
    </w:p>
    <w:p>
      <w:pPr>
        <w:pStyle w:val="BodyText"/>
        <w:spacing w:line="240" w:lineRule="auto" w:before="144"/>
        <w:ind w:right="0"/>
        <w:jc w:val="left"/>
      </w:pPr>
      <w:r>
        <w:rPr/>
        <w:t>无形资产计提资产减值方法见附注五之</w:t>
      </w:r>
      <w:r>
        <w:rPr>
          <w:rFonts w:ascii="Times New Roman" w:hAnsi="Times New Roman" w:cs="Times New Roman" w:eastAsia="Times New Roman" w:hint="default"/>
        </w:rPr>
        <w:t>22</w:t>
      </w:r>
      <w:r>
        <w:rPr/>
        <w:t>。</w:t>
      </w:r>
    </w:p>
    <w:p>
      <w:pPr>
        <w:spacing w:line="240" w:lineRule="auto" w:before="0"/>
        <w:rPr>
          <w:rFonts w:ascii="宋体" w:hAnsi="宋体" w:cs="宋体" w:eastAsia="宋体" w:hint="default"/>
          <w:sz w:val="27"/>
          <w:szCs w:val="27"/>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pStyle w:val="BodyText"/>
        <w:spacing w:line="430" w:lineRule="atLeast" w:before="166"/>
        <w:ind w:right="0"/>
        <w:jc w:val="left"/>
      </w:pPr>
      <w:r>
        <w:rPr/>
        <w:t>本集团将内部研究开发项目的支出，区分为研</w:t>
      </w:r>
      <w:bookmarkStart w:name="（2）内部研究开发支出会计政策" w:id="191"/>
      <w:bookmarkEnd w:id="191"/>
      <w:r>
        <w:rPr/>
        <w:t>究阶段支出和开发阶段支出。</w:t>
      </w:r>
      <w:r>
        <w:rPr/>
        <w:t> 研究阶段的支出，于发生时计入当期损益。 </w:t>
      </w:r>
      <w:r>
        <w:rPr>
          <w:spacing w:val="-1"/>
        </w:rPr>
        <w:t>开发阶段的支出，同时满足下列条件的，才能予以资本化，即：完成该无形资产以使其能够使用或出</w:t>
      </w:r>
    </w:p>
    <w:p>
      <w:pPr>
        <w:pStyle w:val="BodyText"/>
        <w:spacing w:line="273" w:lineRule="auto" w:before="37"/>
        <w:ind w:left="154" w:right="151"/>
        <w:jc w:val="both"/>
      </w:pPr>
      <w:r>
        <w:rPr>
          <w:spacing w:val="-1"/>
        </w:rPr>
        <w:t>售在技术上具有可行性；具有完成该无形资产并使用或出售的意图；无形资产产生经济利益的方式，包括</w:t>
      </w:r>
      <w:r>
        <w:rPr>
          <w:spacing w:val="-83"/>
        </w:rPr>
        <w:t> </w:t>
      </w:r>
      <w:r>
        <w:rPr>
          <w:spacing w:val="-83"/>
        </w:rPr>
      </w:r>
      <w:r>
        <w:rPr>
          <w:spacing w:val="-1"/>
        </w:rPr>
        <w:t>能够证明运用该无形资产生产的产品存在市场或无形资产自身存在市场，无形资产将在内部使用的，能够</w:t>
      </w:r>
      <w:r>
        <w:rPr>
          <w:spacing w:val="-81"/>
        </w:rPr>
        <w:t> </w:t>
      </w:r>
      <w:r>
        <w:rPr>
          <w:spacing w:val="-81"/>
        </w:rPr>
      </w:r>
      <w:r>
        <w:rPr>
          <w:spacing w:val="-1"/>
        </w:rPr>
        <w:t>证明其有用性；有足够的技术、财务资源和其他资源支持，以完成该无形资产的开发，并有能力使用或出</w:t>
      </w:r>
      <w:r>
        <w:rPr>
          <w:spacing w:val="-86"/>
        </w:rPr>
        <w:t> </w:t>
      </w:r>
      <w:r>
        <w:rPr>
          <w:spacing w:val="-86"/>
        </w:rPr>
      </w:r>
      <w:r>
        <w:rPr>
          <w:spacing w:val="-1"/>
        </w:rPr>
        <w:t>售该无形资产；归属于该无形资产开发阶段的支出能够可靠地计量。不满足上述条件的开发支出计入当期</w:t>
      </w:r>
      <w:r>
        <w:rPr>
          <w:spacing w:val="-81"/>
        </w:rPr>
        <w:t> </w:t>
      </w:r>
      <w:r>
        <w:rPr>
          <w:spacing w:val="-81"/>
        </w:rPr>
      </w:r>
      <w:r>
        <w:rPr/>
        <w:t>损益。</w:t>
      </w:r>
    </w:p>
    <w:p>
      <w:pPr>
        <w:pStyle w:val="BodyText"/>
        <w:spacing w:line="273" w:lineRule="auto" w:before="127"/>
        <w:ind w:left="154" w:right="151" w:firstLine="420"/>
        <w:jc w:val="both"/>
      </w:pPr>
      <w:r>
        <w:rPr>
          <w:spacing w:val="-1"/>
        </w:rPr>
        <w:t>本集团研究开发项目在满足上述条件，通过技术可行性及经济可行性研究，形成项目立项后，进入开</w:t>
      </w:r>
      <w:r>
        <w:rPr/>
        <w:t> 发阶段。</w:t>
      </w:r>
    </w:p>
    <w:p>
      <w:pPr>
        <w:pStyle w:val="BodyText"/>
        <w:spacing w:line="273" w:lineRule="auto" w:before="127"/>
        <w:ind w:left="154" w:right="152" w:firstLine="420"/>
        <w:jc w:val="both"/>
      </w:pPr>
      <w:r>
        <w:rPr>
          <w:spacing w:val="-1"/>
        </w:rPr>
        <w:t>已资本化的开发阶段的支出在资产负债表上列示为开发支出，自该项目达到预定可使用状态之日转为</w:t>
      </w:r>
      <w:r>
        <w:rPr/>
        <w:t> 无形资产。</w:t>
      </w:r>
    </w:p>
    <w:p>
      <w:pPr>
        <w:pStyle w:val="BodyText"/>
        <w:spacing w:line="590" w:lineRule="atLeast" w:before="9"/>
        <w:ind w:right="0" w:hanging="420"/>
        <w:jc w:val="left"/>
      </w:pP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spacing w:val="1"/>
          <w:w w:val="99"/>
        </w:rPr>
        <w:t> </w:t>
      </w:r>
      <w:r>
        <w:rPr>
          <w:spacing w:val="-1"/>
        </w:rPr>
        <w:t>对子公司、联营企业和合营企业的长期股权投资、采用成本模式进行后续计量的投资性房地产、固定</w:t>
      </w:r>
    </w:p>
    <w:p>
      <w:pPr>
        <w:pStyle w:val="BodyText"/>
        <w:spacing w:line="273" w:lineRule="auto" w:before="37"/>
        <w:ind w:left="154" w:right="130"/>
        <w:jc w:val="both"/>
      </w:pPr>
      <w:r>
        <w:rPr/>
        <w:t>资产、在建工程、采用成本模式计量的无形资产、商誉等（存货、按公允价值模式计量的投资性房地产、 递延所得税资产、金融资产除外）的资产减值，按以下方法确定：</w:t>
      </w:r>
    </w:p>
    <w:p>
      <w:pPr>
        <w:pStyle w:val="BodyText"/>
        <w:spacing w:line="273" w:lineRule="auto" w:before="127"/>
        <w:ind w:left="154" w:right="151" w:firstLine="420"/>
        <w:jc w:val="both"/>
      </w:pPr>
      <w:r>
        <w:rPr>
          <w:spacing w:val="-1"/>
        </w:rPr>
        <w:t>于资产负债表日判断资产是否存在可能发生减值的迹象，存在减值迹象的，本集团将估计其可收回金</w:t>
      </w:r>
      <w:r>
        <w:rPr/>
        <w:t> </w:t>
      </w:r>
      <w:r>
        <w:rPr>
          <w:spacing w:val="-1"/>
        </w:rPr>
        <w:t>额，进行减值测试。对因企业合并所形成的商誉、使用寿命不确定的无形资产和尚未达到可使用状态的无</w:t>
      </w:r>
      <w:r>
        <w:rPr>
          <w:spacing w:val="-83"/>
        </w:rPr>
        <w:t> </w:t>
      </w:r>
      <w:r>
        <w:rPr>
          <w:spacing w:val="-83"/>
        </w:rPr>
      </w:r>
      <w:r>
        <w:rPr/>
        <w:t>形资产无论是否存在减值迹象，每年都进行减值测试。</w:t>
      </w:r>
    </w:p>
    <w:p>
      <w:pPr>
        <w:pStyle w:val="BodyText"/>
        <w:spacing w:line="273" w:lineRule="auto" w:before="127"/>
        <w:ind w:left="154" w:right="148" w:firstLine="420"/>
        <w:jc w:val="both"/>
      </w:pPr>
      <w:r>
        <w:rPr>
          <w:spacing w:val="3"/>
        </w:rPr>
        <w:t>可收回金额根据资产的公允价值减去处置费用后的净额与资产预计未来现金流量的现值两者之间较</w:t>
      </w:r>
      <w:r>
        <w:rPr/>
        <w:t> </w:t>
      </w:r>
      <w:r>
        <w:rPr>
          <w:spacing w:val="-1"/>
        </w:rPr>
        <w:t>高者确定。本集团以单项资产为基础估计其可收回金额；难以对单项资产的可收回金额进行估计的，以该</w:t>
      </w:r>
      <w:r>
        <w:rPr>
          <w:spacing w:val="-83"/>
        </w:rPr>
        <w:t> </w:t>
      </w:r>
      <w:r>
        <w:rPr>
          <w:spacing w:val="-83"/>
        </w:rPr>
      </w:r>
      <w:r>
        <w:rPr>
          <w:spacing w:val="-1"/>
        </w:rPr>
        <w:t>资产所属的资产组为基础确定资产组的可收回金额。资产组的认定，以资产组产生的主要现金流入是否独</w:t>
      </w:r>
      <w:r>
        <w:rPr>
          <w:spacing w:val="-81"/>
        </w:rPr>
        <w:t> </w:t>
      </w:r>
      <w:r>
        <w:rPr>
          <w:spacing w:val="-81"/>
        </w:rPr>
      </w:r>
      <w:r>
        <w:rPr/>
        <w:t>立于其他资产或者资产组的现金流入为依据。</w:t>
      </w:r>
    </w:p>
    <w:p>
      <w:pPr>
        <w:spacing w:after="0" w:line="273" w:lineRule="auto"/>
        <w:jc w:val="both"/>
        <w:sectPr>
          <w:pgSz w:w="11910" w:h="16840"/>
          <w:pgMar w:header="917" w:footer="1267" w:top="1140" w:bottom="1460" w:left="980" w:right="980"/>
        </w:sectPr>
      </w:pPr>
    </w:p>
    <w:p>
      <w:pPr>
        <w:spacing w:line="240" w:lineRule="auto" w:before="1"/>
        <w:rPr>
          <w:rFonts w:ascii="宋体" w:hAnsi="宋体" w:cs="宋体" w:eastAsia="宋体" w:hint="default"/>
          <w:sz w:val="19"/>
          <w:szCs w:val="19"/>
        </w:rPr>
      </w:pPr>
    </w:p>
    <w:p>
      <w:pPr>
        <w:pStyle w:val="BodyText"/>
        <w:spacing w:line="273" w:lineRule="auto" w:before="35"/>
        <w:ind w:left="154" w:right="97" w:firstLine="420"/>
        <w:jc w:val="left"/>
      </w:pPr>
      <w:bookmarkStart w:name="（3）辞退福利的会计处理方法" w:id="192"/>
      <w:bookmarkEnd w:id="192"/>
      <w:r>
        <w:rPr/>
      </w:r>
      <w:r>
        <w:rPr>
          <w:spacing w:val="-1"/>
        </w:rPr>
        <w:t>当资产或资产组的可收回金额低于其账面价值时，本集团将其账面价值减记至可收回金额，减记的金</w:t>
      </w:r>
      <w:r>
        <w:rPr/>
        <w:t> 额计入当期损益，同时计提相应的资产减值准备。</w:t>
      </w:r>
    </w:p>
    <w:p>
      <w:pPr>
        <w:pStyle w:val="BodyText"/>
        <w:spacing w:line="273" w:lineRule="auto" w:before="127"/>
        <w:ind w:left="154" w:right="103" w:firstLine="420"/>
        <w:jc w:val="left"/>
      </w:pPr>
      <w:r>
        <w:rPr/>
        <w:t>就商誉的减值测试而言，对于因企业合并形成的商誉的账面价值，自购买日起按照合理的方法分摊至 </w:t>
      </w:r>
      <w:r>
        <w:rPr>
          <w:spacing w:val="-3"/>
        </w:rPr>
        <w:t>相关的资产组；难以分摊至相关的资产组的，将其分摊至相关的资产组组合。相关的资产组或资产组组合，</w:t>
      </w:r>
      <w:r>
        <w:rPr>
          <w:spacing w:val="-90"/>
        </w:rPr>
        <w:t> </w:t>
      </w:r>
      <w:r>
        <w:rPr>
          <w:spacing w:val="-90"/>
        </w:rPr>
      </w:r>
      <w:r>
        <w:rPr/>
        <w:t>是能够从企业合并的协同效应中受益的资产组或者资产组组合，且不大于本集团确定的报告分部。</w:t>
      </w:r>
    </w:p>
    <w:p>
      <w:pPr>
        <w:pStyle w:val="BodyText"/>
        <w:spacing w:line="273" w:lineRule="auto" w:before="127"/>
        <w:ind w:left="154" w:right="211" w:firstLine="420"/>
        <w:jc w:val="both"/>
      </w:pPr>
      <w:r>
        <w:rPr>
          <w:spacing w:val="-1"/>
        </w:rPr>
        <w:t>减值测试时，如与商誉相关的资产组或者资产组组合存在减值迹象的，首先对不包含商誉的资产组或</w:t>
      </w:r>
      <w:r>
        <w:rPr/>
        <w:t> </w:t>
      </w:r>
      <w:r>
        <w:rPr>
          <w:spacing w:val="-1"/>
        </w:rPr>
        <w:t>者资产组组合进行减值测试，计算可收回金额，确认相应的减值损失。然后对包含商誉的资产组或者资产</w:t>
      </w:r>
      <w:r>
        <w:rPr>
          <w:spacing w:val="-83"/>
        </w:rPr>
        <w:t> </w:t>
      </w:r>
      <w:r>
        <w:rPr>
          <w:spacing w:val="-83"/>
        </w:rPr>
      </w:r>
      <w:r>
        <w:rPr>
          <w:spacing w:val="-1"/>
        </w:rPr>
        <w:t>组组合进行减值测试，比较其账面价值与可收回金额，如可收回金额低于账面价值的，确认商誉的减值损</w:t>
      </w:r>
      <w:r>
        <w:rPr>
          <w:spacing w:val="-83"/>
        </w:rPr>
        <w:t> </w:t>
      </w:r>
      <w:r>
        <w:rPr>
          <w:spacing w:val="-83"/>
        </w:rPr>
      </w:r>
      <w:r>
        <w:rPr/>
        <w:t>失。</w:t>
      </w:r>
    </w:p>
    <w:p>
      <w:pPr>
        <w:pStyle w:val="BodyText"/>
        <w:spacing w:line="240" w:lineRule="auto" w:before="127"/>
        <w:ind w:right="97"/>
        <w:jc w:val="left"/>
      </w:pPr>
      <w:r>
        <w:rPr/>
        <w:t>资产减值损失一经确认，在以后会计期间不再转回。</w:t>
      </w:r>
    </w:p>
    <w:p>
      <w:pPr>
        <w:pStyle w:val="BodyText"/>
        <w:spacing w:line="590" w:lineRule="atLeast" w:before="39"/>
        <w:ind w:right="97" w:hanging="420"/>
        <w:jc w:val="left"/>
      </w:pP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spacing w:val="1"/>
          <w:w w:val="99"/>
        </w:rPr>
        <w:t> </w:t>
      </w:r>
      <w:bookmarkStart w:name="23、长期待摊费用" w:id="193"/>
      <w:bookmarkEnd w:id="193"/>
      <w:r>
        <w:rPr>
          <w:rFonts w:ascii="宋体" w:hAnsi="宋体" w:cs="宋体" w:eastAsia="宋体" w:hint="default"/>
          <w:b/>
          <w:bCs/>
          <w:spacing w:val="1"/>
          <w:w w:val="99"/>
        </w:rPr>
      </w:r>
      <w:r>
        <w:rPr>
          <w:spacing w:val="-1"/>
        </w:rPr>
        <w:t>本集团发生的长期待摊费用按实际成本计价，并按预计受益期限平均摊销。对不能使以后会计期间受</w:t>
      </w:r>
    </w:p>
    <w:p>
      <w:pPr>
        <w:pStyle w:val="BodyText"/>
        <w:spacing w:line="240" w:lineRule="auto" w:before="37"/>
        <w:ind w:left="154" w:right="97"/>
        <w:jc w:val="left"/>
      </w:pPr>
      <w:r>
        <w:rPr/>
        <w:t>益的长期待摊费用项目，其摊余价值全部计入当期损益。</w:t>
      </w:r>
    </w:p>
    <w:p>
      <w:pPr>
        <w:spacing w:line="240" w:lineRule="auto" w:before="11"/>
        <w:rPr>
          <w:rFonts w:ascii="宋体" w:hAnsi="宋体" w:cs="宋体" w:eastAsia="宋体" w:hint="default"/>
          <w:sz w:val="25"/>
          <w:szCs w:val="25"/>
        </w:rPr>
      </w:pPr>
    </w:p>
    <w:p>
      <w:pPr>
        <w:pStyle w:val="Heading4"/>
        <w:spacing w:line="240" w:lineRule="auto"/>
        <w:ind w:right="97"/>
        <w:jc w:val="left"/>
        <w:rPr>
          <w:b w:val="0"/>
          <w:bCs w:val="0"/>
        </w:rPr>
      </w:pPr>
      <w:r>
        <w:rPr>
          <w:rFonts w:ascii="Times New Roman" w:hAnsi="Times New Roman" w:cs="Times New Roman" w:eastAsia="Times New Roman" w:hint="default"/>
        </w:rPr>
        <w:t>24</w:t>
      </w:r>
      <w:r>
        <w:rPr/>
        <w:t>、职工薪酬</w:t>
      </w:r>
      <w:r>
        <w:rPr>
          <w:b w:val="0"/>
          <w:bCs w:val="0"/>
        </w:rPr>
      </w:r>
    </w:p>
    <w:p>
      <w:pPr>
        <w:spacing w:line="590" w:lineRule="atLeast" w:before="23"/>
        <w:ind w:left="574" w:right="9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本集团在职工提供服务的会计期间，</w:t>
      </w:r>
      <w:bookmarkStart w:name="24、职工薪酬" w:id="194"/>
      <w:bookmarkEnd w:id="194"/>
      <w:r>
        <w:rPr>
          <w:rFonts w:ascii="宋体" w:hAnsi="宋体" w:cs="宋体" w:eastAsia="宋体" w:hint="default"/>
          <w:spacing w:val="-1"/>
          <w:sz w:val="21"/>
          <w:szCs w:val="21"/>
        </w:rPr>
        <w:t>将实际发生的职工工资</w:t>
      </w:r>
      <w:r>
        <w:rPr>
          <w:rFonts w:ascii="宋体" w:hAnsi="宋体" w:cs="宋体" w:eastAsia="宋体" w:hint="default"/>
          <w:spacing w:val="-1"/>
          <w:sz w:val="21"/>
          <w:szCs w:val="21"/>
        </w:rPr>
        <w:t>、</w:t>
      </w:r>
      <w:bookmarkStart w:name="（1）短期薪酬的会计处理方法" w:id="195"/>
      <w:bookmarkEnd w:id="195"/>
      <w:r>
        <w:rPr>
          <w:rFonts w:ascii="宋体" w:hAnsi="宋体" w:cs="宋体" w:eastAsia="宋体" w:hint="default"/>
          <w:spacing w:val="-1"/>
          <w:sz w:val="21"/>
          <w:szCs w:val="21"/>
        </w:rPr>
        <w:t>奖金</w:t>
      </w:r>
      <w:r>
        <w:rPr>
          <w:rFonts w:ascii="宋体" w:hAnsi="宋体" w:cs="宋体" w:eastAsia="宋体" w:hint="default"/>
          <w:spacing w:val="-1"/>
          <w:sz w:val="21"/>
          <w:szCs w:val="21"/>
        </w:rPr>
        <w:t>、按规定的基准和比例为职工缴纳</w:t>
      </w:r>
    </w:p>
    <w:p>
      <w:pPr>
        <w:pStyle w:val="BodyText"/>
        <w:spacing w:line="273" w:lineRule="auto" w:before="37"/>
        <w:ind w:left="154" w:right="211"/>
        <w:jc w:val="both"/>
      </w:pPr>
      <w:r>
        <w:rPr>
          <w:spacing w:val="-1"/>
        </w:rPr>
        <w:t>的医疗保险费、工伤保险费和生育保险费等社会保险费和住房公积金，确认为负债，并计入当期损益或相</w:t>
      </w:r>
      <w:r>
        <w:rPr>
          <w:spacing w:val="-83"/>
        </w:rPr>
        <w:t> </w:t>
      </w:r>
      <w:r>
        <w:rPr>
          <w:spacing w:val="-83"/>
        </w:rPr>
      </w:r>
      <w:r>
        <w:rPr>
          <w:spacing w:val="-1"/>
        </w:rPr>
        <w:t>关资产成本。如果该负债预期在职工提供相关服务的年度报告期结束后十二个月内不能完全支付，且财务</w:t>
      </w:r>
      <w:r>
        <w:rPr>
          <w:spacing w:val="-81"/>
        </w:rPr>
        <w:t> </w:t>
      </w:r>
      <w:r>
        <w:rPr>
          <w:spacing w:val="-81"/>
        </w:rPr>
      </w:r>
      <w:r>
        <w:rPr/>
        <w:t>影响重大的，则该负债将以折现后的金额计量。</w:t>
      </w:r>
    </w:p>
    <w:p>
      <w:pPr>
        <w:spacing w:line="590" w:lineRule="atLeast" w:before="9"/>
        <w:ind w:left="574" w:right="9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离职后福利计划包括设定提存计划和设定受益计划。其中，设定提存计划，</w:t>
      </w:r>
      <w:bookmarkStart w:name="（2）离职后福利的会计处理方法" w:id="196"/>
      <w:bookmarkEnd w:id="196"/>
      <w:r>
        <w:rPr>
          <w:rFonts w:ascii="宋体" w:hAnsi="宋体" w:cs="宋体" w:eastAsia="宋体" w:hint="default"/>
          <w:spacing w:val="-1"/>
          <w:sz w:val="21"/>
          <w:szCs w:val="21"/>
        </w:rPr>
        <w:t>是指向独立的基金缴存固</w:t>
      </w:r>
    </w:p>
    <w:p>
      <w:pPr>
        <w:pStyle w:val="BodyText"/>
        <w:spacing w:line="273" w:lineRule="auto" w:before="37"/>
        <w:ind w:left="154" w:right="211"/>
        <w:jc w:val="both"/>
      </w:pPr>
      <w:r>
        <w:rPr>
          <w:spacing w:val="-1"/>
        </w:rPr>
        <w:t>定费用后，企业不再承担进一步支付义务的离职后福利计划；设定受益计划，是指除设定提存计划以外的</w:t>
      </w:r>
      <w:r>
        <w:rPr>
          <w:spacing w:val="-83"/>
        </w:rPr>
        <w:t> </w:t>
      </w:r>
      <w:r>
        <w:rPr>
          <w:spacing w:val="-83"/>
        </w:rPr>
      </w:r>
      <w:r>
        <w:rPr/>
        <w:t>离职后福利计划。</w:t>
      </w:r>
    </w:p>
    <w:p>
      <w:pPr>
        <w:pStyle w:val="BodyText"/>
        <w:spacing w:line="376" w:lineRule="auto" w:before="127"/>
        <w:ind w:right="3322"/>
        <w:jc w:val="left"/>
      </w:pPr>
      <w:r>
        <w:rPr/>
        <w:t>设定提存计划： 设定提存计划包括基本养老保险、失业保险以及企业年金计划等。</w:t>
      </w:r>
    </w:p>
    <w:p>
      <w:pPr>
        <w:pStyle w:val="BodyText"/>
        <w:spacing w:line="256" w:lineRule="auto" w:before="37"/>
        <w:ind w:left="153" w:right="97" w:firstLine="420"/>
        <w:jc w:val="left"/>
      </w:pPr>
      <w:r>
        <w:rPr>
          <w:spacing w:val="-4"/>
        </w:rPr>
        <w:t>除了基本养老保险之外，本集团依据国家企业年金制度的相关政策建立企业年金计划（</w:t>
      </w:r>
      <w:r>
        <w:rPr>
          <w:rFonts w:ascii="Times New Roman" w:hAnsi="Times New Roman" w:cs="Times New Roman" w:eastAsia="Times New Roman" w:hint="default"/>
          <w:spacing w:val="-4"/>
        </w:rPr>
        <w:t>“</w:t>
      </w:r>
      <w:r>
        <w:rPr>
          <w:spacing w:val="-4"/>
        </w:rPr>
        <w:t>年金计划</w:t>
      </w:r>
      <w:r>
        <w:rPr>
          <w:rFonts w:ascii="Times New Roman" w:hAnsi="Times New Roman" w:cs="Times New Roman" w:eastAsia="Times New Roman" w:hint="default"/>
          <w:spacing w:val="-4"/>
        </w:rPr>
        <w:t>”</w:t>
      </w:r>
      <w:r>
        <w:rPr>
          <w:spacing w:val="-4"/>
        </w:rPr>
        <w:t>），</w:t>
      </w:r>
      <w:r>
        <w:rPr>
          <w:spacing w:val="-35"/>
        </w:rPr>
        <w:t> </w:t>
      </w:r>
      <w:r>
        <w:rPr/>
        <w:t>符合年金条件的公司员工可以自愿参加该年金计划。除此之外，本集团并无其他重大职工社会保障承诺。</w:t>
      </w:r>
    </w:p>
    <w:p>
      <w:pPr>
        <w:pStyle w:val="BodyText"/>
        <w:spacing w:line="273" w:lineRule="auto" w:before="142"/>
        <w:ind w:left="153" w:right="97" w:firstLine="420"/>
        <w:jc w:val="left"/>
      </w:pPr>
      <w:r>
        <w:rPr>
          <w:spacing w:val="-1"/>
        </w:rPr>
        <w:t>在职工提供服务的会计期间，根据设定提存计划计算的应缴存金额确认为负债，并计入当期损益或相</w:t>
      </w:r>
      <w:r>
        <w:rPr/>
        <w:t> 关资产成本。</w:t>
      </w:r>
    </w:p>
    <w:p>
      <w:pPr>
        <w:spacing w:line="590" w:lineRule="atLeast" w:before="9"/>
        <w:ind w:left="574" w:right="9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本集团向职工提供辞退福利的，在下列两者孰早日确认辞退福利产生的职工薪酬负债，并计入当期损</w:t>
      </w:r>
    </w:p>
    <w:p>
      <w:pPr>
        <w:pStyle w:val="BodyText"/>
        <w:spacing w:line="273" w:lineRule="auto" w:before="37"/>
        <w:ind w:left="154" w:right="212"/>
        <w:jc w:val="both"/>
      </w:pPr>
      <w:r>
        <w:rPr>
          <w:spacing w:val="-1"/>
        </w:rPr>
        <w:t>益：本集团不能单方面撤回因解除劳动关系计划或裁减建议所提供的辞退福利时；本集团确认与涉及支付</w:t>
      </w:r>
      <w:r>
        <w:rPr>
          <w:spacing w:val="-81"/>
        </w:rPr>
        <w:t> </w:t>
      </w:r>
      <w:r>
        <w:rPr>
          <w:spacing w:val="-81"/>
        </w:rPr>
      </w:r>
      <w:r>
        <w:rPr/>
        <w:t>辞退福利的重组相关的成本或费用。</w:t>
      </w:r>
    </w:p>
    <w:p>
      <w:pPr>
        <w:spacing w:after="0" w:line="273" w:lineRule="auto"/>
        <w:jc w:val="both"/>
        <w:sectPr>
          <w:pgSz w:w="11910" w:h="16840"/>
          <w:pgMar w:header="917" w:footer="1267" w:top="1140" w:bottom="1460" w:left="980" w:right="920"/>
        </w:sectPr>
      </w:pPr>
    </w:p>
    <w:p>
      <w:pPr>
        <w:spacing w:line="240" w:lineRule="auto" w:before="2"/>
        <w:rPr>
          <w:rFonts w:ascii="宋体" w:hAnsi="宋体" w:cs="宋体" w:eastAsia="宋体" w:hint="default"/>
          <w:sz w:val="19"/>
          <w:szCs w:val="19"/>
        </w:rPr>
      </w:pPr>
    </w:p>
    <w:p>
      <w:pPr>
        <w:pStyle w:val="Heading4"/>
        <w:spacing w:line="240" w:lineRule="auto" w:before="35"/>
        <w:ind w:right="97"/>
        <w:jc w:val="left"/>
        <w:rPr>
          <w:b w:val="0"/>
          <w:bCs w:val="0"/>
        </w:rPr>
      </w:pPr>
      <w:r>
        <w:rPr/>
        <w:t>（</w:t>
      </w:r>
      <w:r>
        <w:rPr>
          <w:rFonts w:ascii="Times New Roman" w:hAnsi="Times New Roman" w:cs="Times New Roman" w:eastAsia="Times New Roman" w:hint="default"/>
        </w:rPr>
        <w:t>4</w:t>
      </w:r>
      <w:bookmarkStart w:name="（4）其他长期职工福利的会计处理方法" w:id="197"/>
      <w:bookmarkEnd w:id="197"/>
      <w:r>
        <w:rPr>
          <w:rFonts w:ascii="Times New Roman" w:hAnsi="Times New Roman" w:cs="Times New Roman" w:eastAsia="Times New Roman" w:hint="default"/>
        </w:rPr>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4" w:right="211" w:firstLine="420"/>
        <w:jc w:val="both"/>
      </w:pPr>
      <w:r>
        <w:rPr>
          <w:spacing w:val="-1"/>
        </w:rPr>
        <w:t>本集团向职工提供的其他长期职工福利，符合设定提存计划条件的，按照上述关于设定提存计划的有</w:t>
      </w:r>
      <w:r>
        <w:rPr/>
        <w:t> </w:t>
      </w:r>
      <w:r>
        <w:rPr>
          <w:spacing w:val="-1"/>
        </w:rPr>
        <w:t>关规定进行处理。符合设定受益计划的，按照上述关于设定受益计划的有关规定进行处理，但相关职工薪</w:t>
      </w:r>
      <w:r>
        <w:rPr>
          <w:spacing w:val="-83"/>
        </w:rPr>
        <w:t> </w:t>
      </w:r>
      <w:r>
        <w:rPr>
          <w:spacing w:val="-83"/>
        </w:rPr>
      </w:r>
      <w:r>
        <w:rPr/>
        <w:t>酬成本中</w:t>
      </w:r>
      <w:r>
        <w:rPr>
          <w:rFonts w:ascii="Times New Roman" w:hAnsi="Times New Roman" w:cs="Times New Roman" w:eastAsia="Times New Roman" w:hint="default"/>
        </w:rPr>
        <w:t>“</w:t>
      </w:r>
      <w:r>
        <w:rPr/>
        <w:t>重新计量设定受益计划净负债或净资产所产生的变动</w:t>
      </w:r>
      <w:r>
        <w:rPr>
          <w:rFonts w:ascii="Times New Roman" w:hAnsi="Times New Roman" w:cs="Times New Roman" w:eastAsia="Times New Roman" w:hint="default"/>
        </w:rPr>
        <w:t>”</w:t>
      </w:r>
      <w:r>
        <w:rPr/>
        <w:t>部分计入当期损益或相关资产成本。</w:t>
      </w:r>
    </w:p>
    <w:p>
      <w:pPr>
        <w:spacing w:line="240" w:lineRule="auto" w:before="2"/>
        <w:rPr>
          <w:rFonts w:ascii="宋体" w:hAnsi="宋体" w:cs="宋体" w:eastAsia="宋体" w:hint="default"/>
          <w:sz w:val="22"/>
          <w:szCs w:val="22"/>
        </w:rPr>
      </w:pPr>
    </w:p>
    <w:p>
      <w:pPr>
        <w:pStyle w:val="Heading4"/>
        <w:spacing w:line="547" w:lineRule="auto"/>
        <w:ind w:left="139" w:right="8571"/>
        <w:jc w:val="center"/>
        <w:rPr>
          <w:b w:val="0"/>
          <w:bCs w:val="0"/>
        </w:rPr>
      </w:pPr>
      <w:r>
        <w:rPr>
          <w:rFonts w:ascii="Times New Roman" w:hAnsi="Times New Roman" w:cs="Times New Roman" w:eastAsia="Times New Roman" w:hint="default"/>
        </w:rPr>
        <w:t>25</w:t>
      </w:r>
      <w:r>
        <w:rPr/>
        <w:t>、预计负债</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26</w:t>
      </w:r>
      <w:r>
        <w:rPr/>
        <w:t>、股份支付</w:t>
      </w:r>
      <w:r>
        <w:rPr>
          <w:b w:val="0"/>
          <w:bCs w:val="0"/>
        </w:rPr>
      </w:r>
    </w:p>
    <w:p>
      <w:pPr>
        <w:pStyle w:val="BodyText"/>
        <w:spacing w:line="436" w:lineRule="auto" w:before="23"/>
        <w:ind w:right="5422"/>
        <w:jc w:val="left"/>
      </w:pPr>
      <w:r>
        <w:rPr/>
        <w:t>（</w:t>
      </w:r>
      <w:r>
        <w:rPr>
          <w:rFonts w:ascii="Times New Roman" w:hAnsi="Times New Roman" w:cs="Times New Roman" w:eastAsia="Times New Roman" w:hint="default"/>
        </w:rPr>
        <w:t>1</w:t>
      </w:r>
      <w:r>
        <w:rPr/>
        <w:t>）股份支</w:t>
      </w:r>
      <w:bookmarkStart w:name="25、预计负债" w:id="198"/>
      <w:bookmarkEnd w:id="198"/>
      <w:r>
        <w:rPr/>
        <w:t>付的种类</w:t>
      </w:r>
      <w:r>
        <w:rPr/>
        <w:t> </w:t>
      </w:r>
      <w:bookmarkStart w:name="26、股份支付" w:id="199"/>
      <w:bookmarkEnd w:id="199"/>
      <w:r>
        <w:rPr/>
        <w:t>本集团股份支付为以权益结算的股份支付。</w:t>
      </w:r>
    </w:p>
    <w:p>
      <w:pPr>
        <w:pStyle w:val="BodyText"/>
        <w:spacing w:line="276" w:lineRule="exact"/>
        <w:ind w:right="97"/>
        <w:jc w:val="left"/>
      </w:pPr>
      <w:r>
        <w:rPr/>
        <w:t>（</w:t>
      </w:r>
      <w:r>
        <w:rPr>
          <w:rFonts w:ascii="Times New Roman" w:hAnsi="Times New Roman" w:cs="Times New Roman" w:eastAsia="Times New Roman" w:hint="default"/>
        </w:rPr>
        <w:t>2</w:t>
      </w:r>
      <w:r>
        <w:rPr/>
        <w:t>）权益工具公允价值的确定方法</w:t>
      </w:r>
    </w:p>
    <w:p>
      <w:pPr>
        <w:spacing w:line="240" w:lineRule="auto" w:before="2"/>
        <w:rPr>
          <w:rFonts w:ascii="宋体" w:hAnsi="宋体" w:cs="宋体" w:eastAsia="宋体" w:hint="default"/>
          <w:sz w:val="18"/>
          <w:szCs w:val="18"/>
        </w:rPr>
      </w:pPr>
    </w:p>
    <w:p>
      <w:pPr>
        <w:pStyle w:val="BodyText"/>
        <w:spacing w:line="266" w:lineRule="auto"/>
        <w:ind w:left="154" w:right="90" w:firstLine="420"/>
        <w:jc w:val="left"/>
      </w:pPr>
      <w:r>
        <w:rPr/>
        <w:t>本集团对于授予的存在活跃市场的期权等权益工具，按照活跃市场中的报价确定其公允价值。对于授 予的不存在活跃市场的期权等权益工具，采用期权定价模型等确定其公允价值。选用的期权定价模型考虑 以下因素：</w:t>
      </w:r>
      <w:r>
        <w:rPr>
          <w:rFonts w:ascii="Times New Roman" w:hAnsi="Times New Roman" w:cs="Times New Roman" w:eastAsia="Times New Roman" w:hint="default"/>
        </w:rPr>
        <w:t>A</w:t>
      </w:r>
      <w:r>
        <w:rPr/>
        <w:t>、期权的行权价格；</w:t>
      </w:r>
      <w:r>
        <w:rPr>
          <w:rFonts w:ascii="Times New Roman" w:hAnsi="Times New Roman" w:cs="Times New Roman" w:eastAsia="Times New Roman" w:hint="default"/>
        </w:rPr>
        <w:t>B</w:t>
      </w:r>
      <w:r>
        <w:rPr/>
        <w:t>、期权的有效期；</w:t>
      </w:r>
      <w:r>
        <w:rPr>
          <w:rFonts w:ascii="Times New Roman" w:hAnsi="Times New Roman" w:cs="Times New Roman" w:eastAsia="Times New Roman" w:hint="default"/>
        </w:rPr>
        <w:t>C</w:t>
      </w:r>
      <w:r>
        <w:rPr/>
        <w:t>、标的股份的现行价格；</w:t>
      </w:r>
      <w:r>
        <w:rPr>
          <w:rFonts w:ascii="Times New Roman" w:hAnsi="Times New Roman" w:cs="Times New Roman" w:eastAsia="Times New Roman" w:hint="default"/>
        </w:rPr>
        <w:t>D</w:t>
      </w:r>
      <w:r>
        <w:rPr/>
        <w:t>、股价预计波动率；</w:t>
      </w:r>
      <w:r>
        <w:rPr>
          <w:rFonts w:ascii="Times New Roman" w:hAnsi="Times New Roman" w:cs="Times New Roman" w:eastAsia="Times New Roman" w:hint="default"/>
        </w:rPr>
        <w:t>E</w:t>
      </w:r>
      <w:r>
        <w:rPr/>
        <w:t>、 股份的预计股利；</w:t>
      </w:r>
      <w:r>
        <w:rPr>
          <w:rFonts w:ascii="Times New Roman" w:hAnsi="Times New Roman" w:cs="Times New Roman" w:eastAsia="Times New Roman" w:hint="default"/>
        </w:rPr>
        <w:t>F</w:t>
      </w:r>
      <w:r>
        <w:rPr/>
        <w:t>、期权有效期内的无风险利率。</w:t>
      </w:r>
    </w:p>
    <w:p>
      <w:pPr>
        <w:pStyle w:val="BodyText"/>
        <w:spacing w:line="240" w:lineRule="auto" w:before="115"/>
        <w:ind w:right="97"/>
        <w:jc w:val="left"/>
      </w:pPr>
      <w:r>
        <w:rPr/>
        <w:t>（</w:t>
      </w:r>
      <w:r>
        <w:rPr>
          <w:rFonts w:ascii="Times New Roman" w:hAnsi="Times New Roman" w:cs="Times New Roman" w:eastAsia="Times New Roman" w:hint="default"/>
        </w:rPr>
        <w:t>3</w:t>
      </w:r>
      <w:r>
        <w:rPr/>
        <w:t>）确认可行权权益工具最佳估计的依据</w:t>
      </w:r>
    </w:p>
    <w:p>
      <w:pPr>
        <w:spacing w:line="240" w:lineRule="auto" w:before="2"/>
        <w:rPr>
          <w:rFonts w:ascii="宋体" w:hAnsi="宋体" w:cs="宋体" w:eastAsia="宋体" w:hint="default"/>
          <w:sz w:val="18"/>
          <w:szCs w:val="18"/>
        </w:rPr>
      </w:pPr>
    </w:p>
    <w:p>
      <w:pPr>
        <w:pStyle w:val="BodyText"/>
        <w:spacing w:line="273" w:lineRule="auto"/>
        <w:ind w:left="154" w:right="190" w:firstLine="420"/>
        <w:jc w:val="both"/>
      </w:pPr>
      <w:r>
        <w:rPr/>
        <w:t>等待期内每个资产负债表日，本集团根据最新取得的可行权职工人数变动等后续信息作出最佳估计， </w:t>
      </w:r>
      <w:r>
        <w:rPr>
          <w:spacing w:val="-1"/>
        </w:rPr>
        <w:t>修正预计可行权的权益工具数量。在可行权日，最终预计可行权权益工具的数量应当与实际可行权数量一</w:t>
      </w:r>
      <w:r>
        <w:rPr>
          <w:spacing w:val="-81"/>
        </w:rPr>
        <w:t> </w:t>
      </w:r>
      <w:r>
        <w:rPr>
          <w:spacing w:val="-81"/>
        </w:rPr>
      </w:r>
      <w:r>
        <w:rPr/>
        <w:t>致。</w:t>
      </w:r>
    </w:p>
    <w:p>
      <w:pPr>
        <w:pStyle w:val="BodyText"/>
        <w:spacing w:line="240" w:lineRule="auto" w:before="127"/>
        <w:ind w:right="97"/>
        <w:jc w:val="left"/>
      </w:pPr>
      <w:r>
        <w:rPr/>
        <w:t>（</w:t>
      </w:r>
      <w:r>
        <w:rPr>
          <w:rFonts w:ascii="Times New Roman" w:hAnsi="Times New Roman" w:cs="Times New Roman" w:eastAsia="Times New Roman" w:hint="default"/>
        </w:rPr>
        <w:t>4</w:t>
      </w:r>
      <w:r>
        <w:rPr/>
        <w:t>）实施、修改、终止股份支付计划的相关会计处理</w:t>
      </w:r>
    </w:p>
    <w:p>
      <w:pPr>
        <w:spacing w:line="240" w:lineRule="auto" w:before="2"/>
        <w:rPr>
          <w:rFonts w:ascii="宋体" w:hAnsi="宋体" w:cs="宋体" w:eastAsia="宋体" w:hint="default"/>
          <w:sz w:val="18"/>
          <w:szCs w:val="18"/>
        </w:rPr>
      </w:pPr>
    </w:p>
    <w:p>
      <w:pPr>
        <w:pStyle w:val="BodyText"/>
        <w:spacing w:line="273" w:lineRule="auto"/>
        <w:ind w:left="154" w:right="211" w:firstLine="420"/>
        <w:jc w:val="both"/>
      </w:pPr>
      <w:r>
        <w:rPr>
          <w:spacing w:val="-1"/>
        </w:rPr>
        <w:t>以权益结算的股份支付，按授予职工权益工具的公允价值计量。授予后立即可行权的，在授予日按照</w:t>
      </w:r>
      <w:r>
        <w:rPr/>
        <w:t> </w:t>
      </w:r>
      <w:r>
        <w:rPr>
          <w:spacing w:val="-1"/>
        </w:rPr>
        <w:t>权益工具的公允价值计入相关成本或费用，相应增加资本公积。在完成等待期内的服务或达到规定业绩条</w:t>
      </w:r>
      <w:r>
        <w:rPr>
          <w:spacing w:val="-81"/>
        </w:rPr>
        <w:t> </w:t>
      </w:r>
      <w:r>
        <w:rPr>
          <w:spacing w:val="-81"/>
        </w:rPr>
      </w:r>
      <w:r>
        <w:rPr>
          <w:spacing w:val="-1"/>
        </w:rPr>
        <w:t>件才可行权的，在等待期内的每个资产负债表日，以对可行权权益工具数量的最佳估计为基础，按照权益</w:t>
      </w:r>
      <w:r>
        <w:rPr>
          <w:spacing w:val="-83"/>
        </w:rPr>
        <w:t> </w:t>
      </w:r>
      <w:r>
        <w:rPr>
          <w:spacing w:val="-83"/>
        </w:rPr>
      </w:r>
      <w:r>
        <w:rPr>
          <w:spacing w:val="-1"/>
        </w:rPr>
        <w:t>工具授予日的公允价值，将当期取得的服务计入相关成本或费用和资本公积。在可行权日之后不再对已确</w:t>
      </w:r>
      <w:r>
        <w:rPr>
          <w:spacing w:val="-81"/>
        </w:rPr>
        <w:t> </w:t>
      </w:r>
      <w:r>
        <w:rPr>
          <w:spacing w:val="-81"/>
        </w:rPr>
      </w:r>
      <w:r>
        <w:rPr/>
        <w:t>认的相关成本或费用和所有者权益总额进行调整。</w:t>
      </w:r>
    </w:p>
    <w:p>
      <w:pPr>
        <w:pStyle w:val="BodyText"/>
        <w:spacing w:line="273" w:lineRule="auto" w:before="127"/>
        <w:ind w:left="154" w:right="211" w:firstLine="420"/>
        <w:jc w:val="both"/>
      </w:pPr>
      <w:r>
        <w:rPr>
          <w:spacing w:val="-1"/>
        </w:rPr>
        <w:t>本集团对股份支付计划进行修改时，若修改增加了所授予权益工具的公允价值，按照权益工具公允价</w:t>
      </w:r>
      <w:r>
        <w:rPr/>
        <w:t> </w:t>
      </w:r>
      <w:r>
        <w:rPr>
          <w:spacing w:val="-1"/>
        </w:rPr>
        <w:t>值的增加相应地确认取得服务的增加；若修改增加了所授予权益工具的数量，则将增加的权益工具的公允</w:t>
      </w:r>
      <w:r>
        <w:rPr>
          <w:spacing w:val="-81"/>
        </w:rPr>
        <w:t> </w:t>
      </w:r>
      <w:r>
        <w:rPr>
          <w:spacing w:val="-81"/>
        </w:rPr>
      </w:r>
      <w:r>
        <w:rPr>
          <w:spacing w:val="-1"/>
        </w:rPr>
        <w:t>价值相应地确认为取得服务的增加。权益工具公允价值的增加是指修改前后的权益工具在修改日的公允价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值之间的差额。若修改减少了股份支付公允价值总额或采用了其他不利于职工的方式修改股份支付计划的</w:t>
      </w:r>
      <w:r>
        <w:rPr>
          <w:spacing w:val="-81"/>
        </w:rPr>
        <w:t> </w:t>
      </w:r>
      <w:r>
        <w:rPr>
          <w:spacing w:val="-81"/>
        </w:rPr>
      </w:r>
      <w:r>
        <w:rPr>
          <w:spacing w:val="-1"/>
        </w:rPr>
        <w:t>条款和条件，则仍继续对取得的服务进行会计处理，视同该变更从未发生，除非本集团取消了部分或全部</w:t>
      </w:r>
      <w:r>
        <w:rPr>
          <w:spacing w:val="-83"/>
        </w:rPr>
        <w:t> </w:t>
      </w:r>
      <w:r>
        <w:rPr>
          <w:spacing w:val="-83"/>
        </w:rPr>
      </w:r>
      <w:r>
        <w:rPr/>
        <w:t>已授予的权益工具。</w:t>
      </w:r>
    </w:p>
    <w:p>
      <w:pPr>
        <w:pStyle w:val="BodyText"/>
        <w:spacing w:line="273" w:lineRule="auto" w:before="127"/>
        <w:ind w:left="154" w:right="211" w:firstLine="420"/>
        <w:jc w:val="both"/>
      </w:pPr>
      <w:r>
        <w:rPr>
          <w:spacing w:val="-1"/>
        </w:rPr>
        <w:t>在等待期内，如果取消了授予的权益工具（因未满足可行权条件的非市场条件而被取消的除外），本</w:t>
      </w:r>
      <w:r>
        <w:rPr>
          <w:spacing w:val="-7"/>
        </w:rPr>
        <w:t> </w:t>
      </w:r>
      <w:r>
        <w:rPr>
          <w:spacing w:val="-1"/>
        </w:rPr>
        <w:t>集团对取消所授予的权益性工具作为加速行权处理，将剩余等待期内应确认的金额立即计入当期损益，同</w:t>
      </w:r>
      <w:r>
        <w:rPr>
          <w:spacing w:val="-81"/>
        </w:rPr>
        <w:t> </w:t>
      </w:r>
      <w:r>
        <w:rPr>
          <w:spacing w:val="-81"/>
        </w:rPr>
      </w:r>
      <w:r>
        <w:rPr>
          <w:spacing w:val="-1"/>
        </w:rPr>
        <w:t>时确认资本公积。职工或其他方能够选择满足非可行权条件但在等待期内未满足的，本集团将其作为授予</w:t>
      </w:r>
      <w:r>
        <w:rPr>
          <w:spacing w:val="-81"/>
        </w:rPr>
        <w:t> </w:t>
      </w:r>
      <w:r>
        <w:rPr>
          <w:spacing w:val="-81"/>
        </w:rPr>
      </w:r>
      <w:r>
        <w:rPr/>
        <w:t>权益工具的取消处理。</w:t>
      </w:r>
    </w:p>
    <w:p>
      <w:pPr>
        <w:spacing w:after="0" w:line="273" w:lineRule="auto"/>
        <w:jc w:val="both"/>
        <w:sectPr>
          <w:pgSz w:w="11910" w:h="16840"/>
          <w:pgMar w:header="917" w:footer="1267" w:top="1140" w:bottom="1460" w:left="980" w:right="920"/>
        </w:sectPr>
      </w:pPr>
    </w:p>
    <w:p>
      <w:pPr>
        <w:spacing w:line="240" w:lineRule="auto" w:before="2"/>
        <w:rPr>
          <w:rFonts w:ascii="宋体" w:hAnsi="宋体" w:cs="宋体" w:eastAsia="宋体" w:hint="default"/>
          <w:sz w:val="19"/>
          <w:szCs w:val="19"/>
        </w:rPr>
      </w:pPr>
    </w:p>
    <w:p>
      <w:pPr>
        <w:pStyle w:val="Heading4"/>
        <w:spacing w:line="506" w:lineRule="auto" w:before="35"/>
        <w:ind w:left="574" w:right="6460" w:hanging="420"/>
        <w:jc w:val="left"/>
        <w:rPr>
          <w:rFonts w:ascii="宋体" w:hAnsi="宋体" w:cs="宋体" w:eastAsia="宋体" w:hint="default"/>
          <w:b w:val="0"/>
          <w:bCs w:val="0"/>
        </w:rPr>
      </w:pPr>
      <w:r>
        <w:rPr>
          <w:rFonts w:ascii="Times New Roman" w:hAnsi="Times New Roman" w:cs="Times New Roman" w:eastAsia="Times New Roman" w:hint="default"/>
        </w:rPr>
        <w:t>27</w:t>
      </w:r>
      <w:bookmarkStart w:name="27、优先股、永续债等其他金融工具" w:id="200"/>
      <w:bookmarkEnd w:id="200"/>
      <w:r>
        <w:rPr>
          <w:rFonts w:ascii="Times New Roman" w:hAnsi="Times New Roman" w:cs="Times New Roman" w:eastAsia="Times New Roman" w:hint="default"/>
        </w:rPr>
      </w:r>
      <w:r>
        <w:rPr/>
        <w:t>、优先股、永续债等其他金融工具</w:t>
      </w:r>
      <w:r>
        <w:rPr>
          <w:spacing w:val="1"/>
          <w:w w:val="99"/>
        </w:rPr>
        <w:t> </w:t>
      </w:r>
      <w:r>
        <w:rPr>
          <w:rFonts w:ascii="宋体" w:hAnsi="宋体" w:cs="宋体" w:eastAsia="宋体" w:hint="default"/>
          <w:b w:val="0"/>
          <w:bCs w:val="0"/>
        </w:rPr>
        <w:t>无。</w:t>
      </w:r>
    </w:p>
    <w:p>
      <w:pPr>
        <w:pStyle w:val="Heading4"/>
        <w:spacing w:line="240" w:lineRule="auto" w:before="105"/>
        <w:ind w:right="97"/>
        <w:jc w:val="left"/>
        <w:rPr>
          <w:b w:val="0"/>
          <w:bCs w:val="0"/>
        </w:rPr>
      </w:pPr>
      <w:r>
        <w:rPr>
          <w:rFonts w:ascii="Times New Roman" w:hAnsi="Times New Roman" w:cs="Times New Roman" w:eastAsia="Times New Roman" w:hint="default"/>
        </w:rPr>
        <w:t>28</w:t>
      </w:r>
      <w:r>
        <w:rPr/>
        <w:t>、收入</w:t>
      </w:r>
      <w:r>
        <w:rPr>
          <w:b w:val="0"/>
          <w:bCs w:val="0"/>
        </w:rPr>
      </w:r>
    </w:p>
    <w:p>
      <w:pPr>
        <w:pStyle w:val="BodyText"/>
        <w:spacing w:line="510" w:lineRule="atLeast" w:before="102"/>
        <w:ind w:right="97"/>
        <w:jc w:val="left"/>
      </w:pPr>
      <w:r>
        <w:rPr/>
        <w:t>（</w:t>
      </w:r>
      <w:r>
        <w:rPr>
          <w:rFonts w:ascii="Times New Roman" w:hAnsi="Times New Roman" w:cs="Times New Roman" w:eastAsia="Times New Roman" w:hint="default"/>
        </w:rPr>
        <w:t>1</w:t>
      </w:r>
      <w:bookmarkStart w:name="28、收入" w:id="201"/>
      <w:bookmarkEnd w:id="201"/>
      <w:r>
        <w:rPr>
          <w:rFonts w:ascii="Times New Roman" w:hAnsi="Times New Roman" w:cs="Times New Roman" w:eastAsia="Times New Roman" w:hint="default"/>
        </w:rPr>
      </w:r>
      <w:r>
        <w:rPr/>
        <w:t>）销售商品 </w:t>
      </w:r>
      <w:r>
        <w:rPr>
          <w:spacing w:val="3"/>
        </w:rPr>
        <w:t>在已将商品所有权上的主要风险和报酬转移给购货方，既没有保留通常与所有权相联系的继续管理</w:t>
      </w:r>
    </w:p>
    <w:p>
      <w:pPr>
        <w:pStyle w:val="BodyText"/>
        <w:spacing w:line="273" w:lineRule="auto" w:before="37"/>
        <w:ind w:left="154" w:right="97"/>
        <w:jc w:val="left"/>
      </w:pPr>
      <w:r>
        <w:rPr>
          <w:spacing w:val="-1"/>
        </w:rPr>
        <w:t>权，也没有对已售商品实施有效控制，收入的金额能够可靠地计量，相关的经济利益很可能流入企业，相</w:t>
      </w:r>
      <w:r>
        <w:rPr>
          <w:spacing w:val="-85"/>
        </w:rPr>
        <w:t> </w:t>
      </w:r>
      <w:r>
        <w:rPr>
          <w:spacing w:val="-85"/>
        </w:rPr>
      </w:r>
      <w:r>
        <w:rPr/>
        <w:t>关的已发生或将发生的成本能够可靠地计量时，确认商品销售收入的实现。具体方法如下：</w:t>
      </w:r>
    </w:p>
    <w:p>
      <w:pPr>
        <w:pStyle w:val="BodyText"/>
        <w:spacing w:line="268" w:lineRule="auto" w:before="127"/>
        <w:ind w:left="154" w:right="211" w:firstLine="419"/>
        <w:jc w:val="both"/>
      </w:pPr>
      <w:r>
        <w:rPr/>
        <w:t>本集团软硬件开发与销售（以下统称</w:t>
      </w:r>
      <w:r>
        <w:rPr>
          <w:rFonts w:ascii="Times New Roman" w:hAnsi="Times New Roman" w:cs="Times New Roman" w:eastAsia="Times New Roman" w:hint="default"/>
        </w:rPr>
        <w:t>“</w:t>
      </w:r>
      <w:r>
        <w:rPr/>
        <w:t>产品销售</w:t>
      </w:r>
      <w:r>
        <w:rPr>
          <w:rFonts w:ascii="Times New Roman" w:hAnsi="Times New Roman" w:cs="Times New Roman" w:eastAsia="Times New Roman" w:hint="default"/>
        </w:rPr>
        <w:t>”</w:t>
      </w:r>
      <w:r>
        <w:rPr/>
        <w:t>）包括销售电子数据取证设备与大数据平台系列、网 </w:t>
      </w:r>
      <w:r>
        <w:rPr>
          <w:spacing w:val="-1"/>
        </w:rPr>
        <w:t>络信息安全产品系列和刑事技术产品系列的硬件产品及软件产品，其中硬件产品包括自主开发硬件产品及</w:t>
      </w:r>
      <w:r>
        <w:rPr>
          <w:spacing w:val="-81"/>
        </w:rPr>
        <w:t> </w:t>
      </w:r>
      <w:r>
        <w:rPr>
          <w:spacing w:val="-81"/>
        </w:rPr>
      </w:r>
      <w:r>
        <w:rPr>
          <w:spacing w:val="-1"/>
        </w:rPr>
        <w:t>外购配件商品，软件产品包括自主开发标准软件产品和自主开发客户定制软件产品。自主开发标准软件产</w:t>
      </w:r>
      <w:r>
        <w:rPr>
          <w:spacing w:val="-81"/>
        </w:rPr>
        <w:t> </w:t>
      </w:r>
      <w:r>
        <w:rPr>
          <w:spacing w:val="-81"/>
        </w:rPr>
      </w:r>
      <w:r>
        <w:rPr>
          <w:spacing w:val="-1"/>
        </w:rPr>
        <w:t>品指公司自行开发研制的销售时不转让著作权的软件产品，由此开发出来的软件具有自主知识产权、无差</w:t>
      </w:r>
      <w:r>
        <w:rPr>
          <w:spacing w:val="-81"/>
        </w:rPr>
        <w:t> </w:t>
      </w:r>
      <w:r>
        <w:rPr>
          <w:spacing w:val="-81"/>
        </w:rPr>
      </w:r>
      <w:r>
        <w:rPr>
          <w:spacing w:val="-1"/>
        </w:rPr>
        <w:t>异化、可批量复制的特性；自主开发客户定制软件产品指公司根据客户的实际需求进行定制、开发的软件</w:t>
      </w:r>
      <w:r>
        <w:rPr>
          <w:spacing w:val="-83"/>
        </w:rPr>
        <w:t> </w:t>
      </w:r>
      <w:r>
        <w:rPr>
          <w:spacing w:val="-83"/>
        </w:rPr>
      </w:r>
      <w:r>
        <w:rPr/>
        <w:t>产品，由此开发出来的软件不具有通用性。</w:t>
      </w:r>
    </w:p>
    <w:p>
      <w:pPr>
        <w:pStyle w:val="BodyText"/>
        <w:spacing w:line="273" w:lineRule="auto" w:before="132"/>
        <w:ind w:left="154" w:right="211" w:firstLine="420"/>
        <w:jc w:val="both"/>
      </w:pPr>
      <w:r>
        <w:rPr>
          <w:spacing w:val="-1"/>
        </w:rPr>
        <w:t>本集团向客户销售软件产品的同时，为其提供软件应用所需的设备配件及安装服务，如果软件收入与</w:t>
      </w:r>
      <w:r>
        <w:rPr/>
        <w:t> </w:t>
      </w:r>
      <w:r>
        <w:rPr>
          <w:spacing w:val="-1"/>
        </w:rPr>
        <w:t>设备配件及安装服务收入能明确区分，则分别作为软件产品销售、硬件产品销售及技术服务进行核算；如</w:t>
      </w:r>
      <w:r>
        <w:rPr>
          <w:spacing w:val="-83"/>
        </w:rPr>
        <w:t> </w:t>
      </w:r>
      <w:r>
        <w:rPr>
          <w:spacing w:val="-83"/>
        </w:rPr>
      </w:r>
      <w:r>
        <w:rPr/>
        <w:t>果软件收入与设备配件及安装服务收入不能明确区分，则将其一并作为硬件产品销售进行核算。</w:t>
      </w:r>
    </w:p>
    <w:p>
      <w:pPr>
        <w:pStyle w:val="BodyText"/>
        <w:spacing w:line="273" w:lineRule="auto" w:before="127"/>
        <w:ind w:left="154" w:right="211" w:firstLine="420"/>
        <w:jc w:val="both"/>
      </w:pPr>
      <w:r>
        <w:rPr>
          <w:spacing w:val="-1"/>
        </w:rPr>
        <w:t>本集团产品销售收入确认的具体标准：无需安装调试的产品在交付并经客户验收合格后确认收入；需</w:t>
      </w:r>
      <w:r>
        <w:rPr/>
        <w:t> </w:t>
      </w:r>
      <w:r>
        <w:rPr>
          <w:spacing w:val="-1"/>
        </w:rPr>
        <w:t>安装调试的产品在项目实施完成并经客户验收合格取得对方签字的验收报告后确认收入；对需要分次交付</w:t>
      </w:r>
      <w:r>
        <w:rPr>
          <w:spacing w:val="-81"/>
        </w:rPr>
        <w:t> </w:t>
      </w:r>
      <w:r>
        <w:rPr>
          <w:spacing w:val="-81"/>
        </w:rPr>
      </w:r>
      <w:r>
        <w:rPr/>
        <w:t>验收的，在分次取得验收报告后确认收入。</w:t>
      </w:r>
    </w:p>
    <w:p>
      <w:pPr>
        <w:pStyle w:val="BodyText"/>
        <w:spacing w:line="240" w:lineRule="auto" w:before="127"/>
        <w:ind w:right="97"/>
        <w:jc w:val="left"/>
      </w:pPr>
      <w:r>
        <w:rPr/>
        <w:t>（</w:t>
      </w:r>
      <w:r>
        <w:rPr>
          <w:rFonts w:ascii="Times New Roman" w:hAnsi="Times New Roman" w:cs="Times New Roman" w:eastAsia="Times New Roman" w:hint="default"/>
        </w:rPr>
        <w:t>2</w:t>
      </w:r>
      <w:r>
        <w:rPr/>
        <w:t>）技术服务收入</w:t>
      </w:r>
    </w:p>
    <w:p>
      <w:pPr>
        <w:spacing w:line="240" w:lineRule="auto" w:before="2"/>
        <w:rPr>
          <w:rFonts w:ascii="宋体" w:hAnsi="宋体" w:cs="宋体" w:eastAsia="宋体" w:hint="default"/>
          <w:sz w:val="18"/>
          <w:szCs w:val="18"/>
        </w:rPr>
      </w:pPr>
    </w:p>
    <w:p>
      <w:pPr>
        <w:pStyle w:val="BodyText"/>
        <w:spacing w:line="273" w:lineRule="auto"/>
        <w:ind w:left="154" w:right="211" w:firstLine="420"/>
        <w:jc w:val="both"/>
      </w:pPr>
      <w:r>
        <w:rPr>
          <w:spacing w:val="-1"/>
        </w:rPr>
        <w:t>本集团在已根据合同约定提供了相应服务，取得明确的收款证据，相关成本能够可靠地计量时，确认</w:t>
      </w:r>
      <w:r>
        <w:rPr/>
        <w:t> </w:t>
      </w:r>
      <w:r>
        <w:rPr>
          <w:spacing w:val="-1"/>
        </w:rPr>
        <w:t>收入。技术服务收入包括向客户提供的技术支持、技术咨询以及技术培训服务收入等。合同明确约定服务</w:t>
      </w:r>
      <w:r>
        <w:rPr>
          <w:spacing w:val="-83"/>
        </w:rPr>
        <w:t> </w:t>
      </w:r>
      <w:r>
        <w:rPr>
          <w:spacing w:val="-83"/>
        </w:rPr>
      </w:r>
      <w:r>
        <w:rPr>
          <w:spacing w:val="-1"/>
        </w:rPr>
        <w:t>期限的，在合同约定的服务期限内，按进度确认收入；合同明确约定服务成果需经客户验收确认的，在本</w:t>
      </w:r>
      <w:r>
        <w:rPr>
          <w:spacing w:val="-86"/>
        </w:rPr>
        <w:t> </w:t>
      </w:r>
      <w:r>
        <w:rPr>
          <w:spacing w:val="-86"/>
        </w:rPr>
      </w:r>
      <w:r>
        <w:rPr>
          <w:spacing w:val="-1"/>
        </w:rPr>
        <w:t>集团提交了相应的服务成果并通过验收，取得客户的验收报告，获得明确的收款证据，相关成本能够可靠</w:t>
      </w:r>
      <w:r>
        <w:rPr>
          <w:spacing w:val="-83"/>
        </w:rPr>
        <w:t> </w:t>
      </w:r>
      <w:r>
        <w:rPr>
          <w:spacing w:val="-83"/>
        </w:rPr>
      </w:r>
      <w:r>
        <w:rPr>
          <w:spacing w:val="-1"/>
        </w:rPr>
        <w:t>地计量时，确认收入；其他服务在本集团提供了相应服务，取得明确的收款证据，相关成本能够可靠地计</w:t>
      </w:r>
      <w:r>
        <w:rPr>
          <w:spacing w:val="-86"/>
        </w:rPr>
        <w:t> </w:t>
      </w:r>
      <w:r>
        <w:rPr>
          <w:spacing w:val="-86"/>
        </w:rPr>
      </w:r>
      <w:r>
        <w:rPr>
          <w:spacing w:val="-1"/>
        </w:rPr>
        <w:t>量时，确认收入。同一合同中，既约定了产品销售金额又约定了服务费金额的，分别按照产品销售收入和</w:t>
      </w:r>
      <w:r>
        <w:rPr>
          <w:spacing w:val="-86"/>
        </w:rPr>
        <w:t> </w:t>
      </w:r>
      <w:r>
        <w:rPr>
          <w:spacing w:val="-86"/>
        </w:rPr>
      </w:r>
      <w:r>
        <w:rPr>
          <w:spacing w:val="-1"/>
        </w:rPr>
        <w:t>服务收入确认原则确认相应的收入；如果产品销售收入和服务收入不能区分，则将其一并作为产品销售进</w:t>
      </w:r>
      <w:r>
        <w:rPr>
          <w:spacing w:val="-81"/>
        </w:rPr>
        <w:t> </w:t>
      </w:r>
      <w:r>
        <w:rPr>
          <w:spacing w:val="-81"/>
        </w:rPr>
      </w:r>
      <w:r>
        <w:rPr/>
        <w:t>行核算。</w:t>
      </w:r>
    </w:p>
    <w:p>
      <w:pPr>
        <w:pStyle w:val="BodyText"/>
        <w:spacing w:line="436" w:lineRule="auto" w:before="127"/>
        <w:ind w:right="592"/>
        <w:jc w:val="left"/>
      </w:pPr>
      <w:r>
        <w:rPr/>
        <w:t>（</w:t>
      </w:r>
      <w:r>
        <w:rPr>
          <w:rFonts w:ascii="Times New Roman" w:hAnsi="Times New Roman" w:cs="Times New Roman" w:eastAsia="Times New Roman" w:hint="default"/>
        </w:rPr>
        <w:t>3</w:t>
      </w:r>
      <w:r>
        <w:rPr/>
        <w:t>）让渡资产使用权 与资产使用权让渡相关的经济利益能够流入及收入的金额能够可靠地计量时，本集团确认收入。</w:t>
      </w:r>
    </w:p>
    <w:p>
      <w:pPr>
        <w:pStyle w:val="BodyText"/>
        <w:spacing w:line="276" w:lineRule="exact"/>
        <w:ind w:right="97"/>
        <w:jc w:val="left"/>
      </w:pPr>
      <w:r>
        <w:rPr/>
        <w:t>（</w:t>
      </w:r>
      <w:r>
        <w:rPr>
          <w:rFonts w:ascii="Times New Roman" w:hAnsi="Times New Roman" w:cs="Times New Roman" w:eastAsia="Times New Roman" w:hint="default"/>
        </w:rPr>
        <w:t>4</w:t>
      </w:r>
      <w:r>
        <w:rPr/>
        <w:t>）建造合同</w:t>
      </w:r>
    </w:p>
    <w:p>
      <w:pPr>
        <w:spacing w:line="240" w:lineRule="auto" w:before="2"/>
        <w:rPr>
          <w:rFonts w:ascii="宋体" w:hAnsi="宋体" w:cs="宋体" w:eastAsia="宋体" w:hint="default"/>
          <w:sz w:val="18"/>
          <w:szCs w:val="18"/>
        </w:rPr>
      </w:pPr>
    </w:p>
    <w:p>
      <w:pPr>
        <w:pStyle w:val="BodyText"/>
        <w:spacing w:line="273" w:lineRule="auto"/>
        <w:ind w:left="154" w:right="97" w:firstLine="420"/>
        <w:jc w:val="left"/>
      </w:pPr>
      <w:r>
        <w:rPr>
          <w:spacing w:val="-3"/>
        </w:rPr>
        <w:t>于资产负债表日，建造合同的结果能够可靠地估计的，本集团根据完工百分比法确认合同收入和费用。</w:t>
      </w:r>
      <w:r>
        <w:rPr/>
        <w:t> 如果建造合同的结果不能可靠地估计，则区别情况处理：如合同成本能够收回的，则合同收入根据能够收 回的实际合同成本加以确认，合同成本在其发生的当期作为费用；如合同成本不可能收回的，则在发生时 作为费用，不确认收入。</w:t>
      </w:r>
    </w:p>
    <w:p>
      <w:pPr>
        <w:pStyle w:val="BodyText"/>
        <w:spacing w:line="240" w:lineRule="auto" w:before="127"/>
        <w:ind w:right="97"/>
        <w:jc w:val="left"/>
      </w:pPr>
      <w:r>
        <w:rPr/>
        <w:t>合同预计总成本超过合同总收入的，本集团将预计损失确认为当期费用。</w:t>
      </w:r>
    </w:p>
    <w:p>
      <w:pPr>
        <w:spacing w:after="0" w:line="240" w:lineRule="auto"/>
        <w:jc w:val="left"/>
        <w:sectPr>
          <w:pgSz w:w="11910" w:h="16840"/>
          <w:pgMar w:header="917" w:footer="1267" w:top="1140" w:bottom="1460" w:left="980" w:right="920"/>
        </w:sectPr>
      </w:pPr>
    </w:p>
    <w:p>
      <w:pPr>
        <w:spacing w:line="240" w:lineRule="auto" w:before="1"/>
        <w:rPr>
          <w:rFonts w:ascii="宋体" w:hAnsi="宋体" w:cs="宋体" w:eastAsia="宋体" w:hint="default"/>
          <w:sz w:val="19"/>
          <w:szCs w:val="19"/>
        </w:rPr>
      </w:pPr>
    </w:p>
    <w:p>
      <w:pPr>
        <w:pStyle w:val="BodyText"/>
        <w:spacing w:line="240" w:lineRule="auto" w:before="35"/>
        <w:ind w:right="0"/>
        <w:jc w:val="left"/>
      </w:pPr>
      <w:bookmarkStart w:name="30、递延所得税资产/递延所得税负债" w:id="202"/>
      <w:bookmarkEnd w:id="202"/>
      <w:r>
        <w:rPr/>
      </w:r>
      <w:r>
        <w:rPr/>
        <w:t>合同完工进度按已经完成的合同工作量占合同预计总工作量的比例确定。</w:t>
      </w:r>
    </w:p>
    <w:p>
      <w:pPr>
        <w:pStyle w:val="BodyText"/>
        <w:spacing w:line="256" w:lineRule="auto" w:before="157"/>
        <w:ind w:left="154" w:right="152" w:firstLine="419"/>
        <w:jc w:val="both"/>
      </w:pPr>
      <w:r>
        <w:rPr>
          <w:spacing w:val="-3"/>
        </w:rPr>
        <w:t>建造合同的结果能够可靠估计是指同时满足：</w:t>
      </w:r>
      <w:r>
        <w:rPr>
          <w:rFonts w:ascii="Times New Roman" w:hAnsi="Times New Roman" w:cs="Times New Roman" w:eastAsia="Times New Roman" w:hint="default"/>
          <w:spacing w:val="-3"/>
        </w:rPr>
        <w:t>A</w:t>
      </w:r>
      <w:r>
        <w:rPr>
          <w:spacing w:val="-3"/>
        </w:rPr>
        <w:t>、合同总收入能够可靠地计量；</w:t>
      </w:r>
      <w:r>
        <w:rPr>
          <w:rFonts w:ascii="Times New Roman" w:hAnsi="Times New Roman" w:cs="Times New Roman" w:eastAsia="Times New Roman" w:hint="default"/>
          <w:spacing w:val="-3"/>
        </w:rPr>
        <w:t>B</w:t>
      </w:r>
      <w:r>
        <w:rPr>
          <w:spacing w:val="-3"/>
        </w:rPr>
        <w:t>、与合同相关的经济</w:t>
      </w:r>
      <w:r>
        <w:rPr/>
        <w:t> </w:t>
      </w:r>
      <w:r>
        <w:rPr>
          <w:spacing w:val="-3"/>
        </w:rPr>
        <w:t>利益很可能流入企业；</w:t>
      </w:r>
      <w:r>
        <w:rPr>
          <w:rFonts w:ascii="Times New Roman" w:hAnsi="Times New Roman" w:cs="Times New Roman" w:eastAsia="Times New Roman" w:hint="default"/>
          <w:spacing w:val="-3"/>
        </w:rPr>
        <w:t>C</w:t>
      </w:r>
      <w:r>
        <w:rPr>
          <w:spacing w:val="-3"/>
        </w:rPr>
        <w:t>、实际发生的合同成本能够清楚地区分和可靠地计量；</w:t>
      </w:r>
      <w:r>
        <w:rPr>
          <w:rFonts w:ascii="Times New Roman" w:hAnsi="Times New Roman" w:cs="Times New Roman" w:eastAsia="Times New Roman" w:hint="default"/>
          <w:spacing w:val="-3"/>
        </w:rPr>
        <w:t>D</w:t>
      </w:r>
      <w:r>
        <w:rPr>
          <w:spacing w:val="-3"/>
        </w:rPr>
        <w:t>、合同完工进度和为完成</w:t>
      </w:r>
      <w:r>
        <w:rPr>
          <w:spacing w:val="-72"/>
        </w:rPr>
        <w:t> </w:t>
      </w:r>
      <w:r>
        <w:rPr>
          <w:spacing w:val="-72"/>
        </w:rPr>
      </w:r>
      <w:r>
        <w:rPr/>
        <w:t>合同尚需发生的成本能够可靠地确定。</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）与资产相</w:t>
      </w:r>
      <w:bookmarkStart w:name="29、政府补助" w:id="203"/>
      <w:bookmarkEnd w:id="203"/>
      <w:r>
        <w:rPr/>
        <w:t>关的政府</w:t>
      </w:r>
      <w:r>
        <w:rPr/>
        <w:t>补</w:t>
      </w:r>
      <w:bookmarkStart w:name="（1）与资产相关的政府补助判断依据及会计处理方法" w:id="204"/>
      <w:bookmarkEnd w:id="204"/>
      <w:r>
        <w:rPr/>
        <w:t>助判断依</w:t>
      </w:r>
      <w:r>
        <w:rPr/>
        <w:t>据及会计处理方法</w:t>
      </w:r>
      <w:r>
        <w:rPr>
          <w:b w:val="0"/>
          <w:bCs w:val="0"/>
        </w:rPr>
      </w:r>
    </w:p>
    <w:p>
      <w:pPr>
        <w:pStyle w:val="BodyText"/>
        <w:spacing w:line="430" w:lineRule="atLeast" w:before="166"/>
        <w:ind w:right="0"/>
        <w:jc w:val="left"/>
      </w:pPr>
      <w:r>
        <w:rPr/>
        <w:t>政府补助在满足政府补助所附条件并能够收到时确认。 </w:t>
      </w:r>
      <w:r>
        <w:rPr>
          <w:spacing w:val="-1"/>
        </w:rPr>
        <w:t>对于货币性资产的政府补助，按照收到或应收的金额计量。其中，对期末有确凿证据表明能够符合财</w:t>
      </w:r>
    </w:p>
    <w:p>
      <w:pPr>
        <w:pStyle w:val="BodyText"/>
        <w:spacing w:line="273" w:lineRule="auto" w:before="37"/>
        <w:ind w:left="154" w:right="151"/>
        <w:jc w:val="both"/>
      </w:pPr>
      <w:r>
        <w:rPr>
          <w:spacing w:val="-1"/>
        </w:rPr>
        <w:t>政扶持政策规定的相关条件且预计能够收到财政扶持资金时，按应收金额计量；否则，按照实际收到的金</w:t>
      </w:r>
      <w:r>
        <w:rPr>
          <w:spacing w:val="-83"/>
        </w:rPr>
        <w:t> </w:t>
      </w:r>
      <w:r>
        <w:rPr>
          <w:spacing w:val="-83"/>
        </w:rPr>
      </w:r>
      <w:r>
        <w:rPr>
          <w:spacing w:val="-1"/>
        </w:rPr>
        <w:t>额计量。对于非货币性资产的政府补助，按照公允价值计量；公允价值不能够可靠取得的，按照名义金额</w:t>
      </w:r>
      <w:r>
        <w:rPr>
          <w:spacing w:val="-86"/>
        </w:rPr>
        <w:t> </w:t>
      </w:r>
      <w:r>
        <w:rPr>
          <w:spacing w:val="-86"/>
        </w:rPr>
      </w:r>
      <w:r>
        <w:rPr>
          <w:rFonts w:ascii="Times New Roman" w:hAnsi="Times New Roman" w:cs="Times New Roman" w:eastAsia="Times New Roman" w:hint="default"/>
        </w:rPr>
        <w:t>1</w:t>
      </w:r>
      <w:r>
        <w:rPr/>
        <w:t>元计量。</w:t>
      </w:r>
    </w:p>
    <w:p>
      <w:pPr>
        <w:pStyle w:val="BodyText"/>
        <w:spacing w:line="273" w:lineRule="auto" w:before="108"/>
        <w:ind w:left="153" w:right="151" w:firstLine="420"/>
        <w:jc w:val="both"/>
      </w:pPr>
      <w:r>
        <w:rPr>
          <w:spacing w:val="-1"/>
        </w:rPr>
        <w:t>与资产相关的政府补助，是指本集团取得的、用于购建或以其他方式形成长期资产的政府补助；除此</w:t>
      </w:r>
      <w:r>
        <w:rPr/>
        <w:t> 之外，作为与收益相关的政府补助。</w:t>
      </w:r>
    </w:p>
    <w:p>
      <w:pPr>
        <w:pStyle w:val="BodyText"/>
        <w:spacing w:line="273" w:lineRule="auto" w:before="127"/>
        <w:ind w:left="153" w:right="151" w:firstLine="420"/>
        <w:jc w:val="both"/>
      </w:pPr>
      <w:r>
        <w:rPr>
          <w:spacing w:val="-1"/>
        </w:rPr>
        <w:t>对于政府文件未明确规定补助对象的，能够形成长期资产的，与资产价值相对应的政府补助部分作为</w:t>
      </w:r>
      <w:r>
        <w:rPr/>
        <w:t> </w:t>
      </w:r>
      <w:r>
        <w:rPr>
          <w:spacing w:val="-1"/>
        </w:rPr>
        <w:t>与资产相关的政府补助，其余部分作为与收益相关的政府补助；难以区分的，将政府补助整体作为与收益</w:t>
      </w:r>
      <w:r>
        <w:rPr>
          <w:spacing w:val="-83"/>
        </w:rPr>
        <w:t> </w:t>
      </w:r>
      <w:r>
        <w:rPr>
          <w:spacing w:val="-83"/>
        </w:rPr>
      </w:r>
      <w:r>
        <w:rPr/>
        <w:t>相关的政府补助。</w:t>
      </w:r>
    </w:p>
    <w:p>
      <w:pPr>
        <w:pStyle w:val="BodyText"/>
        <w:spacing w:line="240" w:lineRule="auto" w:before="127"/>
        <w:ind w:left="573" w:right="0"/>
        <w:jc w:val="left"/>
      </w:pPr>
      <w:r>
        <w:rPr/>
        <w:t>与资产相关的政府补助，确认为递延收益，并在相关资产使用期限内平均分配，计入当期损益。</w:t>
      </w:r>
    </w:p>
    <w:p>
      <w:pPr>
        <w:spacing w:line="590" w:lineRule="atLeast" w:before="39"/>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与资产相关的政府补助，是指本集团取得的、</w:t>
      </w:r>
      <w:bookmarkStart w:name="（2）与收益相关的政府补助判断依据及会计处理方法" w:id="205"/>
      <w:bookmarkEnd w:id="205"/>
      <w:r>
        <w:rPr>
          <w:rFonts w:ascii="宋体" w:hAnsi="宋体" w:cs="宋体" w:eastAsia="宋体" w:hint="default"/>
          <w:spacing w:val="-1"/>
          <w:sz w:val="21"/>
          <w:szCs w:val="21"/>
        </w:rPr>
        <w:t>用于购建或以其他方式形成长期资产的政府补助</w:t>
      </w:r>
      <w:r>
        <w:rPr>
          <w:rFonts w:ascii="宋体" w:hAnsi="宋体" w:cs="宋体" w:eastAsia="宋体" w:hint="default"/>
          <w:spacing w:val="-1"/>
          <w:sz w:val="21"/>
          <w:szCs w:val="21"/>
        </w:rPr>
        <w:t>；除此</w:t>
      </w:r>
    </w:p>
    <w:p>
      <w:pPr>
        <w:pStyle w:val="BodyText"/>
        <w:spacing w:line="240" w:lineRule="auto" w:before="37"/>
        <w:ind w:left="154" w:right="0"/>
        <w:jc w:val="left"/>
      </w:pPr>
      <w:r>
        <w:rPr/>
        <w:t>之外，作为与收益相关的政府补助。</w:t>
      </w:r>
    </w:p>
    <w:p>
      <w:pPr>
        <w:pStyle w:val="BodyText"/>
        <w:spacing w:line="273" w:lineRule="auto" w:before="157"/>
        <w:ind w:left="154" w:right="151" w:firstLine="420"/>
        <w:jc w:val="both"/>
      </w:pPr>
      <w:r>
        <w:rPr>
          <w:spacing w:val="-1"/>
        </w:rPr>
        <w:t>对于政府文件未明确规定补助对象的，能够形成长期资产的，与资产价值相对应的政府补助部分作为</w:t>
      </w:r>
      <w:r>
        <w:rPr/>
        <w:t> </w:t>
      </w:r>
      <w:r>
        <w:rPr>
          <w:spacing w:val="-1"/>
        </w:rPr>
        <w:t>与资产相关的政府补助，其余部分作为与收益相关的政府补助；难以区分的，将政府补助整体作为与收益</w:t>
      </w:r>
      <w:r>
        <w:rPr>
          <w:spacing w:val="-83"/>
        </w:rPr>
        <w:t> </w:t>
      </w:r>
      <w:r>
        <w:rPr>
          <w:spacing w:val="-83"/>
        </w:rPr>
      </w:r>
      <w:r>
        <w:rPr/>
        <w:t>相关的政府补助。</w:t>
      </w:r>
    </w:p>
    <w:p>
      <w:pPr>
        <w:pStyle w:val="BodyText"/>
        <w:spacing w:line="273" w:lineRule="auto" w:before="127"/>
        <w:ind w:left="154" w:right="151" w:firstLine="420"/>
        <w:jc w:val="both"/>
      </w:pPr>
      <w:r>
        <w:rPr>
          <w:spacing w:val="-1"/>
        </w:rPr>
        <w:t>与收益相关的政府补助，如果用于补偿已发生的相关费用或损失，则计入当期损益；如果用于补偿以</w:t>
      </w:r>
      <w:r>
        <w:rPr/>
        <w:t> </w:t>
      </w:r>
      <w:r>
        <w:rPr>
          <w:spacing w:val="-1"/>
        </w:rPr>
        <w:t>后期间的相关费用或损失，则计入递延收益，于费用确认期间计入当期损益。按照名义金额计量的政府补</w:t>
      </w:r>
      <w:r>
        <w:rPr>
          <w:spacing w:val="-83"/>
        </w:rPr>
        <w:t> </w:t>
      </w:r>
      <w:r>
        <w:rPr>
          <w:spacing w:val="-83"/>
        </w:rPr>
      </w:r>
      <w:r>
        <w:rPr/>
        <w:t>助，直接计入当期损益。</w:t>
      </w:r>
    </w:p>
    <w:p>
      <w:pPr>
        <w:pStyle w:val="BodyText"/>
        <w:spacing w:line="273" w:lineRule="auto" w:before="127"/>
        <w:ind w:left="154" w:right="151" w:firstLine="420"/>
        <w:jc w:val="both"/>
      </w:pPr>
      <w:r>
        <w:rPr>
          <w:spacing w:val="-1"/>
        </w:rPr>
        <w:t>已确认的政府补助需要返还时，存在相关递延收益余额的，冲减相关递延收益账面余额，超出部分计</w:t>
      </w:r>
      <w:r>
        <w:rPr/>
        <w:t> 入当期损益；不存在相关递延收益的，直接计入当期损益。</w:t>
      </w:r>
    </w:p>
    <w:p>
      <w:pPr>
        <w:spacing w:line="590" w:lineRule="atLeast" w:before="9"/>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所得税包括当期所得税和递延所得税。除由于企业合并产生的调整商誉，或与直接计入所有者权益的</w:t>
      </w:r>
    </w:p>
    <w:p>
      <w:pPr>
        <w:pStyle w:val="BodyText"/>
        <w:spacing w:line="240" w:lineRule="auto" w:before="37"/>
        <w:ind w:left="154" w:right="0"/>
        <w:jc w:val="left"/>
      </w:pPr>
      <w:r>
        <w:rPr/>
        <w:t>交易或者事项相关的递延所得税计入所有者权益外，均作为所得税费用计入当期损益。</w:t>
      </w:r>
    </w:p>
    <w:p>
      <w:pPr>
        <w:spacing w:line="240" w:lineRule="auto" w:before="5"/>
        <w:rPr>
          <w:rFonts w:ascii="宋体" w:hAnsi="宋体" w:cs="宋体" w:eastAsia="宋体" w:hint="default"/>
          <w:sz w:val="19"/>
          <w:szCs w:val="19"/>
        </w:rPr>
      </w:pPr>
    </w:p>
    <w:p>
      <w:pPr>
        <w:pStyle w:val="BodyText"/>
        <w:spacing w:line="273" w:lineRule="auto"/>
        <w:ind w:left="154" w:right="152" w:firstLine="420"/>
        <w:jc w:val="both"/>
      </w:pPr>
      <w:r>
        <w:rPr>
          <w:spacing w:val="-1"/>
        </w:rPr>
        <w:t>本集团根据资产、负债于资产负债表日的账面价值与计税基础之间的暂时性差异，采用资产负债表债</w:t>
      </w:r>
      <w:r>
        <w:rPr/>
        <w:t> 务法确认递延所得税。</w:t>
      </w:r>
    </w:p>
    <w:p>
      <w:pPr>
        <w:spacing w:after="0" w:line="273" w:lineRule="auto"/>
        <w:jc w:val="both"/>
        <w:sectPr>
          <w:pgSz w:w="11910" w:h="16840"/>
          <w:pgMar w:header="917" w:footer="1267" w:top="1140" w:bottom="1460" w:left="980" w:right="980"/>
        </w:sectPr>
      </w:pPr>
    </w:p>
    <w:p>
      <w:pPr>
        <w:spacing w:line="240" w:lineRule="auto" w:before="1"/>
        <w:rPr>
          <w:rFonts w:ascii="宋体" w:hAnsi="宋体" w:cs="宋体" w:eastAsia="宋体" w:hint="default"/>
          <w:sz w:val="19"/>
          <w:szCs w:val="19"/>
        </w:rPr>
      </w:pPr>
    </w:p>
    <w:p>
      <w:pPr>
        <w:pStyle w:val="BodyText"/>
        <w:spacing w:line="273" w:lineRule="auto" w:before="35"/>
        <w:ind w:left="154" w:right="152" w:firstLine="420"/>
        <w:jc w:val="both"/>
      </w:pPr>
      <w:bookmarkStart w:name="（2）融资租赁的会计处理方法" w:id="206"/>
      <w:bookmarkEnd w:id="206"/>
      <w:r>
        <w:rPr/>
      </w:r>
      <w:bookmarkStart w:name="32、其他重要的会计政策和会计估计" w:id="207"/>
      <w:bookmarkEnd w:id="207"/>
      <w:r>
        <w:rPr/>
      </w:r>
      <w:r>
        <w:rPr>
          <w:spacing w:val="-1"/>
        </w:rPr>
        <w:t>各项应纳税暂时性差异均确认相关的递延所得税负债，除非该应纳税暂时性差异是在以下交易中产生</w:t>
      </w:r>
      <w:r>
        <w:rPr/>
        <w:t> 的：</w:t>
      </w:r>
    </w:p>
    <w:p>
      <w:pPr>
        <w:spacing w:line="240" w:lineRule="auto" w:before="1"/>
        <w:rPr>
          <w:rFonts w:ascii="宋体" w:hAnsi="宋体" w:cs="宋体" w:eastAsia="宋体" w:hint="default"/>
          <w:sz w:val="17"/>
          <w:szCs w:val="17"/>
        </w:rPr>
      </w:pPr>
    </w:p>
    <w:p>
      <w:pPr>
        <w:pStyle w:val="BodyText"/>
        <w:spacing w:line="273" w:lineRule="auto"/>
        <w:ind w:left="153" w:right="150" w:firstLine="420"/>
        <w:jc w:val="both"/>
      </w:pPr>
      <w:r>
        <w:rPr/>
        <w:t>（</w:t>
      </w:r>
      <w:r>
        <w:rPr>
          <w:rFonts w:ascii="宋体" w:hAnsi="宋体" w:cs="宋体" w:eastAsia="宋体" w:hint="default"/>
        </w:rPr>
        <w:t>1</w:t>
      </w:r>
      <w:r>
        <w:rPr/>
        <w:t>）商誉的初始确认，或者具有以下特征的交易中产生的资产或负债的初始确认：该交易不是企业</w:t>
      </w:r>
      <w:r>
        <w:rPr>
          <w:spacing w:val="2"/>
        </w:rPr>
        <w:t> </w:t>
      </w:r>
      <w:r>
        <w:rPr/>
        <w:t>合并，并且交易发生时既不影响会计利润也不影响应纳税所得额；</w:t>
      </w:r>
    </w:p>
    <w:p>
      <w:pPr>
        <w:spacing w:line="240" w:lineRule="auto" w:before="1"/>
        <w:rPr>
          <w:rFonts w:ascii="宋体" w:hAnsi="宋体" w:cs="宋体" w:eastAsia="宋体" w:hint="default"/>
          <w:sz w:val="17"/>
          <w:szCs w:val="17"/>
        </w:rPr>
      </w:pPr>
    </w:p>
    <w:p>
      <w:pPr>
        <w:pStyle w:val="BodyText"/>
        <w:spacing w:line="273" w:lineRule="auto"/>
        <w:ind w:left="153" w:right="150" w:firstLine="420"/>
        <w:jc w:val="both"/>
      </w:pPr>
      <w:r>
        <w:rPr/>
        <w:t>（</w:t>
      </w:r>
      <w:r>
        <w:rPr>
          <w:rFonts w:ascii="宋体" w:hAnsi="宋体" w:cs="宋体" w:eastAsia="宋体" w:hint="default"/>
        </w:rPr>
        <w:t>2</w:t>
      </w:r>
      <w:r>
        <w:rPr/>
        <w:t>）对于与子公司、合营企业及联营企业投资相关的应纳税暂时性差异，该暂时性差异转回的时间</w:t>
      </w:r>
      <w:r>
        <w:rPr>
          <w:spacing w:val="2"/>
        </w:rPr>
        <w:t> </w:t>
      </w:r>
      <w:r>
        <w:rPr/>
        <w:t>能够控制并且该暂时性差异在可预见的未来很可能不会转回。</w:t>
      </w:r>
    </w:p>
    <w:p>
      <w:pPr>
        <w:spacing w:line="240" w:lineRule="auto" w:before="1"/>
        <w:rPr>
          <w:rFonts w:ascii="宋体" w:hAnsi="宋体" w:cs="宋体" w:eastAsia="宋体" w:hint="default"/>
          <w:sz w:val="17"/>
          <w:szCs w:val="17"/>
        </w:rPr>
      </w:pPr>
    </w:p>
    <w:p>
      <w:pPr>
        <w:pStyle w:val="BodyText"/>
        <w:spacing w:line="273" w:lineRule="auto"/>
        <w:ind w:left="153" w:right="130" w:firstLine="420"/>
        <w:jc w:val="both"/>
      </w:pPr>
      <w:r>
        <w:rPr>
          <w:spacing w:val="-1"/>
        </w:rPr>
        <w:t>对于可抵扣暂时性差异、能够结转以后年度的可抵扣亏损和税款抵减，本集团以很可能取得用来抵扣</w:t>
      </w:r>
      <w:r>
        <w:rPr/>
        <w:t> 可抵扣暂时性差异、可抵扣亏损和税款抵减的未来应纳税所得额为限，确认由此产生的递延所得税资产， 除非该可抵扣暂时性差异是在以下交易中产生的：</w:t>
      </w:r>
    </w:p>
    <w:p>
      <w:pPr>
        <w:spacing w:line="240" w:lineRule="auto" w:before="1"/>
        <w:rPr>
          <w:rFonts w:ascii="宋体" w:hAnsi="宋体" w:cs="宋体" w:eastAsia="宋体" w:hint="default"/>
          <w:sz w:val="17"/>
          <w:szCs w:val="17"/>
        </w:rPr>
      </w:pPr>
    </w:p>
    <w:p>
      <w:pPr>
        <w:pStyle w:val="BodyText"/>
        <w:spacing w:line="240" w:lineRule="auto"/>
        <w:ind w:left="573" w:right="0"/>
        <w:jc w:val="left"/>
      </w:pPr>
      <w:r>
        <w:rPr/>
        <w:t>（</w:t>
      </w:r>
      <w:r>
        <w:rPr>
          <w:rFonts w:ascii="宋体" w:hAnsi="宋体" w:cs="宋体" w:eastAsia="宋体" w:hint="default"/>
        </w:rPr>
        <w:t>1</w:t>
      </w:r>
      <w:r>
        <w:rPr/>
        <w:t>）该交易不是企业合并，并且交易发生时既不影响会计利润也不影响应纳税所得额；</w:t>
      </w:r>
    </w:p>
    <w:p>
      <w:pPr>
        <w:spacing w:line="240" w:lineRule="auto" w:before="5"/>
        <w:rPr>
          <w:rFonts w:ascii="宋体" w:hAnsi="宋体" w:cs="宋体" w:eastAsia="宋体" w:hint="default"/>
          <w:sz w:val="19"/>
          <w:szCs w:val="19"/>
        </w:rPr>
      </w:pPr>
    </w:p>
    <w:p>
      <w:pPr>
        <w:pStyle w:val="BodyText"/>
        <w:spacing w:line="273" w:lineRule="auto"/>
        <w:ind w:left="153" w:right="150" w:firstLine="420"/>
        <w:jc w:val="both"/>
      </w:pPr>
      <w:r>
        <w:rPr/>
        <w:t>（</w:t>
      </w:r>
      <w:r>
        <w:rPr>
          <w:rFonts w:ascii="宋体" w:hAnsi="宋体" w:cs="宋体" w:eastAsia="宋体" w:hint="default"/>
        </w:rPr>
        <w:t>2</w:t>
      </w:r>
      <w:r>
        <w:rPr/>
        <w:t>）对于与子公司、合营企业及联营企业投资相关的可抵扣暂时性差异，同时满足下列条件的，确</w:t>
      </w:r>
      <w:r>
        <w:rPr>
          <w:spacing w:val="2"/>
        </w:rPr>
        <w:t> </w:t>
      </w:r>
      <w:r>
        <w:rPr>
          <w:spacing w:val="-1"/>
        </w:rPr>
        <w:t>认相应的递延所得税资产：暂时性差异在可预见的未来很可能转回，且未来很可能获得用来抵扣可抵扣暂</w:t>
      </w:r>
      <w:r>
        <w:rPr>
          <w:spacing w:val="-81"/>
        </w:rPr>
        <w:t> </w:t>
      </w:r>
      <w:r>
        <w:rPr>
          <w:spacing w:val="-81"/>
        </w:rPr>
      </w:r>
      <w:r>
        <w:rPr/>
        <w:t>时性差异的应纳税所得额。</w:t>
      </w:r>
    </w:p>
    <w:p>
      <w:pPr>
        <w:spacing w:line="240" w:lineRule="auto" w:before="1"/>
        <w:rPr>
          <w:rFonts w:ascii="宋体" w:hAnsi="宋体" w:cs="宋体" w:eastAsia="宋体" w:hint="default"/>
          <w:sz w:val="17"/>
          <w:szCs w:val="17"/>
        </w:rPr>
      </w:pPr>
    </w:p>
    <w:p>
      <w:pPr>
        <w:pStyle w:val="BodyText"/>
        <w:spacing w:line="273" w:lineRule="auto"/>
        <w:ind w:left="153" w:right="152" w:firstLine="420"/>
        <w:jc w:val="both"/>
      </w:pPr>
      <w:r>
        <w:rPr>
          <w:spacing w:val="-1"/>
        </w:rPr>
        <w:t>于资产负债表日，本集团对递延所得税资产和递延所得税负债，按照预期收回该资产或清偿该负债期</w:t>
      </w:r>
      <w:r>
        <w:rPr/>
        <w:t> 间的适用税率计量，并反映资产负债表日预期收回资产或清偿负债方式的所得税影响。</w:t>
      </w:r>
    </w:p>
    <w:p>
      <w:pPr>
        <w:spacing w:line="240" w:lineRule="auto" w:before="1"/>
        <w:rPr>
          <w:rFonts w:ascii="宋体" w:hAnsi="宋体" w:cs="宋体" w:eastAsia="宋体" w:hint="default"/>
          <w:sz w:val="17"/>
          <w:szCs w:val="17"/>
        </w:rPr>
      </w:pPr>
    </w:p>
    <w:p>
      <w:pPr>
        <w:pStyle w:val="BodyText"/>
        <w:spacing w:line="273" w:lineRule="auto"/>
        <w:ind w:left="153" w:right="152"/>
        <w:jc w:val="both"/>
      </w:pPr>
      <w:r>
        <w:rPr>
          <w:spacing w:val="-1"/>
        </w:rPr>
        <w:t>于资产负债表日，本集团对递延所得税资产的账面价值进行复核。如果未来期间很可能无法获得足够的应</w:t>
      </w:r>
      <w:r>
        <w:rPr>
          <w:spacing w:val="-81"/>
        </w:rPr>
        <w:t> </w:t>
      </w:r>
      <w:r>
        <w:rPr>
          <w:spacing w:val="-81"/>
        </w:rPr>
      </w:r>
      <w:r>
        <w:rPr>
          <w:spacing w:val="-1"/>
        </w:rPr>
        <w:t>纳税所得额用以抵扣递延所得税资产的利益，减记递延所得税资产的账面价值。在很可能获得足够的应纳</w:t>
      </w:r>
      <w:r>
        <w:rPr>
          <w:spacing w:val="-81"/>
        </w:rPr>
        <w:t> </w:t>
      </w:r>
      <w:r>
        <w:rPr>
          <w:spacing w:val="-81"/>
        </w:rPr>
      </w:r>
      <w:r>
        <w:rPr/>
        <w:t>税所得额时，减记的金额予以转回。</w:t>
      </w:r>
    </w:p>
    <w:p>
      <w:pPr>
        <w:spacing w:line="240" w:lineRule="auto" w:before="6"/>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31</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pStyle w:val="BodyText"/>
        <w:spacing w:line="430" w:lineRule="atLeast" w:before="166"/>
        <w:ind w:left="573" w:right="0"/>
        <w:jc w:val="left"/>
      </w:pPr>
      <w:r>
        <w:rPr/>
        <w:t>（</w:t>
      </w:r>
      <w:r>
        <w:rPr>
          <w:rFonts w:ascii="宋体" w:hAnsi="宋体" w:cs="宋体" w:eastAsia="宋体" w:hint="default"/>
        </w:rPr>
        <w:t>1</w:t>
      </w:r>
      <w:r>
        <w:rPr/>
        <w:t>）本集团作为出租人 </w:t>
      </w:r>
      <w:r>
        <w:rPr>
          <w:spacing w:val="-1"/>
        </w:rPr>
        <w:t>经营租赁中的租金，本集团在租赁期内各个期间按照直线法确认当期损益。</w:t>
      </w:r>
      <w:bookmarkStart w:name="31、租赁" w:id="208"/>
      <w:bookmarkEnd w:id="208"/>
      <w:r>
        <w:rPr>
          <w:spacing w:val="-1"/>
        </w:rPr>
      </w:r>
      <w:bookmarkStart w:name="（1）经营租赁的会计处理方法" w:id="209"/>
      <w:bookmarkEnd w:id="209"/>
      <w:r>
        <w:rPr>
          <w:spacing w:val="-1"/>
        </w:rPr>
        <w:t>发生的初始直接费用</w:t>
      </w:r>
      <w:r>
        <w:rPr>
          <w:spacing w:val="-1"/>
        </w:rPr>
        <w:t>，计</w:t>
      </w:r>
    </w:p>
    <w:p>
      <w:pPr>
        <w:pStyle w:val="BodyText"/>
        <w:spacing w:line="240" w:lineRule="auto" w:before="37"/>
        <w:ind w:left="153" w:right="0"/>
        <w:jc w:val="both"/>
      </w:pPr>
      <w:r>
        <w:rPr/>
        <w:t>入当期损益。</w:t>
      </w:r>
    </w:p>
    <w:p>
      <w:pPr>
        <w:pStyle w:val="BodyText"/>
        <w:spacing w:line="430" w:lineRule="atLeast" w:before="2"/>
        <w:ind w:left="573" w:right="0"/>
        <w:jc w:val="left"/>
      </w:pPr>
      <w:r>
        <w:rPr/>
        <w:t>（</w:t>
      </w:r>
      <w:r>
        <w:rPr>
          <w:rFonts w:ascii="宋体" w:hAnsi="宋体" w:cs="宋体" w:eastAsia="宋体" w:hint="default"/>
        </w:rPr>
        <w:t>2</w:t>
      </w:r>
      <w:r>
        <w:rPr/>
        <w:t>）本集团作为承租人 </w:t>
      </w:r>
      <w:r>
        <w:rPr>
          <w:spacing w:val="-1"/>
        </w:rPr>
        <w:t>经营租赁中的租金，本集团在租赁期内各个期间按照直线法计入相关资产成本或当期损益；发生的初</w:t>
      </w:r>
    </w:p>
    <w:p>
      <w:pPr>
        <w:pStyle w:val="BodyText"/>
        <w:spacing w:line="240" w:lineRule="auto" w:before="37"/>
        <w:ind w:left="153" w:right="0"/>
        <w:jc w:val="both"/>
      </w:pPr>
      <w:r>
        <w:rPr/>
        <w:t>始直接费用，计入当期损益。</w:t>
      </w:r>
    </w:p>
    <w:p>
      <w:pPr>
        <w:spacing w:line="240" w:lineRule="auto" w:before="11"/>
        <w:rPr>
          <w:rFonts w:ascii="宋体" w:hAnsi="宋体" w:cs="宋体" w:eastAsia="宋体" w:hint="default"/>
          <w:sz w:val="25"/>
          <w:szCs w:val="25"/>
        </w:rPr>
      </w:pPr>
    </w:p>
    <w:p>
      <w:pPr>
        <w:pStyle w:val="Heading4"/>
        <w:spacing w:line="506" w:lineRule="auto"/>
        <w:ind w:left="574" w:right="6926"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）融资租赁的会计处理方法</w:t>
      </w:r>
      <w:r>
        <w:rPr>
          <w:spacing w:val="1"/>
          <w:w w:val="99"/>
        </w:rPr>
        <w:t> </w:t>
      </w:r>
      <w:r>
        <w:rPr>
          <w:rFonts w:ascii="宋体" w:hAnsi="宋体" w:cs="宋体" w:eastAsia="宋体" w:hint="default"/>
          <w:b w:val="0"/>
          <w:bCs w:val="0"/>
        </w:rPr>
        <w:t>无。</w:t>
      </w:r>
    </w:p>
    <w:p>
      <w:pPr>
        <w:pStyle w:val="Heading4"/>
        <w:spacing w:line="240" w:lineRule="auto" w:before="105"/>
        <w:ind w:right="0"/>
        <w:jc w:val="both"/>
        <w:rPr>
          <w:b w:val="0"/>
          <w:bCs w:val="0"/>
        </w:rPr>
      </w:pP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BodyText"/>
        <w:spacing w:line="376" w:lineRule="auto"/>
        <w:ind w:right="0"/>
        <w:jc w:val="left"/>
      </w:pPr>
      <w:r>
        <w:rPr/>
        <w:t>回购股份： </w:t>
      </w:r>
      <w:r>
        <w:rPr>
          <w:spacing w:val="-1"/>
        </w:rPr>
        <w:t>本集团回购的股份在注销或者转让之前，作为库存股管理，回购股份的全部支出转作库存股成本。股</w:t>
      </w:r>
    </w:p>
    <w:p>
      <w:pPr>
        <w:spacing w:after="0" w:line="376" w:lineRule="auto"/>
        <w:jc w:val="left"/>
        <w:sectPr>
          <w:pgSz w:w="11910" w:h="16840"/>
          <w:pgMar w:header="917" w:footer="1267" w:top="1140" w:bottom="1460" w:left="980" w:right="980"/>
        </w:sectPr>
      </w:pPr>
    </w:p>
    <w:p>
      <w:pPr>
        <w:spacing w:line="240" w:lineRule="auto" w:before="1"/>
        <w:rPr>
          <w:rFonts w:ascii="宋体" w:hAnsi="宋体" w:cs="宋体" w:eastAsia="宋体" w:hint="default"/>
          <w:sz w:val="19"/>
          <w:szCs w:val="19"/>
        </w:rPr>
      </w:pPr>
    </w:p>
    <w:p>
      <w:pPr>
        <w:pStyle w:val="BodyText"/>
        <w:spacing w:line="240" w:lineRule="auto" w:before="35"/>
        <w:ind w:left="654" w:right="0" w:hanging="420"/>
        <w:jc w:val="left"/>
      </w:pPr>
      <w:r>
        <w:rPr/>
        <w:t>份回购中支付的对价和交易费用减少所有者权益，回购、转上或注销本集团股份时，不确认利得或损失。</w:t>
      </w:r>
    </w:p>
    <w:p>
      <w:pPr>
        <w:pStyle w:val="BodyText"/>
        <w:spacing w:line="273" w:lineRule="auto" w:before="157"/>
        <w:ind w:left="234" w:right="231" w:firstLine="420"/>
        <w:jc w:val="both"/>
      </w:pPr>
      <w:r>
        <w:rPr>
          <w:spacing w:val="-1"/>
        </w:rPr>
        <w:t>转让库存股，按实际收到的金额与库存股账面金额的差额，计入资本公积，资本公积不足冲减的，冲</w:t>
      </w:r>
      <w:r>
        <w:rPr/>
        <w:t> </w:t>
      </w:r>
      <w:r>
        <w:rPr>
          <w:spacing w:val="-1"/>
        </w:rPr>
        <w:t>减盈余公积和未分配利润。注销库存股，按股票面值和注销股数减少股本，按注销库存股的账面余额与面</w:t>
      </w:r>
      <w:r>
        <w:rPr>
          <w:spacing w:val="-83"/>
        </w:rPr>
        <w:t> </w:t>
      </w:r>
      <w:r>
        <w:rPr>
          <w:spacing w:val="-83"/>
        </w:rPr>
      </w:r>
      <w:r>
        <w:rPr/>
        <w:t>值的差额，冲减资本公积，资本公积不足冲减的，冲减盈余公积和未分配利润。</w:t>
      </w:r>
    </w:p>
    <w:p>
      <w:pPr>
        <w:pStyle w:val="BodyText"/>
        <w:spacing w:line="432" w:lineRule="exact" w:before="27"/>
        <w:ind w:left="654" w:right="0"/>
        <w:jc w:val="left"/>
      </w:pPr>
      <w:r>
        <w:rPr/>
        <w:t>重大会计判断和估计</w:t>
      </w:r>
      <w:r>
        <w:rPr>
          <w:rFonts w:ascii="宋体" w:hAnsi="宋体" w:cs="宋体" w:eastAsia="宋体" w:hint="default"/>
        </w:rPr>
        <w:t>: </w:t>
      </w:r>
      <w:r>
        <w:rPr>
          <w:spacing w:val="-1"/>
        </w:rPr>
        <w:t>本集团根据历史经验和其它因素，包括对未来事项的合理预期，对所采用的重要会计估计和关键假设</w:t>
      </w:r>
    </w:p>
    <w:p>
      <w:pPr>
        <w:pStyle w:val="BodyText"/>
        <w:spacing w:line="255" w:lineRule="exact"/>
        <w:ind w:left="234" w:right="0"/>
        <w:jc w:val="left"/>
      </w:pPr>
      <w:r>
        <w:rPr/>
        <w:t>进行持续的评价。</w:t>
      </w:r>
    </w:p>
    <w:p>
      <w:pPr>
        <w:pStyle w:val="BodyText"/>
        <w:spacing w:line="273" w:lineRule="auto" w:before="157"/>
        <w:ind w:left="234" w:right="228" w:firstLine="420"/>
        <w:jc w:val="both"/>
      </w:pPr>
      <w:r>
        <w:rPr>
          <w:spacing w:val="3"/>
        </w:rPr>
        <w:t>很可能导致下一会计年度资产和负债的账面价值出现重大调整风险的重要会计估计和关键假设列示</w:t>
      </w:r>
      <w:r>
        <w:rPr/>
        <w:t> 如下：</w:t>
      </w:r>
    </w:p>
    <w:p>
      <w:pPr>
        <w:pStyle w:val="BodyText"/>
        <w:spacing w:line="432" w:lineRule="exact" w:before="27"/>
        <w:ind w:left="654" w:right="0"/>
        <w:jc w:val="left"/>
      </w:pPr>
      <w:r>
        <w:rPr/>
        <w:t>商誉减值： </w:t>
      </w:r>
      <w:r>
        <w:rPr>
          <w:spacing w:val="-1"/>
        </w:rPr>
        <w:t>本集团至少每年评估商誉是否发生减值。这要求对分配了商誉的资产组的使用价值进行估计。估计使</w:t>
      </w:r>
    </w:p>
    <w:p>
      <w:pPr>
        <w:pStyle w:val="BodyText"/>
        <w:spacing w:line="255" w:lineRule="exact"/>
        <w:ind w:left="234" w:right="0"/>
        <w:jc w:val="left"/>
      </w:pPr>
      <w:r>
        <w:rPr>
          <w:spacing w:val="-3"/>
        </w:rPr>
        <w:t>用价值时，本集团需要估计未来来自资产组的现金流量，同时选择恰当的折现率计算未来现金流量的现值。</w:t>
      </w:r>
    </w:p>
    <w:p>
      <w:pPr>
        <w:pStyle w:val="BodyText"/>
        <w:spacing w:line="430" w:lineRule="atLeast" w:before="2"/>
        <w:ind w:left="654" w:right="0"/>
        <w:jc w:val="left"/>
      </w:pPr>
      <w:r>
        <w:rPr/>
        <w:t>开发支出： </w:t>
      </w:r>
      <w:r>
        <w:rPr>
          <w:spacing w:val="-1"/>
        </w:rPr>
        <w:t>确定资本化的金额时，管理层必须做出有关资产的预期未来现金的产生、应采用的折现率以及预计受</w:t>
      </w:r>
    </w:p>
    <w:p>
      <w:pPr>
        <w:pStyle w:val="BodyText"/>
        <w:spacing w:line="376" w:lineRule="auto" w:before="37"/>
        <w:ind w:left="654" w:right="7752" w:hanging="420"/>
        <w:jc w:val="left"/>
      </w:pPr>
      <w:r>
        <w:rPr/>
        <w:t>益期间的假设。 递延所得税资产：</w:t>
      </w:r>
    </w:p>
    <w:p>
      <w:pPr>
        <w:pStyle w:val="BodyText"/>
        <w:spacing w:line="273" w:lineRule="auto" w:before="37"/>
        <w:ind w:left="234" w:right="231" w:firstLine="420"/>
        <w:jc w:val="both"/>
      </w:pPr>
      <w:r>
        <w:rPr>
          <w:spacing w:val="-1"/>
        </w:rPr>
        <w:t>在很有可能有足够的应纳税利润来抵扣亏损的限度内，应就所有未利用的税务亏损确认递延所得税资</w:t>
      </w:r>
      <w:r>
        <w:rPr/>
        <w:t> </w:t>
      </w:r>
      <w:r>
        <w:rPr>
          <w:spacing w:val="-1"/>
        </w:rPr>
        <w:t>产。这需要管理层运用大量的判断来估计未来应纳税利润发生的时间和金额，结合纳税筹划策略，以决定</w:t>
      </w:r>
      <w:r>
        <w:rPr>
          <w:spacing w:val="-83"/>
        </w:rPr>
        <w:t> </w:t>
      </w:r>
      <w:r>
        <w:rPr>
          <w:spacing w:val="-83"/>
        </w:rPr>
      </w:r>
      <w:r>
        <w:rPr/>
        <w:t>应确认的递延所得税资产的金额。</w:t>
      </w:r>
    </w:p>
    <w:p>
      <w:pPr>
        <w:spacing w:line="240" w:lineRule="auto" w:before="8"/>
        <w:rPr>
          <w:rFonts w:ascii="宋体" w:hAnsi="宋体" w:cs="宋体" w:eastAsia="宋体" w:hint="default"/>
          <w:sz w:val="23"/>
          <w:szCs w:val="23"/>
        </w:rPr>
      </w:pPr>
    </w:p>
    <w:p>
      <w:pPr>
        <w:pStyle w:val="Heading4"/>
        <w:spacing w:line="240" w:lineRule="auto"/>
        <w:ind w:left="234" w:right="0"/>
        <w:jc w:val="left"/>
        <w:rPr>
          <w:b w:val="0"/>
          <w:bCs w:val="0"/>
        </w:rPr>
      </w:pP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34"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5"/>
          <w:szCs w:val="25"/>
        </w:rPr>
      </w:pPr>
    </w:p>
    <w:tbl>
      <w:tblPr>
        <w:tblW w:w="0" w:type="auto"/>
        <w:jc w:val="left"/>
        <w:tblInd w:w="229" w:type="dxa"/>
        <w:tblLayout w:type="fixed"/>
        <w:tblCellMar>
          <w:top w:w="0" w:type="dxa"/>
          <w:left w:w="0" w:type="dxa"/>
          <w:bottom w:w="0" w:type="dxa"/>
          <w:right w:w="0" w:type="dxa"/>
        </w:tblCellMar>
        <w:tblLook w:val="01E0"/>
      </w:tblPr>
      <w:tblGrid>
        <w:gridCol w:w="5530"/>
        <w:gridCol w:w="2550"/>
        <w:gridCol w:w="1418"/>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888"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5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698"/>
              <w:jc w:val="right"/>
              <w:rPr>
                <w:rFonts w:ascii="宋体" w:hAnsi="宋体" w:cs="宋体" w:eastAsia="宋体" w:hint="default"/>
                <w:sz w:val="18"/>
                <w:szCs w:val="18"/>
              </w:rPr>
            </w:pPr>
            <w:r>
              <w:rPr>
                <w:rFonts w:ascii="宋体" w:hAnsi="宋体" w:cs="宋体" w:eastAsia="宋体" w:hint="default"/>
                <w:sz w:val="18"/>
                <w:szCs w:val="18"/>
              </w:rPr>
              <w:t>审批程序</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4" w:right="0"/>
              <w:jc w:val="left"/>
              <w:rPr>
                <w:rFonts w:ascii="宋体" w:hAnsi="宋体" w:cs="宋体" w:eastAsia="宋体" w:hint="default"/>
                <w:sz w:val="18"/>
                <w:szCs w:val="18"/>
              </w:rPr>
            </w:pPr>
            <w:bookmarkStart w:name="33、重要会计政策和会计估计变更" w:id="210"/>
            <w:bookmarkEnd w:id="210"/>
            <w:r>
              <w:rPr/>
            </w:r>
            <w:bookmarkStart w:name="（1）重要会计政策变更" w:id="211"/>
            <w:bookmarkEnd w:id="211"/>
            <w:r>
              <w:rPr/>
            </w:r>
            <w:r>
              <w:rPr>
                <w:rFonts w:ascii="宋体" w:hAnsi="宋体" w:cs="宋体" w:eastAsia="宋体" w:hint="default"/>
                <w:sz w:val="18"/>
                <w:szCs w:val="18"/>
              </w:rPr>
              <w:t>备注</w:t>
            </w:r>
          </w:p>
        </w:tc>
      </w:tr>
      <w:tr>
        <w:trPr>
          <w:trHeight w:val="1026"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firstLine="420"/>
              <w:jc w:val="left"/>
              <w:rPr>
                <w:rFonts w:ascii="宋体" w:hAnsi="宋体" w:cs="宋体" w:eastAsia="宋体" w:hint="default"/>
                <w:sz w:val="18"/>
                <w:szCs w:val="18"/>
              </w:rPr>
            </w:pPr>
            <w:r>
              <w:rPr>
                <w:rFonts w:ascii="宋体" w:hAnsi="宋体" w:cs="宋体" w:eastAsia="宋体" w:hint="default"/>
                <w:spacing w:val="-4"/>
                <w:sz w:val="18"/>
                <w:szCs w:val="18"/>
              </w:rPr>
              <w:t>根据《企业会计准则解释第</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6"/>
                <w:sz w:val="18"/>
                <w:szCs w:val="18"/>
              </w:rPr>
              <w:t> </w:t>
            </w:r>
            <w:r>
              <w:rPr>
                <w:rFonts w:ascii="宋体" w:hAnsi="宋体" w:cs="宋体" w:eastAsia="宋体" w:hint="default"/>
                <w:spacing w:val="-9"/>
                <w:sz w:val="18"/>
                <w:szCs w:val="18"/>
              </w:rPr>
              <w:t>号》，本公司变更限制性股票在等待</w:t>
            </w:r>
            <w:r>
              <w:rPr>
                <w:rFonts w:ascii="宋体" w:hAnsi="宋体" w:cs="宋体" w:eastAsia="宋体" w:hint="default"/>
                <w:sz w:val="18"/>
                <w:szCs w:val="18"/>
              </w:rPr>
              <w:t> 期内发放现金股利的会计处理和基本每股收益、稀释每股收益的计算 方法，本公司对上述会计政策变更采用追溯调整法处理。</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日召开了第三届 </w:t>
            </w:r>
            <w:r>
              <w:rPr>
                <w:rFonts w:ascii="宋体" w:hAnsi="宋体" w:cs="宋体" w:eastAsia="宋体" w:hint="default"/>
                <w:spacing w:val="-2"/>
                <w:sz w:val="18"/>
                <w:szCs w:val="18"/>
              </w:rPr>
              <w:t>董事会第九次会议，审议通过了</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《关于会计政策变更的议案》</w:t>
            </w: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77" w:right="0"/>
              <w:jc w:val="left"/>
              <w:rPr>
                <w:rFonts w:ascii="宋体" w:hAnsi="宋体" w:cs="宋体" w:eastAsia="宋体" w:hint="default"/>
                <w:sz w:val="18"/>
                <w:szCs w:val="18"/>
              </w:rPr>
            </w:pPr>
            <w:r>
              <w:rPr>
                <w:rFonts w:ascii="宋体" w:hAnsi="宋体" w:cs="宋体" w:eastAsia="宋体" w:hint="default"/>
                <w:b/>
                <w:bCs/>
                <w:sz w:val="18"/>
                <w:szCs w:val="18"/>
              </w:rPr>
              <w:t>受影响的报表项目</w:t>
            </w:r>
            <w:r>
              <w:rPr>
                <w:rFonts w:ascii="宋体" w:hAnsi="宋体" w:cs="宋体" w:eastAsia="宋体" w:hint="default"/>
                <w:sz w:val="18"/>
                <w:szCs w:val="18"/>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845"/>
              <w:jc w:val="right"/>
              <w:rPr>
                <w:rFonts w:ascii="宋体" w:hAnsi="宋体" w:cs="宋体" w:eastAsia="宋体" w:hint="default"/>
                <w:sz w:val="18"/>
                <w:szCs w:val="18"/>
              </w:rPr>
            </w:pPr>
            <w:r>
              <w:rPr>
                <w:rFonts w:ascii="宋体" w:hAnsi="宋体" w:cs="宋体" w:eastAsia="宋体" w:hint="default"/>
                <w:b/>
                <w:bCs/>
                <w:sz w:val="18"/>
                <w:szCs w:val="18"/>
              </w:rPr>
              <w:t>本期</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65" w:right="0"/>
              <w:jc w:val="left"/>
              <w:rPr>
                <w:rFonts w:ascii="宋体" w:hAnsi="宋体" w:cs="宋体" w:eastAsia="宋体" w:hint="default"/>
                <w:sz w:val="18"/>
                <w:szCs w:val="18"/>
              </w:rPr>
            </w:pPr>
            <w:r>
              <w:rPr>
                <w:rFonts w:ascii="宋体" w:hAnsi="宋体" w:cs="宋体" w:eastAsia="宋体" w:hint="default"/>
                <w:b/>
                <w:bCs/>
                <w:sz w:val="18"/>
                <w:szCs w:val="18"/>
              </w:rPr>
              <w:t>上期</w:t>
            </w:r>
            <w:r>
              <w:rPr>
                <w:rFonts w:ascii="宋体" w:hAnsi="宋体" w:cs="宋体" w:eastAsia="宋体" w:hint="default"/>
                <w:sz w:val="18"/>
                <w:szCs w:val="18"/>
              </w:rPr>
            </w:r>
          </w:p>
        </w:tc>
      </w:tr>
      <w:tr>
        <w:trPr>
          <w:trHeight w:val="42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4" w:right="0"/>
              <w:jc w:val="left"/>
              <w:rPr>
                <w:rFonts w:ascii="宋体" w:hAnsi="宋体" w:cs="宋体" w:eastAsia="宋体" w:hint="default"/>
                <w:sz w:val="18"/>
                <w:szCs w:val="18"/>
              </w:rPr>
            </w:pPr>
            <w:r>
              <w:rPr>
                <w:rFonts w:ascii="MS PGothic" w:hAnsi="MS PGothic" w:cs="MS PGothic" w:eastAsia="MS PGothic" w:hint="default"/>
                <w:sz w:val="18"/>
                <w:szCs w:val="18"/>
              </w:rPr>
              <w:t>①  </w:t>
            </w:r>
            <w:r>
              <w:rPr>
                <w:rFonts w:ascii="MS PGothic" w:hAnsi="MS PGothic" w:cs="MS PGothic" w:eastAsia="MS PGothic" w:hint="default"/>
                <w:spacing w:val="15"/>
                <w:sz w:val="18"/>
                <w:szCs w:val="18"/>
              </w:rPr>
              <w:t> </w:t>
            </w:r>
            <w:r>
              <w:rPr>
                <w:rFonts w:ascii="宋体" w:hAnsi="宋体" w:cs="宋体" w:eastAsia="宋体" w:hint="default"/>
                <w:sz w:val="18"/>
                <w:szCs w:val="18"/>
              </w:rPr>
              <w:t>其他应付款</w:t>
            </w:r>
          </w:p>
        </w:tc>
        <w:tc>
          <w:tcPr>
            <w:tcW w:w="25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18,750,139.20</w:t>
            </w:r>
          </w:p>
        </w:tc>
      </w:tr>
      <w:tr>
        <w:trPr>
          <w:trHeight w:val="42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②库存股</w:t>
            </w:r>
          </w:p>
        </w:tc>
        <w:tc>
          <w:tcPr>
            <w:tcW w:w="25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18,750,139.20</w:t>
            </w:r>
          </w:p>
        </w:tc>
      </w:tr>
    </w:tbl>
    <w:p>
      <w:pPr>
        <w:spacing w:line="240" w:lineRule="auto" w:before="10"/>
        <w:rPr>
          <w:rFonts w:ascii="宋体" w:hAnsi="宋体" w:cs="宋体" w:eastAsia="宋体" w:hint="default"/>
          <w:b/>
          <w:bCs/>
          <w:sz w:val="7"/>
          <w:szCs w:val="7"/>
        </w:rPr>
      </w:pPr>
    </w:p>
    <w:p>
      <w:pPr>
        <w:pStyle w:val="BodyText"/>
        <w:spacing w:line="240" w:lineRule="auto" w:before="35"/>
        <w:ind w:left="654" w:right="0"/>
        <w:jc w:val="left"/>
      </w:pPr>
      <w:r>
        <w:rPr/>
        <w:t>上述会计政策的累积影响数如下：</w:t>
      </w:r>
    </w:p>
    <w:p>
      <w:pPr>
        <w:spacing w:line="240" w:lineRule="auto" w:before="7"/>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2994"/>
        <w:gridCol w:w="2450"/>
        <w:gridCol w:w="2130"/>
        <w:gridCol w:w="2280"/>
      </w:tblGrid>
      <w:tr>
        <w:trPr>
          <w:trHeight w:val="412" w:hRule="exact"/>
        </w:trPr>
        <w:tc>
          <w:tcPr>
            <w:tcW w:w="2994"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59" w:right="0"/>
              <w:jc w:val="left"/>
              <w:rPr>
                <w:rFonts w:ascii="宋体" w:hAnsi="宋体" w:cs="宋体" w:eastAsia="宋体" w:hint="default"/>
                <w:sz w:val="18"/>
                <w:szCs w:val="18"/>
              </w:rPr>
            </w:pPr>
            <w:r>
              <w:rPr>
                <w:rFonts w:ascii="宋体" w:hAnsi="宋体" w:cs="宋体" w:eastAsia="宋体" w:hint="default"/>
                <w:sz w:val="18"/>
                <w:szCs w:val="18"/>
              </w:rPr>
              <w:t>受影响的项目</w:t>
            </w:r>
          </w:p>
        </w:tc>
        <w:tc>
          <w:tcPr>
            <w:tcW w:w="68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12" w:hRule="exact"/>
        </w:trPr>
        <w:tc>
          <w:tcPr>
            <w:tcW w:w="2994" w:type="dxa"/>
            <w:vMerge/>
            <w:tcBorders>
              <w:left w:val="single" w:sz="6" w:space="0" w:color="000000"/>
              <w:bottom w:val="single" w:sz="6" w:space="0" w:color="000000"/>
              <w:right w:val="single" w:sz="6" w:space="0" w:color="000000"/>
            </w:tcBorders>
          </w:tcPr>
          <w:p>
            <w:pP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15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907"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13"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520" w:right="0"/>
              <w:jc w:val="left"/>
              <w:rPr>
                <w:rFonts w:ascii="宋体" w:hAnsi="宋体" w:cs="宋体" w:eastAsia="宋体" w:hint="default"/>
                <w:sz w:val="18"/>
                <w:szCs w:val="18"/>
              </w:rPr>
            </w:pPr>
            <w:r>
              <w:rPr>
                <w:rFonts w:ascii="宋体" w:hAnsi="宋体" w:cs="宋体" w:eastAsia="宋体" w:hint="default"/>
                <w:sz w:val="18"/>
                <w:szCs w:val="18"/>
              </w:rPr>
              <w:t>总资产合计</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Times New Roman" w:hAnsi="Times New Roman" w:cs="Times New Roman" w:eastAsia="Times New Roman" w:hint="default"/>
                <w:sz w:val="18"/>
                <w:szCs w:val="18"/>
              </w:rPr>
            </w:pPr>
            <w:r>
              <w:rPr>
                <w:rFonts w:ascii="Times New Roman"/>
                <w:spacing w:val="-1"/>
                <w:sz w:val="18"/>
              </w:rPr>
              <w:t>1,314,447,084.12</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9"/>
              <w:jc w:val="right"/>
              <w:rPr>
                <w:rFonts w:ascii="Times New Roman" w:hAnsi="Times New Roman" w:cs="Times New Roman" w:eastAsia="Times New Roman" w:hint="default"/>
                <w:sz w:val="18"/>
                <w:szCs w:val="18"/>
              </w:rPr>
            </w:pPr>
            <w:r>
              <w:rPr>
                <w:rFonts w:ascii="Times New Roman"/>
                <w:spacing w:val="-1"/>
                <w:sz w:val="18"/>
              </w:rPr>
              <w:t>1,314,447,084.12</w:t>
            </w:r>
          </w:p>
        </w:tc>
      </w:tr>
      <w:tr>
        <w:trPr>
          <w:trHeight w:val="412"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2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337,735,835.69</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18,750,139.20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356,485,974.89</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00" w:right="900"/>
        </w:sectPr>
      </w:pPr>
    </w:p>
    <w:p>
      <w:pPr>
        <w:spacing w:line="240" w:lineRule="auto" w:before="12"/>
        <w:rPr>
          <w:rFonts w:ascii="宋体" w:hAnsi="宋体" w:cs="宋体" w:eastAsia="宋体"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2994"/>
        <w:gridCol w:w="2450"/>
        <w:gridCol w:w="2130"/>
        <w:gridCol w:w="2280"/>
      </w:tblGrid>
      <w:tr>
        <w:trPr>
          <w:trHeight w:val="412" w:hRule="exact"/>
        </w:trPr>
        <w:tc>
          <w:tcPr>
            <w:tcW w:w="2994"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159" w:right="0"/>
              <w:jc w:val="left"/>
              <w:rPr>
                <w:rFonts w:ascii="宋体" w:hAnsi="宋体" w:cs="宋体" w:eastAsia="宋体" w:hint="default"/>
                <w:sz w:val="18"/>
                <w:szCs w:val="18"/>
              </w:rPr>
            </w:pPr>
            <w:r>
              <w:rPr>
                <w:rFonts w:ascii="宋体" w:hAnsi="宋体" w:cs="宋体" w:eastAsia="宋体" w:hint="default"/>
                <w:sz w:val="18"/>
                <w:szCs w:val="18"/>
              </w:rPr>
              <w:t>受影响的项目</w:t>
            </w:r>
          </w:p>
        </w:tc>
        <w:tc>
          <w:tcPr>
            <w:tcW w:w="686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1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13" w:hRule="exact"/>
        </w:trPr>
        <w:tc>
          <w:tcPr>
            <w:tcW w:w="2994" w:type="dxa"/>
            <w:vMerge/>
            <w:tcBorders>
              <w:left w:val="single" w:sz="6" w:space="0" w:color="000000"/>
              <w:bottom w:val="single" w:sz="6" w:space="0" w:color="000000"/>
              <w:right w:val="single" w:sz="6" w:space="0" w:color="000000"/>
            </w:tcBorders>
          </w:tcPr>
          <w:p>
            <w:pP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1157"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907" w:right="0"/>
              <w:jc w:val="left"/>
              <w:rPr>
                <w:rFonts w:ascii="宋体" w:hAnsi="宋体" w:cs="宋体" w:eastAsia="宋体" w:hint="default"/>
                <w:sz w:val="18"/>
                <w:szCs w:val="18"/>
              </w:rPr>
            </w:pPr>
            <w:r>
              <w:rPr>
                <w:rFonts w:ascii="宋体" w:hAnsi="宋体" w:cs="宋体" w:eastAsia="宋体" w:hint="default"/>
                <w:sz w:val="18"/>
                <w:szCs w:val="18"/>
              </w:rPr>
              <w:t>调整金额</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12"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20" w:right="0"/>
              <w:jc w:val="left"/>
              <w:rPr>
                <w:rFonts w:ascii="宋体" w:hAnsi="宋体" w:cs="宋体" w:eastAsia="宋体" w:hint="default"/>
                <w:sz w:val="18"/>
                <w:szCs w:val="18"/>
              </w:rPr>
            </w:pPr>
            <w:r>
              <w:rPr>
                <w:rFonts w:ascii="宋体" w:hAnsi="宋体" w:cs="宋体" w:eastAsia="宋体" w:hint="default"/>
                <w:sz w:val="18"/>
                <w:szCs w:val="18"/>
              </w:rPr>
              <w:t>其中：其他应付款</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18,749,179.89</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18,750,139.20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130" w:right="0"/>
              <w:jc w:val="left"/>
              <w:rPr>
                <w:rFonts w:ascii="Times New Roman" w:hAnsi="Times New Roman" w:cs="Times New Roman" w:eastAsia="Times New Roman" w:hint="default"/>
                <w:sz w:val="18"/>
                <w:szCs w:val="18"/>
              </w:rPr>
            </w:pPr>
            <w:r>
              <w:rPr>
                <w:rFonts w:ascii="Times New Roman"/>
                <w:sz w:val="18"/>
              </w:rPr>
              <w:t>37,499,319.09</w:t>
            </w:r>
          </w:p>
        </w:tc>
      </w:tr>
      <w:tr>
        <w:trPr>
          <w:trHeight w:val="412"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520" w:right="0"/>
              <w:jc w:val="left"/>
              <w:rPr>
                <w:rFonts w:ascii="宋体" w:hAnsi="宋体" w:cs="宋体" w:eastAsia="宋体" w:hint="default"/>
                <w:sz w:val="18"/>
                <w:szCs w:val="18"/>
              </w:rPr>
            </w:pPr>
            <w:r>
              <w:rPr>
                <w:rFonts w:ascii="宋体" w:hAnsi="宋体" w:cs="宋体" w:eastAsia="宋体" w:hint="default"/>
                <w:sz w:val="18"/>
                <w:szCs w:val="18"/>
              </w:rPr>
              <w:t>股东权益合计</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7"/>
              <w:jc w:val="right"/>
              <w:rPr>
                <w:rFonts w:ascii="Times New Roman" w:hAnsi="Times New Roman" w:cs="Times New Roman" w:eastAsia="Times New Roman" w:hint="default"/>
                <w:sz w:val="18"/>
                <w:szCs w:val="18"/>
              </w:rPr>
            </w:pPr>
            <w:r>
              <w:rPr>
                <w:rFonts w:ascii="Times New Roman"/>
                <w:spacing w:val="-1"/>
                <w:sz w:val="18"/>
              </w:rPr>
              <w:t>976,711,248.43</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98"/>
              <w:jc w:val="right"/>
              <w:rPr>
                <w:rFonts w:ascii="Times New Roman" w:hAnsi="Times New Roman" w:cs="Times New Roman" w:eastAsia="Times New Roman" w:hint="default"/>
                <w:sz w:val="18"/>
                <w:szCs w:val="18"/>
              </w:rPr>
            </w:pPr>
            <w:r>
              <w:rPr>
                <w:rFonts w:ascii="Times New Roman"/>
                <w:spacing w:val="-1"/>
                <w:sz w:val="18"/>
              </w:rPr>
              <w:t>-18,750,139.20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040" w:right="0"/>
              <w:jc w:val="left"/>
              <w:rPr>
                <w:rFonts w:ascii="Times New Roman" w:hAnsi="Times New Roman" w:cs="Times New Roman" w:eastAsia="Times New Roman" w:hint="default"/>
                <w:sz w:val="18"/>
                <w:szCs w:val="18"/>
              </w:rPr>
            </w:pPr>
            <w:r>
              <w:rPr>
                <w:rFonts w:ascii="Times New Roman"/>
                <w:sz w:val="18"/>
              </w:rPr>
              <w:t>957,961,109.23</w:t>
            </w:r>
          </w:p>
        </w:tc>
      </w:tr>
      <w:tr>
        <w:trPr>
          <w:trHeight w:val="413"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520" w:right="0"/>
              <w:jc w:val="left"/>
              <w:rPr>
                <w:rFonts w:ascii="宋体" w:hAnsi="宋体" w:cs="宋体" w:eastAsia="宋体" w:hint="default"/>
                <w:sz w:val="18"/>
                <w:szCs w:val="18"/>
              </w:rPr>
            </w:pPr>
            <w:r>
              <w:rPr>
                <w:rFonts w:ascii="宋体" w:hAnsi="宋体" w:cs="宋体" w:eastAsia="宋体" w:hint="default"/>
                <w:sz w:val="18"/>
                <w:szCs w:val="18"/>
              </w:rPr>
              <w:t>其中：库存股</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98"/>
              <w:jc w:val="right"/>
              <w:rPr>
                <w:rFonts w:ascii="宋体" w:hAnsi="宋体" w:cs="宋体" w:eastAsia="宋体" w:hint="default"/>
                <w:sz w:val="18"/>
                <w:szCs w:val="18"/>
              </w:rPr>
            </w:pPr>
            <w:r>
              <w:rPr>
                <w:rFonts w:ascii="宋体" w:hAnsi="宋体" w:cs="宋体" w:eastAsia="宋体" w:hint="default"/>
                <w:sz w:val="18"/>
                <w:szCs w:val="18"/>
              </w:rPr>
              <w:t>－</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right="100"/>
              <w:jc w:val="right"/>
              <w:rPr>
                <w:rFonts w:ascii="Times New Roman" w:hAnsi="Times New Roman" w:cs="Times New Roman" w:eastAsia="Times New Roman" w:hint="default"/>
                <w:sz w:val="18"/>
                <w:szCs w:val="18"/>
              </w:rPr>
            </w:pPr>
            <w:r>
              <w:rPr>
                <w:rFonts w:ascii="Times New Roman"/>
                <w:spacing w:val="-1"/>
                <w:sz w:val="18"/>
              </w:rPr>
              <w:t>18,750,139.20</w:t>
            </w:r>
            <w:r>
              <w:rPr>
                <w:rFonts w:ascii="Times New Roman"/>
                <w:sz w:val="18"/>
              </w:rPr>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5"/>
              <w:ind w:left="1130" w:right="0"/>
              <w:jc w:val="left"/>
              <w:rPr>
                <w:rFonts w:ascii="Times New Roman" w:hAnsi="Times New Roman" w:cs="Times New Roman" w:eastAsia="Times New Roman" w:hint="default"/>
                <w:sz w:val="18"/>
                <w:szCs w:val="18"/>
              </w:rPr>
            </w:pPr>
            <w:r>
              <w:rPr>
                <w:rFonts w:ascii="Times New Roman"/>
                <w:sz w:val="18"/>
              </w:rPr>
              <w:t>18,750,139.20</w:t>
            </w:r>
          </w:p>
        </w:tc>
      </w:tr>
      <w:tr>
        <w:trPr>
          <w:trHeight w:val="412" w:hRule="exact"/>
        </w:trPr>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520" w:right="0"/>
              <w:jc w:val="left"/>
              <w:rPr>
                <w:rFonts w:ascii="宋体" w:hAnsi="宋体" w:cs="宋体" w:eastAsia="宋体" w:hint="default"/>
                <w:sz w:val="18"/>
                <w:szCs w:val="18"/>
              </w:rPr>
            </w:pPr>
            <w:r>
              <w:rPr>
                <w:rFonts w:ascii="宋体" w:hAnsi="宋体" w:cs="宋体" w:eastAsia="宋体" w:hint="default"/>
                <w:sz w:val="18"/>
                <w:szCs w:val="18"/>
              </w:rPr>
              <w:t>归属于母公司股东权益合计</w:t>
            </w:r>
          </w:p>
        </w:tc>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943,641,638.48</w:t>
            </w:r>
          </w:p>
        </w:tc>
        <w:tc>
          <w:tcPr>
            <w:tcW w:w="2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-18,750,139.20</w:t>
            </w:r>
          </w:p>
        </w:tc>
        <w:tc>
          <w:tcPr>
            <w:tcW w:w="2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1040" w:right="0"/>
              <w:jc w:val="left"/>
              <w:rPr>
                <w:rFonts w:ascii="Times New Roman" w:hAnsi="Times New Roman" w:cs="Times New Roman" w:eastAsia="Times New Roman" w:hint="default"/>
                <w:sz w:val="18"/>
                <w:szCs w:val="18"/>
              </w:rPr>
            </w:pPr>
            <w:r>
              <w:rPr>
                <w:rFonts w:ascii="Times New Roman"/>
                <w:sz w:val="18"/>
              </w:rPr>
              <w:t>924,891,499.28</w:t>
            </w:r>
          </w:p>
        </w:tc>
      </w:tr>
    </w:tbl>
    <w:p>
      <w:pPr>
        <w:spacing w:line="240" w:lineRule="auto" w:before="11"/>
        <w:rPr>
          <w:rFonts w:ascii="宋体" w:hAnsi="宋体" w:cs="宋体" w:eastAsia="宋体" w:hint="default"/>
          <w:sz w:val="7"/>
          <w:szCs w:val="7"/>
        </w:rPr>
      </w:pPr>
    </w:p>
    <w:p>
      <w:pPr>
        <w:spacing w:line="309" w:lineRule="auto" w:before="35"/>
        <w:ind w:left="233" w:right="208" w:firstLine="420"/>
        <w:jc w:val="left"/>
        <w:rPr>
          <w:rFonts w:ascii="宋体" w:hAnsi="宋体" w:cs="宋体" w:eastAsia="宋体" w:hint="default"/>
          <w:sz w:val="21"/>
          <w:szCs w:val="21"/>
        </w:rPr>
      </w:pPr>
      <w:r>
        <w:rPr>
          <w:rFonts w:ascii="宋体" w:hAnsi="宋体" w:cs="宋体" w:eastAsia="宋体" w:hint="default"/>
          <w:sz w:val="21"/>
          <w:szCs w:val="21"/>
        </w:rPr>
        <w:t>说明：上述会计政策变更对</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日的股东权益影响金额为：增加库存股金额</w:t>
      </w:r>
      <w:r>
        <w:rPr>
          <w:rFonts w:ascii="Times New Roman" w:hAnsi="Times New Roman" w:cs="Times New Roman" w:eastAsia="Times New Roman" w:hint="default"/>
          <w:sz w:val="18"/>
          <w:szCs w:val="18"/>
        </w:rPr>
        <w:t>19,860,742.80</w:t>
      </w:r>
      <w:r>
        <w:rPr>
          <w:rFonts w:ascii="宋体" w:hAnsi="宋体" w:cs="宋体" w:eastAsia="宋体" w:hint="default"/>
          <w:sz w:val="21"/>
          <w:szCs w:val="21"/>
        </w:rPr>
        <w:t>元，</w:t>
      </w:r>
      <w:r>
        <w:rPr>
          <w:rFonts w:ascii="宋体" w:hAnsi="宋体" w:cs="宋体" w:eastAsia="宋体" w:hint="default"/>
          <w:spacing w:val="1"/>
          <w:sz w:val="21"/>
          <w:szCs w:val="21"/>
        </w:rPr>
        <w:t> </w:t>
      </w:r>
      <w:r>
        <w:rPr>
          <w:rFonts w:ascii="宋体" w:hAnsi="宋体" w:cs="宋体" w:eastAsia="宋体" w:hint="default"/>
          <w:sz w:val="21"/>
          <w:szCs w:val="21"/>
        </w:rPr>
        <w:t>减少股东权益金额</w:t>
      </w:r>
      <w:r>
        <w:rPr>
          <w:rFonts w:ascii="Times New Roman" w:hAnsi="Times New Roman" w:cs="Times New Roman" w:eastAsia="Times New Roman" w:hint="default"/>
          <w:sz w:val="18"/>
          <w:szCs w:val="18"/>
        </w:rPr>
        <w:t>19,860,742.80</w:t>
      </w:r>
      <w:r>
        <w:rPr>
          <w:rFonts w:ascii="宋体" w:hAnsi="宋体" w:cs="宋体" w:eastAsia="宋体" w:hint="default"/>
          <w:sz w:val="21"/>
          <w:szCs w:val="21"/>
        </w:rPr>
        <w:t>元，其中减少归属于母公司所有者权益金额</w:t>
      </w:r>
      <w:r>
        <w:rPr>
          <w:rFonts w:ascii="Times New Roman" w:hAnsi="Times New Roman" w:cs="Times New Roman" w:eastAsia="Times New Roman" w:hint="default"/>
          <w:sz w:val="18"/>
          <w:szCs w:val="18"/>
        </w:rPr>
        <w:t>19,860,742.80</w:t>
      </w:r>
      <w:r>
        <w:rPr>
          <w:rFonts w:ascii="宋体" w:hAnsi="宋体" w:cs="宋体" w:eastAsia="宋体" w:hint="default"/>
          <w:sz w:val="21"/>
          <w:szCs w:val="21"/>
        </w:rPr>
        <w:t>元。</w:t>
      </w:r>
    </w:p>
    <w:p>
      <w:pPr>
        <w:spacing w:line="240" w:lineRule="auto" w:before="9"/>
        <w:rPr>
          <w:rFonts w:ascii="宋体" w:hAnsi="宋体" w:cs="宋体" w:eastAsia="宋体" w:hint="default"/>
          <w:sz w:val="22"/>
          <w:szCs w:val="22"/>
        </w:rPr>
      </w:pPr>
    </w:p>
    <w:p>
      <w:pPr>
        <w:pStyle w:val="Heading4"/>
        <w:spacing w:line="240" w:lineRule="auto"/>
        <w:ind w:left="234"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6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spacing w:line="487" w:lineRule="auto" w:before="0"/>
        <w:ind w:left="234" w:right="806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24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52" w:right="0"/>
              <w:jc w:val="left"/>
              <w:rPr>
                <w:rFonts w:ascii="宋体" w:hAnsi="宋体" w:cs="宋体" w:eastAsia="宋体" w:hint="default"/>
                <w:sz w:val="18"/>
                <w:szCs w:val="18"/>
              </w:rPr>
            </w:pPr>
            <w:bookmarkStart w:name="（2）重要会计估计变更" w:id="212"/>
            <w:bookmarkEnd w:id="212"/>
            <w:r>
              <w:rPr/>
            </w:r>
            <w:bookmarkStart w:name="34、其他" w:id="213"/>
            <w:bookmarkEnd w:id="213"/>
            <w:r>
              <w:rPr/>
            </w: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Times New Roman" w:hAnsi="Times New Roman" w:cs="Times New Roman" w:eastAsia="Times New Roman" w:hint="default"/>
                <w:sz w:val="18"/>
                <w:szCs w:val="18"/>
              </w:rPr>
            </w:pPr>
            <w:bookmarkStart w:name="六、税项" w:id="214"/>
            <w:bookmarkEnd w:id="214"/>
            <w:r>
              <w:rPr/>
            </w:r>
            <w:bookmarkStart w:name="1、主要税种及税率" w:id="215"/>
            <w:bookmarkEnd w:id="215"/>
            <w:r>
              <w:rPr/>
            </w:r>
            <w:r>
              <w:rPr>
                <w:rFonts w:ascii="宋体" w:hAnsi="宋体" w:cs="宋体" w:eastAsia="宋体" w:hint="default"/>
                <w:sz w:val="18"/>
                <w:szCs w:val="18"/>
              </w:rPr>
              <w:t>税率</w:t>
            </w:r>
            <w:r>
              <w:rPr>
                <w:rFonts w:ascii="Times New Roman" w:hAnsi="Times New Roman" w:cs="Times New Roman" w:eastAsia="Times New Roman" w:hint="default"/>
                <w:sz w:val="18"/>
                <w:szCs w:val="18"/>
              </w:rPr>
              <w:t>%</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2</w:t>
            </w:r>
          </w:p>
        </w:tc>
      </w:tr>
    </w:tbl>
    <w:p>
      <w:pPr>
        <w:spacing w:before="51"/>
        <w:ind w:left="6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22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所得税税率</w:t>
            </w:r>
            <w:r>
              <w:rPr>
                <w:rFonts w:ascii="Times New Roman" w:hAnsi="Times New Roman" w:cs="Times New Roman" w:eastAsia="Times New Roman" w:hint="default"/>
                <w:sz w:val="18"/>
                <w:szCs w:val="18"/>
              </w:rPr>
              <w:t>%</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厦门市美亚柏科信息股份有限公司北京分公司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厦门美亚柏科信息安全研究所有限公司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珠海市新德汇信息技术有限公司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厦门美亚中敏电子科技有限公司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香港鼎永泰克科技有限公司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厦门安胜网络科技有限公司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武汉大千信息技术有限公司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江苏税软软件科技有限公司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12.5</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267" w:top="1140" w:bottom="1460" w:left="900" w:right="90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无锡博盾信息科技有限公司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北京美亚宏数科技有限责任公司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97"/>
        <w:jc w:val="left"/>
        <w:rPr>
          <w:b w:val="0"/>
          <w:bCs w:val="0"/>
        </w:rPr>
      </w:pPr>
      <w:r>
        <w:rPr>
          <w:rFonts w:ascii="Times New Roman" w:hAnsi="Times New Roman" w:cs="Times New Roman" w:eastAsia="Times New Roman" w:hint="default"/>
        </w:rPr>
        <w:t>2</w:t>
      </w:r>
      <w:r>
        <w:rPr/>
        <w:t>、税收优</w:t>
      </w:r>
      <w:bookmarkStart w:name="2、税收优惠" w:id="216"/>
      <w:bookmarkEnd w:id="216"/>
      <w:r>
        <w:rPr/>
        <w:t>惠</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t>（</w:t>
      </w:r>
      <w:r>
        <w:rPr>
          <w:rFonts w:ascii="Times New Roman" w:hAnsi="Times New Roman" w:cs="Times New Roman" w:eastAsia="Times New Roman" w:hint="default"/>
        </w:rPr>
        <w:t>1</w:t>
      </w:r>
      <w:r>
        <w:rPr/>
        <w:t>）增值税</w:t>
      </w:r>
    </w:p>
    <w:p>
      <w:pPr>
        <w:spacing w:line="240" w:lineRule="auto" w:before="7"/>
        <w:rPr>
          <w:rFonts w:ascii="宋体" w:hAnsi="宋体" w:cs="宋体" w:eastAsia="宋体" w:hint="default"/>
          <w:sz w:val="15"/>
          <w:szCs w:val="15"/>
        </w:rPr>
      </w:pPr>
    </w:p>
    <w:p>
      <w:pPr>
        <w:pStyle w:val="BodyText"/>
        <w:spacing w:line="309" w:lineRule="auto"/>
        <w:ind w:left="153" w:right="213" w:firstLine="420"/>
        <w:jc w:val="both"/>
      </w:pP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日，本公司通过厦门市科学技术委员会软件企业认证，取得</w:t>
      </w:r>
      <w:r>
        <w:rPr>
          <w:rFonts w:ascii="Times New Roman" w:hAnsi="Times New Roman" w:cs="Times New Roman" w:eastAsia="Times New Roman" w:hint="default"/>
          <w:spacing w:val="-2"/>
        </w:rPr>
        <w:t>“</w:t>
      </w:r>
      <w:r>
        <w:rPr>
          <w:spacing w:val="-2"/>
        </w:rPr>
        <w:t>厦</w:t>
      </w:r>
      <w:r>
        <w:rPr>
          <w:rFonts w:ascii="Times New Roman" w:hAnsi="Times New Roman" w:cs="Times New Roman" w:eastAsia="Times New Roman" w:hint="default"/>
          <w:spacing w:val="-2"/>
        </w:rPr>
        <w:t>R-2001-0044</w:t>
      </w:r>
      <w:r>
        <w:rPr>
          <w:spacing w:val="-2"/>
        </w:rPr>
        <w:t>号</w:t>
      </w:r>
      <w:r>
        <w:rPr>
          <w:rFonts w:ascii="Times New Roman" w:hAnsi="Times New Roman" w:cs="Times New Roman" w:eastAsia="Times New Roman" w:hint="default"/>
          <w:spacing w:val="-2"/>
        </w:rPr>
        <w:t>”</w:t>
      </w:r>
      <w:r>
        <w:rPr>
          <w:spacing w:val="-2"/>
        </w:rPr>
        <w:t>《软件企</w:t>
      </w:r>
      <w:r>
        <w:rPr/>
        <w:t> </w:t>
      </w:r>
      <w:r>
        <w:rPr>
          <w:spacing w:val="-1"/>
        </w:rPr>
        <w:t>业认定证书》。</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20</w:t>
      </w:r>
      <w:r>
        <w:rPr>
          <w:spacing w:val="-1"/>
        </w:rPr>
        <w:t>日，本公司股份制改制变更后被厦门市软件行业协会重新授予《软件企业认</w:t>
      </w:r>
      <w:r>
        <w:rPr>
          <w:spacing w:val="-86"/>
        </w:rPr>
        <w:t> </w:t>
      </w:r>
      <w:r>
        <w:rPr>
          <w:spacing w:val="-86"/>
        </w:rPr>
      </w:r>
      <w:r>
        <w:rPr/>
        <w:t>定证书》。</w:t>
      </w:r>
    </w:p>
    <w:p>
      <w:pPr>
        <w:pStyle w:val="BodyText"/>
        <w:spacing w:line="309" w:lineRule="auto" w:before="158"/>
        <w:ind w:left="153" w:right="296" w:firstLine="42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日，子公司珠海市新德汇信息技术有限公司通过广东省经济和信息化委员会软件企业认 证，取得</w:t>
      </w:r>
      <w:r>
        <w:rPr>
          <w:rFonts w:ascii="Times New Roman" w:hAnsi="Times New Roman" w:cs="Times New Roman" w:eastAsia="Times New Roman" w:hint="default"/>
        </w:rPr>
        <w:t>“</w:t>
      </w:r>
      <w:r>
        <w:rPr/>
        <w:t>粤</w:t>
      </w:r>
      <w:r>
        <w:rPr>
          <w:rFonts w:ascii="Times New Roman" w:hAnsi="Times New Roman" w:cs="Times New Roman" w:eastAsia="Times New Roman" w:hint="default"/>
        </w:rPr>
        <w:t>R-2011-0100</w:t>
      </w:r>
      <w:r>
        <w:rPr/>
        <w:t>号</w:t>
      </w:r>
      <w:r>
        <w:rPr>
          <w:rFonts w:ascii="Times New Roman" w:hAnsi="Times New Roman" w:cs="Times New Roman" w:eastAsia="Times New Roman" w:hint="default"/>
        </w:rPr>
        <w:t>”</w:t>
      </w:r>
      <w:r>
        <w:rPr/>
        <w:t>《软件企业认定证书》。</w:t>
      </w:r>
    </w:p>
    <w:p>
      <w:pPr>
        <w:pStyle w:val="BodyText"/>
        <w:spacing w:line="309" w:lineRule="auto" w:before="136"/>
        <w:ind w:left="153" w:right="238"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日，子公司武汉大千信息技术有限公司通过湖北省经济和信息化委员会认证，取得</w:t>
      </w:r>
      <w:r>
        <w:rPr>
          <w:rFonts w:ascii="Times New Roman" w:hAnsi="Times New Roman" w:cs="Times New Roman" w:eastAsia="Times New Roman" w:hint="default"/>
        </w:rPr>
        <w:t>“</w:t>
      </w:r>
      <w:r>
        <w:rPr/>
        <w:t>鄂 </w:t>
      </w:r>
      <w:r>
        <w:rPr>
          <w:rFonts w:ascii="Times New Roman" w:hAnsi="Times New Roman" w:cs="Times New Roman" w:eastAsia="Times New Roman" w:hint="default"/>
          <w:spacing w:val="-1"/>
        </w:rPr>
        <w:t>R-2012-0145</w:t>
      </w:r>
      <w:r>
        <w:rPr>
          <w:spacing w:val="-1"/>
        </w:rPr>
        <w:t>号</w:t>
      </w:r>
      <w:r>
        <w:rPr>
          <w:rFonts w:ascii="Times New Roman" w:hAnsi="Times New Roman" w:cs="Times New Roman" w:eastAsia="Times New Roman" w:hint="default"/>
          <w:spacing w:val="-1"/>
        </w:rPr>
        <w:t>”</w:t>
      </w:r>
      <w:r>
        <w:rPr>
          <w:spacing w:val="-1"/>
        </w:rPr>
        <w:t>《软件企业认定证书》；</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28</w:t>
      </w:r>
      <w:r>
        <w:rPr>
          <w:spacing w:val="-1"/>
        </w:rPr>
        <w:t>日，武汉大千信息技术有限公司重新通过认证，取</w:t>
      </w:r>
      <w:r>
        <w:rPr>
          <w:spacing w:val="-62"/>
        </w:rPr>
        <w:t> </w:t>
      </w:r>
      <w:r>
        <w:rPr>
          <w:spacing w:val="-62"/>
        </w:rPr>
      </w:r>
      <w:r>
        <w:rPr/>
        <w:t>得</w:t>
      </w:r>
      <w:r>
        <w:rPr>
          <w:spacing w:val="-28"/>
        </w:rPr>
        <w:t> </w:t>
      </w:r>
      <w:r>
        <w:rPr>
          <w:rFonts w:ascii="Times New Roman" w:hAnsi="Times New Roman" w:cs="Times New Roman" w:eastAsia="Times New Roman" w:hint="default"/>
        </w:rPr>
        <w:t>“</w:t>
      </w:r>
      <w:r>
        <w:rPr/>
        <w:t>鄂</w:t>
      </w:r>
      <w:r>
        <w:rPr>
          <w:rFonts w:ascii="Times New Roman" w:hAnsi="Times New Roman" w:cs="Times New Roman" w:eastAsia="Times New Roman" w:hint="default"/>
        </w:rPr>
        <w:t>R-2014-0457</w:t>
      </w:r>
      <w:r>
        <w:rPr/>
        <w:t>号</w:t>
      </w:r>
      <w:r>
        <w:rPr>
          <w:rFonts w:ascii="Times New Roman" w:hAnsi="Times New Roman" w:cs="Times New Roman" w:eastAsia="Times New Roman" w:hint="default"/>
        </w:rPr>
        <w:t>”</w:t>
      </w:r>
      <w:r>
        <w:rPr/>
        <w:t>《软件企业认定证书》。</w:t>
      </w:r>
    </w:p>
    <w:p>
      <w:pPr>
        <w:pStyle w:val="BodyText"/>
        <w:spacing w:line="309" w:lineRule="auto" w:before="136"/>
        <w:ind w:left="153" w:right="191"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日，子公司江苏税软软件科技有限公司通过江苏省经济和信息化委员会软件企业认证， 取得</w:t>
      </w:r>
      <w:r>
        <w:rPr>
          <w:rFonts w:ascii="Times New Roman" w:hAnsi="Times New Roman" w:cs="Times New Roman" w:eastAsia="Times New Roman" w:hint="default"/>
        </w:rPr>
        <w:t>“</w:t>
      </w:r>
      <w:r>
        <w:rPr/>
        <w:t>苏</w:t>
      </w:r>
      <w:r>
        <w:rPr>
          <w:rFonts w:ascii="Times New Roman" w:hAnsi="Times New Roman" w:cs="Times New Roman" w:eastAsia="Times New Roman" w:hint="default"/>
        </w:rPr>
        <w:t>R-2012-B0072</w:t>
      </w:r>
      <w:r>
        <w:rPr/>
        <w:t>号</w:t>
      </w:r>
      <w:r>
        <w:rPr>
          <w:rFonts w:ascii="Times New Roman" w:hAnsi="Times New Roman" w:cs="Times New Roman" w:eastAsia="Times New Roman" w:hint="default"/>
        </w:rPr>
        <w:t>”</w:t>
      </w:r>
      <w:r>
        <w:rPr/>
        <w:t>《软件企业认定证书》；</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日，江苏税软软件科技有限公司重新通过认 证，取得</w:t>
      </w:r>
      <w:r>
        <w:rPr>
          <w:rFonts w:ascii="Times New Roman" w:hAnsi="Times New Roman" w:cs="Times New Roman" w:eastAsia="Times New Roman" w:hint="default"/>
        </w:rPr>
        <w:t>“</w:t>
      </w:r>
      <w:r>
        <w:rPr/>
        <w:t>苏</w:t>
      </w:r>
      <w:r>
        <w:rPr>
          <w:rFonts w:ascii="Times New Roman" w:hAnsi="Times New Roman" w:cs="Times New Roman" w:eastAsia="Times New Roman" w:hint="default"/>
        </w:rPr>
        <w:t>R-2013-B1125</w:t>
      </w:r>
      <w:r>
        <w:rPr/>
        <w:t>号</w:t>
      </w:r>
      <w:r>
        <w:rPr>
          <w:rFonts w:ascii="Times New Roman" w:hAnsi="Times New Roman" w:cs="Times New Roman" w:eastAsia="Times New Roman" w:hint="default"/>
        </w:rPr>
        <w:t>”</w:t>
      </w:r>
      <w:r>
        <w:rPr/>
        <w:t>《软件企业认定证书》。</w:t>
      </w:r>
    </w:p>
    <w:p>
      <w:pPr>
        <w:pStyle w:val="BodyText"/>
        <w:spacing w:line="309" w:lineRule="auto" w:before="136"/>
        <w:ind w:left="154" w:right="97" w:firstLine="420"/>
        <w:jc w:val="left"/>
      </w:pPr>
      <w:r>
        <w:rPr/>
        <w:t>根据《国务院关于印发进一步鼓励软件产业和集成电路产业发展若干政策的通知》（国发〔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 </w:t>
      </w:r>
      <w:r>
        <w:rPr>
          <w:spacing w:val="-2"/>
        </w:rPr>
        <w:t>号）、《关于软件产品增值税政策的通知》（财税</w:t>
      </w:r>
      <w:r>
        <w:rPr>
          <w:rFonts w:ascii="Times New Roman" w:hAnsi="Times New Roman" w:cs="Times New Roman" w:eastAsia="Times New Roman" w:hint="default"/>
          <w:spacing w:val="-2"/>
        </w:rPr>
        <w:t>[2011]100</w:t>
      </w:r>
      <w:r>
        <w:rPr>
          <w:spacing w:val="-2"/>
        </w:rPr>
        <w:t>号）规定，对增值税一般纳税人销售其自行开</w:t>
      </w:r>
      <w:r>
        <w:rPr>
          <w:spacing w:val="-67"/>
        </w:rPr>
        <w:t> </w:t>
      </w:r>
      <w:r>
        <w:rPr>
          <w:spacing w:val="-67"/>
        </w:rPr>
      </w:r>
      <w:r>
        <w:rPr/>
        <w:t>发生产的软件产品，按</w:t>
      </w:r>
      <w:r>
        <w:rPr>
          <w:rFonts w:ascii="Times New Roman" w:hAnsi="Times New Roman" w:cs="Times New Roman" w:eastAsia="Times New Roman" w:hint="default"/>
        </w:rPr>
        <w:t>17</w:t>
      </w:r>
      <w:r>
        <w:rPr/>
        <w:t>％的法定税率征收增值税后，对其增值税实际税负超过</w:t>
      </w:r>
      <w:r>
        <w:rPr>
          <w:rFonts w:ascii="Times New Roman" w:hAnsi="Times New Roman" w:cs="Times New Roman" w:eastAsia="Times New Roman" w:hint="default"/>
        </w:rPr>
        <w:t>3</w:t>
      </w:r>
      <w:r>
        <w:rPr/>
        <w:t>％的部分实行即征即退 政策。</w:t>
      </w:r>
    </w:p>
    <w:p>
      <w:pPr>
        <w:pStyle w:val="BodyText"/>
        <w:spacing w:line="309" w:lineRule="auto" w:before="158"/>
        <w:ind w:left="154" w:right="106" w:firstLine="420"/>
        <w:jc w:val="left"/>
      </w:pPr>
      <w:r>
        <w:rPr>
          <w:spacing w:val="-3"/>
        </w:rPr>
        <w:t>根据《关于鼓励软件产业和集成电路产业发展有关税收政策问题的通知》（财税【</w:t>
      </w:r>
      <w:r>
        <w:rPr>
          <w:rFonts w:ascii="Times New Roman" w:hAnsi="Times New Roman" w:cs="Times New Roman" w:eastAsia="Times New Roman" w:hint="default"/>
          <w:spacing w:val="-3"/>
        </w:rPr>
        <w:t>2000</w:t>
      </w:r>
      <w:r>
        <w:rPr>
          <w:spacing w:val="-3"/>
        </w:rPr>
        <w:t>】</w:t>
      </w:r>
      <w:r>
        <w:rPr>
          <w:rFonts w:ascii="Times New Roman" w:hAnsi="Times New Roman" w:cs="Times New Roman" w:eastAsia="Times New Roman" w:hint="default"/>
          <w:spacing w:val="-3"/>
        </w:rPr>
        <w:t>25</w:t>
      </w:r>
      <w:r>
        <w:rPr>
          <w:spacing w:val="-3"/>
        </w:rPr>
        <w:t>号）规定，</w:t>
      </w:r>
      <w:r>
        <w:rPr/>
        <w:t> 销售自行开发生产的软件产品，其增值税实际税负超过</w:t>
      </w:r>
      <w:r>
        <w:rPr>
          <w:rFonts w:ascii="Times New Roman" w:hAnsi="Times New Roman" w:cs="Times New Roman" w:eastAsia="Times New Roman" w:hint="default"/>
        </w:rPr>
        <w:t>3</w:t>
      </w:r>
      <w:r>
        <w:rPr/>
        <w:t>％享受即征即退政策部分的所退税款，用于企业 研究开发软件产品和扩大再生产，不作为企业所得税应税收入，不征收企业所得税。</w:t>
      </w:r>
    </w:p>
    <w:p>
      <w:pPr>
        <w:pStyle w:val="BodyText"/>
        <w:spacing w:line="240" w:lineRule="auto" w:before="158"/>
        <w:ind w:right="97"/>
        <w:jc w:val="left"/>
      </w:pPr>
      <w:r>
        <w:rPr/>
        <w:t>（</w:t>
      </w:r>
      <w:r>
        <w:rPr>
          <w:rFonts w:ascii="Times New Roman" w:hAnsi="Times New Roman" w:cs="Times New Roman" w:eastAsia="Times New Roman" w:hint="default"/>
        </w:rPr>
        <w:t>2</w:t>
      </w:r>
      <w:r>
        <w:rPr/>
        <w:t>）企业所得税</w:t>
      </w:r>
    </w:p>
    <w:p>
      <w:pPr>
        <w:spacing w:line="240" w:lineRule="auto" w:before="7"/>
        <w:rPr>
          <w:rFonts w:ascii="宋体" w:hAnsi="宋体" w:cs="宋体" w:eastAsia="宋体" w:hint="default"/>
          <w:sz w:val="15"/>
          <w:szCs w:val="15"/>
        </w:rPr>
      </w:pPr>
    </w:p>
    <w:p>
      <w:pPr>
        <w:pStyle w:val="BodyText"/>
        <w:spacing w:line="240" w:lineRule="auto"/>
        <w:ind w:right="97"/>
        <w:jc w:val="left"/>
      </w:pPr>
      <w:r>
        <w:rPr/>
        <w:t>①</w:t>
      </w:r>
      <w:r>
        <w:rPr>
          <w:rFonts w:ascii="Times New Roman" w:hAnsi="Times New Roman" w:cs="Times New Roman" w:eastAsia="Times New Roman" w:hint="default"/>
        </w:rPr>
        <w:t>2008</w:t>
      </w:r>
      <w:r>
        <w:rPr>
          <w:rFonts w:ascii="Times New Roman" w:hAnsi="Times New Roman" w:cs="Times New Roman" w:eastAsia="Times New Roman" w:hint="default"/>
          <w:spacing w:val="29"/>
        </w:rPr>
        <w:t> </w:t>
      </w:r>
      <w:r>
        <w:rPr/>
        <w:t>年</w:t>
      </w:r>
      <w:r>
        <w:rPr>
          <w:rFonts w:ascii="Times New Roman" w:hAnsi="Times New Roman" w:cs="Times New Roman" w:eastAsia="Times New Roman" w:hint="default"/>
        </w:rPr>
        <w:t>9</w:t>
      </w:r>
      <w:r>
        <w:rPr/>
        <w:t>月，本公司经厦门市科学技术局、厦门市财政局、厦门市国税局、厦门市地税局以厦科联</w:t>
      </w:r>
    </w:p>
    <w:p>
      <w:pPr>
        <w:pStyle w:val="BodyText"/>
        <w:spacing w:line="309" w:lineRule="auto" w:before="83"/>
        <w:ind w:left="154" w:right="97"/>
        <w:jc w:val="left"/>
      </w:pPr>
      <w:r>
        <w:rPr/>
        <w:t>【</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65</w:t>
      </w:r>
      <w:r>
        <w:rPr>
          <w:rFonts w:ascii="Times New Roman" w:hAnsi="Times New Roman" w:cs="Times New Roman" w:eastAsia="Times New Roman" w:hint="default"/>
          <w:spacing w:val="27"/>
        </w:rPr>
        <w:t> </w:t>
      </w:r>
      <w:r>
        <w:rPr/>
        <w:t>号文获得高新技术企业认定，高新技术企业证书认定有效期三年；</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月，本公司再次获 </w:t>
      </w:r>
      <w:r>
        <w:rPr>
          <w:spacing w:val="-1"/>
        </w:rPr>
        <w:t>得高新技术企业认定，于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26</w:t>
      </w:r>
      <w:r>
        <w:rPr>
          <w:spacing w:val="-1"/>
        </w:rPr>
        <w:t>日取得高新技术企业证书，认定有效期三年。根据国科火字【</w:t>
      </w:r>
      <w:r>
        <w:rPr>
          <w:rFonts w:ascii="Times New Roman" w:hAnsi="Times New Roman" w:cs="Times New Roman" w:eastAsia="Times New Roman" w:hint="default"/>
          <w:spacing w:val="-1"/>
        </w:rPr>
        <w:t>2015</w:t>
      </w:r>
      <w:r>
        <w:rPr>
          <w:spacing w:val="-1"/>
        </w:rPr>
        <w:t>】</w:t>
      </w:r>
      <w:r>
        <w:rPr>
          <w:spacing w:val="-87"/>
        </w:rPr>
        <w:t> </w:t>
      </w:r>
      <w:r>
        <w:rPr>
          <w:rFonts w:ascii="Times New Roman" w:hAnsi="Times New Roman" w:cs="Times New Roman" w:eastAsia="Times New Roman" w:hint="default"/>
        </w:rPr>
        <w:t>28</w:t>
      </w:r>
      <w:r>
        <w:rPr/>
        <w:t>号文，本公司再次获得高新技术企业认定，发证日期为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日，证书编号</w:t>
      </w:r>
      <w:r>
        <w:rPr>
          <w:rFonts w:ascii="Times New Roman" w:hAnsi="Times New Roman" w:cs="Times New Roman" w:eastAsia="Times New Roman" w:hint="default"/>
        </w:rPr>
        <w:t>GR201435100149</w:t>
      </w:r>
      <w:r>
        <w:rPr/>
        <w:t>，根 据有关规定，本公司</w:t>
      </w:r>
      <w:r>
        <w:rPr>
          <w:rFonts w:ascii="Times New Roman" w:hAnsi="Times New Roman" w:cs="Times New Roman" w:eastAsia="Times New Roman" w:hint="default"/>
        </w:rPr>
        <w:t>2015</w:t>
      </w:r>
      <w:r>
        <w:rPr/>
        <w:t>年度享受减按</w:t>
      </w:r>
      <w:r>
        <w:rPr>
          <w:rFonts w:ascii="Times New Roman" w:hAnsi="Times New Roman" w:cs="Times New Roman" w:eastAsia="Times New Roman" w:hint="default"/>
        </w:rPr>
        <w:t>15%</w:t>
      </w:r>
      <w:r>
        <w:rPr/>
        <w:t>的税率征收企业所得税。</w:t>
      </w:r>
    </w:p>
    <w:p>
      <w:pPr>
        <w:pStyle w:val="BodyText"/>
        <w:spacing w:line="240" w:lineRule="auto" w:before="136"/>
        <w:ind w:right="97"/>
        <w:jc w:val="left"/>
      </w:pPr>
      <w:r>
        <w:rPr/>
        <w:t>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日，子公司厦门美亚柏科信息安全研究所有限公司取得厦门市软件行业协会</w:t>
      </w:r>
      <w:r>
        <w:rPr>
          <w:rFonts w:ascii="Times New Roman" w:hAnsi="Times New Roman" w:cs="Times New Roman" w:eastAsia="Times New Roman" w:hint="default"/>
        </w:rPr>
        <w:t>“</w:t>
      </w:r>
      <w:r>
        <w:rPr/>
        <w:t>厦</w:t>
      </w:r>
    </w:p>
    <w:p>
      <w:pPr>
        <w:pStyle w:val="BodyText"/>
        <w:spacing w:line="309" w:lineRule="auto" w:before="83"/>
        <w:ind w:left="154" w:right="97"/>
        <w:jc w:val="left"/>
      </w:pPr>
      <w:r>
        <w:rPr>
          <w:rFonts w:ascii="Times New Roman" w:hAnsi="Times New Roman" w:cs="Times New Roman" w:eastAsia="Times New Roman" w:hint="default"/>
        </w:rPr>
        <w:t>R-2011-0065</w:t>
      </w:r>
      <w:r>
        <w:rPr/>
        <w:t>号</w:t>
      </w:r>
      <w:r>
        <w:rPr>
          <w:rFonts w:ascii="Times New Roman" w:hAnsi="Times New Roman" w:cs="Times New Roman" w:eastAsia="Times New Roman" w:hint="default"/>
        </w:rPr>
        <w:t>”</w:t>
      </w:r>
      <w:r>
        <w:rPr/>
        <w:t>《软件企业认定证书》，被认定为软件企业。根据《关于鼓励软件产业和集成电路产业发 </w:t>
      </w:r>
      <w:r>
        <w:rPr>
          <w:spacing w:val="-1"/>
        </w:rPr>
        <w:t>展有关税收政策问题的通知》（财税【</w:t>
      </w:r>
      <w:r>
        <w:rPr>
          <w:rFonts w:ascii="Times New Roman" w:hAnsi="Times New Roman" w:cs="Times New Roman" w:eastAsia="Times New Roman" w:hint="default"/>
          <w:spacing w:val="-1"/>
        </w:rPr>
        <w:t>2000</w:t>
      </w:r>
      <w:r>
        <w:rPr>
          <w:spacing w:val="-1"/>
        </w:rPr>
        <w:t>】</w:t>
      </w:r>
      <w:r>
        <w:rPr>
          <w:rFonts w:ascii="Times New Roman" w:hAnsi="Times New Roman" w:cs="Times New Roman" w:eastAsia="Times New Roman" w:hint="default"/>
          <w:spacing w:val="-1"/>
        </w:rPr>
        <w:t>25</w:t>
      </w:r>
      <w:r>
        <w:rPr>
          <w:spacing w:val="-1"/>
        </w:rPr>
        <w:t>号）规定，对新办集成电路设计企业和符合条件的软件企</w:t>
      </w:r>
    </w:p>
    <w:p>
      <w:pPr>
        <w:spacing w:after="0" w:line="309" w:lineRule="auto"/>
        <w:jc w:val="left"/>
        <w:sectPr>
          <w:pgSz w:w="11910" w:h="16840"/>
          <w:pgMar w:header="917" w:footer="1267" w:top="1140" w:bottom="1460" w:left="980" w:right="920"/>
        </w:sectPr>
      </w:pPr>
    </w:p>
    <w:p>
      <w:pPr>
        <w:spacing w:line="240" w:lineRule="auto" w:before="6"/>
        <w:rPr>
          <w:rFonts w:ascii="宋体" w:hAnsi="宋体" w:cs="宋体" w:eastAsia="宋体" w:hint="default"/>
          <w:sz w:val="21"/>
          <w:szCs w:val="21"/>
        </w:rPr>
      </w:pPr>
    </w:p>
    <w:p>
      <w:pPr>
        <w:pStyle w:val="BodyText"/>
        <w:spacing w:line="309" w:lineRule="auto" w:before="35"/>
        <w:ind w:left="153" w:right="197"/>
        <w:jc w:val="left"/>
      </w:pPr>
      <w:bookmarkStart w:name="七、合并财务报表项目注释" w:id="217"/>
      <w:bookmarkEnd w:id="217"/>
      <w:r>
        <w:rPr/>
      </w:r>
      <w:bookmarkStart w:name="1、货币资金" w:id="218"/>
      <w:bookmarkEnd w:id="218"/>
      <w:r>
        <w:rPr/>
      </w:r>
      <w:r>
        <w:rPr/>
        <w:t>业，经认定后，自获利年度起，享受企业所得税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优惠政策。厦门美亚柏科信息安全研究所有 限公司</w:t>
      </w:r>
      <w:r>
        <w:rPr>
          <w:rFonts w:ascii="Times New Roman" w:hAnsi="Times New Roman" w:cs="Times New Roman" w:eastAsia="Times New Roman" w:hint="default"/>
        </w:rPr>
        <w:t>2011</w:t>
      </w:r>
      <w:r>
        <w:rPr/>
        <w:t>年为首个获利年度，</w:t>
      </w:r>
      <w:r>
        <w:rPr>
          <w:rFonts w:ascii="Times New Roman" w:hAnsi="Times New Roman" w:cs="Times New Roman" w:eastAsia="Times New Roman" w:hint="default"/>
        </w:rPr>
        <w:t>2015</w:t>
      </w:r>
      <w:r>
        <w:rPr/>
        <w:t>年度享受减按</w:t>
      </w:r>
      <w:r>
        <w:rPr>
          <w:rFonts w:ascii="Times New Roman" w:hAnsi="Times New Roman" w:cs="Times New Roman" w:eastAsia="Times New Roman" w:hint="default"/>
        </w:rPr>
        <w:t>12.5%</w:t>
      </w:r>
      <w:r>
        <w:rPr/>
        <w:t>的税率征收企业所得税。</w:t>
      </w:r>
    </w:p>
    <w:p>
      <w:pPr>
        <w:pStyle w:val="BodyText"/>
        <w:spacing w:line="309" w:lineRule="auto" w:before="136"/>
        <w:ind w:left="154" w:right="107" w:firstLine="420"/>
        <w:jc w:val="both"/>
      </w:pPr>
      <w:r>
        <w:rPr/>
        <w:t>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日，本公司经广东省科学技术厅、广东省财政厅、广东省国家税务局、广东省地方税 务局认定为高新技术企业，证书编号：</w:t>
      </w:r>
      <w:r>
        <w:rPr>
          <w:rFonts w:ascii="Times New Roman" w:hAnsi="Times New Roman" w:cs="Times New Roman" w:eastAsia="Times New Roman" w:hint="default"/>
        </w:rPr>
        <w:t>GR201144000598</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日，本公司再次获得高新技术企业 </w:t>
      </w:r>
      <w:r>
        <w:rPr>
          <w:spacing w:val="-4"/>
        </w:rPr>
        <w:t>认定，证书编号：</w:t>
      </w:r>
      <w:r>
        <w:rPr>
          <w:rFonts w:ascii="Times New Roman" w:hAnsi="Times New Roman" w:cs="Times New Roman" w:eastAsia="Times New Roman" w:hint="default"/>
          <w:spacing w:val="-4"/>
        </w:rPr>
        <w:t>GR201444000050</w:t>
      </w:r>
      <w:r>
        <w:rPr>
          <w:spacing w:val="-4"/>
        </w:rPr>
        <w:t>，根据有关规定，本公司</w:t>
      </w:r>
      <w:r>
        <w:rPr>
          <w:rFonts w:ascii="Times New Roman" w:hAnsi="Times New Roman" w:cs="Times New Roman" w:eastAsia="Times New Roman" w:hint="default"/>
          <w:spacing w:val="-4"/>
        </w:rPr>
        <w:t>2015</w:t>
      </w:r>
      <w:r>
        <w:rPr>
          <w:spacing w:val="-4"/>
        </w:rPr>
        <w:t>年度享受减按</w:t>
      </w:r>
      <w:r>
        <w:rPr>
          <w:rFonts w:ascii="Times New Roman" w:hAnsi="Times New Roman" w:cs="Times New Roman" w:eastAsia="Times New Roman" w:hint="default"/>
          <w:spacing w:val="-4"/>
        </w:rPr>
        <w:t>15%</w:t>
      </w:r>
      <w:r>
        <w:rPr>
          <w:spacing w:val="-4"/>
        </w:rPr>
        <w:t>的税率征收企业所得税。</w:t>
      </w:r>
    </w:p>
    <w:p>
      <w:pPr>
        <w:pStyle w:val="BodyText"/>
        <w:spacing w:line="309" w:lineRule="auto" w:before="136"/>
        <w:ind w:left="154" w:right="205" w:firstLine="420"/>
        <w:jc w:val="left"/>
      </w:pPr>
      <w:r>
        <w:rPr>
          <w:spacing w:val="-1"/>
        </w:rPr>
        <w:t>④</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日，子公司厦门美亚中敏电子科技有限公司经厦门市科学技术局、厦门市财政局、福</w:t>
      </w:r>
      <w:r>
        <w:rPr/>
        <w:t> 建省厦门市国家税务局、福建省厦门市地方税务局认定为高新技术企业；</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日，本公司再次获 </w:t>
      </w:r>
      <w:r>
        <w:rPr>
          <w:spacing w:val="-1"/>
        </w:rPr>
        <w:t>得高新技术企业认定，证书编号：</w:t>
      </w:r>
      <w:r>
        <w:rPr>
          <w:rFonts w:ascii="Times New Roman" w:hAnsi="Times New Roman" w:cs="Times New Roman" w:eastAsia="Times New Roman" w:hint="default"/>
          <w:spacing w:val="-1"/>
        </w:rPr>
        <w:t>GF201535100002</w:t>
      </w:r>
      <w:r>
        <w:rPr>
          <w:spacing w:val="-1"/>
        </w:rPr>
        <w:t>，根据有关规定，本公司</w:t>
      </w:r>
      <w:r>
        <w:rPr>
          <w:rFonts w:ascii="Times New Roman" w:hAnsi="Times New Roman" w:cs="Times New Roman" w:eastAsia="Times New Roman" w:hint="default"/>
          <w:spacing w:val="-1"/>
        </w:rPr>
        <w:t>2015</w:t>
      </w:r>
      <w:r>
        <w:rPr>
          <w:spacing w:val="-1"/>
        </w:rPr>
        <w:t>年度享受减按</w:t>
      </w:r>
      <w:r>
        <w:rPr>
          <w:rFonts w:ascii="Times New Roman" w:hAnsi="Times New Roman" w:cs="Times New Roman" w:eastAsia="Times New Roman" w:hint="default"/>
          <w:spacing w:val="-1"/>
        </w:rPr>
        <w:t>15%</w:t>
      </w:r>
      <w:r>
        <w:rPr>
          <w:spacing w:val="-1"/>
        </w:rPr>
        <w:t>的税率</w:t>
      </w:r>
      <w:r>
        <w:rPr/>
        <w:t> 征收企业所得税。</w:t>
      </w:r>
    </w:p>
    <w:p>
      <w:pPr>
        <w:pStyle w:val="BodyText"/>
        <w:spacing w:line="240" w:lineRule="auto" w:before="158"/>
        <w:ind w:left="658" w:right="97"/>
        <w:jc w:val="left"/>
        <w:rPr>
          <w:rFonts w:ascii="Times New Roman" w:hAnsi="Times New Roman" w:cs="Times New Roman" w:eastAsia="Times New Roman" w:hint="default"/>
        </w:rPr>
      </w:pPr>
      <w:r>
        <w:rPr/>
        <w:t>⑤</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日，武汉大千信息技术有限公司取得湖北省经济和信息化委员会</w:t>
      </w:r>
      <w:r>
        <w:rPr>
          <w:rFonts w:ascii="Times New Roman" w:hAnsi="Times New Roman" w:cs="Times New Roman" w:eastAsia="Times New Roman" w:hint="default"/>
        </w:rPr>
        <w:t>“</w:t>
      </w:r>
      <w:r>
        <w:rPr/>
        <w:t>鄂</w:t>
      </w:r>
      <w:r>
        <w:rPr>
          <w:rFonts w:ascii="Times New Roman" w:hAnsi="Times New Roman" w:cs="Times New Roman" w:eastAsia="Times New Roman" w:hint="default"/>
        </w:rPr>
        <w:t>R-2014-0457</w:t>
      </w:r>
      <w:r>
        <w:rPr/>
        <w:t>号</w:t>
      </w:r>
      <w:r>
        <w:rPr>
          <w:rFonts w:ascii="Times New Roman" w:hAnsi="Times New Roman" w:cs="Times New Roman" w:eastAsia="Times New Roman" w:hint="default"/>
        </w:rPr>
        <w:t>”</w:t>
      </w:r>
    </w:p>
    <w:p>
      <w:pPr>
        <w:pStyle w:val="BodyText"/>
        <w:spacing w:line="314" w:lineRule="auto" w:before="83"/>
        <w:ind w:left="154" w:right="191"/>
        <w:jc w:val="both"/>
      </w:pPr>
      <w:r>
        <w:rPr>
          <w:spacing w:val="-1"/>
        </w:rPr>
        <w:t>《软件企业认定证书》，被认定为软件企业。根据《关于鼓励软件产业和集成电路产业发展有关税收政策</w:t>
      </w:r>
      <w:r>
        <w:rPr>
          <w:spacing w:val="-86"/>
        </w:rPr>
        <w:t> </w:t>
      </w:r>
      <w:r>
        <w:rPr>
          <w:spacing w:val="-86"/>
        </w:rPr>
      </w:r>
      <w:r>
        <w:rPr/>
        <w:t>问题的通知》（财税【</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25</w:t>
      </w:r>
      <w:r>
        <w:rPr/>
        <w:t>号）规定，对新办集成电路设计企业和符合条件的软件企业，经认定后， 自获利年度起，享受企业所得税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优惠政策。武汉大千</w:t>
      </w:r>
      <w:r>
        <w:rPr>
          <w:rFonts w:ascii="Times New Roman" w:hAnsi="Times New Roman" w:cs="Times New Roman" w:eastAsia="Times New Roman" w:hint="default"/>
        </w:rPr>
        <w:t>2014</w:t>
      </w:r>
      <w:r>
        <w:rPr/>
        <w:t>年为首个获利年度，</w:t>
      </w:r>
      <w:r>
        <w:rPr>
          <w:rFonts w:ascii="Times New Roman" w:hAnsi="Times New Roman" w:cs="Times New Roman" w:eastAsia="Times New Roman" w:hint="default"/>
        </w:rPr>
        <w:t>2015</w:t>
      </w:r>
      <w:r>
        <w:rPr/>
        <w:t>年度免征 企业所得税。</w:t>
      </w:r>
    </w:p>
    <w:p>
      <w:pPr>
        <w:pStyle w:val="BodyText"/>
        <w:spacing w:line="309" w:lineRule="auto" w:before="154"/>
        <w:ind w:left="154" w:right="211" w:firstLine="420"/>
        <w:jc w:val="both"/>
      </w:pPr>
      <w:r>
        <w:rPr>
          <w:spacing w:val="-1"/>
        </w:rPr>
        <w:t>⑥</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日，江苏税软软件科技有限公司通过江苏省经济和信息化委员会软件企业认证，取得</w:t>
      </w:r>
      <w:r>
        <w:rPr/>
        <w:t> </w:t>
      </w:r>
      <w:r>
        <w:rPr>
          <w:rFonts w:ascii="Times New Roman" w:hAnsi="Times New Roman" w:cs="Times New Roman" w:eastAsia="Times New Roman" w:hint="default"/>
        </w:rPr>
        <w:t>“</w:t>
      </w:r>
      <w:r>
        <w:rPr/>
        <w:t>苏</w:t>
      </w:r>
      <w:r>
        <w:rPr>
          <w:rFonts w:ascii="Times New Roman" w:hAnsi="Times New Roman" w:cs="Times New Roman" w:eastAsia="Times New Roman" w:hint="default"/>
        </w:rPr>
        <w:t>R-2012-B0072</w:t>
      </w:r>
      <w:r>
        <w:rPr/>
        <w:t>号</w:t>
      </w:r>
      <w:r>
        <w:rPr>
          <w:rFonts w:ascii="Times New Roman" w:hAnsi="Times New Roman" w:cs="Times New Roman" w:eastAsia="Times New Roman" w:hint="default"/>
        </w:rPr>
        <w:t>”</w:t>
      </w:r>
      <w:r>
        <w:rPr/>
        <w:t>《软件企业认定证书》；</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日，重新通过江苏省经济和信息化委员会软件企 </w:t>
      </w:r>
      <w:r>
        <w:rPr>
          <w:spacing w:val="-2"/>
        </w:rPr>
        <w:t>业认证，取得</w:t>
      </w:r>
      <w:r>
        <w:rPr>
          <w:rFonts w:ascii="Times New Roman" w:hAnsi="Times New Roman" w:cs="Times New Roman" w:eastAsia="Times New Roman" w:hint="default"/>
          <w:spacing w:val="-2"/>
        </w:rPr>
        <w:t>“</w:t>
      </w:r>
      <w:r>
        <w:rPr>
          <w:spacing w:val="-2"/>
        </w:rPr>
        <w:t>苏</w:t>
      </w:r>
      <w:r>
        <w:rPr>
          <w:rFonts w:ascii="Times New Roman" w:hAnsi="Times New Roman" w:cs="Times New Roman" w:eastAsia="Times New Roman" w:hint="default"/>
          <w:spacing w:val="-2"/>
        </w:rPr>
        <w:t>R-2013-B1125</w:t>
      </w:r>
      <w:r>
        <w:rPr>
          <w:spacing w:val="-2"/>
        </w:rPr>
        <w:t>号</w:t>
      </w:r>
      <w:r>
        <w:rPr>
          <w:rFonts w:ascii="Times New Roman" w:hAnsi="Times New Roman" w:cs="Times New Roman" w:eastAsia="Times New Roman" w:hint="default"/>
          <w:spacing w:val="-2"/>
        </w:rPr>
        <w:t>”</w:t>
      </w:r>
      <w:r>
        <w:rPr>
          <w:spacing w:val="-2"/>
        </w:rPr>
        <w:t>《软件企业认定证书》</w:t>
      </w:r>
      <w:r>
        <w:rPr>
          <w:rFonts w:ascii="Times New Roman" w:hAnsi="Times New Roman" w:cs="Times New Roman" w:eastAsia="Times New Roman" w:hint="default"/>
          <w:spacing w:val="-2"/>
        </w:rPr>
        <w:t>,</w:t>
      </w:r>
      <w:r>
        <w:rPr>
          <w:spacing w:val="-2"/>
        </w:rPr>
        <w:t>被认定为软件企业；</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日，取得江苏</w:t>
      </w:r>
      <w:r>
        <w:rPr>
          <w:spacing w:val="-58"/>
        </w:rPr>
        <w:t> </w:t>
      </w:r>
      <w:r>
        <w:rPr>
          <w:spacing w:val="-58"/>
        </w:rPr>
      </w:r>
      <w:r>
        <w:rPr/>
        <w:t>省科技厅颁发的《江苏省高新技术（后备）企业》证书，证书编号</w:t>
      </w:r>
      <w:r>
        <w:rPr>
          <w:rFonts w:ascii="Times New Roman" w:hAnsi="Times New Roman" w:cs="Times New Roman" w:eastAsia="Times New Roman" w:hint="default"/>
        </w:rPr>
        <w:t>“CQ20153202010101”,</w:t>
      </w:r>
      <w:r>
        <w:rPr/>
        <w:t>有效期三年。</w:t>
      </w:r>
    </w:p>
    <w:p>
      <w:pPr>
        <w:pStyle w:val="BodyText"/>
        <w:spacing w:line="309" w:lineRule="auto" w:before="136"/>
        <w:ind w:left="154" w:right="188" w:firstLine="420"/>
        <w:jc w:val="both"/>
      </w:pPr>
      <w:r>
        <w:rPr/>
        <w:t>根据《关于进一步鼓励软件产业和集成电路产业发展企业所得税政策的通知》（财税【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 规定，对新办集成电路设计企业和符合条件的软件企业，经认定后，在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日前自获利年度起， 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优惠政策。江苏税软软件科技有限公司</w:t>
      </w:r>
      <w:r>
        <w:rPr>
          <w:rFonts w:ascii="Times New Roman" w:hAnsi="Times New Roman" w:cs="Times New Roman" w:eastAsia="Times New Roman" w:hint="default"/>
        </w:rPr>
        <w:t>2012</w:t>
      </w:r>
      <w:r>
        <w:rPr/>
        <w:t>年为首个获利年度，</w:t>
      </w:r>
      <w:r>
        <w:rPr>
          <w:spacing w:val="-88"/>
        </w:rPr>
        <w:t> </w:t>
      </w:r>
      <w:r>
        <w:rPr>
          <w:rFonts w:ascii="Times New Roman" w:hAnsi="Times New Roman" w:cs="Times New Roman" w:eastAsia="Times New Roman" w:hint="default"/>
        </w:rPr>
        <w:t>2015</w:t>
      </w:r>
      <w:r>
        <w:rPr/>
        <w:t>年度享 受减按</w:t>
      </w:r>
      <w:r>
        <w:rPr>
          <w:rFonts w:ascii="Times New Roman" w:hAnsi="Times New Roman" w:cs="Times New Roman" w:eastAsia="Times New Roman" w:hint="default"/>
        </w:rPr>
        <w:t>12.5%</w:t>
      </w:r>
      <w:r>
        <w:rPr/>
        <w:t>的税率征收企业所得税。</w:t>
      </w:r>
    </w:p>
    <w:p>
      <w:pPr>
        <w:spacing w:line="240" w:lineRule="auto" w:before="11"/>
        <w:rPr>
          <w:rFonts w:ascii="宋体" w:hAnsi="宋体" w:cs="宋体" w:eastAsia="宋体" w:hint="default"/>
          <w:sz w:val="21"/>
          <w:szCs w:val="21"/>
        </w:rPr>
      </w:pPr>
    </w:p>
    <w:p>
      <w:pPr>
        <w:spacing w:line="487" w:lineRule="auto" w:before="0"/>
        <w:ind w:left="154" w:right="69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212" w:firstLine="0"/>
        <w:jc w:val="right"/>
        <w:rPr>
          <w:rFonts w:ascii="宋体" w:hAnsi="宋体" w:cs="宋体" w:eastAsia="宋体" w:hint="default"/>
          <w:sz w:val="18"/>
          <w:szCs w:val="18"/>
        </w:rPr>
      </w:pPr>
      <w:bookmarkStart w:name="3、其他" w:id="219"/>
      <w:bookmarkEnd w:id="219"/>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5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77,587.97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19,254.28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590,546,390.45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513,389,174.19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6,891,556.05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8,266,683.00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597,515,534.47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521,675,111.47</w:t>
            </w:r>
          </w:p>
        </w:tc>
      </w:tr>
    </w:tbl>
    <w:p>
      <w:pPr>
        <w:spacing w:before="51"/>
        <w:ind w:left="574" w:right="9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917" w:footer="1267" w:top="1140" w:bottom="1460" w:left="980" w:right="920"/>
        </w:sectPr>
      </w:pPr>
    </w:p>
    <w:p>
      <w:pPr>
        <w:spacing w:line="240" w:lineRule="auto" w:before="6"/>
        <w:rPr>
          <w:rFonts w:ascii="宋体" w:hAnsi="宋体" w:cs="宋体" w:eastAsia="宋体" w:hint="default"/>
          <w:sz w:val="21"/>
          <w:szCs w:val="21"/>
        </w:rPr>
      </w:pPr>
    </w:p>
    <w:p>
      <w:pPr>
        <w:pStyle w:val="BodyText"/>
        <w:spacing w:line="309" w:lineRule="auto" w:before="35"/>
        <w:ind w:left="153" w:right="184" w:firstLine="420"/>
        <w:jc w:val="both"/>
      </w:pPr>
      <w:bookmarkStart w:name="（3）期末公司已背书或贴现且在资产负债表日尚未到期的应收票据" w:id="220"/>
      <w:bookmarkEnd w:id="220"/>
      <w:r>
        <w:rPr/>
      </w:r>
      <w:bookmarkStart w:name="（4）期末公司因出票人未履约而将其转应收账款的票据" w:id="221"/>
      <w:bookmarkEnd w:id="221"/>
      <w:r>
        <w:rPr/>
      </w:r>
      <w:bookmarkStart w:name="5、应收账款" w:id="222"/>
      <w:bookmarkEnd w:id="222"/>
      <w:r>
        <w:rPr/>
      </w:r>
      <w:bookmarkStart w:name="（1）应收账款分类披露" w:id="223"/>
      <w:bookmarkEnd w:id="223"/>
      <w:r>
        <w:rPr/>
      </w:r>
      <w:r>
        <w:rPr/>
        <w:t>①银行存款年末余额</w:t>
      </w:r>
      <w:r>
        <w:rPr>
          <w:rFonts w:ascii="Times New Roman" w:hAnsi="Times New Roman" w:cs="Times New Roman" w:eastAsia="Times New Roman" w:hint="default"/>
        </w:rPr>
        <w:t>590,546,390.45</w:t>
      </w:r>
      <w:r>
        <w:rPr/>
        <w:t>元，其中定期存款</w:t>
      </w:r>
      <w:r>
        <w:rPr>
          <w:rFonts w:ascii="Times New Roman" w:hAnsi="Times New Roman" w:cs="Times New Roman" w:eastAsia="Times New Roman" w:hint="default"/>
        </w:rPr>
        <w:t>284,529,542.91</w:t>
      </w:r>
      <w:r>
        <w:rPr/>
        <w:t>元，在编制现金流量表时不作为 </w:t>
      </w:r>
      <w:r>
        <w:rPr>
          <w:spacing w:val="-1"/>
        </w:rPr>
        <w:t>现金及现金等价物；本公司子江苏税软系于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日合并，期末货币资金</w:t>
      </w:r>
      <w:r>
        <w:rPr>
          <w:rFonts w:ascii="Times New Roman" w:hAnsi="Times New Roman" w:cs="Times New Roman" w:eastAsia="Times New Roman" w:hint="default"/>
          <w:spacing w:val="-1"/>
        </w:rPr>
        <w:t>11,258,135.42</w:t>
      </w:r>
      <w:r>
        <w:rPr>
          <w:spacing w:val="-1"/>
        </w:rPr>
        <w:t>元在编制合</w:t>
      </w:r>
      <w:r>
        <w:rPr>
          <w:spacing w:val="-61"/>
        </w:rPr>
        <w:t> </w:t>
      </w:r>
      <w:r>
        <w:rPr>
          <w:spacing w:val="-61"/>
        </w:rPr>
      </w:r>
      <w:r>
        <w:rPr/>
        <w:t>并现金流量表时不作为现金及现金等价物。。</w:t>
      </w:r>
    </w:p>
    <w:p>
      <w:pPr>
        <w:pStyle w:val="BodyText"/>
        <w:spacing w:line="309" w:lineRule="auto" w:before="158"/>
        <w:ind w:left="153" w:right="0" w:firstLine="420"/>
        <w:jc w:val="left"/>
      </w:pPr>
      <w:r>
        <w:rPr/>
        <w:t>②其他货币资金年末余额</w:t>
      </w:r>
      <w:r>
        <w:rPr>
          <w:rFonts w:ascii="Times New Roman" w:hAnsi="Times New Roman" w:cs="Times New Roman" w:eastAsia="Times New Roman" w:hint="default"/>
        </w:rPr>
        <w:t>6,891,556.05</w:t>
      </w:r>
      <w:r>
        <w:rPr/>
        <w:t>元系保函保证金，在编制现金流量表时不作为现金及现金等价 </w:t>
      </w:r>
      <w:r>
        <w:rPr>
          <w:spacing w:val="-1"/>
        </w:rPr>
        <w:t>物。除此以外，截至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日止，本集团不存在抵押、质押或冻结、或存放在境外且资金汇回受到</w:t>
      </w:r>
      <w:r>
        <w:rPr>
          <w:spacing w:val="-84"/>
        </w:rPr>
        <w:t> </w:t>
      </w:r>
      <w:r>
        <w:rPr>
          <w:spacing w:val="-84"/>
        </w:rPr>
      </w:r>
      <w:r>
        <w:rPr/>
        <w:t>限制的款项。</w:t>
      </w:r>
    </w:p>
    <w:p>
      <w:pPr>
        <w:spacing w:line="240" w:lineRule="auto" w:before="8"/>
        <w:rPr>
          <w:rFonts w:ascii="宋体" w:hAnsi="宋体" w:cs="宋体" w:eastAsia="宋体" w:hint="default"/>
          <w:sz w:val="23"/>
          <w:szCs w:val="23"/>
        </w:rPr>
      </w:pPr>
    </w:p>
    <w:p>
      <w:pPr>
        <w:pStyle w:val="Heading4"/>
        <w:spacing w:line="530" w:lineRule="auto"/>
        <w:ind w:left="574" w:right="4818" w:hanging="420"/>
        <w:jc w:val="left"/>
        <w:rPr>
          <w:rFonts w:ascii="宋体" w:hAnsi="宋体" w:cs="宋体" w:eastAsia="宋体" w:hint="default"/>
          <w:b w:val="0"/>
          <w:bCs w:val="0"/>
        </w:rPr>
      </w:pPr>
      <w:r>
        <w:rPr>
          <w:rFonts w:ascii="Times New Roman" w:hAnsi="Times New Roman" w:cs="Times New Roman" w:eastAsia="Times New Roman" w:hint="default"/>
        </w:rPr>
        <w:t>2</w:t>
      </w:r>
      <w:r>
        <w:rPr/>
        <w:t>、以公允价值计量且其变</w:t>
      </w:r>
      <w:bookmarkStart w:name="2、以公允价值计量且其变动计入当期损益的金融资产" w:id="224"/>
      <w:bookmarkEnd w:id="224"/>
      <w:r>
        <w:rPr/>
        <w:t>动计入当</w:t>
      </w:r>
      <w:r>
        <w:rPr/>
        <w:t>期损益的金融资产</w:t>
      </w:r>
      <w:r>
        <w:rPr>
          <w:spacing w:val="1"/>
          <w:w w:val="99"/>
        </w:rPr>
        <w:t> </w:t>
      </w:r>
      <w:r>
        <w:rPr>
          <w:rFonts w:ascii="宋体" w:hAnsi="宋体" w:cs="宋体" w:eastAsia="宋体" w:hint="default"/>
          <w:b w:val="0"/>
          <w:bCs w:val="0"/>
        </w:rPr>
        <w:t>不适用。</w:t>
      </w:r>
    </w:p>
    <w:p>
      <w:pPr>
        <w:spacing w:line="530" w:lineRule="auto" w:before="115"/>
        <w:ind w:left="574" w:right="8191"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3、衍生金融资产" w:id="225"/>
      <w:bookmarkEnd w:id="225"/>
      <w:r>
        <w:rPr/>
      </w:r>
      <w:bookmarkStart w:name="4、应收票据" w:id="226"/>
      <w:bookmarkEnd w:id="226"/>
      <w:r>
        <w:rPr/>
      </w:r>
      <w:bookmarkStart w:name="（1）应收票据分类列示" w:id="227"/>
      <w:bookmarkEnd w:id="227"/>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5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bl>
    <w:p>
      <w:pPr>
        <w:spacing w:line="240" w:lineRule="auto" w:before="2"/>
        <w:rPr>
          <w:rFonts w:ascii="宋体" w:hAnsi="宋体" w:cs="宋体" w:eastAsia="宋体" w:hint="default"/>
          <w:sz w:val="19"/>
          <w:szCs w:val="19"/>
        </w:rPr>
      </w:pPr>
    </w:p>
    <w:p>
      <w:pPr>
        <w:pStyle w:val="Heading4"/>
        <w:spacing w:line="530" w:lineRule="auto" w:before="35"/>
        <w:ind w:left="574" w:right="6715"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）期末公司已质押的应收票据</w:t>
      </w:r>
      <w:r>
        <w:rPr>
          <w:spacing w:val="1"/>
          <w:w w:val="99"/>
        </w:rPr>
        <w:t> </w:t>
      </w:r>
      <w:r>
        <w:rPr>
          <w:rFonts w:ascii="宋体" w:hAnsi="宋体" w:cs="宋体" w:eastAsia="宋体" w:hint="default"/>
          <w:b w:val="0"/>
          <w:bCs w:val="0"/>
        </w:rPr>
        <w:t>不适用。</w:t>
      </w:r>
    </w:p>
    <w:p>
      <w:pPr>
        <w:pStyle w:val="Heading4"/>
        <w:spacing w:line="530" w:lineRule="auto" w:before="115"/>
        <w:ind w:left="574" w:right="3553"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spacing w:val="1"/>
          <w:w w:val="99"/>
        </w:rPr>
        <w:t> </w:t>
      </w:r>
      <w:r>
        <w:rPr>
          <w:rFonts w:ascii="宋体" w:hAnsi="宋体" w:cs="宋体" w:eastAsia="宋体" w:hint="default"/>
          <w:b w:val="0"/>
          <w:bCs w:val="0"/>
        </w:rPr>
        <w:t>不适用。</w:t>
      </w:r>
    </w:p>
    <w:p>
      <w:pPr>
        <w:pStyle w:val="Heading4"/>
        <w:spacing w:line="530" w:lineRule="auto" w:before="115"/>
        <w:ind w:left="574" w:right="4607"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）期末公司因出票人未履约而将其转应收账款的票据</w:t>
      </w:r>
      <w:r>
        <w:rPr>
          <w:spacing w:val="1"/>
          <w:w w:val="99"/>
        </w:rPr>
        <w:t> </w:t>
      </w:r>
      <w:r>
        <w:rPr>
          <w:rFonts w:ascii="宋体" w:hAnsi="宋体" w:cs="宋体" w:eastAsia="宋体" w:hint="default"/>
          <w:b w:val="0"/>
          <w:bCs w:val="0"/>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期末公司已质押的应收票据" w:id="228"/>
      <w:bookmarkEnd w:id="228"/>
      <w:r>
        <w:rPr/>
      </w: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2"/>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4D4D4"/>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4D4D4"/>
          </w:tcPr>
          <w:p>
            <w:pPr/>
          </w:p>
        </w:tc>
        <w:tc>
          <w:tcPr>
            <w:tcW w:w="152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82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5" w:type="dxa"/>
            <w:gridSpan w:val="2"/>
            <w:vMerge/>
            <w:tcBorders>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2" w:type="dxa"/>
            <w:tcBorders>
              <w:top w:val="single" w:sz="4" w:space="0" w:color="000000"/>
              <w:left w:val="single" w:sz="4" w:space="0" w:color="000000"/>
              <w:bottom w:val="nil" w:sz="6" w:space="0" w:color="auto"/>
              <w:right w:val="single" w:sz="4" w:space="0" w:color="000000"/>
            </w:tcBorders>
            <w:shd w:val="clear" w:color="auto" w:fill="D4D4D4"/>
          </w:tcPr>
          <w:p>
            <w:pPr/>
          </w:p>
        </w:tc>
        <w:tc>
          <w:tcPr>
            <w:tcW w:w="812"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4D4D4"/>
          </w:tcPr>
          <w:p>
            <w:pP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6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23" w:type="dxa"/>
            <w:vMerge/>
            <w:tcBorders>
              <w:left w:val="single" w:sz="4" w:space="0" w:color="000000"/>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
        </w:tc>
        <w:tc>
          <w:tcPr>
            <w:tcW w:w="654"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812" w:type="dxa"/>
            <w:vMerge/>
            <w:tcBorders>
              <w:left w:val="single" w:sz="4" w:space="0" w:color="000000"/>
              <w:bottom w:val="nil" w:sz="6" w:space="0" w:color="auto"/>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65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812"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single" w:sz="4" w:space="0" w:color="000000"/>
              <w:right w:val="single" w:sz="4" w:space="0" w:color="000000"/>
            </w:tcBorders>
            <w:shd w:val="clear" w:color="auto" w:fill="D4D4D4"/>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1" w:right="2"/>
              <w:jc w:val="both"/>
              <w:rPr>
                <w:rFonts w:ascii="宋体" w:hAnsi="宋体" w:cs="宋体" w:eastAsia="宋体" w:hint="default"/>
                <w:sz w:val="18"/>
                <w:szCs w:val="18"/>
              </w:rPr>
            </w:pPr>
            <w:r>
              <w:rPr>
                <w:rFonts w:ascii="宋体" w:hAnsi="宋体" w:cs="宋体" w:eastAsia="宋体" w:hint="default"/>
                <w:spacing w:val="17"/>
                <w:sz w:val="18"/>
                <w:szCs w:val="18"/>
              </w:rPr>
              <w:t>按信用风险特征组</w:t>
            </w:r>
            <w:r>
              <w:rPr>
                <w:rFonts w:ascii="宋体" w:hAnsi="宋体" w:cs="宋体" w:eastAsia="宋体" w:hint="default"/>
                <w:spacing w:val="-71"/>
                <w:sz w:val="18"/>
                <w:szCs w:val="18"/>
              </w:rPr>
              <w:t> </w:t>
            </w:r>
            <w:r>
              <w:rPr>
                <w:rFonts w:ascii="宋体" w:hAnsi="宋体" w:cs="宋体" w:eastAsia="宋体" w:hint="default"/>
                <w:spacing w:val="17"/>
                <w:sz w:val="18"/>
                <w:szCs w:val="18"/>
              </w:rPr>
              <w:t>合计提坏账准备的</w:t>
            </w:r>
            <w:r>
              <w:rPr>
                <w:rFonts w:ascii="宋体" w:hAnsi="宋体" w:cs="宋体" w:eastAsia="宋体" w:hint="default"/>
                <w:spacing w:val="-71"/>
                <w:sz w:val="18"/>
                <w:szCs w:val="18"/>
              </w:rPr>
              <w:t> </w:t>
            </w:r>
            <w:r>
              <w:rPr>
                <w:rFonts w:ascii="宋体" w:hAnsi="宋体" w:cs="宋体" w:eastAsia="宋体" w:hint="default"/>
                <w:sz w:val="18"/>
                <w:szCs w:val="18"/>
              </w:rPr>
              <w:t>应收账款</w:t>
            </w:r>
          </w:p>
        </w:tc>
        <w:tc>
          <w:tcPr>
            <w:tcW w:w="76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292,075,</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568.96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31,790,8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83.42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260,284,6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85.54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197,306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,708.79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24,838,29</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172,468,41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0.78</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4D4D4"/>
          </w:tcPr>
          <w:p>
            <w:pPr/>
          </w:p>
        </w:tc>
        <w:tc>
          <w:tcPr>
            <w:tcW w:w="763" w:type="dxa"/>
            <w:vMerge w:val="restart"/>
            <w:tcBorders>
              <w:top w:val="single" w:sz="4" w:space="0" w:color="000000"/>
              <w:left w:val="single" w:sz="9" w:space="0" w:color="D4D4D4"/>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292,075,</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568.96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31,790,8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83.42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260,284,6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85.54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197,306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,708.79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24,838,29</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172,468,41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0.78</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4D4D4"/>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3" w:type="dxa"/>
            <w:vMerge/>
            <w:tcBorders>
              <w:left w:val="single" w:sz="9" w:space="0" w:color="D4D4D4"/>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bookmarkStart w:name="（2）本期计提、收回或转回的坏账准备情况" w:id="229"/>
      <w:bookmarkEnd w:id="229"/>
      <w:r>
        <w:rPr/>
      </w:r>
      <w:r>
        <w:rPr/>
        <w:t>期末单项金额重大并单项计提坏账准备的应收账款：</w:t>
      </w:r>
    </w:p>
    <w:p>
      <w:pPr>
        <w:spacing w:line="240" w:lineRule="auto" w:before="10"/>
        <w:rPr>
          <w:rFonts w:ascii="宋体" w:hAnsi="宋体" w:cs="宋体" w:eastAsia="宋体" w:hint="default"/>
          <w:sz w:val="16"/>
          <w:szCs w:val="16"/>
        </w:rPr>
      </w:pPr>
    </w:p>
    <w:p>
      <w:pPr>
        <w:pStyle w:val="BodyText"/>
        <w:tabs>
          <w:tab w:pos="1656" w:val="left" w:leader="none"/>
        </w:tabs>
        <w:spacing w:line="408" w:lineRule="auto"/>
        <w:ind w:right="4750" w:hanging="1"/>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tab/>
      </w:r>
      <w:r>
        <w:rPr/>
        <w:t>不适用 组合中，按账龄分析法计提坏账准备的应收账款：</w:t>
      </w:r>
    </w:p>
    <w:p>
      <w:pPr>
        <w:spacing w:before="68"/>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92"/>
      </w:tblGrid>
      <w:tr>
        <w:trPr>
          <w:trHeight w:val="402" w:hRule="exact"/>
        </w:trPr>
        <w:tc>
          <w:tcPr>
            <w:tcW w:w="238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6" w:type="dxa"/>
            <w:vMerge/>
            <w:tcBorders>
              <w:left w:val="single" w:sz="4" w:space="0" w:color="000000"/>
              <w:bottom w:val="single" w:sz="4" w:space="0" w:color="000000"/>
              <w:right w:val="single" w:sz="4" w:space="0" w:color="000000"/>
            </w:tcBorders>
            <w:shd w:val="clear" w:color="auto" w:fill="D4D4D4"/>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4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208,550,695.74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10,427,534.79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208,550,695.74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10,427,534.79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49,033,880.65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4,903,388.06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12,906,519.11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3,871,955.73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16,121,913.10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8,060,956.55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4,677,560.36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3,742,048.29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292,075,568.96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31,790,883.42</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432" w:lineRule="auto" w:before="35"/>
        <w:ind w:right="4312"/>
        <w:jc w:val="left"/>
      </w:pPr>
      <w:r>
        <w:rPr/>
        <w:t>确定该组合依据的说明： 组合中，采用余额百分比法计提坏账准备的应收账款：</w:t>
      </w:r>
    </w:p>
    <w:p>
      <w:pPr>
        <w:pStyle w:val="BodyText"/>
        <w:spacing w:line="408" w:lineRule="auto" w:before="51"/>
        <w:ind w:right="47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组合中，采用其他方法计提坏账准备的应收账款：</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1"/>
        <w:rPr>
          <w:rFonts w:ascii="宋体" w:hAnsi="宋体" w:cs="宋体" w:eastAsia="宋体" w:hint="default"/>
          <w:sz w:val="27"/>
          <w:szCs w:val="27"/>
        </w:rPr>
      </w:pPr>
    </w:p>
    <w:p>
      <w:pPr>
        <w:spacing w:line="530" w:lineRule="auto" w:before="0"/>
        <w:ind w:left="574" w:right="184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spacing w:val="1"/>
          <w:w w:val="99"/>
          <w:sz w:val="21"/>
          <w:szCs w:val="21"/>
        </w:rPr>
        <w:t> </w:t>
      </w: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t>6,967,946.83</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t>4,000.00</w:t>
      </w:r>
      <w:r>
        <w:rPr>
          <w:rFonts w:ascii="宋体" w:hAnsi="宋体" w:cs="宋体" w:eastAsia="宋体" w:hint="default"/>
          <w:sz w:val="21"/>
          <w:szCs w:val="21"/>
        </w:rPr>
        <w:t>元。</w:t>
      </w:r>
    </w:p>
    <w:p>
      <w:pPr>
        <w:spacing w:after="0" w:line="530" w:lineRule="auto"/>
        <w:jc w:val="left"/>
        <w:rPr>
          <w:rFonts w:ascii="宋体" w:hAnsi="宋体" w:cs="宋体" w:eastAsia="宋体" w:hint="default"/>
          <w:sz w:val="21"/>
          <w:szCs w:val="21"/>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预付款项按账龄列示" w:id="230"/>
      <w:bookmarkEnd w:id="230"/>
      <w:r>
        <w:rPr>
          <w:b w:val="0"/>
          <w:bCs w:val="0"/>
        </w:rPr>
      </w:r>
      <w:r>
        <w:rPr/>
        <w:t>（</w:t>
      </w:r>
      <w:r>
        <w:rPr>
          <w:rFonts w:ascii="Times New Roman" w:hAnsi="Times New Roman" w:cs="Times New Roman" w:eastAsia="Times New Roman" w:hint="default"/>
        </w:rPr>
        <w:t>3</w:t>
      </w:r>
      <w:bookmarkStart w:name="（3）本期实际核销的应收账款情况" w:id="231"/>
      <w:bookmarkEnd w:id="231"/>
      <w:r>
        <w:rPr>
          <w:rFonts w:ascii="Times New Roman" w:hAnsi="Times New Roman" w:cs="Times New Roman" w:eastAsia="Times New Roman" w:hint="default"/>
        </w:rPr>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20"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695,480.00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）按欠款方</w:t>
      </w:r>
      <w:bookmarkStart w:name="（4）按欠款方归集的期末余额前五名的应收账款情况" w:id="232"/>
      <w:bookmarkEnd w:id="232"/>
      <w:r>
        <w:rPr/>
        <w:t>归集的期</w:t>
      </w:r>
      <w:r>
        <w:rPr/>
        <w:t>末余额前五名的应收账款情况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21"/>
        <w:gridCol w:w="2321"/>
        <w:gridCol w:w="2320"/>
        <w:gridCol w:w="2320"/>
      </w:tblGrid>
      <w:tr>
        <w:trPr>
          <w:trHeight w:val="73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5" w:right="0"/>
              <w:jc w:val="left"/>
              <w:rPr>
                <w:rFonts w:ascii="宋体" w:hAnsi="宋体" w:cs="宋体" w:eastAsia="宋体" w:hint="default"/>
                <w:sz w:val="18"/>
                <w:szCs w:val="18"/>
              </w:rPr>
            </w:pPr>
            <w:r>
              <w:rPr>
                <w:rFonts w:ascii="宋体" w:hAnsi="宋体" w:cs="宋体" w:eastAsia="宋体" w:hint="default"/>
                <w:sz w:val="18"/>
                <w:szCs w:val="18"/>
              </w:rPr>
              <w:t>应收账款年末余额</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810" w:right="73" w:hanging="7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占应收账款年末余额合计数 的比例</w:t>
            </w:r>
            <w:r>
              <w:rPr>
                <w:rFonts w:ascii="Times New Roman" w:hAnsi="Times New Roman" w:cs="Times New Roman" w:eastAsia="Times New Roman" w:hint="default"/>
                <w:sz w:val="18"/>
                <w:szCs w:val="18"/>
              </w:rPr>
              <w:t>%</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34" w:right="0"/>
              <w:jc w:val="left"/>
              <w:rPr>
                <w:rFonts w:ascii="宋体" w:hAnsi="宋体" w:cs="宋体" w:eastAsia="宋体" w:hint="default"/>
                <w:sz w:val="18"/>
                <w:szCs w:val="18"/>
              </w:rPr>
            </w:pPr>
            <w:r>
              <w:rPr>
                <w:rFonts w:ascii="宋体" w:hAnsi="宋体" w:cs="宋体" w:eastAsia="宋体" w:hint="default"/>
                <w:sz w:val="18"/>
                <w:szCs w:val="18"/>
              </w:rPr>
              <w:t>坏账准备年末余额</w:t>
            </w:r>
          </w:p>
        </w:tc>
      </w:tr>
      <w:tr>
        <w:trPr>
          <w:trHeight w:val="42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27,098,900.00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9.28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2,818,506.37</w:t>
            </w:r>
          </w:p>
        </w:tc>
      </w:tr>
      <w:tr>
        <w:trPr>
          <w:trHeight w:val="4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14,650,000.00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5.02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732,500.00</w:t>
            </w:r>
          </w:p>
        </w:tc>
      </w:tr>
      <w:tr>
        <w:trPr>
          <w:trHeight w:val="4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13,985,184.61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4.79</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699,259.23</w:t>
            </w:r>
          </w:p>
        </w:tc>
      </w:tr>
      <w:tr>
        <w:trPr>
          <w:trHeight w:val="42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7,210,387.68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2.47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360,519.38</w:t>
            </w:r>
          </w:p>
        </w:tc>
      </w:tr>
      <w:tr>
        <w:trPr>
          <w:trHeight w:val="4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6,609,914.53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2.26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330,495.73</w:t>
            </w:r>
          </w:p>
        </w:tc>
      </w:tr>
      <w:tr>
        <w:trPr>
          <w:trHeight w:val="4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69,554,386.82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23.82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4,941,280.71</w:t>
            </w:r>
          </w:p>
        </w:tc>
      </w:tr>
    </w:tbl>
    <w:p>
      <w:pPr>
        <w:spacing w:line="240" w:lineRule="auto" w:before="2"/>
        <w:rPr>
          <w:rFonts w:ascii="宋体" w:hAnsi="宋体" w:cs="宋体" w:eastAsia="宋体" w:hint="default"/>
          <w:sz w:val="19"/>
          <w:szCs w:val="19"/>
        </w:rPr>
      </w:pPr>
    </w:p>
    <w:p>
      <w:pPr>
        <w:spacing w:line="530" w:lineRule="auto" w:before="35"/>
        <w:ind w:left="574" w:right="431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年末，无因金融资产转移而终止确认的应收账款情况。</w:t>
      </w:r>
    </w:p>
    <w:p>
      <w:pPr>
        <w:spacing w:line="530" w:lineRule="auto" w:before="115"/>
        <w:ind w:left="574" w:right="368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spacing w:val="1"/>
          <w:w w:val="99"/>
          <w:sz w:val="21"/>
          <w:szCs w:val="21"/>
        </w:rPr>
        <w:t> </w:t>
      </w:r>
      <w:r>
        <w:rPr>
          <w:rFonts w:ascii="宋体" w:hAnsi="宋体" w:cs="宋体" w:eastAsia="宋体" w:hint="default"/>
          <w:sz w:val="21"/>
          <w:szCs w:val="21"/>
        </w:rPr>
        <w:t>年末，无转移应收账款且继续涉入形成的资产、负债的金额。</w:t>
      </w:r>
    </w:p>
    <w:p>
      <w:pPr>
        <w:pStyle w:val="Heading4"/>
        <w:spacing w:line="240" w:lineRule="auto" w:before="115"/>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5）因金融资产转移而终止确认的应收账款" w:id="233"/>
      <w:bookmarkEnd w:id="233"/>
      <w:r>
        <w:rPr/>
      </w:r>
      <w:bookmarkStart w:name="（6）转移应收账款且继续涉入形成的资产、负债金额" w:id="234"/>
      <w:bookmarkEnd w:id="234"/>
      <w:r>
        <w:rPr/>
      </w:r>
      <w:bookmarkStart w:name="6、预付款项" w:id="235"/>
      <w:bookmarkEnd w:id="235"/>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4D4D4"/>
          </w:tcPr>
          <w:p>
            <w:pPr/>
          </w:p>
        </w:tc>
        <w:tc>
          <w:tcPr>
            <w:tcW w:w="384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43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96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4D4D4"/>
          </w:tcPr>
          <w:p>
            <w:pPr/>
          </w:p>
        </w:tc>
        <w:tc>
          <w:tcPr>
            <w:tcW w:w="3829"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4D4D4"/>
          </w:tcPr>
          <w:p>
            <w:pPr/>
          </w:p>
        </w:tc>
        <w:tc>
          <w:tcPr>
            <w:tcW w:w="192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9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98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98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98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4D4D4"/>
          </w:tcPr>
          <w:p>
            <w:pPr/>
          </w:p>
        </w:tc>
        <w:tc>
          <w:tcPr>
            <w:tcW w:w="1927"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5"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20,347,519.44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6,266,623.81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585,346.41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788,451.25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445,997.91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627,796.94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227,633.08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4D4D4"/>
              <w:bottom w:val="single" w:sz="4" w:space="0" w:color="000000"/>
              <w:right w:val="single" w:sz="9" w:space="0" w:color="D4D4D4"/>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21,606,496.84</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8"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4D4D4"/>
              <w:bottom w:val="single" w:sz="4" w:space="0" w:color="000000"/>
              <w:right w:val="single" w:sz="13" w:space="0" w:color="D4D4D4"/>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7,682,872.00</w:t>
            </w:r>
          </w:p>
        </w:tc>
        <w:tc>
          <w:tcPr>
            <w:tcW w:w="191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7"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9、其他应收款" w:id="236"/>
      <w:bookmarkEnd w:id="236"/>
      <w:r>
        <w:rPr>
          <w:b w:val="0"/>
          <w:bCs w:val="0"/>
        </w:rPr>
      </w:r>
      <w:bookmarkStart w:name="（1）其他应收款分类披露" w:id="237"/>
      <w:bookmarkEnd w:id="237"/>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按预付对象归集的期末余额前五名的预付款情况" w:id="238"/>
      <w:bookmarkEnd w:id="238"/>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97"/>
        <w:gridCol w:w="3092"/>
        <w:gridCol w:w="3091"/>
      </w:tblGrid>
      <w:tr>
        <w:trPr>
          <w:trHeight w:val="4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820" w:right="0"/>
              <w:jc w:val="left"/>
              <w:rPr>
                <w:rFonts w:ascii="宋体" w:hAnsi="宋体" w:cs="宋体" w:eastAsia="宋体" w:hint="default"/>
                <w:sz w:val="18"/>
                <w:szCs w:val="18"/>
              </w:rPr>
            </w:pPr>
            <w:r>
              <w:rPr>
                <w:rFonts w:ascii="宋体" w:hAnsi="宋体" w:cs="宋体" w:eastAsia="宋体" w:hint="default"/>
                <w:sz w:val="18"/>
                <w:szCs w:val="18"/>
              </w:rPr>
              <w:t>预付款项年末余额</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占预付款项年末余额合计数的比例</w:t>
            </w:r>
            <w:r>
              <w:rPr>
                <w:rFonts w:ascii="Times New Roman" w:hAnsi="Times New Roman" w:cs="Times New Roman" w:eastAsia="Times New Roman" w:hint="default"/>
                <w:sz w:val="18"/>
                <w:szCs w:val="18"/>
              </w:rPr>
              <w:t>%</w:t>
            </w:r>
          </w:p>
        </w:tc>
      </w:tr>
      <w:tr>
        <w:trPr>
          <w:trHeight w:val="4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3,346,730.60</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15.49</w:t>
            </w:r>
          </w:p>
        </w:tc>
      </w:tr>
      <w:tr>
        <w:trPr>
          <w:trHeight w:val="42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1,268,206.55</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5.87</w:t>
            </w:r>
          </w:p>
        </w:tc>
      </w:tr>
      <w:tr>
        <w:trPr>
          <w:trHeight w:val="4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1,189,937.15</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5.51</w:t>
            </w:r>
          </w:p>
        </w:tc>
      </w:tr>
      <w:tr>
        <w:trPr>
          <w:trHeight w:val="4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1,025,641.03</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4.75</w:t>
            </w:r>
          </w:p>
        </w:tc>
      </w:tr>
      <w:tr>
        <w:trPr>
          <w:trHeight w:val="421"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1,000,000.00</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z w:val="18"/>
              </w:rPr>
              <w:t>4.63</w:t>
            </w:r>
          </w:p>
        </w:tc>
      </w:tr>
      <w:tr>
        <w:trPr>
          <w:trHeight w:val="422" w:hRule="exact"/>
        </w:trPr>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7,830,515.33</w:t>
            </w:r>
          </w:p>
        </w:tc>
        <w:tc>
          <w:tcPr>
            <w:tcW w:w="3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36.25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7、应收利息" w:id="239"/>
      <w:bookmarkEnd w:id="239"/>
      <w:r>
        <w:rPr/>
      </w:r>
      <w:bookmarkStart w:name="（1）应收利息分类" w:id="240"/>
      <w:bookmarkEnd w:id="240"/>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88"/>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5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820,785.11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2,134,534.58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820,785.11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2,134,534.58</w:t>
            </w:r>
          </w:p>
        </w:tc>
      </w:tr>
    </w:tbl>
    <w:p>
      <w:pPr>
        <w:spacing w:line="240" w:lineRule="auto" w:before="2"/>
        <w:rPr>
          <w:rFonts w:ascii="宋体" w:hAnsi="宋体" w:cs="宋体" w:eastAsia="宋体" w:hint="default"/>
          <w:sz w:val="19"/>
          <w:szCs w:val="19"/>
        </w:rPr>
      </w:pPr>
    </w:p>
    <w:p>
      <w:pPr>
        <w:spacing w:line="530" w:lineRule="auto" w:before="35"/>
        <w:ind w:left="574" w:right="798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8</w:t>
      </w:r>
      <w:r>
        <w:rPr/>
        <w:t>、应收股利</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34" w:right="8090"/>
        <w:jc w:val="center"/>
      </w:pPr>
      <w:r>
        <w:rPr/>
        <w:t>不适用。</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重要逾期利息" w:id="241"/>
      <w:bookmarkEnd w:id="241"/>
      <w:r>
        <w:rPr/>
      </w:r>
      <w:bookmarkStart w:name="8、应收股利" w:id="242"/>
      <w:bookmarkEnd w:id="242"/>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62"/>
        <w:gridCol w:w="751"/>
        <w:gridCol w:w="800"/>
        <w:gridCol w:w="655"/>
        <w:gridCol w:w="762"/>
        <w:gridCol w:w="812"/>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4D4D4"/>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4D4D4"/>
          </w:tcPr>
          <w:p>
            <w:pPr/>
          </w:p>
        </w:tc>
        <w:tc>
          <w:tcPr>
            <w:tcW w:w="151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4D4D4"/>
          </w:tcPr>
          <w:p>
            <w:pPr/>
          </w:p>
        </w:tc>
        <w:tc>
          <w:tcPr>
            <w:tcW w:w="1417"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4D4D4"/>
          </w:tcPr>
          <w:p>
            <w:pPr/>
          </w:p>
        </w:tc>
        <w:tc>
          <w:tcPr>
            <w:tcW w:w="1513" w:type="dxa"/>
            <w:gridSpan w:val="2"/>
            <w:vMerge/>
            <w:tcBorders>
              <w:left w:val="single" w:sz="4" w:space="0" w:color="000000"/>
              <w:bottom w:val="single" w:sz="4" w:space="0" w:color="000000"/>
              <w:right w:val="single" w:sz="4" w:space="0" w:color="000000"/>
            </w:tcBorders>
            <w:shd w:val="clear" w:color="auto" w:fill="D4D4D4"/>
          </w:tcPr>
          <w:p>
            <w:pPr/>
          </w:p>
        </w:tc>
        <w:tc>
          <w:tcPr>
            <w:tcW w:w="800" w:type="dxa"/>
            <w:vMerge/>
            <w:tcBorders>
              <w:left w:val="single" w:sz="4" w:space="0" w:color="000000"/>
              <w:bottom w:val="nil" w:sz="6" w:space="0" w:color="auto"/>
              <w:right w:val="single" w:sz="4" w:space="0" w:color="000000"/>
            </w:tcBorders>
            <w:shd w:val="clear" w:color="auto" w:fill="D4D4D4"/>
          </w:tcPr>
          <w:p>
            <w:pPr/>
          </w:p>
        </w:tc>
        <w:tc>
          <w:tcPr>
            <w:tcW w:w="1417" w:type="dxa"/>
            <w:gridSpan w:val="2"/>
            <w:vMerge/>
            <w:tcBorders>
              <w:left w:val="single" w:sz="4" w:space="0" w:color="000000"/>
              <w:bottom w:val="single" w:sz="4" w:space="0" w:color="000000"/>
              <w:right w:val="single" w:sz="4" w:space="0" w:color="000000"/>
            </w:tcBorders>
            <w:shd w:val="clear" w:color="auto" w:fill="D4D4D4"/>
          </w:tcPr>
          <w:p>
            <w:pPr/>
          </w:p>
        </w:tc>
        <w:tc>
          <w:tcPr>
            <w:tcW w:w="1745" w:type="dxa"/>
            <w:gridSpan w:val="2"/>
            <w:vMerge/>
            <w:tcBorders>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158" w:hRule="exact"/>
        </w:trPr>
        <w:tc>
          <w:tcPr>
            <w:tcW w:w="1646" w:type="dxa"/>
            <w:vMerge/>
            <w:tcBorders>
              <w:left w:val="single" w:sz="4" w:space="0" w:color="000000"/>
              <w:bottom w:val="single" w:sz="4" w:space="0" w:color="FFFFFF"/>
              <w:right w:val="single" w:sz="4" w:space="0" w:color="000000"/>
            </w:tcBorders>
            <w:shd w:val="clear" w:color="auto" w:fill="D4D4D4"/>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51"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4D4D4"/>
          </w:tcPr>
          <w:p>
            <w:pPr/>
          </w:p>
        </w:tc>
        <w:tc>
          <w:tcPr>
            <w:tcW w:w="762" w:type="dxa"/>
            <w:tcBorders>
              <w:top w:val="single" w:sz="4" w:space="0" w:color="000000"/>
              <w:left w:val="single" w:sz="4" w:space="0" w:color="000000"/>
              <w:bottom w:val="nil" w:sz="6" w:space="0" w:color="auto"/>
              <w:right w:val="single" w:sz="4" w:space="0" w:color="000000"/>
            </w:tcBorders>
            <w:shd w:val="clear" w:color="auto" w:fill="D4D4D4"/>
          </w:tcPr>
          <w:p>
            <w:pPr/>
          </w:p>
        </w:tc>
        <w:tc>
          <w:tcPr>
            <w:tcW w:w="812"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4D4D4"/>
          </w:tcPr>
          <w:p>
            <w:pPr/>
          </w:p>
        </w:tc>
        <w:tc>
          <w:tcPr>
            <w:tcW w:w="75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4D4D4"/>
          </w:tcPr>
          <w:p>
            <w:pPr/>
          </w:p>
        </w:tc>
        <w:tc>
          <w:tcPr>
            <w:tcW w:w="800" w:type="dxa"/>
            <w:vMerge/>
            <w:tcBorders>
              <w:left w:val="single" w:sz="4" w:space="0" w:color="000000"/>
              <w:bottom w:val="nil" w:sz="6" w:space="0" w:color="auto"/>
              <w:right w:val="single" w:sz="4" w:space="0" w:color="000000"/>
            </w:tcBorders>
            <w:shd w:val="clear" w:color="auto" w:fill="D4D4D4"/>
          </w:tcPr>
          <w:p>
            <w:pPr/>
          </w:p>
        </w:tc>
        <w:tc>
          <w:tcPr>
            <w:tcW w:w="65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202" w:hRule="exact"/>
        </w:trPr>
        <w:tc>
          <w:tcPr>
            <w:tcW w:w="1646" w:type="dxa"/>
            <w:vMerge/>
            <w:tcBorders>
              <w:left w:val="single" w:sz="4" w:space="0" w:color="000000"/>
              <w:right w:val="single" w:sz="4" w:space="0" w:color="000000"/>
            </w:tcBorders>
            <w:shd w:val="clear" w:color="auto" w:fill="D4D4D4"/>
          </w:tcPr>
          <w:p>
            <w:pPr/>
          </w:p>
        </w:tc>
        <w:tc>
          <w:tcPr>
            <w:tcW w:w="75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51" w:type="dxa"/>
            <w:vMerge/>
            <w:tcBorders>
              <w:left w:val="single" w:sz="4" w:space="0" w:color="000000"/>
              <w:right w:val="single" w:sz="4" w:space="0" w:color="000000"/>
            </w:tcBorders>
            <w:shd w:val="clear" w:color="auto" w:fill="D4D4D4"/>
          </w:tcPr>
          <w:p>
            <w:pPr/>
          </w:p>
        </w:tc>
        <w:tc>
          <w:tcPr>
            <w:tcW w:w="800" w:type="dxa"/>
            <w:vMerge w:val="restart"/>
            <w:tcBorders>
              <w:top w:val="nil" w:sz="6" w:space="0" w:color="auto"/>
              <w:left w:val="single" w:sz="4" w:space="0" w:color="000000"/>
              <w:right w:val="single" w:sz="4" w:space="0" w:color="000000"/>
            </w:tcBorders>
            <w:shd w:val="clear" w:color="auto" w:fill="D4D4D4"/>
          </w:tcPr>
          <w:p>
            <w:pPr/>
          </w:p>
        </w:tc>
        <w:tc>
          <w:tcPr>
            <w:tcW w:w="655"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812" w:type="dxa"/>
            <w:vMerge/>
            <w:tcBorders>
              <w:left w:val="single" w:sz="4" w:space="0" w:color="000000"/>
              <w:bottom w:val="nil" w:sz="6" w:space="0" w:color="auto"/>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4D4D4"/>
          </w:tcPr>
          <w:p>
            <w:pPr/>
          </w:p>
        </w:tc>
        <w:tc>
          <w:tcPr>
            <w:tcW w:w="75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51" w:type="dxa"/>
            <w:vMerge/>
            <w:tcBorders>
              <w:left w:val="single" w:sz="4" w:space="0" w:color="000000"/>
              <w:bottom w:val="single" w:sz="4" w:space="0" w:color="000000"/>
              <w:right w:val="single" w:sz="4" w:space="0" w:color="000000"/>
            </w:tcBorders>
            <w:shd w:val="clear" w:color="auto" w:fill="D4D4D4"/>
          </w:tcPr>
          <w:p>
            <w:pPr/>
          </w:p>
        </w:tc>
        <w:tc>
          <w:tcPr>
            <w:tcW w:w="800" w:type="dxa"/>
            <w:vMerge/>
            <w:tcBorders>
              <w:left w:val="single" w:sz="4" w:space="0" w:color="000000"/>
              <w:bottom w:val="single" w:sz="4" w:space="0" w:color="000000"/>
              <w:right w:val="single" w:sz="4" w:space="0" w:color="000000"/>
            </w:tcBorders>
            <w:shd w:val="clear" w:color="auto" w:fill="D4D4D4"/>
          </w:tcPr>
          <w:p>
            <w:pPr/>
          </w:p>
        </w:tc>
        <w:tc>
          <w:tcPr>
            <w:tcW w:w="655"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812"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16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1"/>
              <w:ind w:left="22" w:right="14"/>
              <w:jc w:val="left"/>
              <w:rPr>
                <w:rFonts w:ascii="宋体" w:hAnsi="宋体" w:cs="宋体" w:eastAsia="宋体" w:hint="default"/>
                <w:sz w:val="18"/>
                <w:szCs w:val="18"/>
              </w:rPr>
            </w:pPr>
            <w:r>
              <w:rPr>
                <w:rFonts w:ascii="宋体" w:hAnsi="宋体" w:cs="宋体" w:eastAsia="宋体" w:hint="default"/>
                <w:spacing w:val="17"/>
                <w:sz w:val="18"/>
                <w:szCs w:val="18"/>
              </w:rPr>
              <w:t>按信用风险特征组</w:t>
            </w:r>
            <w:r>
              <w:rPr>
                <w:rFonts w:ascii="宋体" w:hAnsi="宋体" w:cs="宋体" w:eastAsia="宋体" w:hint="default"/>
                <w:spacing w:val="-71"/>
                <w:sz w:val="18"/>
                <w:szCs w:val="18"/>
              </w:rPr>
              <w:t> </w:t>
            </w:r>
            <w:r>
              <w:rPr>
                <w:rFonts w:ascii="宋体" w:hAnsi="宋体" w:cs="宋体" w:eastAsia="宋体" w:hint="default"/>
                <w:spacing w:val="17"/>
                <w:sz w:val="18"/>
                <w:szCs w:val="18"/>
              </w:rPr>
              <w:t>合计提坏账准备的</w:t>
            </w:r>
            <w:r>
              <w:rPr>
                <w:rFonts w:ascii="宋体" w:hAnsi="宋体" w:cs="宋体" w:eastAsia="宋体" w:hint="default"/>
                <w:spacing w:val="-71"/>
                <w:sz w:val="18"/>
                <w:szCs w:val="18"/>
              </w:rPr>
              <w:t> </w:t>
            </w:r>
            <w:r>
              <w:rPr>
                <w:rFonts w:ascii="宋体" w:hAnsi="宋体" w:cs="宋体" w:eastAsia="宋体" w:hint="default"/>
                <w:sz w:val="18"/>
                <w:szCs w:val="18"/>
              </w:rPr>
            </w:r>
          </w:p>
        </w:tc>
        <w:tc>
          <w:tcPr>
            <w:tcW w:w="75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48,157,5</w:t>
            </w:r>
          </w:p>
          <w:p>
            <w:pPr>
              <w:pStyle w:val="TableParagraph"/>
              <w:spacing w:line="240" w:lineRule="auto" w:before="106"/>
              <w:ind w:left="301" w:right="0"/>
              <w:jc w:val="left"/>
              <w:rPr>
                <w:rFonts w:ascii="Times New Roman" w:hAnsi="Times New Roman" w:cs="Times New Roman" w:eastAsia="Times New Roman" w:hint="default"/>
                <w:sz w:val="18"/>
                <w:szCs w:val="18"/>
              </w:rPr>
            </w:pPr>
            <w:r>
              <w:rPr>
                <w:rFonts w:ascii="Times New Roman"/>
                <w:sz w:val="18"/>
              </w:rPr>
              <w:t>94.19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8,848,42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5.03</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18.37%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39,309,16</w:t>
            </w:r>
          </w:p>
          <w:p>
            <w:pPr>
              <w:pStyle w:val="TableParagraph"/>
              <w:spacing w:line="240" w:lineRule="auto" w:before="106"/>
              <w:ind w:left="454" w:right="0"/>
              <w:jc w:val="left"/>
              <w:rPr>
                <w:rFonts w:ascii="Times New Roman" w:hAnsi="Times New Roman" w:cs="Times New Roman" w:eastAsia="Times New Roman" w:hint="default"/>
                <w:sz w:val="18"/>
                <w:szCs w:val="18"/>
              </w:rPr>
            </w:pPr>
            <w:r>
              <w:rPr>
                <w:rFonts w:ascii="Times New Roman"/>
                <w:sz w:val="18"/>
              </w:rPr>
              <w:t>9.16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44,564,</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379.84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5,707,400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38,856,979.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55</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48,157,5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94.19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8,848,42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18.37%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39,309,16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44,564,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379.84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5,707,400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38,856,979.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w:t>
            </w:r>
          </w:p>
        </w:tc>
      </w:tr>
    </w:tbl>
    <w:p>
      <w:pPr>
        <w:spacing w:line="240" w:lineRule="auto" w:before="10"/>
        <w:rPr>
          <w:rFonts w:ascii="宋体" w:hAnsi="宋体" w:cs="宋体" w:eastAsia="宋体" w:hint="default"/>
          <w:sz w:val="7"/>
          <w:szCs w:val="7"/>
        </w:rPr>
      </w:pPr>
    </w:p>
    <w:p>
      <w:pPr>
        <w:pStyle w:val="BodyText"/>
        <w:spacing w:line="240" w:lineRule="auto" w:before="35"/>
        <w:ind w:right="4282"/>
        <w:jc w:val="left"/>
      </w:pPr>
      <w:bookmarkStart w:name="（2）本期计提、收回或转回的坏账准备情况" w:id="243"/>
      <w:bookmarkEnd w:id="243"/>
      <w:r>
        <w:rPr/>
      </w:r>
      <w:r>
        <w:rPr/>
        <w:t>期末单项金额重大并单项计提坏账准备的其他应收款：</w:t>
      </w:r>
    </w:p>
    <w:p>
      <w:pPr>
        <w:spacing w:line="240" w:lineRule="auto" w:before="10"/>
        <w:rPr>
          <w:rFonts w:ascii="宋体" w:hAnsi="宋体" w:cs="宋体" w:eastAsia="宋体" w:hint="default"/>
          <w:sz w:val="16"/>
          <w:szCs w:val="16"/>
        </w:rPr>
      </w:pPr>
    </w:p>
    <w:p>
      <w:pPr>
        <w:pStyle w:val="BodyText"/>
        <w:spacing w:line="408" w:lineRule="auto"/>
        <w:ind w:right="470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t>不适用</w:t>
      </w:r>
      <w:r>
        <w:rPr>
          <w:spacing w:val="-2"/>
        </w:rPr>
        <w:t> </w:t>
      </w:r>
      <w:r>
        <w:rPr/>
        <w:t>组合中，按账龄分析法计提坏账准备的其他应收款：</w:t>
      </w:r>
    </w:p>
    <w:p>
      <w:pPr>
        <w:pStyle w:val="BodyText"/>
        <w:spacing w:line="240" w:lineRule="auto" w:before="72"/>
        <w:ind w:right="4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2"/>
        </w:rPr>
        <w:t>不适用</w:t>
      </w:r>
      <w:r>
        <w:rPr/>
      </w:r>
    </w:p>
    <w:p>
      <w:pPr>
        <w:spacing w:line="240" w:lineRule="auto" w:before="11"/>
        <w:rPr>
          <w:rFonts w:ascii="宋体" w:hAnsi="宋体" w:cs="宋体" w:eastAsia="宋体" w:hint="default"/>
          <w:sz w:val="11"/>
          <w:szCs w:val="11"/>
        </w:rPr>
      </w:pPr>
    </w:p>
    <w:p>
      <w:pPr>
        <w:spacing w:before="44"/>
        <w:ind w:left="0" w:right="33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2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4D4D4"/>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5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4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40"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14,342,206.19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717,110.31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14,342,206.19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717,110.31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12,683,289.49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1,268,328.95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8,012,654.33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2,403,796.30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2,841,628.98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1,420,814.49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2,828,083.10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2,262,466.48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775,908.50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775,908.50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41,483,770.59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8,848,425.03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21.33%</w:t>
            </w:r>
          </w:p>
        </w:tc>
      </w:tr>
    </w:tbl>
    <w:p>
      <w:pPr>
        <w:spacing w:line="240" w:lineRule="auto" w:before="10"/>
        <w:rPr>
          <w:rFonts w:ascii="宋体" w:hAnsi="宋体" w:cs="宋体" w:eastAsia="宋体" w:hint="default"/>
          <w:sz w:val="7"/>
          <w:szCs w:val="7"/>
        </w:rPr>
      </w:pPr>
    </w:p>
    <w:p>
      <w:pPr>
        <w:pStyle w:val="BodyText"/>
        <w:spacing w:line="432" w:lineRule="auto" w:before="35"/>
        <w:ind w:right="4282"/>
        <w:jc w:val="left"/>
      </w:pPr>
      <w:r>
        <w:rPr/>
        <w:t>确定该组合依据的说明： 组合中，采用余额百分比法计提坏账准备的其他应收款：</w:t>
      </w:r>
    </w:p>
    <w:p>
      <w:pPr>
        <w:pStyle w:val="BodyText"/>
        <w:spacing w:line="408" w:lineRule="auto" w:before="51"/>
        <w:ind w:right="47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组合中，采用其他方法计提坏账准备的其他应收款：</w:t>
      </w:r>
    </w:p>
    <w:p>
      <w:pPr>
        <w:spacing w:before="68"/>
        <w:ind w:left="0" w:right="3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60"/>
        <w:gridCol w:w="2368"/>
        <w:gridCol w:w="2532"/>
        <w:gridCol w:w="2395"/>
      </w:tblGrid>
      <w:tr>
        <w:trPr>
          <w:trHeight w:val="342" w:hRule="exact"/>
        </w:trPr>
        <w:tc>
          <w:tcPr>
            <w:tcW w:w="2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21"/>
              <w:ind w:left="112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729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left="42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560" w:type="dxa"/>
            <w:vMerge/>
            <w:tcBorders>
              <w:left w:val="single" w:sz="4" w:space="0" w:color="000000"/>
              <w:bottom w:val="single" w:sz="4" w:space="0" w:color="000000"/>
              <w:right w:val="single" w:sz="4" w:space="0" w:color="000000"/>
            </w:tcBorders>
            <w:shd w:val="clear" w:color="auto" w:fill="D4D4D4"/>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left="93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left="11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1"/>
              <w:ind w:left="1041"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2"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4"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6,673,823.60</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20"/>
              <w:ind w:left="4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6,673,823.60</w:t>
            </w:r>
          </w:p>
        </w:tc>
        <w:tc>
          <w:tcPr>
            <w:tcW w:w="2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0</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5"/>
        <w:ind w:right="428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2392"/>
        <w:jc w:val="left"/>
      </w:pPr>
      <w:r>
        <w:rPr/>
        <w:t>本期计提坏账准备金额</w:t>
      </w:r>
      <w:r>
        <w:rPr>
          <w:rFonts w:ascii="Times New Roman" w:hAnsi="Times New Roman" w:cs="Times New Roman" w:eastAsia="Times New Roman" w:hint="default"/>
        </w:rPr>
        <w:t>3,043,146.36</w:t>
      </w:r>
      <w:r>
        <w:rPr/>
        <w:t>元；本期收回或转回坏账准备金额</w:t>
      </w:r>
      <w:r>
        <w:rPr>
          <w:rFonts w:ascii="Times New Roman" w:hAnsi="Times New Roman" w:cs="Times New Roman" w:eastAsia="Times New Roman" w:hint="default"/>
        </w:rPr>
        <w:t>0.00</w:t>
      </w:r>
      <w:r>
        <w:rPr/>
        <w:t>元。 其中本期坏账准备转回或收回金额重要的：无。</w:t>
      </w:r>
    </w:p>
    <w:p>
      <w:pPr>
        <w:spacing w:after="0" w:line="408" w:lineRule="auto"/>
        <w:jc w:val="left"/>
        <w:sectPr>
          <w:pgSz w:w="11910" w:h="16840"/>
          <w:pgMar w:header="917" w:footer="1267" w:top="1140" w:bottom="1460" w:left="980" w:right="800"/>
        </w:sectPr>
      </w:pPr>
    </w:p>
    <w:p>
      <w:pPr>
        <w:spacing w:line="240" w:lineRule="auto" w:before="2"/>
        <w:rPr>
          <w:rFonts w:ascii="宋体" w:hAnsi="宋体" w:cs="宋体" w:eastAsia="宋体" w:hint="default"/>
          <w:sz w:val="19"/>
          <w:szCs w:val="19"/>
        </w:rPr>
      </w:pPr>
    </w:p>
    <w:p>
      <w:pPr>
        <w:pStyle w:val="Heading4"/>
        <w:spacing w:line="530" w:lineRule="auto" w:before="35"/>
        <w:ind w:left="574" w:right="6294" w:hanging="420"/>
        <w:jc w:val="left"/>
        <w:rPr>
          <w:rFonts w:ascii="宋体" w:hAnsi="宋体" w:cs="宋体" w:eastAsia="宋体" w:hint="default"/>
          <w:b w:val="0"/>
          <w:bCs w:val="0"/>
        </w:rPr>
      </w:pPr>
      <w:bookmarkStart w:name="（6）涉及政府补助的应收款项" w:id="244"/>
      <w:bookmarkEnd w:id="244"/>
      <w:r>
        <w:rPr>
          <w:b w:val="0"/>
          <w:bCs w:val="0"/>
        </w:rPr>
      </w:r>
      <w:r>
        <w:rPr/>
        <w:t>（</w:t>
      </w:r>
      <w:r>
        <w:rPr>
          <w:rFonts w:ascii="Times New Roman" w:hAnsi="Times New Roman" w:cs="Times New Roman" w:eastAsia="Times New Roman" w:hint="default"/>
        </w:rPr>
        <w:t>3</w:t>
      </w:r>
      <w:bookmarkStart w:name="（3）本期实际核销的其他应收款情况" w:id="245"/>
      <w:bookmarkEnd w:id="245"/>
      <w:r>
        <w:rPr>
          <w:rFonts w:ascii="Times New Roman" w:hAnsi="Times New Roman" w:cs="Times New Roman" w:eastAsia="Times New Roman" w:hint="default"/>
        </w:rPr>
      </w:r>
      <w:r>
        <w:rPr/>
        <w:t>）本期实际核销的其他应收款情况</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4</w:t>
      </w:r>
      <w:r>
        <w:rPr/>
        <w:t>）其他应收</w:t>
      </w:r>
      <w:bookmarkStart w:name="（4）其他应收款按款项性质分类情况" w:id="246"/>
      <w:bookmarkEnd w:id="246"/>
      <w:r>
        <w:rPr/>
        <w:t>款按款项</w:t>
      </w:r>
      <w:r>
        <w:rPr/>
        <w:t>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7"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6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5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3,891,877.09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2,130,539.52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36,170,930.16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30,514,175.15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5,842,413.95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8,254,006.63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代收代垫款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1,982,537.72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1,122,839.55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应收软件增值税退税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2,350,754.99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269,835.27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192,064.00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48,157,594.19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44,564,379.84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pict>
          <v:shape style="position:absolute;margin-left:369.600006pt;margin-top:75.531731pt;width:85.4pt;height:16.6pt;mso-position-horizontal-relative:page;mso-position-vertical-relative:paragraph;z-index:-117769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375.779999pt;margin-top:54.861732pt;width:79.2pt;height:37.25pt;mso-position-horizontal-relative:page;mso-position-vertical-relative:paragraph;z-index:-1177672" coordorigin="7516,1097" coordsize="1584,745">
            <v:group style="position:absolute;left:7527;top:1109;width:2;height:392" coordorigin="7527,1109" coordsize="2,392">
              <v:shape style="position:absolute;left:7527;top:1109;width:2;height:392" coordorigin="7527,1109" coordsize="0,392" path="m7527,1109l7527,1500e" filled="false" stroked="true" strokeweight="1.140pt" strokecolor="#ffffff">
                <v:path arrowok="t"/>
              </v:shape>
            </v:group>
            <v:group style="position:absolute;left:7538;top:1109;width:1539;height:392" coordorigin="7538,1109" coordsize="1539,392">
              <v:shape style="position:absolute;left:7538;top:1109;width:1539;height:392" coordorigin="7538,1109" coordsize="1539,392" path="m7538,1500l9077,1500,9077,1109,7538,1109,7538,1500xe" filled="true" fillcolor="#ffffff" stroked="false">
                <v:path arrowok="t"/>
                <v:fill type="solid"/>
              </v:shape>
            </v:group>
            <v:group style="position:absolute;left:7516;top:1511;width:1584;height:332" coordorigin="7516,1511" coordsize="1584,332">
              <v:shape style="position:absolute;left:7516;top:1511;width:1584;height:332" coordorigin="7516,1511" coordsize="1584,332" path="m7516,1842l9100,1842,9100,1511,7516,1511,7516,1842xe" filled="true" fillcolor="#ffffff" stroked="false">
                <v:path arrowok="t"/>
                <v:fill type="solid"/>
              </v:shape>
            </v:group>
            <w10:wrap type="none"/>
          </v:group>
        </w:pict>
      </w:r>
      <w:bookmarkStart w:name="（5）按欠款方归集的期末余额前五名的其他应收款情况" w:id="247"/>
      <w:bookmarkEnd w:id="247"/>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3,650,000.00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tabs>
                <w:tab w:pos="1097" w:val="left" w:leader="none"/>
              </w:tabs>
              <w:spacing w:line="240" w:lineRule="auto" w:before="52"/>
              <w:ind w:left="-12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365,000.00</w:t>
            </w:r>
          </w:p>
        </w:tc>
      </w:tr>
      <w:tr>
        <w:trPr>
          <w:trHeight w:val="106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2,150,000.00</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190,000.00</w:t>
            </w:r>
            <w:r>
              <w:rPr>
                <w:rFonts w:ascii="宋体" w:hAnsi="宋体" w:cs="宋体" w:eastAsia="宋体" w:hint="default"/>
                <w:sz w:val="18"/>
                <w:szCs w:val="18"/>
              </w:rPr>
              <w:t>；</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1,540,000.00</w:t>
            </w:r>
          </w:p>
        </w:tc>
      </w:tr>
      <w:tr>
        <w:trPr>
          <w:trHeight w:val="137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2,497,250.00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40000.00</w:t>
            </w:r>
            <w:r>
              <w:rPr>
                <w:rFonts w:ascii="宋体" w:hAnsi="宋体" w:cs="宋体" w:eastAsia="宋体" w:hint="default"/>
                <w:sz w:val="18"/>
                <w:szCs w:val="18"/>
              </w:rPr>
              <w:t>；</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2,160,000.00</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197,250.00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0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8" w:lineRule="exact"/>
              <w:ind w:right="20"/>
              <w:jc w:val="right"/>
              <w:rPr>
                <w:rFonts w:ascii="Times New Roman" w:hAnsi="Times New Roman" w:cs="Times New Roman" w:eastAsia="Times New Roman" w:hint="default"/>
                <w:sz w:val="18"/>
                <w:szCs w:val="18"/>
              </w:rPr>
            </w:pPr>
            <w:r>
              <w:rPr>
                <w:rFonts w:ascii="Times New Roman"/>
                <w:sz w:val="18"/>
              </w:rPr>
              <w:t>5.19%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857,800.00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1,900,640.00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190,064.00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12,454,890.00</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3,006,214.00</w:t>
            </w:r>
          </w:p>
        </w:tc>
      </w:tr>
    </w:tbl>
    <w:p>
      <w:pPr>
        <w:spacing w:line="240" w:lineRule="auto" w:before="2"/>
        <w:rPr>
          <w:rFonts w:ascii="宋体" w:hAnsi="宋体" w:cs="宋体" w:eastAsia="宋体" w:hint="default"/>
          <w:sz w:val="19"/>
          <w:szCs w:val="19"/>
        </w:rPr>
      </w:pPr>
    </w:p>
    <w:p>
      <w:pPr>
        <w:pStyle w:val="Heading4"/>
        <w:spacing w:line="530" w:lineRule="auto" w:before="35"/>
        <w:ind w:left="574" w:right="6926" w:hanging="420"/>
        <w:jc w:val="left"/>
        <w:rPr>
          <w:rFonts w:ascii="宋体" w:hAnsi="宋体" w:cs="宋体" w:eastAsia="宋体" w:hint="default"/>
          <w:b w:val="0"/>
          <w:bCs w:val="0"/>
        </w:rPr>
      </w:pPr>
      <w:r>
        <w:rPr/>
        <w:pict>
          <v:group style="position:absolute;margin-left:375.779999pt;margin-top:-141.746338pt;width:79.2pt;height:44.55pt;mso-position-horizontal-relative:page;mso-position-vertical-relative:paragraph;z-index:-1177648" coordorigin="7516,-2835" coordsize="1584,891">
            <v:group style="position:absolute;left:7516;top:-2835;width:1584;height:489" coordorigin="7516,-2835" coordsize="1584,489">
              <v:shape style="position:absolute;left:7516;top:-2835;width:1584;height:489" coordorigin="7516,-2835" coordsize="1584,489" path="m7516,-2347l9100,-2347,9100,-2835,7516,-2835,7516,-2347xe" filled="true" fillcolor="#ffffff" stroked="false">
                <v:path arrowok="t"/>
                <v:fill type="solid"/>
              </v:shape>
            </v:group>
            <v:group style="position:absolute;left:7527;top:-2347;width:2;height:392" coordorigin="7527,-2347" coordsize="2,392">
              <v:shape style="position:absolute;left:7527;top:-2347;width:2;height:392" coordorigin="7527,-2347" coordsize="0,392" path="m7527,-2347l7527,-1955e" filled="false" stroked="true" strokeweight="1.140pt" strokecolor="#ffffff">
                <v:path arrowok="t"/>
              </v:shape>
            </v:group>
            <v:group style="position:absolute;left:7538;top:-2347;width:1539;height:392" coordorigin="7538,-2347" coordsize="1539,392">
              <v:shape style="position:absolute;left:7538;top:-2347;width:1539;height:392" coordorigin="7538,-2347" coordsize="1539,392" path="m7538,-1955l9077,-1955,9077,-2347,7538,-2347,7538,-1955xe" filled="true" fillcolor="#ffffff" stroked="false">
                <v:path arrowok="t"/>
                <v:fill type="solid"/>
              </v:shape>
            </v:group>
            <w10:wrap type="none"/>
          </v:group>
        </w:pict>
      </w:r>
      <w:r>
        <w:rPr/>
        <w:t>（</w:t>
      </w:r>
      <w:r>
        <w:rPr>
          <w:rFonts w:ascii="Times New Roman" w:hAnsi="Times New Roman" w:cs="Times New Roman" w:eastAsia="Times New Roman" w:hint="default"/>
        </w:rPr>
        <w:t>6</w:t>
      </w:r>
      <w:r>
        <w:rPr/>
        <w:t>）涉及政府补助的应收款项</w:t>
      </w:r>
      <w:r>
        <w:rPr>
          <w:spacing w:val="1"/>
          <w:w w:val="99"/>
        </w:rPr>
        <w:t> </w:t>
      </w:r>
      <w:r>
        <w:rPr>
          <w:rFonts w:ascii="宋体" w:hAnsi="宋体" w:cs="宋体" w:eastAsia="宋体" w:hint="default"/>
          <w:b w:val="0"/>
          <w:bCs w:val="0"/>
        </w:rPr>
        <w:t>无。</w:t>
      </w:r>
    </w:p>
    <w:p>
      <w:pPr>
        <w:spacing w:after="0" w:line="530" w:lineRule="auto"/>
        <w:jc w:val="left"/>
        <w:rPr>
          <w:rFonts w:ascii="宋体" w:hAnsi="宋体" w:cs="宋体" w:eastAsia="宋体" w:hint="default"/>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spacing w:line="530" w:lineRule="auto" w:before="35"/>
        <w:ind w:left="634" w:right="418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bookmarkStart w:name="（7）因金融资产转移而终止确认的其他应收款" w:id="248"/>
      <w:bookmarkEnd w:id="248"/>
      <w:r>
        <w:rPr>
          <w:rFonts w:ascii="Times New Roman" w:hAnsi="Times New Roman" w:cs="Times New Roman" w:eastAsia="Times New Roman" w:hint="default"/>
          <w:b/>
          <w:bCs/>
          <w:sz w:val="21"/>
          <w:szCs w:val="21"/>
        </w:rPr>
      </w:r>
      <w:r>
        <w:rPr>
          <w:rFonts w:ascii="宋体" w:hAnsi="宋体" w:cs="宋体" w:eastAsia="宋体" w:hint="default"/>
          <w:b/>
          <w:bCs/>
          <w:sz w:val="21"/>
          <w:szCs w:val="21"/>
        </w:rPr>
        <w:t>）因金融资产转移而终止确认的其他应收款</w:t>
      </w:r>
      <w:r>
        <w:rPr>
          <w:rFonts w:ascii="宋体" w:hAnsi="宋体" w:cs="宋体" w:eastAsia="宋体" w:hint="default"/>
          <w:b/>
          <w:bCs/>
          <w:spacing w:val="1"/>
          <w:w w:val="99"/>
          <w:sz w:val="21"/>
          <w:szCs w:val="21"/>
        </w:rPr>
        <w:t> </w:t>
      </w:r>
      <w:r>
        <w:rPr>
          <w:rFonts w:ascii="宋体" w:hAnsi="宋体" w:cs="宋体" w:eastAsia="宋体" w:hint="default"/>
          <w:sz w:val="21"/>
          <w:szCs w:val="21"/>
        </w:rPr>
        <w:t>年末，无因金融资产转移而终止确认的其他应收款情况。</w:t>
      </w:r>
    </w:p>
    <w:p>
      <w:pPr>
        <w:spacing w:line="530" w:lineRule="auto" w:before="115"/>
        <w:ind w:left="634" w:right="355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w:t>
      </w:r>
      <w:bookmarkStart w:name="（8）转移其他应收款且继续涉入形成的资产、负债金额" w:id="249"/>
      <w:bookmarkEnd w:id="249"/>
      <w:r>
        <w:rPr>
          <w:rFonts w:ascii="宋体" w:hAnsi="宋体" w:cs="宋体" w:eastAsia="宋体" w:hint="default"/>
          <w:b/>
          <w:bCs/>
          <w:sz w:val="21"/>
          <w:szCs w:val="21"/>
        </w:rPr>
        <w:t>应收款且</w:t>
      </w:r>
      <w:r>
        <w:rPr>
          <w:rFonts w:ascii="宋体" w:hAnsi="宋体" w:cs="宋体" w:eastAsia="宋体" w:hint="default"/>
          <w:b/>
          <w:bCs/>
          <w:sz w:val="21"/>
          <w:szCs w:val="21"/>
        </w:rPr>
        <w:t>继续涉入形成的资产、负债金额</w:t>
      </w:r>
      <w:r>
        <w:rPr>
          <w:rFonts w:ascii="宋体" w:hAnsi="宋体" w:cs="宋体" w:eastAsia="宋体" w:hint="default"/>
          <w:b/>
          <w:bCs/>
          <w:spacing w:val="1"/>
          <w:w w:val="99"/>
          <w:sz w:val="21"/>
          <w:szCs w:val="21"/>
        </w:rPr>
        <w:t> </w:t>
      </w:r>
      <w:r>
        <w:rPr>
          <w:rFonts w:ascii="宋体" w:hAnsi="宋体" w:cs="宋体" w:eastAsia="宋体" w:hint="default"/>
          <w:sz w:val="21"/>
          <w:szCs w:val="21"/>
        </w:rPr>
        <w:t>年末，无转移其他应收款且继续涉入形成的资产、负债的金额。</w:t>
      </w:r>
    </w:p>
    <w:p>
      <w:pPr>
        <w:pStyle w:val="Heading4"/>
        <w:spacing w:line="240" w:lineRule="auto" w:before="115"/>
        <w:ind w:left="214"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214"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232" w:firstLine="0"/>
        <w:jc w:val="right"/>
        <w:rPr>
          <w:rFonts w:ascii="宋体" w:hAnsi="宋体" w:cs="宋体" w:eastAsia="宋体" w:hint="default"/>
          <w:sz w:val="18"/>
          <w:szCs w:val="18"/>
        </w:rPr>
      </w:pPr>
      <w:bookmarkStart w:name="10、存货" w:id="250"/>
      <w:bookmarkEnd w:id="250"/>
      <w:r>
        <w:rPr/>
      </w:r>
      <w:bookmarkStart w:name="（1）存货分类" w:id="251"/>
      <w:bookmarkEnd w:id="251"/>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5" w:hRule="exact"/>
        </w:trPr>
        <w:tc>
          <w:tcPr>
            <w:tcW w:w="1368" w:type="dxa"/>
            <w:tcBorders>
              <w:top w:val="single" w:sz="4" w:space="0" w:color="000000"/>
              <w:left w:val="single" w:sz="4" w:space="0" w:color="000000"/>
              <w:bottom w:val="nil" w:sz="6" w:space="0" w:color="auto"/>
              <w:right w:val="single" w:sz="4" w:space="0" w:color="000000"/>
            </w:tcBorders>
            <w:shd w:val="clear" w:color="auto" w:fill="D4D4D4"/>
          </w:tcPr>
          <w:p>
            <w:pP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4D4D4"/>
          </w:tcPr>
          <w:p>
            <w:pPr/>
          </w:p>
        </w:tc>
        <w:tc>
          <w:tcPr>
            <w:tcW w:w="4102" w:type="dxa"/>
            <w:gridSpan w:val="3"/>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4D4D4"/>
          </w:tcPr>
          <w:p>
            <w:pP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32,325,212.73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765,310.14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31,559,902.59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31,871,066.24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140,519.10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31,730,547.14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17,200,497.90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17,200,497.90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5,189,381.38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5,189,381.38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51,415,525.10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3,924,750.64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47,490,774.46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32,715,380.63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680,270.73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32,035,109.90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156,166,088.01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2,231,586.95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153,934,501.06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113,234,909.84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113,234,909.84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171,855.00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171,855.00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2,825,436.62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2,825,436.62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257,279,178.74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6,921,647.73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250,357,531.01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185,836,174.71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820,789.83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185,015,384.88</w:t>
            </w:r>
          </w:p>
        </w:tc>
      </w:tr>
    </w:tbl>
    <w:p>
      <w:pPr>
        <w:spacing w:line="240" w:lineRule="auto" w:before="2"/>
        <w:rPr>
          <w:rFonts w:ascii="宋体" w:hAnsi="宋体" w:cs="宋体" w:eastAsia="宋体" w:hint="default"/>
          <w:sz w:val="19"/>
          <w:szCs w:val="19"/>
        </w:rPr>
      </w:pPr>
    </w:p>
    <w:p>
      <w:pPr>
        <w:pStyle w:val="Heading4"/>
        <w:spacing w:line="240" w:lineRule="auto" w:before="35"/>
        <w:ind w:left="214"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232" w:firstLine="0"/>
        <w:jc w:val="right"/>
        <w:rPr>
          <w:rFonts w:ascii="宋体" w:hAnsi="宋体" w:cs="宋体" w:eastAsia="宋体" w:hint="default"/>
          <w:sz w:val="18"/>
          <w:szCs w:val="18"/>
        </w:rPr>
      </w:pPr>
      <w:bookmarkStart w:name="（2）存货跌价准备" w:id="252"/>
      <w:bookmarkEnd w:id="252"/>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1407"/>
        <w:gridCol w:w="1318"/>
        <w:gridCol w:w="1367"/>
        <w:gridCol w:w="1367"/>
        <w:gridCol w:w="1368"/>
        <w:gridCol w:w="1367"/>
        <w:gridCol w:w="1367"/>
      </w:tblGrid>
      <w:tr>
        <w:trPr>
          <w:trHeight w:val="206" w:hRule="exact"/>
        </w:trPr>
        <w:tc>
          <w:tcPr>
            <w:tcW w:w="1407" w:type="dxa"/>
            <w:tcBorders>
              <w:top w:val="single" w:sz="4" w:space="0" w:color="000000"/>
              <w:left w:val="single" w:sz="4" w:space="0" w:color="000000"/>
              <w:bottom w:val="nil" w:sz="6" w:space="0" w:color="auto"/>
              <w:right w:val="single" w:sz="4" w:space="0" w:color="000000"/>
            </w:tcBorders>
            <w:shd w:val="clear" w:color="auto" w:fill="D4D4D4"/>
          </w:tcPr>
          <w:p>
            <w:pPr/>
          </w:p>
        </w:tc>
        <w:tc>
          <w:tcPr>
            <w:tcW w:w="1318" w:type="dxa"/>
            <w:tcBorders>
              <w:top w:val="single" w:sz="4" w:space="0" w:color="000000"/>
              <w:left w:val="single" w:sz="4" w:space="0" w:color="000000"/>
              <w:bottom w:val="nil" w:sz="6" w:space="0" w:color="auto"/>
              <w:right w:val="single" w:sz="4" w:space="0" w:color="000000"/>
            </w:tcBorders>
            <w:shd w:val="clear" w:color="auto" w:fill="D4D4D4"/>
          </w:tcPr>
          <w:p>
            <w:pPr/>
          </w:p>
        </w:tc>
        <w:tc>
          <w:tcPr>
            <w:tcW w:w="273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14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1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4D4D4"/>
          </w:tcPr>
          <w:p>
            <w:pPr/>
          </w:p>
        </w:tc>
        <w:tc>
          <w:tcPr>
            <w:tcW w:w="2735" w:type="dxa"/>
            <w:gridSpan w:val="2"/>
            <w:vMerge/>
            <w:tcBorders>
              <w:left w:val="single" w:sz="4" w:space="0" w:color="000000"/>
              <w:bottom w:val="single" w:sz="4" w:space="0" w:color="000000"/>
              <w:right w:val="single" w:sz="4" w:space="0" w:color="000000"/>
            </w:tcBorders>
            <w:shd w:val="clear" w:color="auto" w:fill="D4D4D4"/>
          </w:tcPr>
          <w:p>
            <w:pPr/>
          </w:p>
        </w:tc>
        <w:tc>
          <w:tcPr>
            <w:tcW w:w="136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407" w:type="dxa"/>
            <w:vMerge/>
            <w:tcBorders>
              <w:left w:val="single" w:sz="4" w:space="0" w:color="000000"/>
              <w:bottom w:val="nil" w:sz="6" w:space="0" w:color="auto"/>
              <w:right w:val="single" w:sz="4" w:space="0" w:color="000000"/>
            </w:tcBorders>
            <w:shd w:val="clear" w:color="auto" w:fill="D4D4D4"/>
          </w:tcPr>
          <w:p>
            <w:pPr/>
          </w:p>
        </w:tc>
        <w:tc>
          <w:tcPr>
            <w:tcW w:w="1318" w:type="dxa"/>
            <w:vMerge/>
            <w:tcBorders>
              <w:left w:val="single" w:sz="4" w:space="0" w:color="000000"/>
              <w:bottom w:val="nil" w:sz="6" w:space="0" w:color="auto"/>
              <w:right w:val="single" w:sz="4" w:space="0" w:color="000000"/>
            </w:tcBorders>
            <w:shd w:val="clear" w:color="auto" w:fill="D4D4D4"/>
          </w:tcPr>
          <w:p>
            <w:pP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nil" w:sz="6" w:space="0" w:color="auto"/>
              <w:right w:val="single" w:sz="4" w:space="0" w:color="000000"/>
            </w:tcBorders>
            <w:shd w:val="clear" w:color="auto" w:fill="D4D4D4"/>
          </w:tcPr>
          <w:p>
            <w:pPr/>
          </w:p>
        </w:tc>
      </w:tr>
      <w:tr>
        <w:trPr>
          <w:trHeight w:val="205" w:hRule="exact"/>
        </w:trPr>
        <w:tc>
          <w:tcPr>
            <w:tcW w:w="1407" w:type="dxa"/>
            <w:tcBorders>
              <w:top w:val="nil" w:sz="6" w:space="0" w:color="auto"/>
              <w:left w:val="single" w:sz="4" w:space="0" w:color="000000"/>
              <w:bottom w:val="single" w:sz="4" w:space="0" w:color="000000"/>
              <w:right w:val="single" w:sz="4" w:space="0" w:color="000000"/>
            </w:tcBorders>
            <w:shd w:val="clear" w:color="auto" w:fill="D4D4D4"/>
          </w:tcPr>
          <w:p>
            <w:pPr/>
          </w:p>
        </w:tc>
        <w:tc>
          <w:tcPr>
            <w:tcW w:w="1318" w:type="dxa"/>
            <w:tcBorders>
              <w:top w:val="nil" w:sz="6" w:space="0" w:color="auto"/>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8"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1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140,519.10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666,566.80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41,775.76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765,310.14</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1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680,270.73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3,433,261.93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188,782.02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3,924,750.64</w:t>
            </w:r>
          </w:p>
        </w:tc>
      </w:tr>
      <w:tr>
        <w:trPr>
          <w:trHeight w:val="402" w:hRule="exact"/>
        </w:trPr>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1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2,231,586.95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2,231,586.95</w:t>
            </w:r>
          </w:p>
        </w:tc>
      </w:tr>
      <w:tr>
        <w:trPr>
          <w:trHeight w:val="403" w:hRule="exact"/>
        </w:trPr>
        <w:tc>
          <w:tcPr>
            <w:tcW w:w="14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820,789.83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6,331,415.68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230,557.78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6,921,647.73</w:t>
            </w:r>
          </w:p>
        </w:tc>
      </w:tr>
    </w:tbl>
    <w:p>
      <w:pPr>
        <w:spacing w:line="240" w:lineRule="auto" w:before="10"/>
        <w:rPr>
          <w:rFonts w:ascii="宋体" w:hAnsi="宋体" w:cs="宋体" w:eastAsia="宋体" w:hint="default"/>
          <w:sz w:val="7"/>
          <w:szCs w:val="7"/>
        </w:rPr>
      </w:pPr>
    </w:p>
    <w:p>
      <w:pPr>
        <w:pStyle w:val="BodyText"/>
        <w:spacing w:line="240" w:lineRule="auto" w:before="35"/>
        <w:ind w:left="634" w:right="0"/>
        <w:jc w:val="left"/>
      </w:pPr>
      <w:r>
        <w:rPr/>
        <w:t>存货跌价准备（续）</w:t>
      </w:r>
    </w:p>
    <w:p>
      <w:pPr>
        <w:spacing w:line="240" w:lineRule="auto" w:before="7"/>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1318"/>
        <w:gridCol w:w="5270"/>
        <w:gridCol w:w="3266"/>
      </w:tblGrid>
      <w:tr>
        <w:trPr>
          <w:trHeight w:val="62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80"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527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2"/>
              <w:ind w:left="1907" w:right="1905"/>
              <w:jc w:val="center"/>
              <w:rPr>
                <w:rFonts w:ascii="宋体" w:hAnsi="宋体" w:cs="宋体" w:eastAsia="宋体" w:hint="default"/>
                <w:sz w:val="18"/>
                <w:szCs w:val="18"/>
              </w:rPr>
            </w:pPr>
            <w:r>
              <w:rPr>
                <w:rFonts w:ascii="宋体" w:hAnsi="宋体" w:cs="宋体" w:eastAsia="宋体" w:hint="default"/>
                <w:b/>
                <w:bCs/>
                <w:sz w:val="18"/>
                <w:szCs w:val="18"/>
              </w:rPr>
              <w:t>确定可变现净值的</w:t>
            </w:r>
            <w:r>
              <w:rPr>
                <w:rFonts w:ascii="宋体" w:hAnsi="宋体" w:cs="宋体" w:eastAsia="宋体" w:hint="default"/>
                <w:b/>
                <w:bCs/>
                <w:w w:val="99"/>
                <w:sz w:val="18"/>
                <w:szCs w:val="18"/>
              </w:rPr>
              <w:t> </w:t>
            </w:r>
            <w:r>
              <w:rPr>
                <w:rFonts w:ascii="宋体" w:hAnsi="宋体" w:cs="宋体" w:eastAsia="宋体" w:hint="default"/>
                <w:b/>
                <w:bCs/>
                <w:sz w:val="18"/>
                <w:szCs w:val="18"/>
              </w:rPr>
              <w:t>具体依据</w:t>
            </w:r>
            <w:r>
              <w:rPr>
                <w:rFonts w:ascii="宋体" w:hAnsi="宋体" w:cs="宋体" w:eastAsia="宋体" w:hint="default"/>
                <w:sz w:val="18"/>
                <w:szCs w:val="18"/>
              </w:rPr>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22"/>
              <w:ind w:left="814" w:right="812" w:firstLine="181"/>
              <w:jc w:val="left"/>
              <w:rPr>
                <w:rFonts w:ascii="宋体" w:hAnsi="宋体" w:cs="宋体" w:eastAsia="宋体" w:hint="default"/>
                <w:sz w:val="18"/>
                <w:szCs w:val="18"/>
              </w:rPr>
            </w:pPr>
            <w:r>
              <w:rPr>
                <w:rFonts w:ascii="宋体" w:hAnsi="宋体" w:cs="宋体" w:eastAsia="宋体" w:hint="default"/>
                <w:b/>
                <w:bCs/>
                <w:sz w:val="18"/>
                <w:szCs w:val="18"/>
              </w:rPr>
              <w:t>本年转回或转销</w:t>
            </w:r>
            <w:r>
              <w:rPr>
                <w:rFonts w:ascii="宋体" w:hAnsi="宋体" w:cs="宋体" w:eastAsia="宋体" w:hint="default"/>
                <w:b/>
                <w:bCs/>
                <w:w w:val="99"/>
                <w:sz w:val="18"/>
                <w:szCs w:val="18"/>
              </w:rPr>
              <w:t> </w:t>
            </w:r>
            <w:r>
              <w:rPr>
                <w:rFonts w:ascii="宋体" w:hAnsi="宋体" w:cs="宋体" w:eastAsia="宋体" w:hint="default"/>
                <w:b/>
                <w:bCs/>
                <w:sz w:val="18"/>
                <w:szCs w:val="18"/>
              </w:rPr>
              <w:t>存货跌价准备的原因</w:t>
            </w:r>
            <w:r>
              <w:rPr>
                <w:rFonts w:ascii="宋体" w:hAnsi="宋体" w:cs="宋体" w:eastAsia="宋体" w:hint="default"/>
                <w:sz w:val="18"/>
                <w:szCs w:val="18"/>
              </w:rPr>
            </w:r>
          </w:p>
        </w:tc>
      </w:tr>
      <w:tr>
        <w:trPr>
          <w:trHeight w:val="481"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5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估计售价减去估计的销售费用以及相关税费</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hAnsi="宋体" w:cs="宋体" w:eastAsia="宋体" w:hint="default"/>
                <w:sz w:val="18"/>
                <w:szCs w:val="18"/>
              </w:rPr>
              <w:t>计提跌价的原材料已领用</w:t>
            </w:r>
          </w:p>
        </w:tc>
      </w:tr>
      <w:tr>
        <w:trPr>
          <w:trHeight w:val="350"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5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估计售价减去估计的销售费用以及相关税费</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1"/>
              <w:jc w:val="right"/>
              <w:rPr>
                <w:rFonts w:ascii="宋体" w:hAnsi="宋体" w:cs="宋体" w:eastAsia="宋体" w:hint="default"/>
                <w:sz w:val="18"/>
                <w:szCs w:val="18"/>
              </w:rPr>
            </w:pPr>
            <w:r>
              <w:rPr>
                <w:rFonts w:ascii="宋体" w:hAnsi="宋体" w:cs="宋体" w:eastAsia="宋体" w:hint="default"/>
                <w:sz w:val="18"/>
                <w:szCs w:val="18"/>
              </w:rPr>
              <w:t>计提跌价的库存商品已销售</w:t>
            </w:r>
          </w:p>
        </w:tc>
      </w:tr>
      <w:tr>
        <w:trPr>
          <w:trHeight w:val="362" w:hRule="exact"/>
        </w:trPr>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5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3" w:right="0"/>
              <w:jc w:val="left"/>
              <w:rPr>
                <w:rFonts w:ascii="宋体" w:hAnsi="宋体" w:cs="宋体" w:eastAsia="宋体" w:hint="default"/>
                <w:sz w:val="18"/>
                <w:szCs w:val="18"/>
              </w:rPr>
            </w:pPr>
            <w:r>
              <w:rPr>
                <w:rFonts w:ascii="宋体" w:hAnsi="宋体" w:cs="宋体" w:eastAsia="宋体" w:hint="default"/>
                <w:sz w:val="18"/>
                <w:szCs w:val="18"/>
              </w:rPr>
              <w:t>估计售价减去估计的销售费用以及相关税费</w:t>
            </w:r>
          </w:p>
        </w:tc>
        <w:tc>
          <w:tcPr>
            <w:tcW w:w="3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right"/>
        <w:rPr>
          <w:rFonts w:ascii="宋体" w:hAnsi="宋体" w:cs="宋体" w:eastAsia="宋体" w:hint="default"/>
          <w:sz w:val="18"/>
          <w:szCs w:val="18"/>
        </w:rPr>
        <w:sectPr>
          <w:pgSz w:w="11910" w:h="16840"/>
          <w:pgMar w:header="917" w:footer="1267" w:top="1140" w:bottom="1460" w:left="920" w:right="900"/>
        </w:sectPr>
      </w:pPr>
    </w:p>
    <w:p>
      <w:pPr>
        <w:spacing w:line="240" w:lineRule="auto" w:before="2"/>
        <w:rPr>
          <w:rFonts w:ascii="宋体" w:hAnsi="宋体" w:cs="宋体" w:eastAsia="宋体" w:hint="default"/>
          <w:sz w:val="19"/>
          <w:szCs w:val="19"/>
        </w:rPr>
      </w:pPr>
    </w:p>
    <w:p>
      <w:pPr>
        <w:pStyle w:val="Heading4"/>
        <w:spacing w:line="530" w:lineRule="auto" w:before="35"/>
        <w:ind w:left="574" w:right="5089" w:hanging="420"/>
        <w:jc w:val="left"/>
        <w:rPr>
          <w:rFonts w:ascii="宋体" w:hAnsi="宋体" w:cs="宋体" w:eastAsia="宋体" w:hint="default"/>
          <w:b w:val="0"/>
          <w:bCs w:val="0"/>
        </w:rPr>
      </w:pPr>
      <w:bookmarkStart w:name="14、可供出售金融资产" w:id="253"/>
      <w:bookmarkEnd w:id="253"/>
      <w:r>
        <w:rPr>
          <w:b w:val="0"/>
          <w:bCs w:val="0"/>
        </w:rPr>
      </w:r>
      <w:bookmarkStart w:name="（1）可供出售金融资产情况" w:id="254"/>
      <w:bookmarkEnd w:id="254"/>
      <w:r>
        <w:rPr>
          <w:b w:val="0"/>
          <w:bCs w:val="0"/>
        </w:rPr>
      </w:r>
      <w:r>
        <w:rPr/>
        <w:t>（</w:t>
      </w:r>
      <w:r>
        <w:rPr>
          <w:rFonts w:ascii="Times New Roman" w:hAnsi="Times New Roman" w:cs="Times New Roman" w:eastAsia="Times New Roman" w:hint="default"/>
        </w:rPr>
        <w:t>3</w:t>
      </w:r>
      <w:r>
        <w:rPr/>
        <w:t>）存货期末余额含有借款费用资本化金额的说明</w:t>
      </w:r>
      <w:r>
        <w:rPr>
          <w:w w:val="99"/>
        </w:rPr>
        <w:t> </w:t>
      </w:r>
      <w:bookmarkStart w:name="（3）存货期末余额含有借款费用资本化金额的说明" w:id="255"/>
      <w:bookmarkEnd w:id="255"/>
      <w:r>
        <w:rPr>
          <w:w w:val="99"/>
        </w:rPr>
      </w:r>
      <w:r>
        <w:rPr>
          <w:rFonts w:ascii="宋体" w:hAnsi="宋体" w:cs="宋体" w:eastAsia="宋体" w:hint="default"/>
          <w:b w:val="0"/>
          <w:bCs w:val="0"/>
        </w:rPr>
        <w:t>不适用。</w:t>
      </w:r>
    </w:p>
    <w:p>
      <w:pPr>
        <w:pStyle w:val="Heading4"/>
        <w:spacing w:line="530" w:lineRule="auto" w:before="115"/>
        <w:ind w:left="574" w:right="5300"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）期末建</w:t>
      </w:r>
      <w:bookmarkStart w:name="（4）期末建造合同形成的已完工未结算资产情况" w:id="256"/>
      <w:bookmarkEnd w:id="256"/>
      <w:r>
        <w:rPr/>
        <w:t>造合同形成</w:t>
      </w:r>
      <w:r>
        <w:rPr/>
        <w:t>的已完工未结算资产情况</w:t>
      </w:r>
      <w:r>
        <w:rPr>
          <w:spacing w:val="1"/>
          <w:w w:val="99"/>
        </w:rPr>
        <w:t> </w:t>
      </w:r>
      <w:r>
        <w:rPr>
          <w:rFonts w:ascii="宋体" w:hAnsi="宋体" w:cs="宋体" w:eastAsia="宋体" w:hint="default"/>
          <w:b w:val="0"/>
          <w:bCs w:val="0"/>
        </w:rPr>
        <w:t>不适用。</w:t>
      </w:r>
    </w:p>
    <w:p>
      <w:pPr>
        <w:spacing w:line="530" w:lineRule="auto" w:before="115"/>
        <w:ind w:left="574" w:right="730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530" w:lineRule="auto" w:before="115"/>
        <w:ind w:left="574" w:right="70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w:t>
      </w:r>
      <w:bookmarkStart w:name="11、划分为持有待售的资产" w:id="257"/>
      <w:bookmarkEnd w:id="257"/>
      <w:r>
        <w:rPr>
          <w:rFonts w:ascii="宋体" w:hAnsi="宋体" w:cs="宋体" w:eastAsia="宋体" w:hint="default"/>
          <w:b/>
          <w:bCs/>
          <w:sz w:val="21"/>
          <w:szCs w:val="21"/>
        </w:rPr>
        <w:t>资产</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4"/>
        <w:spacing w:line="240" w:lineRule="auto" w:before="115"/>
        <w:ind w:right="97"/>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bookmarkStart w:name="12、一年内到期的非流动资产" w:id="258"/>
      <w:bookmarkEnd w:id="258"/>
      <w:r>
        <w:rPr/>
      </w:r>
      <w:bookmarkStart w:name="13、其他流动资产" w:id="259"/>
      <w:bookmarkEnd w:id="259"/>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12,764,960.10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753,399.38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42,764,970.48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753,399.38</w:t>
            </w:r>
          </w:p>
        </w:tc>
      </w:tr>
    </w:tbl>
    <w:p>
      <w:pPr>
        <w:spacing w:line="240" w:lineRule="auto" w:before="10"/>
        <w:rPr>
          <w:rFonts w:ascii="宋体" w:hAnsi="宋体" w:cs="宋体" w:eastAsia="宋体" w:hint="default"/>
          <w:sz w:val="7"/>
          <w:szCs w:val="7"/>
        </w:rPr>
      </w:pPr>
    </w:p>
    <w:p>
      <w:pPr>
        <w:pStyle w:val="BodyText"/>
        <w:spacing w:line="240" w:lineRule="auto" w:before="35"/>
        <w:ind w:right="97"/>
        <w:jc w:val="left"/>
      </w:pPr>
      <w:r>
        <w:rPr/>
        <w:t>其他说明：</w:t>
      </w:r>
    </w:p>
    <w:p>
      <w:pPr>
        <w:spacing w:line="240" w:lineRule="auto" w:before="10"/>
        <w:rPr>
          <w:rFonts w:ascii="宋体" w:hAnsi="宋体" w:cs="宋体" w:eastAsia="宋体" w:hint="default"/>
          <w:sz w:val="16"/>
          <w:szCs w:val="16"/>
        </w:rPr>
      </w:pPr>
    </w:p>
    <w:p>
      <w:pPr>
        <w:pStyle w:val="BodyText"/>
        <w:spacing w:line="309" w:lineRule="auto"/>
        <w:ind w:left="153" w:right="97" w:firstLine="420"/>
        <w:jc w:val="left"/>
      </w:pPr>
      <w:r>
        <w:rPr>
          <w:spacing w:val="-3"/>
        </w:rPr>
        <w:t>理财产品期末金额系子公司江苏税软于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日购买中国建设银行“乾元</w:t>
      </w:r>
      <w:r>
        <w:rPr>
          <w:rFonts w:ascii="Times New Roman" w:hAnsi="Times New Roman" w:cs="Times New Roman" w:eastAsia="Times New Roman" w:hint="default"/>
          <w:spacing w:val="-3"/>
        </w:rPr>
        <w:t>—</w:t>
      </w:r>
      <w:r>
        <w:rPr>
          <w:spacing w:val="-3"/>
        </w:rPr>
        <w:t>日鑫月溢”（按日）</w:t>
      </w:r>
      <w:r>
        <w:rPr/>
        <w:t> 开放式资产组合型人民币理财产品，江苏税软已于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日赎回，并取得投资收益</w:t>
      </w:r>
      <w:r>
        <w:rPr>
          <w:rFonts w:ascii="Times New Roman" w:hAnsi="Times New Roman" w:cs="Times New Roman" w:eastAsia="Times New Roman" w:hint="default"/>
        </w:rPr>
        <w:t>45,945.21</w:t>
      </w:r>
      <w:r>
        <w:rPr/>
        <w:t>元。</w:t>
      </w:r>
    </w:p>
    <w:p>
      <w:pPr>
        <w:spacing w:line="240" w:lineRule="auto" w:before="11"/>
        <w:rPr>
          <w:rFonts w:ascii="宋体" w:hAnsi="宋体" w:cs="宋体" w:eastAsia="宋体" w:hint="default"/>
          <w:sz w:val="21"/>
          <w:szCs w:val="21"/>
        </w:rPr>
      </w:pPr>
    </w:p>
    <w:p>
      <w:pPr>
        <w:pStyle w:val="Heading4"/>
        <w:spacing w:line="240" w:lineRule="auto"/>
        <w:ind w:right="97"/>
        <w:jc w:val="left"/>
        <w:rPr>
          <w:b w:val="0"/>
          <w:bCs w:val="0"/>
        </w:rPr>
      </w:pP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7"/>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205" w:hRule="exact"/>
        </w:trPr>
        <w:tc>
          <w:tcPr>
            <w:tcW w:w="2000" w:type="dxa"/>
            <w:tcBorders>
              <w:top w:val="single" w:sz="4" w:space="0" w:color="000000"/>
              <w:left w:val="single" w:sz="4" w:space="0" w:color="000000"/>
              <w:bottom w:val="nil" w:sz="6" w:space="0" w:color="auto"/>
              <w:right w:val="single" w:sz="4" w:space="0" w:color="000000"/>
            </w:tcBorders>
            <w:shd w:val="clear" w:color="auto" w:fill="D4D4D4"/>
          </w:tcPr>
          <w:p>
            <w:pPr/>
          </w:p>
        </w:tc>
        <w:tc>
          <w:tcPr>
            <w:tcW w:w="358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4D4D4"/>
          </w:tcPr>
          <w:p>
            <w:pPr/>
          </w:p>
        </w:tc>
        <w:tc>
          <w:tcPr>
            <w:tcW w:w="3982" w:type="dxa"/>
            <w:gridSpan w:val="3"/>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2000" w:type="dxa"/>
            <w:vMerge/>
            <w:tcBorders>
              <w:left w:val="single" w:sz="4" w:space="0" w:color="000000"/>
              <w:bottom w:val="nil" w:sz="6" w:space="0" w:color="auto"/>
              <w:right w:val="single" w:sz="4" w:space="0" w:color="000000"/>
            </w:tcBorders>
            <w:shd w:val="clear" w:color="auto" w:fill="D4D4D4"/>
          </w:tcPr>
          <w:p>
            <w:pP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2000" w:type="dxa"/>
            <w:tcBorders>
              <w:top w:val="nil" w:sz="6" w:space="0" w:color="auto"/>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248"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61,861,350.00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61,861,350.00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61,861,350.00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61,861,350.00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61,861,350.00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61,861,350.00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7,880,000.00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20"/>
        </w:sectPr>
      </w:pPr>
    </w:p>
    <w:p>
      <w:pPr>
        <w:spacing w:line="240" w:lineRule="auto" w:before="2"/>
        <w:rPr>
          <w:rFonts w:ascii="宋体" w:hAnsi="宋体" w:cs="宋体" w:eastAsia="宋体" w:hint="default"/>
          <w:sz w:val="19"/>
          <w:szCs w:val="19"/>
        </w:rPr>
      </w:pPr>
    </w:p>
    <w:p>
      <w:pPr>
        <w:pStyle w:val="Heading4"/>
        <w:spacing w:line="530" w:lineRule="auto" w:before="35"/>
        <w:ind w:left="574" w:right="5451" w:hanging="420"/>
        <w:jc w:val="left"/>
        <w:rPr>
          <w:rFonts w:ascii="宋体" w:hAnsi="宋体" w:cs="宋体" w:eastAsia="宋体" w:hint="default"/>
          <w:b w:val="0"/>
          <w:bCs w:val="0"/>
        </w:rPr>
      </w:pPr>
      <w:bookmarkStart w:name="（5）可供出售权益工具期末公允价值严重下跌或非暂时性下跌但未计提减值准备的相关说" w:id="260"/>
      <w:bookmarkEnd w:id="260"/>
      <w:r>
        <w:rPr>
          <w:b w:val="0"/>
          <w:bCs w:val="0"/>
        </w:rPr>
      </w:r>
      <w:bookmarkStart w:name="15、持有至到期投资" w:id="261"/>
      <w:bookmarkEnd w:id="261"/>
      <w:r>
        <w:rPr>
          <w:b w:val="0"/>
          <w:bCs w:val="0"/>
        </w:rPr>
      </w:r>
      <w:bookmarkStart w:name="16、长期应收款" w:id="262"/>
      <w:bookmarkEnd w:id="262"/>
      <w:r>
        <w:rPr>
          <w:b w:val="0"/>
          <w:bCs w:val="0"/>
        </w:rPr>
      </w:r>
      <w:r>
        <w:rPr/>
        <w:t>（</w:t>
      </w:r>
      <w:r>
        <w:rPr>
          <w:rFonts w:ascii="Times New Roman" w:hAnsi="Times New Roman" w:cs="Times New Roman" w:eastAsia="Times New Roman" w:hint="default"/>
        </w:rPr>
        <w:t>2</w:t>
      </w:r>
      <w:r>
        <w:rPr/>
        <w:t>）期末按公允价值计量的可供出售金融资产</w:t>
      </w:r>
      <w:r>
        <w:rPr>
          <w:spacing w:val="1"/>
          <w:w w:val="99"/>
        </w:rPr>
        <w:t> </w:t>
      </w:r>
      <w:bookmarkStart w:name="（2）期末按公允价值计量的可供出售金融资产" w:id="263"/>
      <w:bookmarkEnd w:id="263"/>
      <w:r>
        <w:rPr>
          <w:spacing w:val="1"/>
          <w:w w:val="99"/>
        </w:rPr>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3</w:t>
      </w:r>
      <w:r>
        <w:rPr/>
        <w:t>）期末按成</w:t>
      </w:r>
      <w:bookmarkStart w:name="（3）期末按成本计量的可供出售金融资产" w:id="264"/>
      <w:bookmarkEnd w:id="264"/>
      <w:r>
        <w:rPr/>
        <w:t>本计量的</w:t>
      </w:r>
      <w:r>
        <w:rPr/>
        <w:t>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8"/>
        <w:gridCol w:w="1134"/>
        <w:gridCol w:w="1134"/>
        <w:gridCol w:w="566"/>
        <w:gridCol w:w="1277"/>
        <w:gridCol w:w="566"/>
        <w:gridCol w:w="568"/>
        <w:gridCol w:w="566"/>
        <w:gridCol w:w="593"/>
        <w:gridCol w:w="870"/>
        <w:gridCol w:w="870"/>
      </w:tblGrid>
      <w:tr>
        <w:trPr>
          <w:trHeight w:val="402" w:hRule="exact"/>
        </w:trPr>
        <w:tc>
          <w:tcPr>
            <w:tcW w:w="141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111"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4D4D4"/>
          </w:tcPr>
          <w:p>
            <w:pPr>
              <w:pStyle w:val="TableParagraph"/>
              <w:spacing w:line="319" w:lineRule="auto" w:before="96"/>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3" w:hRule="exact"/>
        </w:trPr>
        <w:tc>
          <w:tcPr>
            <w:tcW w:w="1418" w:type="dxa"/>
            <w:vMerge/>
            <w:tcBorders>
              <w:left w:val="single" w:sz="4" w:space="0" w:color="000000"/>
              <w:bottom w:val="single" w:sz="4" w:space="0" w:color="000000"/>
              <w:right w:val="single" w:sz="4" w:space="0" w:color="000000"/>
            </w:tcBorders>
            <w:shd w:val="clear" w:color="auto" w:fill="D4D4D4"/>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5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5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5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4D4D4"/>
          </w:tcPr>
          <w:p>
            <w:pPr/>
          </w:p>
        </w:tc>
        <w:tc>
          <w:tcPr>
            <w:tcW w:w="870" w:type="dxa"/>
            <w:vMerge/>
            <w:tcBorders>
              <w:left w:val="single" w:sz="4" w:space="0" w:color="000000"/>
              <w:bottom w:val="single" w:sz="4" w:space="0" w:color="000000"/>
              <w:right w:val="single" w:sz="4" w:space="0" w:color="000000"/>
            </w:tcBorders>
            <w:shd w:val="clear" w:color="auto" w:fill="D4D4D4"/>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4"/>
                <w:sz w:val="18"/>
                <w:szCs w:val="18"/>
              </w:rPr>
              <w:t>杭州攀克网路技</w:t>
            </w:r>
            <w:r>
              <w:rPr>
                <w:rFonts w:ascii="宋体" w:hAnsi="宋体" w:cs="宋体" w:eastAsia="宋体" w:hint="default"/>
                <w:sz w:val="18"/>
                <w:szCs w:val="18"/>
              </w:rPr>
              <w:t> 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4"/>
                <w:sz w:val="18"/>
                <w:szCs w:val="18"/>
              </w:rPr>
              <w:t>福建宏创科技有</w:t>
            </w:r>
            <w:r>
              <w:rPr>
                <w:rFonts w:ascii="宋体" w:hAnsi="宋体" w:cs="宋体" w:eastAsia="宋体" w:hint="default"/>
                <w:sz w:val="18"/>
                <w:szCs w:val="18"/>
              </w:rPr>
              <w:t>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4"/>
                <w:sz w:val="18"/>
                <w:szCs w:val="18"/>
              </w:rPr>
              <w:t>厦门市巨龙信息</w:t>
            </w:r>
            <w:r>
              <w:rPr>
                <w:rFonts w:ascii="宋体" w:hAnsi="宋体" w:cs="宋体" w:eastAsia="宋体" w:hint="default"/>
                <w:sz w:val="18"/>
                <w:szCs w:val="18"/>
              </w:rPr>
              <w:t> 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14"/>
                <w:sz w:val="18"/>
                <w:szCs w:val="18"/>
              </w:rPr>
              <w:t>深圳市中新赛克</w:t>
            </w:r>
            <w:r>
              <w:rPr>
                <w:rFonts w:ascii="宋体" w:hAnsi="宋体" w:cs="宋体" w:eastAsia="宋体" w:hint="default"/>
                <w:sz w:val="18"/>
                <w:szCs w:val="18"/>
              </w:rPr>
              <w:t> </w:t>
            </w:r>
            <w:r>
              <w:rPr>
                <w:rFonts w:ascii="宋体" w:hAnsi="宋体" w:cs="宋体" w:eastAsia="宋体" w:hint="default"/>
                <w:spacing w:val="14"/>
                <w:sz w:val="18"/>
                <w:szCs w:val="18"/>
              </w:rPr>
              <w:t>科技股份有限公</w:t>
            </w:r>
            <w:r>
              <w:rPr>
                <w:rFonts w:ascii="宋体" w:hAnsi="宋体" w:cs="宋体" w:eastAsia="宋体" w:hint="default"/>
                <w:sz w:val="18"/>
                <w:szCs w:val="18"/>
              </w:rPr>
              <w:t> 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48,981,350.00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48,981,350.00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4"/>
                <w:sz w:val="18"/>
                <w:szCs w:val="18"/>
              </w:rPr>
              <w:t>海峡国家版权交</w:t>
            </w:r>
            <w:r>
              <w:rPr>
                <w:rFonts w:ascii="宋体" w:hAnsi="宋体" w:cs="宋体" w:eastAsia="宋体" w:hint="default"/>
                <w:sz w:val="18"/>
                <w:szCs w:val="18"/>
              </w:rPr>
              <w:t> 易中心有限公司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7,880,000.00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53,981,350.00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61,861,350.00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9" w:space="0" w:color="D4D4D4"/>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530" w:lineRule="auto" w:before="35"/>
        <w:ind w:left="574" w:right="5240"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）报告期内可供出售金融资产减值的变动情况</w:t>
      </w:r>
      <w:r>
        <w:rPr>
          <w:spacing w:val="1"/>
          <w:w w:val="99"/>
        </w:rPr>
        <w:t> </w:t>
      </w:r>
      <w:r>
        <w:rPr>
          <w:rFonts w:ascii="宋体" w:hAnsi="宋体" w:cs="宋体" w:eastAsia="宋体" w:hint="default"/>
          <w:b w:val="0"/>
          <w:bCs w:val="0"/>
        </w:rPr>
        <w:t>无。</w:t>
      </w:r>
    </w:p>
    <w:p>
      <w:pPr>
        <w:pStyle w:val="Heading4"/>
        <w:spacing w:line="530" w:lineRule="auto" w:before="115"/>
        <w:ind w:left="574" w:right="1373"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5</w:t>
      </w:r>
      <w:r>
        <w:rPr>
          <w:w w:val="95"/>
        </w:rPr>
        <w:t>）可供出售权益工具期末公允价值严重下跌或非暂时性下跌但未计提减值准备的</w:t>
      </w:r>
      <w:bookmarkStart w:name="（4）报告期内可供出售金融资产减值的变动情况" w:id="265"/>
      <w:bookmarkEnd w:id="265"/>
      <w:r>
        <w:rPr>
          <w:w w:val="95"/>
        </w:rPr>
        <w:t>相关说明</w:t>
      </w:r>
      <w:r>
        <w:rPr>
          <w:w w:val="95"/>
        </w:rPr>
        <w:t>   </w:t>
      </w:r>
      <w:r>
        <w:rPr>
          <w:spacing w:val="11"/>
          <w:w w:val="95"/>
        </w:rPr>
        <w:t> </w:t>
      </w:r>
      <w:r>
        <w:rPr>
          <w:spacing w:val="11"/>
          <w:w w:val="95"/>
        </w:rPr>
      </w:r>
      <w:r>
        <w:rPr>
          <w:rFonts w:ascii="宋体" w:hAnsi="宋体" w:cs="宋体" w:eastAsia="宋体" w:hint="default"/>
          <w:b w:val="0"/>
          <w:bCs w:val="0"/>
        </w:rPr>
        <w:t>无。</w:t>
      </w:r>
    </w:p>
    <w:p>
      <w:pPr>
        <w:pStyle w:val="Heading4"/>
        <w:spacing w:line="530" w:lineRule="auto" w:before="115"/>
        <w:ind w:left="574" w:right="7875" w:hanging="420"/>
        <w:jc w:val="left"/>
        <w:rPr>
          <w:rFonts w:ascii="宋体" w:hAnsi="宋体" w:cs="宋体" w:eastAsia="宋体" w:hint="default"/>
          <w:b w:val="0"/>
          <w:bCs w:val="0"/>
        </w:rPr>
      </w:pPr>
      <w:r>
        <w:rPr>
          <w:rFonts w:ascii="Times New Roman" w:hAnsi="Times New Roman" w:cs="Times New Roman" w:eastAsia="Times New Roman" w:hint="default"/>
        </w:rPr>
        <w:t>15</w:t>
      </w:r>
      <w:r>
        <w:rPr/>
        <w:t>、持有至到期投资</w:t>
      </w:r>
      <w:r>
        <w:rPr>
          <w:spacing w:val="1"/>
          <w:w w:val="99"/>
        </w:rPr>
        <w:t> </w:t>
      </w:r>
      <w:r>
        <w:rPr>
          <w:rFonts w:ascii="宋体" w:hAnsi="宋体" w:cs="宋体" w:eastAsia="宋体" w:hint="default"/>
          <w:b w:val="0"/>
          <w:bCs w:val="0"/>
        </w:rPr>
        <w:t>无。</w:t>
      </w:r>
    </w:p>
    <w:p>
      <w:pPr>
        <w:pStyle w:val="Heading4"/>
        <w:spacing w:line="530" w:lineRule="auto" w:before="115"/>
        <w:ind w:left="574" w:right="8297" w:hanging="420"/>
        <w:jc w:val="left"/>
        <w:rPr>
          <w:rFonts w:ascii="宋体" w:hAnsi="宋体" w:cs="宋体" w:eastAsia="宋体" w:hint="default"/>
          <w:b w:val="0"/>
          <w:bCs w:val="0"/>
        </w:rPr>
      </w:pPr>
      <w:r>
        <w:rPr>
          <w:rFonts w:ascii="Times New Roman" w:hAnsi="Times New Roman" w:cs="Times New Roman" w:eastAsia="Times New Roman" w:hint="default"/>
        </w:rPr>
        <w:t>16</w:t>
      </w:r>
      <w:r>
        <w:rPr/>
        <w:t>、长期应收款</w:t>
      </w:r>
      <w:r>
        <w:rPr>
          <w:w w:val="99"/>
        </w:rPr>
        <w:t> </w:t>
      </w:r>
      <w:r>
        <w:rPr>
          <w:rFonts w:ascii="宋体" w:hAnsi="宋体" w:cs="宋体" w:eastAsia="宋体" w:hint="default"/>
          <w:b w:val="0"/>
          <w:bCs w:val="0"/>
        </w:rPr>
        <w:t>无。</w:t>
      </w:r>
    </w:p>
    <w:p>
      <w:pPr>
        <w:spacing w:after="0" w:line="530" w:lineRule="auto"/>
        <w:jc w:val="left"/>
        <w:rPr>
          <w:rFonts w:ascii="宋体" w:hAnsi="宋体" w:cs="宋体" w:eastAsia="宋体" w:hint="default"/>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8、投资性房地产" w:id="266"/>
      <w:bookmarkEnd w:id="266"/>
      <w:r>
        <w:rPr>
          <w:b w:val="0"/>
          <w:bCs w:val="0"/>
        </w:rPr>
      </w:r>
      <w:bookmarkStart w:name="（1）采用成本计量模式的投资性房地产" w:id="267"/>
      <w:bookmarkEnd w:id="267"/>
      <w:r>
        <w:rPr>
          <w:b w:val="0"/>
          <w:bCs w:val="0"/>
        </w:rPr>
      </w:r>
      <w:r>
        <w:rPr>
          <w:rFonts w:ascii="Times New Roman" w:hAnsi="Times New Roman" w:cs="Times New Roman" w:eastAsia="Times New Roman" w:hint="default"/>
        </w:rPr>
        <w:t>17</w:t>
      </w:r>
      <w:bookmarkStart w:name="17、长期股权投资" w:id="268"/>
      <w:bookmarkEnd w:id="268"/>
      <w:r>
        <w:rPr>
          <w:rFonts w:ascii="Times New Roman" w:hAnsi="Times New Roman" w:cs="Times New Roman" w:eastAsia="Times New Roman" w:hint="default"/>
        </w:rPr>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4D4D4"/>
          </w:tcPr>
          <w:p>
            <w:pPr/>
          </w:p>
        </w:tc>
        <w:tc>
          <w:tcPr>
            <w:tcW w:w="798" w:type="dxa"/>
            <w:vMerge/>
            <w:tcBorders>
              <w:left w:val="single" w:sz="4" w:space="0" w:color="000000"/>
              <w:bottom w:val="single" w:sz="4" w:space="0" w:color="000000"/>
              <w:right w:val="single" w:sz="4" w:space="0" w:color="000000"/>
            </w:tcBorders>
            <w:shd w:val="clear" w:color="auto" w:fill="D4D4D4"/>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
              <w:jc w:val="both"/>
              <w:rPr>
                <w:rFonts w:ascii="宋体" w:hAnsi="宋体" w:cs="宋体" w:eastAsia="宋体" w:hint="default"/>
                <w:sz w:val="18"/>
                <w:szCs w:val="18"/>
              </w:rPr>
            </w:pPr>
            <w:r>
              <w:rPr>
                <w:rFonts w:ascii="宋体" w:hAnsi="宋体" w:cs="宋体" w:eastAsia="宋体" w:hint="default"/>
                <w:spacing w:val="7"/>
                <w:sz w:val="18"/>
                <w:szCs w:val="18"/>
              </w:rPr>
              <w:t>厦门服云 信息科技 </w:t>
            </w: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1,392,376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186,593.5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-4,788,58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10,922,09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7,339,296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
              <w:jc w:val="both"/>
              <w:rPr>
                <w:rFonts w:ascii="宋体" w:hAnsi="宋体" w:cs="宋体" w:eastAsia="宋体" w:hint="default"/>
                <w:sz w:val="18"/>
                <w:szCs w:val="18"/>
              </w:rPr>
            </w:pPr>
            <w:r>
              <w:rPr>
                <w:rFonts w:ascii="宋体" w:hAnsi="宋体" w:cs="宋体" w:eastAsia="宋体" w:hint="default"/>
                <w:spacing w:val="7"/>
                <w:sz w:val="18"/>
                <w:szCs w:val="18"/>
              </w:rPr>
              <w:t>北京万诚 信用评价 </w:t>
            </w:r>
            <w:r>
              <w:rPr>
                <w:rFonts w:ascii="宋体" w:hAnsi="宋体" w:cs="宋体" w:eastAsia="宋体" w:hint="default"/>
                <w:sz w:val="18"/>
                <w:szCs w:val="18"/>
              </w:rPr>
              <w:t>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2,458,154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-1,265,20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1,192,952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
              <w:jc w:val="both"/>
              <w:rPr>
                <w:rFonts w:ascii="宋体" w:hAnsi="宋体" w:cs="宋体" w:eastAsia="宋体" w:hint="default"/>
                <w:sz w:val="18"/>
                <w:szCs w:val="18"/>
              </w:rPr>
            </w:pPr>
            <w:r>
              <w:rPr>
                <w:rFonts w:ascii="宋体" w:hAnsi="宋体" w:cs="宋体" w:eastAsia="宋体" w:hint="default"/>
                <w:spacing w:val="7"/>
                <w:sz w:val="18"/>
                <w:szCs w:val="18"/>
              </w:rPr>
              <w:t>厦门正信 世纪信息 科技有限 </w:t>
            </w:r>
            <w:r>
              <w:rPr>
                <w:rFonts w:ascii="宋体" w:hAnsi="宋体" w:cs="宋体" w:eastAsia="宋体" w:hint="default"/>
                <w:sz w:val="18"/>
                <w:szCs w:val="18"/>
              </w:rPr>
              <w:t>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-38,236.4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1,961,763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3,850,530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186,593.5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-6,092,01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10,922,09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10,494,01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3,850,530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186,593.5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-6,092,01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10,922,09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10,494,01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2.21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其他说明：</w:t>
      </w:r>
    </w:p>
    <w:p>
      <w:pPr>
        <w:spacing w:line="240" w:lineRule="auto" w:before="10"/>
        <w:rPr>
          <w:rFonts w:ascii="宋体" w:hAnsi="宋体" w:cs="宋体" w:eastAsia="宋体" w:hint="default"/>
          <w:sz w:val="16"/>
          <w:szCs w:val="16"/>
        </w:rPr>
      </w:pPr>
    </w:p>
    <w:p>
      <w:pPr>
        <w:pStyle w:val="BodyText"/>
        <w:spacing w:line="309" w:lineRule="auto"/>
        <w:ind w:left="153" w:right="152"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月，本公司将持有的厦门服云信息科技有限公司（以下简称</w:t>
      </w:r>
      <w:r>
        <w:rPr>
          <w:rFonts w:ascii="Times New Roman" w:hAnsi="Times New Roman" w:cs="Times New Roman" w:eastAsia="Times New Roman" w:hint="default"/>
        </w:rPr>
        <w:t>“</w:t>
      </w:r>
      <w:r>
        <w:rPr/>
        <w:t>服云科技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16%</w:t>
      </w:r>
      <w:r>
        <w:rPr/>
        <w:t>股权转让 </w:t>
      </w:r>
      <w:r>
        <w:rPr>
          <w:spacing w:val="-1"/>
        </w:rPr>
        <w:t>给厦门市锐享信息咨询合伙企业，其中减少长期股权投资</w:t>
      </w:r>
      <w:r>
        <w:rPr>
          <w:rFonts w:ascii="Times New Roman" w:hAnsi="Times New Roman" w:cs="Times New Roman" w:eastAsia="Times New Roman" w:hint="default"/>
          <w:spacing w:val="-1"/>
        </w:rPr>
        <w:t>-</w:t>
      </w:r>
      <w:r>
        <w:rPr>
          <w:spacing w:val="-1"/>
        </w:rPr>
        <w:t>成本</w:t>
      </w:r>
      <w:r>
        <w:rPr>
          <w:rFonts w:ascii="Times New Roman" w:hAnsi="Times New Roman" w:cs="Times New Roman" w:eastAsia="Times New Roman" w:hint="default"/>
          <w:spacing w:val="-1"/>
        </w:rPr>
        <w:t>1,600,052.44</w:t>
      </w:r>
      <w:r>
        <w:rPr>
          <w:spacing w:val="-1"/>
        </w:rPr>
        <w:t>元，减少长期股权投资</w:t>
      </w:r>
      <w:r>
        <w:rPr>
          <w:rFonts w:ascii="Times New Roman" w:hAnsi="Times New Roman" w:cs="Times New Roman" w:eastAsia="Times New Roman" w:hint="default"/>
          <w:spacing w:val="-1"/>
        </w:rPr>
        <w:t>-</w:t>
      </w:r>
      <w:r>
        <w:rPr>
          <w:spacing w:val="-1"/>
        </w:rPr>
        <w:t>损益调</w:t>
      </w:r>
      <w:r>
        <w:rPr>
          <w:spacing w:val="-65"/>
        </w:rPr>
        <w:t> </w:t>
      </w:r>
      <w:r>
        <w:rPr>
          <w:spacing w:val="-65"/>
        </w:rPr>
      </w:r>
      <w:r>
        <w:rPr>
          <w:spacing w:val="-1"/>
        </w:rPr>
        <w:t>整</w:t>
      </w:r>
      <w:r>
        <w:rPr>
          <w:rFonts w:ascii="Times New Roman" w:hAnsi="Times New Roman" w:cs="Times New Roman" w:eastAsia="Times New Roman" w:hint="default"/>
          <w:spacing w:val="-1"/>
        </w:rPr>
        <w:t>-1,813,458.86</w:t>
      </w:r>
      <w:r>
        <w:rPr>
          <w:spacing w:val="-1"/>
        </w:rPr>
        <w:t>元，减少长期股权投资</w:t>
      </w:r>
      <w:r>
        <w:rPr>
          <w:rFonts w:ascii="Times New Roman" w:hAnsi="Times New Roman" w:cs="Times New Roman" w:eastAsia="Times New Roman" w:hint="default"/>
          <w:spacing w:val="-1"/>
        </w:rPr>
        <w:t>-</w:t>
      </w:r>
      <w:r>
        <w:rPr>
          <w:spacing w:val="-1"/>
        </w:rPr>
        <w:t>其他权益变动</w:t>
      </w:r>
      <w:r>
        <w:rPr>
          <w:rFonts w:ascii="Times New Roman" w:hAnsi="Times New Roman" w:cs="Times New Roman" w:eastAsia="Times New Roman" w:hint="default"/>
          <w:spacing w:val="-1"/>
        </w:rPr>
        <w:t>400,000.00</w:t>
      </w:r>
      <w:r>
        <w:rPr>
          <w:spacing w:val="-1"/>
        </w:rPr>
        <w:t>元，合计减少长期股权投资金额</w:t>
      </w:r>
      <w:r>
        <w:rPr>
          <w:rFonts w:ascii="Times New Roman" w:hAnsi="Times New Roman" w:cs="Times New Roman" w:eastAsia="Times New Roman" w:hint="default"/>
          <w:spacing w:val="-1"/>
        </w:rPr>
        <w:t>186,593.58</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元；</w:t>
      </w:r>
    </w:p>
    <w:p>
      <w:pPr>
        <w:pStyle w:val="BodyText"/>
        <w:spacing w:line="309" w:lineRule="auto" w:before="158"/>
        <w:ind w:left="153" w:right="153" w:firstLine="419"/>
        <w:jc w:val="both"/>
      </w:pPr>
      <w:r>
        <w:rPr>
          <w:spacing w:val="-1"/>
        </w:rPr>
        <w:t>（</w:t>
      </w:r>
      <w:r>
        <w:rPr>
          <w:rFonts w:ascii="Times New Roman" w:hAnsi="Times New Roman" w:cs="Times New Roman" w:eastAsia="Times New Roman" w:hint="default"/>
          <w:spacing w:val="-1"/>
        </w:rPr>
        <w:t>2</w:t>
      </w:r>
      <w:r>
        <w:rPr>
          <w:spacing w:val="-1"/>
        </w:rPr>
        <w:t>）服云科技长期股权投资</w:t>
      </w:r>
      <w:r>
        <w:rPr>
          <w:rFonts w:ascii="Times New Roman" w:hAnsi="Times New Roman" w:cs="Times New Roman" w:eastAsia="Times New Roman" w:hint="default"/>
          <w:spacing w:val="-1"/>
        </w:rPr>
        <w:t>-</w:t>
      </w:r>
      <w:r>
        <w:rPr>
          <w:spacing w:val="-1"/>
        </w:rPr>
        <w:t>其他权益变动增减</w:t>
      </w:r>
      <w:r>
        <w:rPr>
          <w:rFonts w:ascii="Times New Roman" w:hAnsi="Times New Roman" w:cs="Times New Roman" w:eastAsia="Times New Roman" w:hint="default"/>
          <w:spacing w:val="-1"/>
        </w:rPr>
        <w:t>10,922,094.13</w:t>
      </w:r>
      <w:r>
        <w:rPr>
          <w:spacing w:val="-1"/>
        </w:rPr>
        <w:t>元，系</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月华软创新创业投资无锡</w:t>
      </w:r>
      <w:r>
        <w:rPr/>
        <w:t> </w:t>
      </w:r>
      <w:r>
        <w:rPr>
          <w:spacing w:val="-2"/>
        </w:rPr>
        <w:t>合伙企业（有限合伙）和广州钧扬通泰投资咨询有限公司现金增资服云科技</w:t>
      </w:r>
      <w:r>
        <w:rPr>
          <w:rFonts w:ascii="Times New Roman" w:hAnsi="Times New Roman" w:cs="Times New Roman" w:eastAsia="Times New Roman" w:hint="default"/>
          <w:spacing w:val="-2"/>
        </w:rPr>
        <w:t>3,000</w:t>
      </w:r>
      <w:r>
        <w:rPr>
          <w:spacing w:val="-2"/>
        </w:rPr>
        <w:t>万元，其中新增注册资本</w:t>
      </w:r>
      <w:r>
        <w:rPr>
          <w:spacing w:val="-87"/>
        </w:rPr>
        <w:t> </w:t>
      </w:r>
      <w:r>
        <w:rPr>
          <w:spacing w:val="-87"/>
        </w:rPr>
      </w:r>
      <w:r>
        <w:rPr>
          <w:rFonts w:ascii="Times New Roman" w:hAnsi="Times New Roman" w:cs="Times New Roman" w:eastAsia="Times New Roman" w:hint="default"/>
          <w:spacing w:val="-2"/>
        </w:rPr>
        <w:t>167.77</w:t>
      </w:r>
      <w:r>
        <w:rPr>
          <w:spacing w:val="-2"/>
        </w:rPr>
        <w:t>万元，其余</w:t>
      </w:r>
      <w:r>
        <w:rPr>
          <w:rFonts w:ascii="Times New Roman" w:hAnsi="Times New Roman" w:cs="Times New Roman" w:eastAsia="Times New Roman" w:hint="default"/>
          <w:spacing w:val="-2"/>
        </w:rPr>
        <w:t>2,832.23</w:t>
      </w:r>
      <w:r>
        <w:rPr>
          <w:spacing w:val="-2"/>
        </w:rPr>
        <w:t>万元计入资本公积，该事项导致本公司持有服云科技股权被动稀释增加长期股权</w:t>
      </w:r>
      <w:r>
        <w:rPr>
          <w:spacing w:val="-80"/>
        </w:rPr>
        <w:t> </w:t>
      </w:r>
      <w:r>
        <w:rPr>
          <w:spacing w:val="-80"/>
        </w:rPr>
      </w:r>
      <w:r>
        <w:rPr/>
        <w:t>投资金额</w:t>
      </w:r>
      <w:r>
        <w:rPr>
          <w:rFonts w:ascii="Times New Roman" w:hAnsi="Times New Roman" w:cs="Times New Roman" w:eastAsia="Times New Roman" w:hint="default"/>
        </w:rPr>
        <w:t>9,795,995.89</w:t>
      </w:r>
      <w:r>
        <w:rPr/>
        <w:t>元；以及本公司按权益法确认对服云科技的其他权益变动</w:t>
      </w:r>
      <w:r>
        <w:rPr>
          <w:rFonts w:ascii="Times New Roman" w:hAnsi="Times New Roman" w:cs="Times New Roman" w:eastAsia="Times New Roman" w:hint="default"/>
        </w:rPr>
        <w:t>1,126,098.24</w:t>
      </w:r>
      <w:r>
        <w:rPr/>
        <w:t>元。</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3379"/>
        <w:gridCol w:w="1713"/>
        <w:gridCol w:w="1417"/>
        <w:gridCol w:w="1417"/>
        <w:gridCol w:w="1632"/>
      </w:tblGrid>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95"/>
              <w:jc w:val="right"/>
              <w:rPr>
                <w:rFonts w:ascii="宋体" w:hAnsi="宋体" w:cs="宋体" w:eastAsia="宋体" w:hint="default"/>
                <w:sz w:val="18"/>
                <w:szCs w:val="18"/>
              </w:rPr>
            </w:pPr>
            <w:r>
              <w:rPr>
                <w:rFonts w:ascii="宋体" w:hAnsi="宋体" w:cs="宋体" w:eastAsia="宋体" w:hint="default"/>
                <w:sz w:val="18"/>
                <w:szCs w:val="18"/>
              </w:rPr>
              <w:t>房屋、建筑物</w:t>
            </w: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4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3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10,443,292.17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10,443,292.17</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17,743.38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17,743.38</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入</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17,743.38</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17,743.38</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1,181,809.76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1,181,809.76</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1,181,809.76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1,181,809.76</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9,279,225.79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9,279,225.79</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694,187.82</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694,187.82</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440,114.50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440,114.50</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440,114.50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440,114.50</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271,164.43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271,164.43</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271,164.43</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271,164.43</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863,137.89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863,137.89</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713" w:type="dxa"/>
            <w:tcBorders>
              <w:top w:val="single" w:sz="4" w:space="0" w:color="000000"/>
              <w:left w:val="single" w:sz="13" w:space="0" w:color="D4D4D4"/>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8,416,087.90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8,416,087.90</w:t>
            </w:r>
          </w:p>
        </w:tc>
      </w:tr>
      <w:tr>
        <w:trPr>
          <w:trHeight w:val="402" w:hRule="exact"/>
        </w:trPr>
        <w:tc>
          <w:tcPr>
            <w:tcW w:w="3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71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9,749,104.35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9,749,104.35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69"/>
      <w:bookmarkEnd w:id="26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after="0" w:line="240" w:lineRule="auto"/>
        <w:jc w:val="left"/>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bookmarkStart w:name="（3）未办妥产权证书的投资性房地产情况" w:id="270"/>
      <w:bookmarkEnd w:id="270"/>
      <w:r>
        <w:rPr>
          <w:rFonts w:ascii="Times New Roman" w:hAnsi="Times New Roman" w:cs="Times New Roman" w:eastAsia="Times New Roman" w:hint="default"/>
        </w:rPr>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8,416,087.90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尚在办理</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19、固定资产" w:id="271"/>
      <w:bookmarkEnd w:id="271"/>
      <w:r>
        <w:rPr/>
      </w:r>
      <w:bookmarkStart w:name="（1）固定资产情况" w:id="272"/>
      <w:bookmarkEnd w:id="272"/>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54"/>
        <w:gridCol w:w="1430"/>
        <w:gridCol w:w="1274"/>
        <w:gridCol w:w="1276"/>
        <w:gridCol w:w="1277"/>
        <w:gridCol w:w="1342"/>
      </w:tblGrid>
      <w:tr>
        <w:trPr>
          <w:trHeight w:val="161" w:hRule="exact"/>
        </w:trPr>
        <w:tc>
          <w:tcPr>
            <w:tcW w:w="2954" w:type="dxa"/>
            <w:tcBorders>
              <w:top w:val="single" w:sz="4" w:space="0" w:color="000000"/>
              <w:left w:val="single" w:sz="4" w:space="0" w:color="000000"/>
              <w:bottom w:val="nil" w:sz="6" w:space="0" w:color="auto"/>
              <w:right w:val="single" w:sz="4" w:space="0" w:color="000000"/>
            </w:tcBorders>
            <w:shd w:val="clear" w:color="auto" w:fill="DADADA"/>
          </w:tcPr>
          <w:p>
            <w:pPr/>
          </w:p>
        </w:tc>
        <w:tc>
          <w:tcPr>
            <w:tcW w:w="1430" w:type="dxa"/>
            <w:tcBorders>
              <w:top w:val="single" w:sz="4" w:space="0" w:color="000000"/>
              <w:left w:val="single" w:sz="4" w:space="0" w:color="000000"/>
              <w:bottom w:val="nil" w:sz="6" w:space="0" w:color="auto"/>
              <w:right w:val="single" w:sz="4" w:space="0" w:color="000000"/>
            </w:tcBorders>
            <w:shd w:val="clear" w:color="auto" w:fill="DADADA"/>
          </w:tcPr>
          <w:p>
            <w:pPr/>
          </w:p>
        </w:tc>
        <w:tc>
          <w:tcPr>
            <w:tcW w:w="1274" w:type="dxa"/>
            <w:tcBorders>
              <w:top w:val="single" w:sz="4" w:space="0" w:color="000000"/>
              <w:left w:val="single" w:sz="4" w:space="0" w:color="000000"/>
              <w:bottom w:val="nil" w:sz="6" w:space="0" w:color="auto"/>
              <w:right w:val="single" w:sz="4" w:space="0" w:color="000000"/>
            </w:tcBorders>
            <w:shd w:val="clear" w:color="auto" w:fill="DADADA"/>
          </w:tcPr>
          <w:p>
            <w:pPr/>
          </w:p>
        </w:tc>
        <w:tc>
          <w:tcPr>
            <w:tcW w:w="1276" w:type="dxa"/>
            <w:tcBorders>
              <w:top w:val="single" w:sz="4" w:space="0" w:color="000000"/>
              <w:left w:val="single" w:sz="4" w:space="0" w:color="000000"/>
              <w:bottom w:val="nil" w:sz="6" w:space="0" w:color="auto"/>
              <w:right w:val="single" w:sz="4" w:space="0" w:color="000000"/>
            </w:tcBorders>
            <w:shd w:val="clear" w:color="auto" w:fill="DADADA"/>
          </w:tcPr>
          <w:p>
            <w:pPr/>
          </w:p>
        </w:tc>
        <w:tc>
          <w:tcPr>
            <w:tcW w:w="1277" w:type="dxa"/>
            <w:vMerge w:val="restart"/>
            <w:tcBorders>
              <w:top w:val="single" w:sz="4" w:space="0" w:color="000000"/>
              <w:left w:val="single" w:sz="4" w:space="0" w:color="000000"/>
              <w:right w:val="single" w:sz="4" w:space="0" w:color="000000"/>
            </w:tcBorders>
            <w:shd w:val="clear" w:color="auto" w:fill="DADADA"/>
          </w:tcPr>
          <w:p>
            <w:pPr>
              <w:pStyle w:val="TableParagraph"/>
              <w:spacing w:line="316" w:lineRule="auto" w:before="52"/>
              <w:ind w:left="543" w:right="91" w:hanging="450"/>
              <w:jc w:val="left"/>
              <w:rPr>
                <w:rFonts w:ascii="宋体" w:hAnsi="宋体" w:cs="宋体" w:eastAsia="宋体" w:hint="default"/>
                <w:sz w:val="18"/>
                <w:szCs w:val="18"/>
              </w:rPr>
            </w:pPr>
            <w:r>
              <w:rPr>
                <w:rFonts w:ascii="宋体" w:hAnsi="宋体" w:cs="宋体" w:eastAsia="宋体" w:hint="default"/>
                <w:sz w:val="18"/>
                <w:szCs w:val="18"/>
              </w:rPr>
              <w:t>电子及办公设 备</w:t>
            </w:r>
          </w:p>
        </w:tc>
        <w:tc>
          <w:tcPr>
            <w:tcW w:w="1342" w:type="dxa"/>
            <w:tcBorders>
              <w:top w:val="single" w:sz="4" w:space="0" w:color="000000"/>
              <w:left w:val="single" w:sz="4" w:space="0" w:color="000000"/>
              <w:bottom w:val="nil" w:sz="6" w:space="0" w:color="auto"/>
              <w:right w:val="single" w:sz="4" w:space="0" w:color="000000"/>
            </w:tcBorders>
            <w:shd w:val="clear" w:color="auto" w:fill="DADADA"/>
          </w:tcPr>
          <w:p>
            <w:pPr/>
          </w:p>
        </w:tc>
      </w:tr>
      <w:tr>
        <w:trPr>
          <w:trHeight w:val="391" w:hRule="exact"/>
        </w:trPr>
        <w:tc>
          <w:tcPr>
            <w:tcW w:w="2954" w:type="dxa"/>
            <w:tcBorders>
              <w:top w:val="nil" w:sz="6" w:space="0" w:color="auto"/>
              <w:left w:val="single" w:sz="4" w:space="0" w:color="000000"/>
              <w:bottom w:val="nil" w:sz="6" w:space="0" w:color="auto"/>
              <w:right w:val="single" w:sz="4" w:space="0" w:color="000000"/>
            </w:tcBorders>
            <w:shd w:val="clear" w:color="auto" w:fill="DADADA"/>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30" w:type="dxa"/>
            <w:tcBorders>
              <w:top w:val="nil" w:sz="6" w:space="0" w:color="auto"/>
              <w:left w:val="single" w:sz="4" w:space="0" w:color="000000"/>
              <w:bottom w:val="nil" w:sz="6" w:space="0" w:color="auto"/>
              <w:right w:val="single" w:sz="4" w:space="0" w:color="000000"/>
            </w:tcBorders>
            <w:shd w:val="clear" w:color="auto" w:fill="DADADA"/>
          </w:tcPr>
          <w:p>
            <w:pPr>
              <w:pStyle w:val="TableParagraph"/>
              <w:spacing w:line="240" w:lineRule="auto" w:before="51"/>
              <w:ind w:left="17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274" w:type="dxa"/>
            <w:tcBorders>
              <w:top w:val="nil" w:sz="6" w:space="0" w:color="auto"/>
              <w:left w:val="single" w:sz="4" w:space="0" w:color="000000"/>
              <w:bottom w:val="nil" w:sz="6" w:space="0" w:color="auto"/>
              <w:right w:val="single" w:sz="4" w:space="0" w:color="000000"/>
            </w:tcBorders>
            <w:shd w:val="clear" w:color="auto" w:fill="DADADA"/>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76" w:type="dxa"/>
            <w:tcBorders>
              <w:top w:val="nil" w:sz="6" w:space="0" w:color="auto"/>
              <w:left w:val="single" w:sz="4" w:space="0" w:color="000000"/>
              <w:bottom w:val="nil" w:sz="6" w:space="0" w:color="auto"/>
              <w:right w:val="single" w:sz="4" w:space="0" w:color="000000"/>
            </w:tcBorders>
            <w:shd w:val="clear" w:color="auto" w:fill="DADADA"/>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77" w:type="dxa"/>
            <w:vMerge/>
            <w:tcBorders>
              <w:left w:val="single" w:sz="4" w:space="0" w:color="000000"/>
              <w:right w:val="single" w:sz="4" w:space="0" w:color="000000"/>
            </w:tcBorders>
            <w:shd w:val="clear" w:color="auto" w:fill="DADADA"/>
          </w:tcPr>
          <w:p>
            <w:pPr/>
          </w:p>
        </w:tc>
        <w:tc>
          <w:tcPr>
            <w:tcW w:w="1342" w:type="dxa"/>
            <w:tcBorders>
              <w:top w:val="nil" w:sz="6" w:space="0" w:color="auto"/>
              <w:left w:val="single" w:sz="4" w:space="0" w:color="000000"/>
              <w:bottom w:val="nil" w:sz="6" w:space="0" w:color="auto"/>
              <w:right w:val="single" w:sz="4" w:space="0" w:color="000000"/>
            </w:tcBorders>
            <w:shd w:val="clear" w:color="auto" w:fill="DADADA"/>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2954" w:type="dxa"/>
            <w:tcBorders>
              <w:top w:val="nil" w:sz="6" w:space="0" w:color="auto"/>
              <w:left w:val="single" w:sz="4" w:space="0" w:color="000000"/>
              <w:bottom w:val="single" w:sz="4" w:space="0" w:color="000000"/>
              <w:right w:val="single" w:sz="4" w:space="0" w:color="000000"/>
            </w:tcBorders>
            <w:shd w:val="clear" w:color="auto" w:fill="DADADA"/>
          </w:tcPr>
          <w:p>
            <w:pPr/>
          </w:p>
        </w:tc>
        <w:tc>
          <w:tcPr>
            <w:tcW w:w="1430" w:type="dxa"/>
            <w:tcBorders>
              <w:top w:val="nil" w:sz="6" w:space="0" w:color="auto"/>
              <w:left w:val="single" w:sz="4" w:space="0" w:color="000000"/>
              <w:bottom w:val="single" w:sz="4" w:space="0" w:color="000000"/>
              <w:right w:val="single" w:sz="4" w:space="0" w:color="000000"/>
            </w:tcBorders>
            <w:shd w:val="clear" w:color="auto" w:fill="DADADA"/>
          </w:tcPr>
          <w:p>
            <w:pPr/>
          </w:p>
        </w:tc>
        <w:tc>
          <w:tcPr>
            <w:tcW w:w="1274" w:type="dxa"/>
            <w:tcBorders>
              <w:top w:val="nil" w:sz="6" w:space="0" w:color="auto"/>
              <w:left w:val="single" w:sz="4" w:space="0" w:color="000000"/>
              <w:bottom w:val="single" w:sz="4" w:space="0" w:color="000000"/>
              <w:right w:val="single" w:sz="4" w:space="0" w:color="000000"/>
            </w:tcBorders>
            <w:shd w:val="clear" w:color="auto" w:fill="DADADA"/>
          </w:tcPr>
          <w:p>
            <w:pPr/>
          </w:p>
        </w:tc>
        <w:tc>
          <w:tcPr>
            <w:tcW w:w="1276" w:type="dxa"/>
            <w:tcBorders>
              <w:top w:val="nil" w:sz="6" w:space="0" w:color="auto"/>
              <w:left w:val="single" w:sz="4" w:space="0" w:color="000000"/>
              <w:bottom w:val="single" w:sz="4" w:space="0" w:color="000000"/>
              <w:right w:val="single" w:sz="4" w:space="0" w:color="000000"/>
            </w:tcBorders>
            <w:shd w:val="clear" w:color="auto" w:fill="DADADA"/>
          </w:tcPr>
          <w:p>
            <w:pPr/>
          </w:p>
        </w:tc>
        <w:tc>
          <w:tcPr>
            <w:tcW w:w="1277" w:type="dxa"/>
            <w:vMerge/>
            <w:tcBorders>
              <w:left w:val="single" w:sz="4" w:space="0" w:color="000000"/>
              <w:bottom w:val="single" w:sz="4" w:space="0" w:color="000000"/>
              <w:right w:val="single" w:sz="4" w:space="0" w:color="000000"/>
            </w:tcBorders>
            <w:shd w:val="clear" w:color="auto" w:fill="DADADA"/>
          </w:tcPr>
          <w:p>
            <w:pPr/>
          </w:p>
        </w:tc>
        <w:tc>
          <w:tcPr>
            <w:tcW w:w="1342" w:type="dxa"/>
            <w:tcBorders>
              <w:top w:val="nil" w:sz="6" w:space="0" w:color="auto"/>
              <w:left w:val="single" w:sz="4" w:space="0" w:color="000000"/>
              <w:bottom w:val="single" w:sz="4" w:space="0" w:color="000000"/>
              <w:right w:val="single" w:sz="4" w:space="0" w:color="000000"/>
            </w:tcBorders>
            <w:shd w:val="clear" w:color="auto" w:fill="DADADA"/>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237,517,287.39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2,775,203.48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14,294,588.83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44,808,028.83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299,395,108.53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12,312,522.51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1,732,101.21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2,037,620.38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19,049,287.29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35,131,531.39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1,732,101.21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1,184,236.38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17,137,203.75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20,053,541.34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10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11,130,712.75</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11,130,712.75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10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853,384.00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1,912,083.54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2,765,467.54</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）投资性房地产转回至固定资</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1,181,809.76</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1,181,809.76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304,364.42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1,815,910.43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2,299,774.85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304,364.42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179,500.00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1,815,910.43</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2,299,774.85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249,829,809.90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4,202,940.27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16,152,709.21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62,041,405.69</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332,226,865.07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24,055,936.17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649,563.06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8,426,695.41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22,111,661.85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55,243,856.49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12,380,398.00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604,467.64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3,013,278.51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9,792,845.88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25,790,990.03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12,109,233.57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604,467.64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2,202,563.71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8,919,989.66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23,836,254.58</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00" w:lineRule="auto" w:before="52"/>
              <w:ind w:left="11" w:right="9" w:firstLine="36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）投资性房地产折旧转回至固</w:t>
            </w:r>
            <w:r>
              <w:rPr>
                <w:rFonts w:ascii="宋体" w:hAnsi="宋体" w:cs="宋体" w:eastAsia="宋体" w:hint="default"/>
                <w:sz w:val="18"/>
                <w:szCs w:val="18"/>
              </w:rPr>
              <w:t> 定资产折</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271,164.43</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271,164.43</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1040"/>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810,714.80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872,856.22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1,683,571.02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99,308.61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170,525.00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1,004,047.41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1,273,881.02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99,308.61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170,525.00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1,004,047.41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1,273,881.02</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30"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36,436,334.17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1,154,722.09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11,269,448.92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30,900,460.32</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79,760,965.50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30" w:type="dxa"/>
            <w:tcBorders>
              <w:top w:val="single" w:sz="4" w:space="0" w:color="000000"/>
              <w:left w:val="single" w:sz="13" w:space="0" w:color="DADADA"/>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977"/>
        <w:gridCol w:w="1418"/>
        <w:gridCol w:w="1274"/>
        <w:gridCol w:w="1276"/>
        <w:gridCol w:w="1277"/>
        <w:gridCol w:w="1342"/>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213,393,475.73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3,048,218.18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4,883,260.29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31,140,945.37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252,465,899.57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213,461,351.22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2,125,640.42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5,867,893.42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22,696,366.98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244,151,252.04</w:t>
            </w:r>
          </w:p>
        </w:tc>
      </w:tr>
    </w:tbl>
    <w:p>
      <w:pPr>
        <w:spacing w:line="240" w:lineRule="auto" w:before="2"/>
        <w:rPr>
          <w:rFonts w:ascii="宋体" w:hAnsi="宋体" w:cs="宋体" w:eastAsia="宋体" w:hint="default"/>
          <w:sz w:val="19"/>
          <w:szCs w:val="19"/>
        </w:rPr>
      </w:pPr>
    </w:p>
    <w:p>
      <w:pPr>
        <w:pStyle w:val="Heading4"/>
        <w:spacing w:line="530" w:lineRule="auto" w:before="35"/>
        <w:ind w:left="574" w:right="6926" w:hanging="420"/>
        <w:jc w:val="left"/>
        <w:rPr>
          <w:rFonts w:ascii="宋体" w:hAnsi="宋体" w:cs="宋体" w:eastAsia="宋体" w:hint="default"/>
          <w:b w:val="0"/>
          <w:bCs w:val="0"/>
        </w:rPr>
      </w:pPr>
      <w:bookmarkStart w:name="（1）在建工程情况" w:id="273"/>
      <w:bookmarkEnd w:id="273"/>
      <w:r>
        <w:rPr>
          <w:b w:val="0"/>
          <w:bCs w:val="0"/>
        </w:rPr>
      </w:r>
      <w:r>
        <w:rPr/>
        <w:t>（</w:t>
      </w:r>
      <w:r>
        <w:rPr>
          <w:rFonts w:ascii="Times New Roman" w:hAnsi="Times New Roman" w:cs="Times New Roman" w:eastAsia="Times New Roman" w:hint="default"/>
        </w:rPr>
        <w:t>2</w:t>
      </w:r>
      <w:r>
        <w:rPr/>
        <w:t>）暂时闲置的固定资产情况</w:t>
      </w:r>
      <w:r>
        <w:rPr>
          <w:spacing w:val="1"/>
          <w:w w:val="99"/>
        </w:rPr>
        <w:t> </w:t>
      </w:r>
      <w:r>
        <w:rPr>
          <w:rFonts w:ascii="宋体" w:hAnsi="宋体" w:cs="宋体" w:eastAsia="宋体" w:hint="default"/>
          <w:b w:val="0"/>
          <w:bCs w:val="0"/>
        </w:rPr>
        <w:t>无。</w:t>
      </w:r>
    </w:p>
    <w:p>
      <w:pPr>
        <w:pStyle w:val="Heading4"/>
        <w:spacing w:line="530" w:lineRule="auto" w:before="115"/>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）通过融资租赁租入的</w:t>
      </w:r>
      <w:bookmarkStart w:name="（2）暂时闲置的固定资产情况" w:id="274"/>
      <w:bookmarkEnd w:id="274"/>
      <w:r>
        <w:rPr/>
        <w:t>固定资产</w:t>
      </w:r>
      <w:r>
        <w:rPr/>
        <w:t>情况</w:t>
      </w:r>
      <w:r>
        <w:rPr>
          <w:w w:val="99"/>
        </w:rPr>
        <w:t> </w:t>
      </w:r>
      <w:r>
        <w:rPr>
          <w:rFonts w:ascii="宋体" w:hAnsi="宋体" w:cs="宋体" w:eastAsia="宋体" w:hint="default"/>
          <w:b w:val="0"/>
          <w:bCs w:val="0"/>
        </w:rPr>
        <w:t>无。</w:t>
      </w:r>
    </w:p>
    <w:p>
      <w:pPr>
        <w:pStyle w:val="Heading4"/>
        <w:spacing w:line="532" w:lineRule="auto" w:before="115"/>
        <w:ind w:left="574" w:right="6505"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）通过经营租赁租出的固定资产</w:t>
      </w:r>
      <w:r>
        <w:rPr>
          <w:spacing w:val="1"/>
          <w:w w:val="99"/>
        </w:rPr>
        <w:t> </w:t>
      </w:r>
      <w:r>
        <w:rPr>
          <w:rFonts w:ascii="宋体" w:hAnsi="宋体" w:cs="宋体" w:eastAsia="宋体" w:hint="default"/>
          <w:b w:val="0"/>
          <w:bCs w:val="0"/>
        </w:rPr>
        <w:t>无。</w:t>
      </w:r>
    </w:p>
    <w:p>
      <w:pPr>
        <w:pStyle w:val="Heading4"/>
        <w:spacing w:line="240" w:lineRule="auto" w:before="113"/>
        <w:ind w:right="0"/>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通过融资租赁租入的固定资产情况" w:id="275"/>
      <w:bookmarkEnd w:id="275"/>
      <w:r>
        <w:rPr/>
      </w:r>
      <w:bookmarkStart w:name="（4）通过经营租赁租出的固定资产" w:id="276"/>
      <w:bookmarkEnd w:id="276"/>
      <w:r>
        <w:rPr/>
      </w:r>
      <w:bookmarkStart w:name="（5）未办妥产权证书的固定资产情况" w:id="277"/>
      <w:bookmarkEnd w:id="277"/>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9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132,538,949.25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尚在办理</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0、在建工程" w:id="278"/>
      <w:bookmarkEnd w:id="278"/>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2"/>
        <w:gridCol w:w="1276"/>
        <w:gridCol w:w="992"/>
        <w:gridCol w:w="1276"/>
        <w:gridCol w:w="1134"/>
        <w:gridCol w:w="1134"/>
        <w:gridCol w:w="1207"/>
      </w:tblGrid>
      <w:tr>
        <w:trPr>
          <w:trHeight w:val="402" w:hRule="exact"/>
        </w:trPr>
        <w:tc>
          <w:tcPr>
            <w:tcW w:w="255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7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552" w:type="dxa"/>
            <w:vMerge/>
            <w:tcBorders>
              <w:left w:val="single" w:sz="4" w:space="0" w:color="000000"/>
              <w:bottom w:val="single" w:sz="4" w:space="0" w:color="000000"/>
              <w:right w:val="single" w:sz="4" w:space="0" w:color="000000"/>
            </w:tcBorders>
            <w:shd w:val="clear" w:color="auto" w:fill="D4D4D4"/>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软件园一期创新大厦</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区</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楼 装修工程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软件园二期观日路 </w:t>
            </w:r>
            <w:r>
              <w:rPr>
                <w:rFonts w:ascii="Times New Roman" w:hAnsi="Times New Roman" w:cs="Times New Roman" w:eastAsia="Times New Roman" w:hint="default"/>
                <w:sz w:val="18"/>
                <w:szCs w:val="18"/>
              </w:rPr>
              <w:t>16#</w:t>
            </w:r>
            <w:r>
              <w:rPr>
                <w:rFonts w:ascii="宋体" w:hAnsi="宋体" w:cs="宋体" w:eastAsia="宋体" w:hint="default"/>
                <w:sz w:val="18"/>
                <w:szCs w:val="18"/>
              </w:rPr>
              <w:t>二单元</w:t>
            </w:r>
            <w:r>
              <w:rPr>
                <w:rFonts w:ascii="宋体" w:hAnsi="宋体" w:cs="宋体" w:eastAsia="宋体" w:hint="default"/>
                <w:spacing w:val="-2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楼装修工程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359,100.00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东海火炬科技园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楼装修工程</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12,210,262.00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12,210,262.00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322,487.67</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12,809,362.00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12,809,362.00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322,487.67</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4、油气资产" w:id="279"/>
      <w:bookmarkEnd w:id="279"/>
      <w:r>
        <w:rPr>
          <w:b w:val="0"/>
          <w:bCs w:val="0"/>
        </w:rPr>
      </w:r>
      <w:bookmarkStart w:name="25、无形资产" w:id="280"/>
      <w:bookmarkEnd w:id="280"/>
      <w:r>
        <w:rPr>
          <w:b w:val="0"/>
          <w:bCs w:val="0"/>
        </w:rPr>
      </w:r>
      <w:bookmarkStart w:name="（1）无形资产情况" w:id="281"/>
      <w:bookmarkEnd w:id="281"/>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重要在建工程项目本期变动情况" w:id="282"/>
      <w:bookmarkEnd w:id="282"/>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650" w:hRule="exact"/>
        </w:trPr>
        <w:tc>
          <w:tcPr>
            <w:tcW w:w="732"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2"/>
              <w:ind w:left="22" w:right="-53"/>
              <w:jc w:val="left"/>
              <w:rPr>
                <w:rFonts w:ascii="宋体" w:hAnsi="宋体" w:cs="宋体" w:eastAsia="宋体" w:hint="default"/>
                <w:sz w:val="18"/>
                <w:szCs w:val="18"/>
              </w:rPr>
            </w:pPr>
            <w:r>
              <w:rPr>
                <w:rFonts w:ascii="宋体" w:hAnsi="宋体" w:cs="宋体" w:eastAsia="宋体" w:hint="default"/>
                <w:spacing w:val="45"/>
                <w:sz w:val="18"/>
                <w:szCs w:val="18"/>
              </w:rPr>
              <w:t>东海火</w:t>
            </w:r>
            <w:r>
              <w:rPr>
                <w:rFonts w:ascii="宋体" w:hAnsi="宋体" w:cs="宋体" w:eastAsia="宋体" w:hint="default"/>
                <w:spacing w:val="-22"/>
                <w:sz w:val="18"/>
                <w:szCs w:val="18"/>
              </w:rPr>
              <w:t> </w:t>
            </w:r>
            <w:r>
              <w:rPr>
                <w:rFonts w:ascii="宋体" w:hAnsi="宋体" w:cs="宋体" w:eastAsia="宋体" w:hint="default"/>
                <w:spacing w:val="45"/>
                <w:sz w:val="18"/>
                <w:szCs w:val="18"/>
              </w:rPr>
              <w:t>炬科技</w:t>
            </w:r>
            <w:r>
              <w:rPr>
                <w:rFonts w:ascii="宋体" w:hAnsi="宋体" w:cs="宋体" w:eastAsia="宋体" w:hint="default"/>
                <w:spacing w:val="-22"/>
                <w:sz w:val="18"/>
                <w:szCs w:val="18"/>
              </w:rPr>
              <w:t> </w:t>
            </w:r>
            <w:r>
              <w:rPr>
                <w:rFonts w:ascii="宋体" w:hAnsi="宋体" w:cs="宋体" w:eastAsia="宋体" w:hint="default"/>
                <w:sz w:val="18"/>
                <w:szCs w:val="18"/>
              </w:rPr>
              <w:t>园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 </w:t>
            </w:r>
            <w:r>
              <w:rPr>
                <w:rFonts w:ascii="宋体" w:hAnsi="宋体" w:cs="宋体" w:eastAsia="宋体" w:hint="default"/>
                <w:spacing w:val="45"/>
                <w:sz w:val="18"/>
                <w:szCs w:val="18"/>
              </w:rPr>
              <w:t>及装修</w:t>
            </w:r>
            <w:r>
              <w:rPr>
                <w:rFonts w:ascii="宋体" w:hAnsi="宋体" w:cs="宋体" w:eastAsia="宋体" w:hint="default"/>
                <w:spacing w:val="-22"/>
                <w:sz w:val="18"/>
                <w:szCs w:val="18"/>
              </w:rPr>
              <w:t> </w:t>
            </w:r>
            <w:r>
              <w:rPr>
                <w:rFonts w:ascii="宋体" w:hAnsi="宋体" w:cs="宋体" w:eastAsia="宋体" w:hint="default"/>
                <w:sz w:val="18"/>
                <w:szCs w:val="18"/>
              </w:rPr>
              <w:t>工程</w:t>
            </w:r>
          </w:p>
        </w:tc>
        <w:tc>
          <w:tcPr>
            <w:tcW w:w="736" w:type="dxa"/>
            <w:tcBorders>
              <w:top w:val="single" w:sz="4" w:space="0" w:color="000000"/>
              <w:left w:val="single" w:sz="9" w:space="0" w:color="FFFFFF"/>
              <w:bottom w:val="single" w:sz="4" w:space="0" w:color="000000"/>
              <w:right w:val="single" w:sz="4" w:space="0" w:color="000000"/>
            </w:tcBorders>
          </w:tcPr>
          <w:p>
            <w:pPr>
              <w:pStyle w:val="TableParagraph"/>
              <w:spacing w:line="468" w:lineRule="exact"/>
              <w:ind w:left="-7"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36.3pt;height:23.4pt;mso-position-horizontal-relative:char;mso-position-vertical-relative:line" coordorigin="0,0" coordsize="726,468">
                  <v:group style="position:absolute;left:0;top:0;width:726;height:468" coordorigin="0,0" coordsize="726,468">
                    <v:shape style="position:absolute;left:0;top:0;width:726;height:468" coordorigin="0,0" coordsize="726,468" path="m0,468l726,468,726,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266,098,</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650.82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322,487.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23,036,2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30.46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11,148,4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12,210,2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74.97%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74.97%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266,098,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650.82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322,487.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23,036,2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30.46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11,148,4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12,210,2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62.00</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530" w:lineRule="auto" w:before="35"/>
        <w:ind w:left="574" w:right="6294" w:hanging="420"/>
        <w:jc w:val="left"/>
        <w:rPr>
          <w:rFonts w:ascii="宋体" w:hAnsi="宋体" w:cs="宋体" w:eastAsia="宋体" w:hint="default"/>
          <w:b w:val="0"/>
          <w:bCs w:val="0"/>
        </w:rPr>
      </w:pPr>
      <w:r>
        <w:rPr/>
        <w:pict>
          <v:group style="position:absolute;margin-left:93.540001pt;margin-top:-72.206337pt;width:36.3pt;height:23.4pt;mso-position-horizontal-relative:page;mso-position-vertical-relative:paragraph;z-index:-1177600" coordorigin="1871,-1444" coordsize="726,468">
            <v:shape style="position:absolute;left:1871;top:-1444;width:726;height:468" coordorigin="1871,-1444" coordsize="726,468" path="m1871,-976l2597,-976,2597,-1444,1871,-1444,1871,-976xe" filled="true" fillcolor="#ffffff" stroked="false">
              <v:path arrowok="t"/>
              <v:fill type="solid"/>
            </v:shape>
            <w10:wrap type="none"/>
          </v:group>
        </w:pict>
      </w:r>
      <w:r>
        <w:rPr/>
        <w:t>（</w:t>
      </w:r>
      <w:r>
        <w:rPr>
          <w:rFonts w:ascii="Times New Roman" w:hAnsi="Times New Roman" w:cs="Times New Roman" w:eastAsia="Times New Roman" w:hint="default"/>
        </w:rPr>
        <w:t>3</w:t>
      </w:r>
      <w:r>
        <w:rPr/>
        <w:t>）本期计提在建工程减值准备情况</w:t>
      </w:r>
      <w:r>
        <w:rPr>
          <w:spacing w:val="1"/>
          <w:w w:val="99"/>
        </w:rPr>
        <w:t> </w:t>
      </w:r>
      <w:r>
        <w:rPr>
          <w:rFonts w:ascii="宋体" w:hAnsi="宋体" w:cs="宋体" w:eastAsia="宋体" w:hint="default"/>
          <w:b w:val="0"/>
          <w:bCs w:val="0"/>
        </w:rPr>
        <w:t>无。</w:t>
      </w:r>
    </w:p>
    <w:p>
      <w:pPr>
        <w:pStyle w:val="Heading4"/>
        <w:spacing w:line="530" w:lineRule="auto" w:before="115"/>
        <w:ind w:left="574" w:right="8508" w:hanging="420"/>
        <w:jc w:val="left"/>
        <w:rPr>
          <w:rFonts w:ascii="宋体" w:hAnsi="宋体" w:cs="宋体" w:eastAsia="宋体" w:hint="default"/>
          <w:b w:val="0"/>
          <w:bCs w:val="0"/>
        </w:rPr>
      </w:pPr>
      <w:r>
        <w:rPr>
          <w:rFonts w:ascii="Times New Roman" w:hAnsi="Times New Roman" w:cs="Times New Roman" w:eastAsia="Times New Roman" w:hint="default"/>
        </w:rPr>
        <w:t>21</w:t>
      </w:r>
      <w:r>
        <w:rPr/>
        <w:t>、工程物资</w:t>
      </w:r>
      <w:r>
        <w:rPr>
          <w:w w:val="99"/>
        </w:rPr>
        <w:t> </w:t>
      </w:r>
      <w:r>
        <w:rPr>
          <w:rFonts w:ascii="宋体" w:hAnsi="宋体" w:cs="宋体" w:eastAsia="宋体" w:hint="default"/>
          <w:b w:val="0"/>
          <w:bCs w:val="0"/>
        </w:rPr>
        <w:t>无。</w:t>
      </w:r>
    </w:p>
    <w:p>
      <w:pPr>
        <w:pStyle w:val="Heading4"/>
        <w:spacing w:line="530" w:lineRule="auto" w:before="115"/>
        <w:ind w:left="574" w:right="8086" w:hanging="420"/>
        <w:jc w:val="left"/>
        <w:rPr>
          <w:rFonts w:ascii="宋体" w:hAnsi="宋体" w:cs="宋体" w:eastAsia="宋体" w:hint="default"/>
          <w:b w:val="0"/>
          <w:bCs w:val="0"/>
        </w:rPr>
      </w:pPr>
      <w:r>
        <w:rPr>
          <w:rFonts w:ascii="Times New Roman" w:hAnsi="Times New Roman" w:cs="Times New Roman" w:eastAsia="Times New Roman" w:hint="default"/>
        </w:rPr>
        <w:t>22</w:t>
      </w:r>
      <w:r>
        <w:rPr/>
        <w:t>、固定资产清理</w:t>
      </w:r>
      <w:r>
        <w:rPr>
          <w:spacing w:val="1"/>
          <w:w w:val="99"/>
        </w:rPr>
        <w:t> </w:t>
      </w:r>
      <w:r>
        <w:rPr>
          <w:rFonts w:ascii="宋体" w:hAnsi="宋体" w:cs="宋体" w:eastAsia="宋体" w:hint="default"/>
          <w:b w:val="0"/>
          <w:bCs w:val="0"/>
        </w:rPr>
        <w:t>无。</w:t>
      </w:r>
    </w:p>
    <w:p>
      <w:pPr>
        <w:spacing w:line="530" w:lineRule="auto" w:before="115"/>
        <w:ind w:left="574" w:right="787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34" w:right="8090"/>
        <w:jc w:val="center"/>
      </w:pPr>
      <w:r>
        <w:rPr/>
        <w:t>不适用。</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本期计提在建工程减值准备情况" w:id="283"/>
      <w:bookmarkEnd w:id="283"/>
      <w:r>
        <w:rPr/>
      </w:r>
      <w:bookmarkStart w:name="21、工程物资" w:id="284"/>
      <w:bookmarkEnd w:id="284"/>
      <w:r>
        <w:rPr/>
      </w:r>
      <w:bookmarkStart w:name="22、固定资产清理" w:id="285"/>
      <w:bookmarkEnd w:id="285"/>
      <w:r>
        <w:rPr/>
      </w:r>
      <w:bookmarkStart w:name="23、生产性生物资产" w:id="286"/>
      <w:bookmarkEnd w:id="286"/>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43"/>
        <w:gridCol w:w="709"/>
        <w:gridCol w:w="709"/>
        <w:gridCol w:w="708"/>
        <w:gridCol w:w="1134"/>
        <w:gridCol w:w="992"/>
        <w:gridCol w:w="1134"/>
        <w:gridCol w:w="1134"/>
        <w:gridCol w:w="1203"/>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51"/>
              <w:ind w:left="169" w:right="78" w:hanging="90"/>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70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708"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51"/>
              <w:ind w:left="168" w:right="78"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13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99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3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3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843"/>
        <w:gridCol w:w="709"/>
        <w:gridCol w:w="709"/>
        <w:gridCol w:w="708"/>
        <w:gridCol w:w="1134"/>
        <w:gridCol w:w="992"/>
        <w:gridCol w:w="1134"/>
        <w:gridCol w:w="1134"/>
        <w:gridCol w:w="1204"/>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5,013,033.90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278,400.00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69,675,491.00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74,966,924.90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1,140,343.22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7,260,900.00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6,168,711.82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14,569,955.04</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1,140,343.22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1,140,343.22</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6,168,711.82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6,168,711.82</w:t>
            </w: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）企业合并</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7,260,900.00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7,260,900.00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6,153,377.12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7,260,900.00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75,844,202.82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89,536,879.94</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1,845,925.61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87,206.43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17,996,178.38</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19,929,310.42</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1,153,373.76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27,840.04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1,452,180.00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18,428,438.51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21,061,832.31</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1,153,373.76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27,840.04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726,090.00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18,428,438.51</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20,335,742.31</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726,090.00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726,090.00</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2,999,299.37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115,046.47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1,452,180.00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36,424,616.89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40,991,142.73</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3,781,540.47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3,781,540.47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3,781,540.47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3,781,540.47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3,781,540.47</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3,781,540.47</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3,154,077.75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163,353.53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5,808,720.00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35,638,045.46</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44,764,196.74</w:t>
            </w:r>
          </w:p>
        </w:tc>
      </w:tr>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709"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3,167,108.29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191,193.57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51,679,312.62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55,037,614.48</w:t>
            </w:r>
          </w:p>
        </w:tc>
      </w:tr>
    </w:tbl>
    <w:p>
      <w:pPr>
        <w:spacing w:line="240" w:lineRule="auto" w:before="10"/>
        <w:rPr>
          <w:rFonts w:ascii="宋体" w:hAnsi="宋体" w:cs="宋体" w:eastAsia="宋体" w:hint="default"/>
          <w:sz w:val="7"/>
          <w:szCs w:val="7"/>
        </w:rPr>
      </w:pPr>
    </w:p>
    <w:p>
      <w:pPr>
        <w:pStyle w:val="BodyText"/>
        <w:spacing w:line="240" w:lineRule="auto" w:before="35"/>
        <w:ind w:right="97"/>
        <w:jc w:val="left"/>
      </w:pPr>
      <w:r>
        <w:rPr/>
        <w:t>本期末通过公司内部研发形成的无形资产占无形资产余额的比例</w:t>
      </w:r>
      <w:r>
        <w:rPr>
          <w:rFonts w:ascii="Times New Roman" w:hAnsi="Times New Roman" w:cs="Times New Roman" w:eastAsia="Times New Roman" w:hint="default"/>
        </w:rPr>
        <w:t>84.71%</w:t>
      </w:r>
      <w:r>
        <w:rPr/>
        <w:t>。</w:t>
      </w:r>
    </w:p>
    <w:p>
      <w:pPr>
        <w:spacing w:line="240" w:lineRule="auto" w:before="7"/>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日，厦门大学资产评估土地房地产估价有限责任公司出具了“大学评估</w:t>
      </w:r>
      <w:r>
        <w:rPr>
          <w:rFonts w:ascii="Times New Roman" w:hAnsi="Times New Roman" w:cs="Times New Roman" w:eastAsia="Times New Roman" w:hint="default"/>
        </w:rPr>
        <w:t>[2016]ZL0002</w:t>
      </w:r>
      <w:r>
        <w:rPr/>
        <w:t>号”</w:t>
      </w:r>
    </w:p>
    <w:p>
      <w:pPr>
        <w:pStyle w:val="BodyText"/>
        <w:spacing w:line="309" w:lineRule="auto" w:before="83"/>
        <w:ind w:left="153" w:right="97"/>
        <w:jc w:val="left"/>
      </w:pPr>
      <w:r>
        <w:rPr/>
        <w:t>《厦门市美亚柏科信息股份有限公司以财务报告为目的而了解资产价值涉及的研发支出</w:t>
      </w:r>
      <w:r>
        <w:rPr>
          <w:rFonts w:ascii="Times New Roman" w:hAnsi="Times New Roman" w:cs="Times New Roman" w:eastAsia="Times New Roman" w:hint="default"/>
        </w:rPr>
        <w:t>-</w:t>
      </w:r>
      <w:r>
        <w:rPr/>
        <w:t>资本化支出和无 </w:t>
      </w:r>
      <w:r>
        <w:rPr>
          <w:spacing w:val="-1"/>
        </w:rPr>
        <w:t>形资产评估报告书》，对本公司自行研发的已完成或正处于资本化阶段的</w:t>
      </w:r>
      <w:r>
        <w:rPr>
          <w:rFonts w:ascii="Times New Roman" w:hAnsi="Times New Roman" w:cs="Times New Roman" w:eastAsia="Times New Roman" w:hint="default"/>
          <w:spacing w:val="-1"/>
        </w:rPr>
        <w:t>45</w:t>
      </w:r>
      <w:r>
        <w:rPr>
          <w:spacing w:val="-1"/>
        </w:rPr>
        <w:t>项研发产品采用收益法进行评</w:t>
      </w:r>
    </w:p>
    <w:p>
      <w:pPr>
        <w:spacing w:after="0" w:line="309" w:lineRule="auto"/>
        <w:jc w:val="left"/>
        <w:sectPr>
          <w:pgSz w:w="11910" w:h="16840"/>
          <w:pgMar w:header="917" w:footer="1267" w:top="1140" w:bottom="1460" w:left="980" w:right="920"/>
        </w:sectPr>
      </w:pPr>
    </w:p>
    <w:p>
      <w:pPr>
        <w:spacing w:line="240" w:lineRule="auto" w:before="6"/>
        <w:rPr>
          <w:rFonts w:ascii="宋体" w:hAnsi="宋体" w:cs="宋体" w:eastAsia="宋体" w:hint="default"/>
          <w:sz w:val="21"/>
          <w:szCs w:val="21"/>
        </w:rPr>
      </w:pPr>
    </w:p>
    <w:p>
      <w:pPr>
        <w:pStyle w:val="BodyText"/>
        <w:spacing w:line="309" w:lineRule="auto" w:before="35"/>
        <w:ind w:left="154" w:right="97" w:hanging="1"/>
        <w:jc w:val="left"/>
      </w:pPr>
      <w:r>
        <w:rPr>
          <w:spacing w:val="-2"/>
        </w:rPr>
        <w:t>估，截止评估基准日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日，达到可使用状态的无形资产（开发支出）评估价值</w:t>
      </w:r>
      <w:r>
        <w:rPr>
          <w:rFonts w:ascii="Times New Roman" w:hAnsi="Times New Roman" w:cs="Times New Roman" w:eastAsia="Times New Roman" w:hint="default"/>
          <w:spacing w:val="-2"/>
        </w:rPr>
        <w:t>43,563,797.02</w:t>
      </w:r>
      <w:r>
        <w:rPr>
          <w:spacing w:val="-2"/>
        </w:rPr>
        <w:t>元。</w:t>
      </w:r>
      <w:r>
        <w:rPr>
          <w:spacing w:val="-78"/>
        </w:rPr>
        <w:t> </w:t>
      </w:r>
      <w:r>
        <w:rPr/>
        <w:t>截止年末，本公司计提无形资产（开发支出）减值准备</w:t>
      </w:r>
      <w:r>
        <w:rPr>
          <w:rFonts w:ascii="Times New Roman" w:hAnsi="Times New Roman" w:cs="Times New Roman" w:eastAsia="Times New Roman" w:hint="default"/>
        </w:rPr>
        <w:t>3,781,540.47</w:t>
      </w:r>
      <w:r>
        <w:rPr/>
        <w:t>元。</w:t>
      </w:r>
    </w:p>
    <w:p>
      <w:pPr>
        <w:spacing w:line="240" w:lineRule="auto" w:before="10"/>
        <w:rPr>
          <w:rFonts w:ascii="宋体" w:hAnsi="宋体" w:cs="宋体" w:eastAsia="宋体" w:hint="default"/>
          <w:sz w:val="17"/>
          <w:szCs w:val="17"/>
        </w:rPr>
      </w:pPr>
    </w:p>
    <w:p>
      <w:pPr>
        <w:pStyle w:val="BodyText"/>
        <w:spacing w:line="312" w:lineRule="auto"/>
        <w:ind w:left="154" w:right="211"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8</w:t>
      </w:r>
      <w:r>
        <w:rPr/>
        <w:t>日，北京国融兴华资产评估有限责任公司（以下简称</w:t>
      </w:r>
      <w:r>
        <w:rPr>
          <w:rFonts w:ascii="Times New Roman" w:hAnsi="Times New Roman" w:cs="Times New Roman" w:eastAsia="Times New Roman" w:hint="default"/>
        </w:rPr>
        <w:t>“</w:t>
      </w:r>
      <w:r>
        <w:rPr/>
        <w:t>国融兴华</w:t>
      </w:r>
      <w:r>
        <w:rPr>
          <w:rFonts w:ascii="Times New Roman" w:hAnsi="Times New Roman" w:cs="Times New Roman" w:eastAsia="Times New Roman" w:hint="default"/>
        </w:rPr>
        <w:t>”</w:t>
      </w:r>
      <w:r>
        <w:rPr/>
        <w:t>）出具了“国融兴华评报 字</w:t>
      </w:r>
      <w:r>
        <w:rPr>
          <w:rFonts w:ascii="Times New Roman" w:hAnsi="Times New Roman" w:cs="Times New Roman" w:eastAsia="Times New Roman" w:hint="default"/>
        </w:rPr>
        <w:t>[2016]</w:t>
      </w:r>
      <w:r>
        <w:rPr/>
        <w:t>第 </w:t>
      </w:r>
      <w:r>
        <w:rPr>
          <w:rFonts w:ascii="Times New Roman" w:hAnsi="Times New Roman" w:cs="Times New Roman" w:eastAsia="Times New Roman" w:hint="default"/>
        </w:rPr>
        <w:t>020040</w:t>
      </w:r>
      <w:r>
        <w:rPr>
          <w:rFonts w:ascii="Times New Roman" w:hAnsi="Times New Roman" w:cs="Times New Roman" w:eastAsia="Times New Roman" w:hint="default"/>
          <w:spacing w:val="47"/>
        </w:rPr>
        <w:t> </w:t>
      </w:r>
      <w:r>
        <w:rPr/>
        <w:t>号”《厦门市美亚柏科信息股份有限公司合并报表商值测试所涉及的武汉大千信息技 </w:t>
      </w:r>
      <w:r>
        <w:rPr>
          <w:spacing w:val="-1"/>
        </w:rPr>
        <w:t>术有限公司预计未来现金流现值及该公司持有的无形资产组合价值评估报告》，对武汉大千预计未来现金</w:t>
      </w:r>
      <w:r>
        <w:rPr>
          <w:spacing w:val="-81"/>
        </w:rPr>
        <w:t> </w:t>
      </w:r>
      <w:r>
        <w:rPr>
          <w:spacing w:val="-81"/>
        </w:rPr>
      </w:r>
      <w:r>
        <w:rPr>
          <w:spacing w:val="-1"/>
        </w:rPr>
        <w:t>流现值及其持有的无形资产组合市场价值采用现金流折现方法（</w:t>
      </w:r>
      <w:r>
        <w:rPr>
          <w:rFonts w:ascii="Times New Roman" w:hAnsi="Times New Roman" w:cs="Times New Roman" w:eastAsia="Times New Roman" w:hint="default"/>
          <w:spacing w:val="-1"/>
        </w:rPr>
        <w:t>DCF</w:t>
      </w:r>
      <w:r>
        <w:rPr>
          <w:spacing w:val="-1"/>
        </w:rPr>
        <w:t>）进行评估，截止评估基准日</w:t>
      </w:r>
      <w:r>
        <w:rPr>
          <w:rFonts w:ascii="Times New Roman" w:hAnsi="Times New Roman" w:cs="Times New Roman" w:eastAsia="Times New Roman" w:hint="default"/>
          <w:spacing w:val="-1"/>
        </w:rPr>
        <w:t>2015</w:t>
      </w:r>
      <w:r>
        <w:rPr>
          <w:spacing w:val="-1"/>
        </w:rPr>
        <w:t>年</w:t>
      </w:r>
      <w:r>
        <w:rPr>
          <w:spacing w:val="-72"/>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日，武汉大千无形资产组合市场价值为</w:t>
      </w:r>
      <w:r>
        <w:rPr>
          <w:rFonts w:ascii="Times New Roman" w:hAnsi="Times New Roman" w:cs="Times New Roman" w:eastAsia="Times New Roman" w:hint="default"/>
        </w:rPr>
        <w:t>741.43</w:t>
      </w:r>
      <w:r>
        <w:rPr/>
        <w:t>万元。截止年末，本公司溢价收购武汉大千所形成的 无形资产评估增值未发生减值情况。</w:t>
      </w:r>
    </w:p>
    <w:p>
      <w:pPr>
        <w:spacing w:line="240" w:lineRule="auto" w:before="6"/>
        <w:rPr>
          <w:rFonts w:ascii="宋体" w:hAnsi="宋体" w:cs="宋体" w:eastAsia="宋体" w:hint="default"/>
          <w:sz w:val="23"/>
          <w:szCs w:val="23"/>
        </w:rPr>
      </w:pPr>
    </w:p>
    <w:p>
      <w:pPr>
        <w:pStyle w:val="Heading4"/>
        <w:spacing w:line="530" w:lineRule="auto"/>
        <w:ind w:left="574" w:right="6143"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）未办妥产权证书的土地使用权情</w:t>
      </w:r>
      <w:bookmarkStart w:name="（2）未办妥产权证书的土地使用权情况" w:id="287"/>
      <w:bookmarkEnd w:id="287"/>
      <w:r>
        <w:rPr/>
        <w:t>况</w:t>
      </w:r>
      <w:r>
        <w:rPr>
          <w:w w:val="99"/>
        </w:rPr>
        <w:t> </w:t>
      </w:r>
      <w:r>
        <w:rPr>
          <w:rFonts w:ascii="宋体" w:hAnsi="宋体" w:cs="宋体" w:eastAsia="宋体" w:hint="default"/>
          <w:b w:val="0"/>
          <w:bCs w:val="0"/>
        </w:rPr>
        <w:t>无。</w:t>
      </w:r>
    </w:p>
    <w:p>
      <w:pPr>
        <w:pStyle w:val="Heading4"/>
        <w:spacing w:line="240" w:lineRule="auto" w:before="115"/>
        <w:ind w:right="97"/>
        <w:jc w:val="left"/>
        <w:rPr>
          <w:b w:val="0"/>
          <w:bCs w:val="0"/>
        </w:rPr>
      </w:pPr>
      <w:r>
        <w:rPr>
          <w:rFonts w:ascii="Times New Roman" w:hAnsi="Times New Roman" w:cs="Times New Roman" w:eastAsia="Times New Roman" w:hint="default"/>
        </w:rPr>
        <w:t>26</w:t>
      </w:r>
      <w:r>
        <w:rPr/>
        <w:t>、开发支出</w:t>
      </w:r>
      <w:r>
        <w:rPr>
          <w:b w:val="0"/>
          <w:bCs w:val="0"/>
        </w:rPr>
      </w:r>
    </w:p>
    <w:p>
      <w:pPr>
        <w:spacing w:line="240" w:lineRule="auto" w:before="8"/>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bookmarkStart w:name="26、开发支出" w:id="288"/>
      <w:bookmarkEnd w:id="288"/>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1146"/>
        <w:gridCol w:w="1276"/>
        <w:gridCol w:w="1134"/>
        <w:gridCol w:w="1134"/>
        <w:gridCol w:w="1276"/>
        <w:gridCol w:w="1134"/>
      </w:tblGrid>
      <w:tr>
        <w:trPr>
          <w:trHeight w:val="385" w:hRule="exact"/>
        </w:trPr>
        <w:tc>
          <w:tcPr>
            <w:tcW w:w="2529" w:type="dxa"/>
            <w:tcBorders>
              <w:top w:val="single" w:sz="4" w:space="0" w:color="000000"/>
              <w:left w:val="single" w:sz="4" w:space="0" w:color="000000"/>
              <w:bottom w:val="nil" w:sz="6" w:space="0" w:color="auto"/>
              <w:right w:val="single" w:sz="4" w:space="0" w:color="000000"/>
            </w:tcBorders>
            <w:shd w:val="clear" w:color="auto" w:fill="DADADA"/>
          </w:tcPr>
          <w:p>
            <w:pPr/>
          </w:p>
        </w:tc>
        <w:tc>
          <w:tcPr>
            <w:tcW w:w="1146" w:type="dxa"/>
            <w:tcBorders>
              <w:top w:val="single" w:sz="4" w:space="0" w:color="000000"/>
              <w:left w:val="single" w:sz="4" w:space="0" w:color="000000"/>
              <w:bottom w:val="nil" w:sz="6" w:space="0" w:color="auto"/>
              <w:right w:val="single" w:sz="4" w:space="0" w:color="000000"/>
            </w:tcBorders>
            <w:shd w:val="clear" w:color="auto" w:fill="DADADA"/>
          </w:tcPr>
          <w:p>
            <w:pP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66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65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3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79" w:hRule="exact"/>
        </w:trPr>
        <w:tc>
          <w:tcPr>
            <w:tcW w:w="2529" w:type="dxa"/>
            <w:vMerge w:val="restart"/>
            <w:tcBorders>
              <w:top w:val="nil" w:sz="6" w:space="0" w:color="auto"/>
              <w:left w:val="single" w:sz="4" w:space="0" w:color="000000"/>
              <w:right w:val="single" w:sz="4" w:space="0" w:color="000000"/>
            </w:tcBorders>
            <w:shd w:val="clear" w:color="auto" w:fill="DADADA"/>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6" w:type="dxa"/>
            <w:vMerge w:val="restart"/>
            <w:tcBorders>
              <w:top w:val="nil" w:sz="6" w:space="0" w:color="auto"/>
              <w:left w:val="single" w:sz="4" w:space="0" w:color="000000"/>
              <w:right w:val="single" w:sz="4" w:space="0" w:color="000000"/>
            </w:tcBorders>
            <w:shd w:val="clear" w:color="auto" w:fill="DADADA"/>
          </w:tcPr>
          <w:p>
            <w:pPr>
              <w:pStyle w:val="TableParagraph"/>
              <w:spacing w:line="240" w:lineRule="auto" w:before="28"/>
              <w:ind w:left="2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6" w:type="dxa"/>
            <w:tcBorders>
              <w:top w:val="single" w:sz="4" w:space="0" w:color="000000"/>
              <w:left w:val="single" w:sz="4" w:space="0" w:color="000000"/>
              <w:bottom w:val="nil" w:sz="6" w:space="0" w:color="auto"/>
              <w:right w:val="single" w:sz="4" w:space="0" w:color="000000"/>
            </w:tcBorders>
            <w:shd w:val="clear" w:color="auto" w:fill="DADADA"/>
          </w:tcPr>
          <w:p>
            <w:pPr/>
          </w:p>
        </w:tc>
        <w:tc>
          <w:tcPr>
            <w:tcW w:w="1134" w:type="dxa"/>
            <w:tcBorders>
              <w:top w:val="single" w:sz="4" w:space="0" w:color="000000"/>
              <w:left w:val="single" w:sz="4" w:space="0" w:color="000000"/>
              <w:bottom w:val="nil" w:sz="6" w:space="0" w:color="auto"/>
              <w:right w:val="single" w:sz="4" w:space="0" w:color="000000"/>
            </w:tcBorders>
            <w:shd w:val="clear" w:color="auto" w:fill="DADADA"/>
          </w:tcPr>
          <w:p>
            <w:pPr/>
          </w:p>
        </w:tc>
        <w:tc>
          <w:tcPr>
            <w:tcW w:w="1134" w:type="dxa"/>
            <w:vMerge w:val="restart"/>
            <w:tcBorders>
              <w:top w:val="single" w:sz="4" w:space="0" w:color="000000"/>
              <w:left w:val="single" w:sz="4" w:space="0" w:color="000000"/>
              <w:right w:val="single" w:sz="4" w:space="0" w:color="000000"/>
            </w:tcBorders>
            <w:shd w:val="clear" w:color="auto" w:fill="DADADA"/>
          </w:tcPr>
          <w:p>
            <w:pPr>
              <w:pStyle w:val="TableParagraph"/>
              <w:spacing w:line="316" w:lineRule="auto" w:before="69"/>
              <w:ind w:left="381" w:right="110"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276" w:type="dxa"/>
            <w:tcBorders>
              <w:top w:val="single" w:sz="4" w:space="0" w:color="000000"/>
              <w:left w:val="single" w:sz="4" w:space="0" w:color="000000"/>
              <w:bottom w:val="nil" w:sz="6" w:space="0" w:color="auto"/>
              <w:right w:val="single" w:sz="4" w:space="0" w:color="000000"/>
            </w:tcBorders>
            <w:shd w:val="clear" w:color="auto" w:fill="DADADA"/>
          </w:tcPr>
          <w:p>
            <w:pPr/>
          </w:p>
        </w:tc>
        <w:tc>
          <w:tcPr>
            <w:tcW w:w="1134" w:type="dxa"/>
            <w:tcBorders>
              <w:top w:val="single" w:sz="4" w:space="0" w:color="000000"/>
              <w:left w:val="single" w:sz="4" w:space="0" w:color="000000"/>
              <w:bottom w:val="nil" w:sz="6" w:space="0" w:color="auto"/>
              <w:right w:val="single" w:sz="4" w:space="0" w:color="000000"/>
            </w:tcBorders>
            <w:shd w:val="clear" w:color="auto" w:fill="DADADA"/>
          </w:tcPr>
          <w:p>
            <w:pPr/>
          </w:p>
        </w:tc>
      </w:tr>
      <w:tr>
        <w:trPr>
          <w:trHeight w:val="191" w:hRule="exact"/>
        </w:trPr>
        <w:tc>
          <w:tcPr>
            <w:tcW w:w="2529" w:type="dxa"/>
            <w:vMerge/>
            <w:tcBorders>
              <w:left w:val="single" w:sz="4" w:space="0" w:color="000000"/>
              <w:bottom w:val="nil" w:sz="6" w:space="0" w:color="auto"/>
              <w:right w:val="single" w:sz="4" w:space="0" w:color="000000"/>
            </w:tcBorders>
            <w:shd w:val="clear" w:color="auto" w:fill="DADADA"/>
          </w:tcPr>
          <w:p>
            <w:pPr/>
          </w:p>
        </w:tc>
        <w:tc>
          <w:tcPr>
            <w:tcW w:w="1146" w:type="dxa"/>
            <w:vMerge/>
            <w:tcBorders>
              <w:left w:val="single" w:sz="4" w:space="0" w:color="000000"/>
              <w:bottom w:val="nil" w:sz="6" w:space="0" w:color="auto"/>
              <w:right w:val="single" w:sz="4" w:space="0" w:color="000000"/>
            </w:tcBorders>
            <w:shd w:val="clear" w:color="auto" w:fill="DADADA"/>
          </w:tcPr>
          <w:p>
            <w:pPr/>
          </w:p>
        </w:tc>
        <w:tc>
          <w:tcPr>
            <w:tcW w:w="1276" w:type="dxa"/>
            <w:vMerge w:val="restart"/>
            <w:tcBorders>
              <w:top w:val="nil" w:sz="6" w:space="0" w:color="auto"/>
              <w:left w:val="single" w:sz="4" w:space="0" w:color="000000"/>
              <w:right w:val="single" w:sz="4" w:space="0" w:color="000000"/>
            </w:tcBorders>
            <w:shd w:val="clear" w:color="auto" w:fill="DADADA"/>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34" w:type="dxa"/>
            <w:vMerge w:val="restart"/>
            <w:tcBorders>
              <w:top w:val="nil" w:sz="6" w:space="0" w:color="auto"/>
              <w:left w:val="single" w:sz="4" w:space="0" w:color="000000"/>
              <w:right w:val="single" w:sz="4" w:space="0" w:color="000000"/>
            </w:tcBorders>
            <w:shd w:val="clear" w:color="auto" w:fill="DADADA"/>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tcBorders>
              <w:left w:val="single" w:sz="4" w:space="0" w:color="000000"/>
              <w:right w:val="single" w:sz="4" w:space="0" w:color="000000"/>
            </w:tcBorders>
            <w:shd w:val="clear" w:color="auto" w:fill="DADADA"/>
          </w:tcPr>
          <w:p>
            <w:pPr/>
          </w:p>
        </w:tc>
        <w:tc>
          <w:tcPr>
            <w:tcW w:w="1276" w:type="dxa"/>
            <w:vMerge w:val="restart"/>
            <w:tcBorders>
              <w:top w:val="nil" w:sz="6" w:space="0" w:color="auto"/>
              <w:left w:val="single" w:sz="4" w:space="0" w:color="000000"/>
              <w:right w:val="single" w:sz="4" w:space="0" w:color="000000"/>
            </w:tcBorders>
            <w:shd w:val="clear" w:color="auto" w:fill="DADADA"/>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34" w:type="dxa"/>
            <w:vMerge w:val="restart"/>
            <w:tcBorders>
              <w:top w:val="nil" w:sz="6" w:space="0" w:color="auto"/>
              <w:left w:val="single" w:sz="4" w:space="0" w:color="000000"/>
              <w:right w:val="single" w:sz="4" w:space="0" w:color="000000"/>
            </w:tcBorders>
            <w:shd w:val="clear" w:color="auto" w:fill="DADADA"/>
          </w:tcPr>
          <w:p>
            <w:pPr/>
          </w:p>
        </w:tc>
      </w:tr>
      <w:tr>
        <w:trPr>
          <w:trHeight w:val="200" w:hRule="exact"/>
        </w:trPr>
        <w:tc>
          <w:tcPr>
            <w:tcW w:w="2529" w:type="dxa"/>
            <w:vMerge w:val="restart"/>
            <w:tcBorders>
              <w:top w:val="nil" w:sz="6" w:space="0" w:color="auto"/>
              <w:left w:val="single" w:sz="4" w:space="0" w:color="000000"/>
              <w:right w:val="single" w:sz="4" w:space="0" w:color="000000"/>
            </w:tcBorders>
            <w:shd w:val="clear" w:color="auto" w:fill="DADADA"/>
          </w:tcPr>
          <w:p>
            <w:pPr/>
          </w:p>
        </w:tc>
        <w:tc>
          <w:tcPr>
            <w:tcW w:w="1146" w:type="dxa"/>
            <w:vMerge w:val="restart"/>
            <w:tcBorders>
              <w:top w:val="nil" w:sz="6" w:space="0" w:color="auto"/>
              <w:left w:val="single" w:sz="4" w:space="0" w:color="000000"/>
              <w:right w:val="single" w:sz="4" w:space="0" w:color="000000"/>
            </w:tcBorders>
            <w:shd w:val="clear" w:color="auto" w:fill="DADADA"/>
          </w:tcPr>
          <w:p>
            <w:pPr/>
          </w:p>
        </w:tc>
        <w:tc>
          <w:tcPr>
            <w:tcW w:w="1276" w:type="dxa"/>
            <w:vMerge/>
            <w:tcBorders>
              <w:left w:val="single" w:sz="4" w:space="0" w:color="000000"/>
              <w:bottom w:val="nil" w:sz="6" w:space="0" w:color="auto"/>
              <w:right w:val="single" w:sz="4" w:space="0" w:color="000000"/>
            </w:tcBorders>
            <w:shd w:val="clear" w:color="auto" w:fill="DADADA"/>
          </w:tcPr>
          <w:p>
            <w:pPr/>
          </w:p>
        </w:tc>
        <w:tc>
          <w:tcPr>
            <w:tcW w:w="1134" w:type="dxa"/>
            <w:vMerge/>
            <w:tcBorders>
              <w:left w:val="single" w:sz="4" w:space="0" w:color="000000"/>
              <w:bottom w:val="nil" w:sz="6" w:space="0" w:color="auto"/>
              <w:right w:val="single" w:sz="4" w:space="0" w:color="000000"/>
            </w:tcBorders>
            <w:shd w:val="clear" w:color="auto" w:fill="DADADA"/>
          </w:tcPr>
          <w:p>
            <w:pPr/>
          </w:p>
        </w:tc>
        <w:tc>
          <w:tcPr>
            <w:tcW w:w="1134" w:type="dxa"/>
            <w:vMerge/>
            <w:tcBorders>
              <w:left w:val="single" w:sz="4" w:space="0" w:color="000000"/>
              <w:right w:val="single" w:sz="4" w:space="0" w:color="000000"/>
            </w:tcBorders>
            <w:shd w:val="clear" w:color="auto" w:fill="DADADA"/>
          </w:tcPr>
          <w:p>
            <w:pPr/>
          </w:p>
        </w:tc>
        <w:tc>
          <w:tcPr>
            <w:tcW w:w="1276" w:type="dxa"/>
            <w:vMerge/>
            <w:tcBorders>
              <w:left w:val="single" w:sz="4" w:space="0" w:color="000000"/>
              <w:bottom w:val="nil" w:sz="6" w:space="0" w:color="auto"/>
              <w:right w:val="single" w:sz="4" w:space="0" w:color="000000"/>
            </w:tcBorders>
            <w:shd w:val="clear" w:color="auto" w:fill="DADADA"/>
          </w:tcPr>
          <w:p>
            <w:pPr/>
          </w:p>
        </w:tc>
        <w:tc>
          <w:tcPr>
            <w:tcW w:w="1134" w:type="dxa"/>
            <w:vMerge/>
            <w:tcBorders>
              <w:left w:val="single" w:sz="4" w:space="0" w:color="000000"/>
              <w:bottom w:val="nil" w:sz="6" w:space="0" w:color="auto"/>
              <w:right w:val="single" w:sz="4" w:space="0" w:color="000000"/>
            </w:tcBorders>
            <w:shd w:val="clear" w:color="auto" w:fill="DADADA"/>
          </w:tcPr>
          <w:p>
            <w:pPr/>
          </w:p>
        </w:tc>
      </w:tr>
      <w:tr>
        <w:trPr>
          <w:trHeight w:val="161" w:hRule="exact"/>
        </w:trPr>
        <w:tc>
          <w:tcPr>
            <w:tcW w:w="2529" w:type="dxa"/>
            <w:vMerge/>
            <w:tcBorders>
              <w:left w:val="single" w:sz="4" w:space="0" w:color="000000"/>
              <w:bottom w:val="single" w:sz="4" w:space="0" w:color="000000"/>
              <w:right w:val="single" w:sz="4" w:space="0" w:color="000000"/>
            </w:tcBorders>
            <w:shd w:val="clear" w:color="auto" w:fill="DADADA"/>
          </w:tcPr>
          <w:p>
            <w:pPr/>
          </w:p>
        </w:tc>
        <w:tc>
          <w:tcPr>
            <w:tcW w:w="1146" w:type="dxa"/>
            <w:vMerge/>
            <w:tcBorders>
              <w:left w:val="single" w:sz="4" w:space="0" w:color="000000"/>
              <w:bottom w:val="single" w:sz="4" w:space="0" w:color="000000"/>
              <w:right w:val="single" w:sz="4" w:space="0" w:color="000000"/>
            </w:tcBorders>
            <w:shd w:val="clear" w:color="auto" w:fill="DADADA"/>
          </w:tcPr>
          <w:p>
            <w:pPr/>
          </w:p>
        </w:tc>
        <w:tc>
          <w:tcPr>
            <w:tcW w:w="1276" w:type="dxa"/>
            <w:tcBorders>
              <w:top w:val="nil" w:sz="6" w:space="0" w:color="auto"/>
              <w:left w:val="single" w:sz="4" w:space="0" w:color="000000"/>
              <w:bottom w:val="single" w:sz="4" w:space="0" w:color="000000"/>
              <w:right w:val="single" w:sz="4" w:space="0" w:color="000000"/>
            </w:tcBorders>
            <w:shd w:val="clear" w:color="auto" w:fill="DADADA"/>
          </w:tcPr>
          <w:p>
            <w:pPr/>
          </w:p>
        </w:tc>
        <w:tc>
          <w:tcPr>
            <w:tcW w:w="1134" w:type="dxa"/>
            <w:tcBorders>
              <w:top w:val="nil" w:sz="6" w:space="0" w:color="auto"/>
              <w:left w:val="single" w:sz="4" w:space="0" w:color="000000"/>
              <w:bottom w:val="single" w:sz="4" w:space="0" w:color="000000"/>
              <w:right w:val="single" w:sz="4" w:space="0" w:color="000000"/>
            </w:tcBorders>
            <w:shd w:val="clear" w:color="auto" w:fill="DADADA"/>
          </w:tcPr>
          <w:p>
            <w:pPr/>
          </w:p>
        </w:tc>
        <w:tc>
          <w:tcPr>
            <w:tcW w:w="1134" w:type="dxa"/>
            <w:vMerge/>
            <w:tcBorders>
              <w:left w:val="single" w:sz="4" w:space="0" w:color="000000"/>
              <w:bottom w:val="single" w:sz="4" w:space="0" w:color="000000"/>
              <w:right w:val="single" w:sz="4" w:space="0" w:color="000000"/>
            </w:tcBorders>
            <w:shd w:val="clear" w:color="auto" w:fill="DADADA"/>
          </w:tcPr>
          <w:p>
            <w:pPr/>
          </w:p>
        </w:tc>
        <w:tc>
          <w:tcPr>
            <w:tcW w:w="1276" w:type="dxa"/>
            <w:tcBorders>
              <w:top w:val="nil" w:sz="6" w:space="0" w:color="auto"/>
              <w:left w:val="single" w:sz="4" w:space="0" w:color="000000"/>
              <w:bottom w:val="single" w:sz="4" w:space="0" w:color="000000"/>
              <w:right w:val="single" w:sz="4" w:space="0" w:color="000000"/>
            </w:tcBorders>
            <w:shd w:val="clear" w:color="auto" w:fill="DADADA"/>
          </w:tcPr>
          <w:p>
            <w:pPr/>
          </w:p>
        </w:tc>
        <w:tc>
          <w:tcPr>
            <w:tcW w:w="1134" w:type="dxa"/>
            <w:tcBorders>
              <w:top w:val="nil" w:sz="6" w:space="0" w:color="auto"/>
              <w:left w:val="single" w:sz="4" w:space="0" w:color="000000"/>
              <w:bottom w:val="single" w:sz="4" w:space="0" w:color="000000"/>
              <w:right w:val="single" w:sz="4" w:space="0" w:color="000000"/>
            </w:tcBorders>
            <w:shd w:val="clear" w:color="auto" w:fill="DADADA"/>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极光超算分析系统</w:t>
            </w:r>
          </w:p>
        </w:tc>
        <w:tc>
          <w:tcPr>
            <w:tcW w:w="1146"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1,754,373.47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1,864,379.65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3,331,454.12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471,799.00</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电子数据移动取证系统</w:t>
            </w:r>
          </w:p>
        </w:tc>
        <w:tc>
          <w:tcPr>
            <w:tcW w:w="1146"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1,044,909.89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138,901.47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1,183,811.36</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固定翼无人机</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2,011,838.49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2,068,838.49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电子数据分析系统</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6,712,932.83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243,811.32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6,956,744.15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手机数据取证与查缉终端</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834,674.46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181,143.47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653,530.99</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智能终端取证系统</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124,815.46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106,226.44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18,589.02</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分布式取证分析系统</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1,849,245.06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747,568.96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1,101,676.10</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取证魔方</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829,841.46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42,529.28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787,312.18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手机并行取证系统</w:t>
            </w:r>
            <w:r>
              <w:rPr>
                <w:rFonts w:ascii="Times New Roman" w:hAnsi="Times New Roman" w:cs="Times New Roman" w:eastAsia="Times New Roman" w:hint="default"/>
                <w:sz w:val="18"/>
                <w:szCs w:val="18"/>
              </w:rPr>
              <w:t>.</w:t>
            </w:r>
            <w:r>
              <w:rPr>
                <w:rFonts w:ascii="宋体" w:hAnsi="宋体" w:cs="宋体" w:eastAsia="宋体" w:hint="default"/>
                <w:sz w:val="18"/>
                <w:szCs w:val="18"/>
              </w:rPr>
              <w:t>并行版</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1,339,018.70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1,339,018.70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手机并行取证系统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专用机版</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2,075,050.77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579,732.69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1,495,318.08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恢复大师</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760,434.90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228,228.98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532,205.92</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手机恢复塔</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829,915.68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829,915.68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网络可信交易系统</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946,800.33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744,174.17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202,626.16</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11"/>
                <w:sz w:val="18"/>
                <w:szCs w:val="18"/>
              </w:rPr>
              <w:t>取证大师电子数据取证分析系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326,211.85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326,211.85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美亚通</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187,937.76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187,937.76</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卡口智能处理系统</w:t>
            </w:r>
          </w:p>
        </w:tc>
        <w:tc>
          <w:tcPr>
            <w:tcW w:w="1146" w:type="dxa"/>
            <w:tcBorders>
              <w:top w:val="single" w:sz="4" w:space="0" w:color="000000"/>
              <w:left w:val="single" w:sz="13" w:space="0" w:color="DADADA"/>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310,240.61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310,240.61</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2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552"/>
        <w:gridCol w:w="1134"/>
        <w:gridCol w:w="1276"/>
        <w:gridCol w:w="1134"/>
        <w:gridCol w:w="1134"/>
        <w:gridCol w:w="1276"/>
        <w:gridCol w:w="1134"/>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90,209,913.94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1,185,956.82</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90,209,913.94</w:t>
            </w: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2,799,283.36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111,352,153.42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1,671,268.14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6,168,711.82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96,182,371.28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13,471,621.82</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其他说明：</w:t>
      </w:r>
    </w:p>
    <w:p>
      <w:pPr>
        <w:spacing w:line="240" w:lineRule="auto" w:before="7"/>
        <w:rPr>
          <w:rFonts w:ascii="宋体" w:hAnsi="宋体" w:cs="宋体" w:eastAsia="宋体" w:hint="default"/>
          <w:sz w:val="15"/>
          <w:szCs w:val="15"/>
        </w:rPr>
      </w:pPr>
    </w:p>
    <w:tbl>
      <w:tblPr>
        <w:tblW w:w="0" w:type="auto"/>
        <w:jc w:val="left"/>
        <w:tblInd w:w="137" w:type="dxa"/>
        <w:tblLayout w:type="fixed"/>
        <w:tblCellMar>
          <w:top w:w="0" w:type="dxa"/>
          <w:left w:w="0" w:type="dxa"/>
          <w:bottom w:w="0" w:type="dxa"/>
          <w:right w:w="0" w:type="dxa"/>
        </w:tblCellMar>
        <w:tblLook w:val="01E0"/>
      </w:tblPr>
      <w:tblGrid>
        <w:gridCol w:w="2563"/>
        <w:gridCol w:w="1559"/>
        <w:gridCol w:w="2833"/>
        <w:gridCol w:w="2702"/>
      </w:tblGrid>
      <w:tr>
        <w:trPr>
          <w:trHeight w:val="42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资本化开始时点</w:t>
            </w:r>
          </w:p>
        </w:tc>
        <w:tc>
          <w:tcPr>
            <w:tcW w:w="28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88" w:right="0"/>
              <w:jc w:val="left"/>
              <w:rPr>
                <w:rFonts w:ascii="宋体" w:hAnsi="宋体" w:cs="宋体" w:eastAsia="宋体" w:hint="default"/>
                <w:sz w:val="18"/>
                <w:szCs w:val="18"/>
              </w:rPr>
            </w:pPr>
            <w:r>
              <w:rPr>
                <w:rFonts w:ascii="宋体" w:hAnsi="宋体" w:cs="宋体" w:eastAsia="宋体" w:hint="default"/>
                <w:sz w:val="18"/>
                <w:szCs w:val="18"/>
              </w:rPr>
              <w:t>资本化的具体依据</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3" w:right="0"/>
              <w:jc w:val="left"/>
              <w:rPr>
                <w:rFonts w:ascii="宋体" w:hAnsi="宋体" w:cs="宋体" w:eastAsia="宋体" w:hint="default"/>
                <w:sz w:val="18"/>
                <w:szCs w:val="18"/>
              </w:rPr>
            </w:pPr>
            <w:r>
              <w:rPr>
                <w:rFonts w:ascii="宋体" w:hAnsi="宋体" w:cs="宋体" w:eastAsia="宋体" w:hint="default"/>
                <w:sz w:val="18"/>
                <w:szCs w:val="18"/>
              </w:rPr>
              <w:t>截至年末的研发进度</w:t>
            </w:r>
          </w:p>
        </w:tc>
      </w:tr>
      <w:tr>
        <w:trPr>
          <w:trHeight w:val="42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极光超算分析系统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2014/2/1</w:t>
            </w:r>
          </w:p>
        </w:tc>
        <w:tc>
          <w:tcPr>
            <w:tcW w:w="283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316" w:lineRule="auto"/>
              <w:ind w:left="2" w:right="0" w:hanging="114"/>
              <w:jc w:val="center"/>
              <w:rPr>
                <w:rFonts w:ascii="宋体" w:hAnsi="宋体" w:cs="宋体" w:eastAsia="宋体" w:hint="default"/>
                <w:sz w:val="18"/>
                <w:szCs w:val="18"/>
              </w:rPr>
            </w:pPr>
            <w:r>
              <w:rPr>
                <w:rFonts w:ascii="宋体" w:hAnsi="宋体" w:cs="宋体" w:eastAsia="宋体" w:hint="default"/>
                <w:sz w:val="18"/>
                <w:szCs w:val="18"/>
              </w:rPr>
              <w:t>完成研发项目在技术上具有可行性 项目实施完成后具有较好的市场容 </w:t>
            </w:r>
            <w:r>
              <w:rPr>
                <w:rFonts w:ascii="宋体" w:hAnsi="宋体" w:cs="宋体" w:eastAsia="宋体" w:hint="default"/>
                <w:spacing w:val="-5"/>
                <w:sz w:val="18"/>
                <w:szCs w:val="18"/>
              </w:rPr>
              <w:t>量和市场占有率，可以为项目收益提</w:t>
            </w:r>
            <w:r>
              <w:rPr>
                <w:rFonts w:ascii="宋体" w:hAnsi="宋体" w:cs="宋体" w:eastAsia="宋体" w:hint="default"/>
                <w:sz w:val="18"/>
                <w:szCs w:val="18"/>
              </w:rPr>
              <w:t> 供有力保证，同时公司有足够的技 </w:t>
            </w:r>
            <w:r>
              <w:rPr>
                <w:rFonts w:ascii="宋体" w:hAnsi="宋体" w:cs="宋体" w:eastAsia="宋体" w:hint="default"/>
                <w:spacing w:val="-10"/>
                <w:sz w:val="18"/>
                <w:szCs w:val="18"/>
              </w:rPr>
              <w:t>术、财务等资源的支持，并单独核算</w:t>
            </w:r>
            <w:r>
              <w:rPr>
                <w:rFonts w:ascii="宋体" w:hAnsi="宋体" w:cs="宋体" w:eastAsia="宋体" w:hint="default"/>
                <w:sz w:val="18"/>
                <w:szCs w:val="18"/>
              </w:rPr>
              <w:t> 支出能够可靠的计量</w:t>
            </w: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42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固定翼无人机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2012/7/1</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第四阶段开发中</w:t>
            </w:r>
          </w:p>
        </w:tc>
      </w:tr>
      <w:tr>
        <w:trPr>
          <w:trHeight w:val="739"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电子数据分析系统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2015/1/1</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完成系统</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80%</w:t>
            </w:r>
            <w:r>
              <w:rPr>
                <w:rFonts w:ascii="宋体" w:hAnsi="宋体" w:cs="宋体" w:eastAsia="宋体" w:hint="default"/>
                <w:spacing w:val="-3"/>
                <w:sz w:val="18"/>
                <w:szCs w:val="18"/>
              </w:rPr>
              <w:t>功能模块的开发，并</w:t>
            </w:r>
            <w:r>
              <w:rPr>
                <w:rFonts w:ascii="宋体" w:hAnsi="宋体" w:cs="宋体" w:eastAsia="宋体" w:hint="default"/>
                <w:sz w:val="18"/>
                <w:szCs w:val="18"/>
              </w:rPr>
              <w:t> 开始重点模块的单元测试</w:t>
            </w:r>
          </w:p>
        </w:tc>
      </w:tr>
      <w:tr>
        <w:trPr>
          <w:trHeight w:val="42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手机数据取证与查缉终端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2015/1/1</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42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智能终端取证系统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2015/1/1</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42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分布式取证分析系统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2015/3/1</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739"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取证魔方</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2015/5/16</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175" w:lineRule="exact" w:before="62"/>
              <w:ind w:left="3" w:right="-16"/>
              <w:jc w:val="left"/>
              <w:rPr>
                <w:rFonts w:ascii="宋体" w:hAnsi="宋体" w:cs="宋体" w:eastAsia="宋体" w:hint="default"/>
                <w:sz w:val="18"/>
                <w:szCs w:val="18"/>
              </w:rPr>
            </w:pPr>
            <w:r>
              <w:rPr>
                <w:rFonts w:ascii="宋体" w:hAnsi="宋体" w:cs="宋体" w:eastAsia="宋体" w:hint="default"/>
                <w:sz w:val="18"/>
                <w:szCs w:val="18"/>
              </w:rPr>
              <w:t>硬件评估主板方案，结构化设计，</w:t>
            </w:r>
          </w:p>
          <w:p>
            <w:pPr>
              <w:pStyle w:val="TableParagraph"/>
              <w:spacing w:line="156"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6" w:lineRule="exact"/>
              <w:ind w:left="3" w:right="0"/>
              <w:jc w:val="left"/>
              <w:rPr>
                <w:rFonts w:ascii="宋体" w:hAnsi="宋体" w:cs="宋体" w:eastAsia="宋体" w:hint="default"/>
                <w:sz w:val="18"/>
                <w:szCs w:val="18"/>
              </w:rPr>
            </w:pPr>
            <w:r>
              <w:rPr>
                <w:rFonts w:ascii="宋体" w:hAnsi="宋体" w:cs="宋体" w:eastAsia="宋体" w:hint="default"/>
                <w:sz w:val="18"/>
                <w:szCs w:val="18"/>
              </w:rPr>
              <w:t>软硬件需求评估及评审</w:t>
            </w:r>
          </w:p>
        </w:tc>
      </w:tr>
      <w:tr>
        <w:trPr>
          <w:trHeight w:val="42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手机并行取证系统</w:t>
            </w:r>
            <w:r>
              <w:rPr>
                <w:rFonts w:ascii="Times New Roman" w:hAnsi="Times New Roman" w:cs="Times New Roman" w:eastAsia="Times New Roman" w:hint="default"/>
                <w:sz w:val="18"/>
                <w:szCs w:val="18"/>
              </w:rPr>
              <w:t>-</w:t>
            </w:r>
            <w:r>
              <w:rPr>
                <w:rFonts w:ascii="宋体" w:hAnsi="宋体" w:cs="宋体" w:eastAsia="宋体" w:hint="default"/>
                <w:sz w:val="18"/>
                <w:szCs w:val="18"/>
              </w:rPr>
              <w:t>并行版</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2015/4/20</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第八轮硬件问题回归</w:t>
            </w:r>
          </w:p>
        </w:tc>
      </w:tr>
      <w:tr>
        <w:trPr>
          <w:trHeight w:val="739"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手机并行取证系统</w:t>
            </w:r>
            <w:r>
              <w:rPr>
                <w:rFonts w:ascii="Times New Roman" w:hAnsi="Times New Roman" w:cs="Times New Roman" w:eastAsia="Times New Roman" w:hint="default"/>
                <w:sz w:val="18"/>
                <w:szCs w:val="18"/>
              </w:rPr>
              <w:t>-</w:t>
            </w:r>
            <w:r>
              <w:rPr>
                <w:rFonts w:ascii="宋体" w:hAnsi="宋体" w:cs="宋体" w:eastAsia="宋体" w:hint="default"/>
                <w:sz w:val="18"/>
                <w:szCs w:val="18"/>
              </w:rPr>
              <w:t>专用机</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2015/8/3</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before="62"/>
              <w:ind w:left="3" w:right="0"/>
              <w:jc w:val="left"/>
              <w:rPr>
                <w:rFonts w:ascii="宋体" w:hAnsi="宋体" w:cs="宋体" w:eastAsia="宋体" w:hint="default"/>
                <w:sz w:val="18"/>
                <w:szCs w:val="18"/>
              </w:rPr>
            </w:pPr>
            <w:r>
              <w:rPr>
                <w:rFonts w:ascii="宋体" w:hAnsi="宋体" w:cs="宋体" w:eastAsia="宋体" w:hint="default"/>
                <w:spacing w:val="-2"/>
                <w:sz w:val="18"/>
                <w:szCs w:val="18"/>
              </w:rPr>
              <w:t>第三轮版本回归，主要修复交互及</w:t>
            </w:r>
          </w:p>
          <w:p>
            <w:pPr>
              <w:pStyle w:val="TableParagraph"/>
              <w:spacing w:line="156" w:lineRule="exact"/>
              <w:ind w:left="-10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6" w:lineRule="exact"/>
              <w:ind w:left="3" w:right="0"/>
              <w:jc w:val="left"/>
              <w:rPr>
                <w:rFonts w:ascii="宋体" w:hAnsi="宋体" w:cs="宋体" w:eastAsia="宋体" w:hint="default"/>
                <w:sz w:val="18"/>
                <w:szCs w:val="18"/>
              </w:rPr>
            </w:pPr>
            <w:r>
              <w:rPr>
                <w:rFonts w:ascii="宋体" w:hAnsi="宋体" w:cs="宋体" w:eastAsia="宋体" w:hint="default"/>
                <w:sz w:val="18"/>
                <w:szCs w:val="18"/>
              </w:rPr>
              <w:t>视觉走查问题</w:t>
            </w:r>
          </w:p>
        </w:tc>
      </w:tr>
      <w:tr>
        <w:trPr>
          <w:trHeight w:val="426"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恢复大师</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2015/5/18</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42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手机恢复塔</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2015/7/10</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42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网络可信交易系统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2015/8/16</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427"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取证大师电子数据取证分析系统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2015/8/27</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完成项目一期功能的研发和测试</w:t>
            </w:r>
          </w:p>
        </w:tc>
      </w:tr>
      <w:tr>
        <w:trPr>
          <w:trHeight w:val="739"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美亚通</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2015/9/6</w:t>
            </w:r>
          </w:p>
        </w:tc>
        <w:tc>
          <w:tcPr>
            <w:tcW w:w="2833" w:type="dxa"/>
            <w:vMerge/>
            <w:tcBorders>
              <w:left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9"/>
              <w:jc w:val="left"/>
              <w:rPr>
                <w:rFonts w:ascii="宋体" w:hAnsi="宋体" w:cs="宋体" w:eastAsia="宋体" w:hint="default"/>
                <w:sz w:val="18"/>
                <w:szCs w:val="18"/>
              </w:rPr>
            </w:pPr>
            <w:r>
              <w:rPr>
                <w:rFonts w:ascii="宋体" w:hAnsi="宋体" w:cs="宋体" w:eastAsia="宋体" w:hint="default"/>
                <w:spacing w:val="12"/>
                <w:sz w:val="18"/>
                <w:szCs w:val="18"/>
              </w:rPr>
              <w:t>已完成工具第一版新界面换肤工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作并收集相关问题</w:t>
            </w:r>
          </w:p>
        </w:tc>
      </w:tr>
      <w:tr>
        <w:trPr>
          <w:trHeight w:val="739" w:hRule="exact"/>
        </w:trPr>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卡口智能处理系统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2015/11/3</w:t>
            </w:r>
          </w:p>
        </w:tc>
        <w:tc>
          <w:tcPr>
            <w:tcW w:w="2833" w:type="dxa"/>
            <w:vMerge/>
            <w:tcBorders>
              <w:left w:val="single" w:sz="6" w:space="0" w:color="000000"/>
              <w:bottom w:val="single" w:sz="6" w:space="0" w:color="000000"/>
              <w:right w:val="single" w:sz="6" w:space="0" w:color="000000"/>
            </w:tcBorders>
          </w:tcPr>
          <w:p>
            <w:pPr/>
          </w:p>
        </w:tc>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3" w:right="0"/>
              <w:jc w:val="left"/>
              <w:rPr>
                <w:rFonts w:ascii="宋体" w:hAnsi="宋体" w:cs="宋体" w:eastAsia="宋体" w:hint="default"/>
                <w:sz w:val="18"/>
                <w:szCs w:val="18"/>
              </w:rPr>
            </w:pPr>
            <w:r>
              <w:rPr>
                <w:rFonts w:ascii="宋体" w:hAnsi="宋体" w:cs="宋体" w:eastAsia="宋体" w:hint="default"/>
                <w:spacing w:val="-2"/>
                <w:sz w:val="18"/>
                <w:szCs w:val="18"/>
              </w:rPr>
              <w:t>已汇聚卡口取证设备数据，完成相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关功能雏形开发</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说明：</w:t>
      </w:r>
    </w:p>
    <w:p>
      <w:pPr>
        <w:spacing w:line="240" w:lineRule="auto" w:before="10"/>
        <w:rPr>
          <w:rFonts w:ascii="宋体" w:hAnsi="宋体" w:cs="宋体" w:eastAsia="宋体" w:hint="default"/>
          <w:sz w:val="16"/>
          <w:szCs w:val="16"/>
        </w:rPr>
      </w:pPr>
    </w:p>
    <w:p>
      <w:pPr>
        <w:pStyle w:val="BodyText"/>
        <w:spacing w:line="319" w:lineRule="auto"/>
        <w:ind w:left="154" w:right="112" w:firstLine="420"/>
        <w:jc w:val="left"/>
      </w:pPr>
      <w:r>
        <w:rPr>
          <w:spacing w:val="-1"/>
        </w:rPr>
        <w:t>（</w:t>
      </w:r>
      <w:r>
        <w:rPr>
          <w:rFonts w:ascii="Times New Roman" w:hAnsi="Times New Roman" w:cs="Times New Roman" w:eastAsia="Times New Roman" w:hint="default"/>
          <w:spacing w:val="-1"/>
        </w:rPr>
        <w:t>1</w:t>
      </w:r>
      <w:r>
        <w:rPr>
          <w:spacing w:val="-1"/>
        </w:rPr>
        <w:t>）固定翼无人机项目自</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7</w:t>
      </w:r>
      <w:r>
        <w:rPr>
          <w:spacing w:val="-1"/>
        </w:rPr>
        <w:t>月已完成项目的技术预研、需求分析进入开发阶段，完成上述研发</w:t>
      </w:r>
      <w:r>
        <w:rPr/>
        <w:t> 项目在技术上具有可行性，项目实施完成后能提供现场勘查、抢险救灾、道路巡视等领域进行实时拍摄、 </w:t>
      </w:r>
      <w:r>
        <w:rPr>
          <w:spacing w:val="-1"/>
        </w:rPr>
        <w:t>图像传输的小型无人飞行器，具有较好的市场容量，可以为项目收益提供有力保证，同时公司有足够的技</w:t>
      </w:r>
      <w:r>
        <w:rPr>
          <w:spacing w:val="-83"/>
        </w:rPr>
        <w:t> </w:t>
      </w:r>
      <w:r>
        <w:rPr>
          <w:spacing w:val="-83"/>
        </w:rPr>
      </w:r>
      <w:r>
        <w:rPr/>
        <w:t>术、财务等资源的支持，并单独核算，支出能够可靠的计量。该项目于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月启动第四期开发工作，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日处于原理样机测试阶段。</w:t>
      </w:r>
    </w:p>
    <w:p>
      <w:pPr>
        <w:pStyle w:val="BodyText"/>
        <w:spacing w:line="309" w:lineRule="auto" w:before="127"/>
        <w:ind w:left="154" w:right="151" w:firstLine="419"/>
        <w:jc w:val="both"/>
      </w:pPr>
      <w:r>
        <w:rPr>
          <w:spacing w:val="-4"/>
        </w:rPr>
        <w:t>（</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10</w:t>
      </w:r>
      <w:r>
        <w:rPr>
          <w:spacing w:val="-4"/>
        </w:rPr>
        <w:t>日，厦门大学资产评估土地房地产估价有限责任公司出具了“大学评估</w:t>
      </w:r>
      <w:r>
        <w:rPr>
          <w:rFonts w:ascii="Times New Roman" w:hAnsi="Times New Roman" w:cs="Times New Roman" w:eastAsia="Times New Roman" w:hint="default"/>
          <w:spacing w:val="-4"/>
        </w:rPr>
        <w:t>[2016]ZL0002</w:t>
      </w:r>
      <w:r>
        <w:rPr>
          <w:rFonts w:ascii="Times New Roman" w:hAnsi="Times New Roman" w:cs="Times New Roman" w:eastAsia="Times New Roman" w:hint="default"/>
          <w:spacing w:val="-1"/>
        </w:rPr>
        <w:t> </w:t>
      </w:r>
      <w:r>
        <w:rPr>
          <w:spacing w:val="-3"/>
        </w:rPr>
        <w:t>号”《厦门市美亚柏科信息股份有限公司以财务报告为目的而了解资产价值涉及的研发支出</w:t>
      </w:r>
      <w:r>
        <w:rPr>
          <w:rFonts w:ascii="Times New Roman" w:hAnsi="Times New Roman" w:cs="Times New Roman" w:eastAsia="Times New Roman" w:hint="default"/>
          <w:spacing w:val="-3"/>
        </w:rPr>
        <w:t>-</w:t>
      </w:r>
      <w:r>
        <w:rPr>
          <w:spacing w:val="-3"/>
        </w:rPr>
        <w:t>资本化支出和</w:t>
      </w:r>
      <w:r>
        <w:rPr>
          <w:spacing w:val="-59"/>
        </w:rPr>
        <w:t> </w:t>
      </w:r>
      <w:r>
        <w:rPr>
          <w:spacing w:val="-1"/>
        </w:rPr>
        <w:t>无形资产评估报告书》，对本公司自行研发的已完成或正处于资本化阶段的</w:t>
      </w:r>
      <w:r>
        <w:rPr>
          <w:rFonts w:ascii="Times New Roman" w:hAnsi="Times New Roman" w:cs="Times New Roman" w:eastAsia="Times New Roman" w:hint="default"/>
          <w:spacing w:val="-1"/>
        </w:rPr>
        <w:t>45</w:t>
      </w:r>
      <w:r>
        <w:rPr>
          <w:spacing w:val="-1"/>
        </w:rPr>
        <w:t>项研发产品采用收益法进行</w:t>
      </w:r>
    </w:p>
    <w:p>
      <w:pPr>
        <w:spacing w:after="0" w:line="309" w:lineRule="auto"/>
        <w:jc w:val="both"/>
        <w:sectPr>
          <w:pgSz w:w="11910" w:h="16840"/>
          <w:pgMar w:header="917" w:footer="1267" w:top="1140" w:bottom="1460" w:left="980" w:right="980"/>
        </w:sectPr>
      </w:pPr>
    </w:p>
    <w:p>
      <w:pPr>
        <w:spacing w:line="240" w:lineRule="auto" w:before="6"/>
        <w:rPr>
          <w:rFonts w:ascii="宋体" w:hAnsi="宋体" w:cs="宋体" w:eastAsia="宋体" w:hint="default"/>
          <w:sz w:val="21"/>
          <w:szCs w:val="21"/>
        </w:rPr>
      </w:pPr>
    </w:p>
    <w:p>
      <w:pPr>
        <w:pStyle w:val="BodyText"/>
        <w:spacing w:line="309" w:lineRule="auto" w:before="35"/>
        <w:ind w:left="153" w:right="0"/>
        <w:jc w:val="left"/>
      </w:pPr>
      <w:bookmarkStart w:name="29、递延所得税资产/递延所得税负债" w:id="289"/>
      <w:bookmarkEnd w:id="289"/>
      <w:r>
        <w:rPr/>
      </w:r>
      <w:bookmarkStart w:name="（1）未经抵销的递延所得税资产" w:id="290"/>
      <w:bookmarkEnd w:id="290"/>
      <w:r>
        <w:rPr/>
      </w:r>
      <w:r>
        <w:rPr>
          <w:spacing w:val="-1"/>
        </w:rPr>
        <w:t>评估，截止评估基准日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日，正处于资本化阶段的研发产品评估价值</w:t>
      </w:r>
      <w:r>
        <w:rPr>
          <w:rFonts w:ascii="Times New Roman" w:hAnsi="Times New Roman" w:cs="Times New Roman" w:eastAsia="Times New Roman" w:hint="default"/>
          <w:spacing w:val="-1"/>
        </w:rPr>
        <w:t>14,592,977.80</w:t>
      </w:r>
      <w:r>
        <w:rPr>
          <w:spacing w:val="-1"/>
        </w:rPr>
        <w:t>元。截止年</w:t>
      </w:r>
      <w:r>
        <w:rPr>
          <w:spacing w:val="-60"/>
        </w:rPr>
        <w:t> </w:t>
      </w:r>
      <w:r>
        <w:rPr>
          <w:spacing w:val="-60"/>
        </w:rPr>
      </w:r>
      <w:r>
        <w:rPr/>
        <w:t>末，上述尚未达到可使用状态的开发支出无减值情况。</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w:t>
      </w:r>
      <w:bookmarkStart w:name="27、商誉" w:id="291"/>
      <w:bookmarkEnd w:id="291"/>
      <w:r>
        <w:rPr/>
        <w:t>账</w:t>
      </w:r>
      <w:r>
        <w:rPr/>
        <w:t>面原值</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1418"/>
        <w:gridCol w:w="1417"/>
        <w:gridCol w:w="1134"/>
        <w:gridCol w:w="992"/>
        <w:gridCol w:w="830"/>
        <w:gridCol w:w="1367"/>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1020" w:right="29" w:hanging="990"/>
              <w:jc w:val="left"/>
              <w:rPr>
                <w:rFonts w:ascii="宋体" w:hAnsi="宋体" w:cs="宋体" w:eastAsia="宋体" w:hint="default"/>
                <w:sz w:val="18"/>
                <w:szCs w:val="18"/>
              </w:rPr>
            </w:pPr>
            <w:bookmarkStart w:name="（1）商誉账面原值" w:id="292"/>
            <w:bookmarkEnd w:id="292"/>
            <w:r>
              <w:rPr/>
            </w:r>
            <w:r>
              <w:rPr>
                <w:rFonts w:ascii="宋体" w:hAnsi="宋体" w:cs="宋体" w:eastAsia="宋体" w:hint="default"/>
                <w:sz w:val="18"/>
                <w:szCs w:val="18"/>
              </w:rPr>
              <w:t>被投资单位名称或形成商誉的 事项</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23"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43,856,030.99</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43,856,030.99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498,346,182.89</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498,346,182.89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41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15,462,481.28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15,462,481.28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1" w:right="0"/>
              <w:jc w:val="left"/>
              <w:rPr>
                <w:rFonts w:ascii="Times New Roman" w:hAnsi="Times New Roman" w:cs="Times New Roman" w:eastAsia="Times New Roman" w:hint="default"/>
                <w:sz w:val="18"/>
                <w:szCs w:val="18"/>
              </w:rPr>
            </w:pPr>
            <w:r>
              <w:rPr>
                <w:rFonts w:ascii="Times New Roman"/>
                <w:sz w:val="18"/>
              </w:rPr>
              <w:t>43,856,030.99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513,808,664.17</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557,664,695.16</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bookmarkStart w:name="（2）商誉减值准备" w:id="293"/>
      <w:bookmarkEnd w:id="293"/>
      <w:r>
        <w:rPr/>
      </w:r>
      <w:r>
        <w:rPr/>
        <w:t>说明商誉减值测试过程、参数及商誉减值损失的确认方法：</w:t>
      </w:r>
    </w:p>
    <w:p>
      <w:pPr>
        <w:spacing w:line="240" w:lineRule="auto" w:before="10"/>
        <w:rPr>
          <w:rFonts w:ascii="宋体" w:hAnsi="宋体" w:cs="宋体" w:eastAsia="宋体" w:hint="default"/>
          <w:sz w:val="16"/>
          <w:szCs w:val="16"/>
        </w:rPr>
      </w:pPr>
    </w:p>
    <w:p>
      <w:pPr>
        <w:pStyle w:val="BodyText"/>
        <w:spacing w:line="309" w:lineRule="auto"/>
        <w:ind w:left="153" w:right="150" w:firstLine="420"/>
        <w:jc w:val="left"/>
      </w:pPr>
      <w:r>
        <w:rPr/>
        <w:t>本公司聘请国融兴华对以</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49"/>
        </w:rPr>
        <w:t> </w:t>
      </w:r>
      <w:r>
        <w:rPr/>
        <w:t>日为基准日的武汉大千、珠海新德汇、江苏税软预计未来 现金流现值进行评估，并于</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8 </w:t>
      </w:r>
      <w:r>
        <w:rPr/>
        <w:t>日出具了“国融兴华评报字</w:t>
      </w:r>
      <w:r>
        <w:rPr>
          <w:rFonts w:ascii="Times New Roman" w:hAnsi="Times New Roman" w:cs="Times New Roman" w:eastAsia="Times New Roman" w:hint="default"/>
        </w:rPr>
        <w:t>[2016]</w:t>
      </w:r>
      <w:r>
        <w:rPr/>
        <w:t>第 </w:t>
      </w:r>
      <w:r>
        <w:rPr>
          <w:rFonts w:ascii="Times New Roman" w:hAnsi="Times New Roman" w:cs="Times New Roman" w:eastAsia="Times New Roman" w:hint="default"/>
        </w:rPr>
        <w:t>020040</w:t>
      </w:r>
      <w:r>
        <w:rPr>
          <w:rFonts w:ascii="Times New Roman" w:hAnsi="Times New Roman" w:cs="Times New Roman" w:eastAsia="Times New Roman" w:hint="default"/>
          <w:spacing w:val="23"/>
        </w:rPr>
        <w:t> </w:t>
      </w:r>
      <w:r>
        <w:rPr>
          <w:spacing w:val="-5"/>
        </w:rPr>
        <w:t>号”、“国融兴华</w:t>
      </w:r>
      <w:r>
        <w:rPr/>
        <w:t> 评报字</w:t>
      </w:r>
      <w:r>
        <w:rPr>
          <w:rFonts w:ascii="Times New Roman" w:hAnsi="Times New Roman" w:cs="Times New Roman" w:eastAsia="Times New Roman" w:hint="default"/>
        </w:rPr>
        <w:t>[2016]</w:t>
      </w:r>
      <w:r>
        <w:rPr/>
        <w:t>第</w:t>
      </w:r>
      <w:r>
        <w:rPr>
          <w:spacing w:val="10"/>
        </w:rPr>
        <w:t> </w:t>
      </w:r>
      <w:r>
        <w:rPr>
          <w:rFonts w:ascii="Times New Roman" w:hAnsi="Times New Roman" w:cs="Times New Roman" w:eastAsia="Times New Roman" w:hint="default"/>
        </w:rPr>
        <w:t>020041</w:t>
      </w:r>
      <w:r>
        <w:rPr>
          <w:rFonts w:ascii="Times New Roman" w:hAnsi="Times New Roman" w:cs="Times New Roman" w:eastAsia="Times New Roman" w:hint="default"/>
          <w:spacing w:val="10"/>
        </w:rPr>
        <w:t> </w:t>
      </w:r>
      <w:r>
        <w:rPr>
          <w:spacing w:val="-3"/>
        </w:rPr>
        <w:t>号”和“国融兴华评报字</w:t>
      </w:r>
      <w:r>
        <w:rPr>
          <w:rFonts w:ascii="Times New Roman" w:hAnsi="Times New Roman" w:cs="Times New Roman" w:eastAsia="Times New Roman" w:hint="default"/>
          <w:spacing w:val="-3"/>
        </w:rPr>
        <w:t>[2016]</w:t>
      </w:r>
      <w:r>
        <w:rPr>
          <w:spacing w:val="-3"/>
        </w:rPr>
        <w:t>第</w:t>
      </w:r>
      <w:r>
        <w:rPr>
          <w:rFonts w:ascii="Times New Roman" w:hAnsi="Times New Roman" w:cs="Times New Roman" w:eastAsia="Times New Roman" w:hint="default"/>
          <w:spacing w:val="-3"/>
        </w:rPr>
        <w:t>020042</w:t>
      </w:r>
      <w:r>
        <w:rPr>
          <w:spacing w:val="-3"/>
        </w:rPr>
        <w:t>号”评估报告，评估报告所载上述项目采</w:t>
      </w:r>
      <w:r>
        <w:rPr>
          <w:spacing w:val="-103"/>
        </w:rPr>
        <w:t> </w:t>
      </w:r>
      <w:r>
        <w:rPr>
          <w:spacing w:val="-103"/>
        </w:rPr>
      </w:r>
      <w:r>
        <w:rPr>
          <w:spacing w:val="-1"/>
        </w:rPr>
        <w:t>用现金流折现方法（</w:t>
      </w:r>
      <w:r>
        <w:rPr>
          <w:rFonts w:ascii="Times New Roman" w:hAnsi="Times New Roman" w:cs="Times New Roman" w:eastAsia="Times New Roman" w:hint="default"/>
          <w:spacing w:val="-1"/>
        </w:rPr>
        <w:t>DCF</w:t>
      </w:r>
      <w:r>
        <w:rPr>
          <w:spacing w:val="-1"/>
        </w:rPr>
        <w:t>）对武汉大千、珠海新德汇、江苏税软预计未来现金流现值进行评估，预计未来</w:t>
      </w:r>
      <w:r>
        <w:rPr>
          <w:spacing w:val="-74"/>
        </w:rPr>
        <w:t> </w:t>
      </w:r>
      <w:r>
        <w:rPr>
          <w:spacing w:val="-74"/>
        </w:rPr>
      </w:r>
      <w:r>
        <w:rPr>
          <w:spacing w:val="-1"/>
        </w:rPr>
        <w:t>现金流现值</w:t>
      </w:r>
      <w:r>
        <w:rPr>
          <w:rFonts w:ascii="Times New Roman" w:hAnsi="Times New Roman" w:cs="Times New Roman" w:eastAsia="Times New Roman" w:hint="default"/>
          <w:spacing w:val="-1"/>
        </w:rPr>
        <w:t>=</w:t>
      </w:r>
      <w:r>
        <w:rPr>
          <w:spacing w:val="-1"/>
        </w:rPr>
        <w:t>经营性资产价值</w:t>
      </w:r>
      <w:r>
        <w:rPr>
          <w:rFonts w:ascii="Times New Roman" w:hAnsi="Times New Roman" w:cs="Times New Roman" w:eastAsia="Times New Roman" w:hint="default"/>
          <w:spacing w:val="-1"/>
        </w:rPr>
        <w:t>+</w:t>
      </w:r>
      <w:r>
        <w:rPr>
          <w:spacing w:val="-1"/>
        </w:rPr>
        <w:t>溢余资产价值</w:t>
      </w:r>
      <w:r>
        <w:rPr>
          <w:rFonts w:ascii="Times New Roman" w:hAnsi="Times New Roman" w:cs="Times New Roman" w:eastAsia="Times New Roman" w:hint="default"/>
          <w:spacing w:val="-1"/>
        </w:rPr>
        <w:t>+</w:t>
      </w:r>
      <w:r>
        <w:rPr>
          <w:spacing w:val="-1"/>
        </w:rPr>
        <w:t>非经营性资产价值</w:t>
      </w:r>
      <w:r>
        <w:rPr>
          <w:rFonts w:ascii="Times New Roman" w:hAnsi="Times New Roman" w:cs="Times New Roman" w:eastAsia="Times New Roman" w:hint="default"/>
          <w:spacing w:val="-1"/>
        </w:rPr>
        <w:t>-</w:t>
      </w:r>
      <w:r>
        <w:rPr>
          <w:spacing w:val="-1"/>
        </w:rPr>
        <w:t>非经营性负债价值，其中折现率选取权益</w:t>
      </w:r>
      <w:r>
        <w:rPr>
          <w:spacing w:val="-86"/>
        </w:rPr>
        <w:t> </w:t>
      </w:r>
      <w:r>
        <w:rPr>
          <w:spacing w:val="-86"/>
        </w:rPr>
      </w:r>
      <w:r>
        <w:rPr>
          <w:spacing w:val="-1"/>
        </w:rPr>
        <w:t>资本成本</w:t>
      </w:r>
      <w:r>
        <w:rPr>
          <w:rFonts w:ascii="Times New Roman" w:hAnsi="Times New Roman" w:cs="Times New Roman" w:eastAsia="Times New Roman" w:hint="default"/>
          <w:spacing w:val="-1"/>
        </w:rPr>
        <w:t>(CAPM)</w:t>
      </w:r>
      <w:r>
        <w:rPr>
          <w:spacing w:val="-1"/>
        </w:rPr>
        <w:t>计算。根据评估报告结果，武汉大千、珠海新德汇、江苏税软评估价值分别为</w:t>
      </w:r>
      <w:r>
        <w:rPr>
          <w:rFonts w:ascii="Times New Roman" w:hAnsi="Times New Roman" w:cs="Times New Roman" w:eastAsia="Times New Roman" w:hint="default"/>
          <w:spacing w:val="-1"/>
        </w:rPr>
        <w:t>5,810.59</w:t>
      </w:r>
      <w:r>
        <w:rPr>
          <w:spacing w:val="-1"/>
        </w:rPr>
        <w:t>万</w:t>
      </w:r>
      <w:r>
        <w:rPr>
          <w:spacing w:val="-85"/>
        </w:rPr>
        <w:t> </w:t>
      </w:r>
      <w:r>
        <w:rPr>
          <w:spacing w:val="-1"/>
        </w:rPr>
        <w:t>元、</w:t>
      </w:r>
      <w:r>
        <w:rPr>
          <w:rFonts w:ascii="Times New Roman" w:hAnsi="Times New Roman" w:cs="Times New Roman" w:eastAsia="Times New Roman" w:hint="default"/>
          <w:spacing w:val="-1"/>
        </w:rPr>
        <w:t>54,500.00</w:t>
      </w:r>
      <w:r>
        <w:rPr>
          <w:spacing w:val="-1"/>
        </w:rPr>
        <w:t>万元、</w:t>
      </w:r>
      <w:r>
        <w:rPr>
          <w:rFonts w:ascii="Times New Roman" w:hAnsi="Times New Roman" w:cs="Times New Roman" w:eastAsia="Times New Roman" w:hint="default"/>
          <w:spacing w:val="-1"/>
        </w:rPr>
        <w:t>56,100.00</w:t>
      </w:r>
      <w:r>
        <w:rPr>
          <w:spacing w:val="-1"/>
        </w:rPr>
        <w:t>万元。截止年末，本公司溢价收购上述三家子公司所形成的商誉未发生减值</w:t>
      </w:r>
      <w:r>
        <w:rPr>
          <w:spacing w:val="-85"/>
        </w:rPr>
        <w:t> </w:t>
      </w:r>
      <w:r>
        <w:rPr>
          <w:spacing w:val="-85"/>
        </w:rPr>
      </w:r>
      <w:r>
        <w:rPr/>
        <w:t>情况。</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w:t>
      </w:r>
      <w:bookmarkStart w:name="28、长期待摊费用" w:id="294"/>
      <w:bookmarkEnd w:id="294"/>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28"/>
        <w:gridCol w:w="1416"/>
        <w:gridCol w:w="1702"/>
        <w:gridCol w:w="1559"/>
        <w:gridCol w:w="1418"/>
        <w:gridCol w:w="1344"/>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05"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901,166.11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1,535,785.99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964,088.19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1,472,863.91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901,166.11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1,535,785.99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964,088.19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1,472,863.91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3828"/>
        <w:gridCol w:w="3321"/>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2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410"/>
        <w:gridCol w:w="1843"/>
        <w:gridCol w:w="1985"/>
        <w:gridCol w:w="1842"/>
        <w:gridCol w:w="1490"/>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184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8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5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4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4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4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51,341,463.17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7,689,913.81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31,333,637.53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3,262,876.66</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84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20,955,163.63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3,112,689.83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10,543,887.81</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1,318,930.88</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4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822,810.87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138,471.34</w:t>
            </w:r>
          </w:p>
        </w:tc>
        <w:tc>
          <w:tcPr>
            <w:tcW w:w="1842"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22,278,266.64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3,341,740.00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10,910,337.93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1,091,033.79</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27,665,000.97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4,139,750.15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22,302,918.52</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2,247,291.85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84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83,927,883.34</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8,392,788.33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123,062,705.28</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18,422,565.13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159,018,665.13</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16,312,921.51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95"/>
      <w:bookmarkEnd w:id="295"/>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未经抵销的递延所得税负债" w:id="296"/>
      <w:bookmarkEnd w:id="296"/>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65"/>
        <w:gridCol w:w="1701"/>
        <w:gridCol w:w="1560"/>
        <w:gridCol w:w="1700"/>
        <w:gridCol w:w="1632"/>
      </w:tblGrid>
      <w:tr>
        <w:trPr>
          <w:trHeight w:val="206" w:hRule="exact"/>
        </w:trPr>
        <w:tc>
          <w:tcPr>
            <w:tcW w:w="2965" w:type="dxa"/>
            <w:tcBorders>
              <w:top w:val="single" w:sz="4" w:space="0" w:color="000000"/>
              <w:left w:val="single" w:sz="4" w:space="0" w:color="000000"/>
              <w:bottom w:val="nil" w:sz="6" w:space="0" w:color="auto"/>
              <w:right w:val="single" w:sz="4" w:space="0" w:color="000000"/>
            </w:tcBorders>
            <w:shd w:val="clear" w:color="auto" w:fill="D4D4D4"/>
          </w:tcPr>
          <w:p>
            <w:pPr/>
          </w:p>
        </w:tc>
        <w:tc>
          <w:tcPr>
            <w:tcW w:w="3261"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3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965"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61" w:type="dxa"/>
            <w:gridSpan w:val="2"/>
            <w:vMerge/>
            <w:tcBorders>
              <w:left w:val="single" w:sz="4" w:space="0" w:color="000000"/>
              <w:bottom w:val="single" w:sz="4" w:space="0" w:color="000000"/>
              <w:right w:val="single" w:sz="4" w:space="0" w:color="000000"/>
            </w:tcBorders>
            <w:shd w:val="clear" w:color="auto" w:fill="D4D4D4"/>
          </w:tcPr>
          <w:p>
            <w:pPr/>
          </w:p>
        </w:tc>
        <w:tc>
          <w:tcPr>
            <w:tcW w:w="3332" w:type="dxa"/>
            <w:gridSpan w:val="2"/>
            <w:vMerge/>
            <w:tcBorders>
              <w:left w:val="single" w:sz="4" w:space="0" w:color="000000"/>
              <w:bottom w:val="single" w:sz="4" w:space="0" w:color="000000"/>
              <w:right w:val="single" w:sz="4" w:space="0" w:color="000000"/>
            </w:tcBorders>
            <w:shd w:val="clear" w:color="auto" w:fill="D4D4D4"/>
          </w:tcPr>
          <w:p>
            <w:pPr/>
          </w:p>
        </w:tc>
      </w:tr>
      <w:tr>
        <w:trPr>
          <w:trHeight w:val="200" w:hRule="exact"/>
        </w:trPr>
        <w:tc>
          <w:tcPr>
            <w:tcW w:w="2965" w:type="dxa"/>
            <w:vMerge/>
            <w:tcBorders>
              <w:left w:val="single" w:sz="4" w:space="0" w:color="000000"/>
              <w:bottom w:val="nil" w:sz="6" w:space="0" w:color="auto"/>
              <w:right w:val="single" w:sz="4" w:space="0" w:color="000000"/>
            </w:tcBorders>
            <w:shd w:val="clear" w:color="auto" w:fill="D4D4D4"/>
          </w:tcPr>
          <w:p>
            <w:pPr/>
          </w:p>
        </w:tc>
        <w:tc>
          <w:tcPr>
            <w:tcW w:w="170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4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0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63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179"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2965" w:type="dxa"/>
            <w:tcBorders>
              <w:top w:val="nil" w:sz="6" w:space="0" w:color="auto"/>
              <w:left w:val="single" w:sz="4" w:space="0" w:color="000000"/>
              <w:bottom w:val="single" w:sz="4" w:space="0" w:color="000000"/>
              <w:right w:val="single" w:sz="4" w:space="0" w:color="000000"/>
            </w:tcBorders>
            <w:shd w:val="clear" w:color="auto" w:fill="D4D4D4"/>
          </w:tcPr>
          <w:p>
            <w:pPr/>
          </w:p>
        </w:tc>
        <w:tc>
          <w:tcPr>
            <w:tcW w:w="1701" w:type="dxa"/>
            <w:vMerge/>
            <w:tcBorders>
              <w:left w:val="single" w:sz="4" w:space="0" w:color="000000"/>
              <w:bottom w:val="single" w:sz="4" w:space="0" w:color="000000"/>
              <w:right w:val="single" w:sz="4" w:space="0" w:color="000000"/>
            </w:tcBorders>
            <w:shd w:val="clear" w:color="auto" w:fill="D4D4D4"/>
          </w:tcPr>
          <w:p>
            <w:pPr/>
          </w:p>
        </w:tc>
        <w:tc>
          <w:tcPr>
            <w:tcW w:w="1560" w:type="dxa"/>
            <w:vMerge/>
            <w:tcBorders>
              <w:left w:val="single" w:sz="4" w:space="0" w:color="000000"/>
              <w:bottom w:val="single" w:sz="4" w:space="0" w:color="000000"/>
              <w:right w:val="single" w:sz="4" w:space="0" w:color="000000"/>
            </w:tcBorders>
            <w:shd w:val="clear" w:color="auto" w:fill="D4D4D4"/>
          </w:tcPr>
          <w:p>
            <w:pPr/>
          </w:p>
        </w:tc>
        <w:tc>
          <w:tcPr>
            <w:tcW w:w="1700" w:type="dxa"/>
            <w:vMerge/>
            <w:tcBorders>
              <w:left w:val="single" w:sz="4" w:space="0" w:color="000000"/>
              <w:bottom w:val="single" w:sz="4" w:space="0" w:color="000000"/>
              <w:right w:val="single" w:sz="4" w:space="0" w:color="000000"/>
            </w:tcBorders>
            <w:shd w:val="clear" w:color="auto" w:fill="D4D4D4"/>
          </w:tcPr>
          <w:p>
            <w:pPr/>
          </w:p>
        </w:tc>
        <w:tc>
          <w:tcPr>
            <w:tcW w:w="163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非同一控制企业合并资产评估增值</w:t>
            </w:r>
          </w:p>
        </w:tc>
        <w:tc>
          <w:tcPr>
            <w:tcW w:w="170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5,808,720.00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726,090.00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6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5,808,720.00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726,090.00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530" w:lineRule="auto" w:before="35"/>
        <w:ind w:left="574" w:right="5240"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）以抵销后净额列示的递延所得税资产或负债</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以抵销后净额列示的递延所得税资产或负债" w:id="297"/>
      <w:bookmarkEnd w:id="297"/>
      <w:r>
        <w:rPr/>
      </w:r>
      <w:bookmarkStart w:name="（4）未确认递延所得税资产明细" w:id="298"/>
      <w:bookmarkEnd w:id="298"/>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3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1,033.48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1,321,444.52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1,322,478.00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1"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8"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41"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040"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8"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51" w:right="0"/>
              <w:jc w:val="left"/>
              <w:rPr>
                <w:rFonts w:ascii="Times New Roman" w:hAnsi="Times New Roman" w:cs="Times New Roman" w:eastAsia="Times New Roman" w:hint="default"/>
                <w:sz w:val="18"/>
                <w:szCs w:val="18"/>
              </w:rPr>
            </w:pPr>
            <w:r>
              <w:rPr>
                <w:rFonts w:ascii="Times New Roman"/>
                <w:sz w:val="18"/>
              </w:rPr>
              <w:t>582,313.08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697,090.95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42,040.49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1,321,444.52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8"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530" w:lineRule="auto" w:before="35"/>
        <w:ind w:left="574" w:right="7875" w:hanging="420"/>
        <w:jc w:val="left"/>
        <w:rPr>
          <w:rFonts w:ascii="宋体" w:hAnsi="宋体" w:cs="宋体" w:eastAsia="宋体" w:hint="default"/>
          <w:b w:val="0"/>
          <w:bCs w:val="0"/>
        </w:rPr>
      </w:pPr>
      <w:bookmarkStart w:name="（2）账龄超过1年的重要应付账款" w:id="299"/>
      <w:bookmarkEnd w:id="299"/>
      <w:r>
        <w:rPr>
          <w:b w:val="0"/>
          <w:bCs w:val="0"/>
        </w:rPr>
      </w:r>
      <w:r>
        <w:rPr>
          <w:rFonts w:ascii="Times New Roman" w:hAnsi="Times New Roman" w:cs="Times New Roman" w:eastAsia="Times New Roman" w:hint="default"/>
        </w:rPr>
        <w:t>30</w:t>
      </w:r>
      <w:r>
        <w:rPr/>
        <w:t>、其他非流</w:t>
      </w:r>
      <w:bookmarkStart w:name="30、其他非流动资产" w:id="300"/>
      <w:bookmarkEnd w:id="300"/>
      <w:r>
        <w:rPr/>
        <w:t>动资产</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31</w:t>
      </w:r>
      <w:r>
        <w:rPr/>
        <w:t>、短期借款</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34" w:right="8090"/>
        <w:jc w:val="center"/>
      </w:pPr>
      <w:r>
        <w:rPr/>
        <w:t>不适用。</w:t>
      </w:r>
    </w:p>
    <w:p>
      <w:pPr>
        <w:spacing w:line="240" w:lineRule="auto" w:before="3"/>
        <w:rPr>
          <w:rFonts w:ascii="宋体" w:hAnsi="宋体" w:cs="宋体" w:eastAsia="宋体" w:hint="default"/>
          <w:sz w:val="28"/>
          <w:szCs w:val="28"/>
        </w:rPr>
      </w:pPr>
    </w:p>
    <w:p>
      <w:pPr>
        <w:pStyle w:val="Heading4"/>
        <w:spacing w:line="532" w:lineRule="auto"/>
        <w:ind w:left="574" w:right="4713" w:hanging="420"/>
        <w:jc w:val="left"/>
        <w:rPr>
          <w:rFonts w:ascii="宋体" w:hAnsi="宋体" w:cs="宋体" w:eastAsia="宋体" w:hint="default"/>
          <w:b w:val="0"/>
          <w:bCs w:val="0"/>
        </w:rPr>
      </w:pPr>
      <w:r>
        <w:rPr>
          <w:rFonts w:ascii="Times New Roman" w:hAnsi="Times New Roman" w:cs="Times New Roman" w:eastAsia="Times New Roman" w:hint="default"/>
        </w:rPr>
        <w:t>32</w:t>
      </w:r>
      <w:r>
        <w:rPr/>
        <w:t>、以公允价值计量且其</w:t>
      </w:r>
      <w:bookmarkStart w:name="31、短期借款" w:id="301"/>
      <w:bookmarkEnd w:id="301"/>
      <w:r>
        <w:rPr/>
        <w:t>变动计入</w:t>
      </w:r>
      <w:r>
        <w:rPr/>
        <w:t>当</w:t>
      </w:r>
      <w:bookmarkStart w:name="32、以公允价值计量且其变动计入当期损益的金融负债" w:id="302"/>
      <w:bookmarkEnd w:id="302"/>
      <w:r>
        <w:rPr/>
        <w:t>期损益的</w:t>
      </w:r>
      <w:r>
        <w:rPr/>
        <w:t>金融负债</w:t>
      </w:r>
      <w:r>
        <w:rPr>
          <w:spacing w:val="1"/>
          <w:w w:val="99"/>
        </w:rPr>
        <w:t> </w:t>
      </w:r>
      <w:r>
        <w:rPr>
          <w:rFonts w:ascii="宋体" w:hAnsi="宋体" w:cs="宋体" w:eastAsia="宋体" w:hint="default"/>
          <w:b w:val="0"/>
          <w:bCs w:val="0"/>
        </w:rPr>
        <w:t>不适用。</w:t>
      </w:r>
    </w:p>
    <w:p>
      <w:pPr>
        <w:spacing w:line="530" w:lineRule="auto" w:before="113"/>
        <w:ind w:left="574" w:right="808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、衍生金融负债</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34</w:t>
      </w:r>
      <w:r>
        <w:rPr/>
        <w:t>、应付票据</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34" w:right="8090"/>
        <w:jc w:val="center"/>
      </w:pPr>
      <w:r>
        <w:rPr/>
        <w:t>不适用。</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3、衍生金融负债" w:id="303"/>
      <w:bookmarkEnd w:id="303"/>
      <w:r>
        <w:rPr/>
      </w:r>
      <w:bookmarkStart w:name="34、应付票据" w:id="304"/>
      <w:bookmarkEnd w:id="304"/>
      <w:r>
        <w:rPr/>
      </w:r>
      <w:bookmarkStart w:name="35、应付账款" w:id="305"/>
      <w:bookmarkEnd w:id="305"/>
      <w:r>
        <w:rPr/>
      </w:r>
      <w:bookmarkStart w:name="（1）应付账款列示" w:id="306"/>
      <w:bookmarkEnd w:id="306"/>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76,318,162.68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63,403,504.76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11,348,944.84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3,838,014.07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87,667,107.52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67,241,518.83</w:t>
            </w:r>
          </w:p>
        </w:tc>
      </w:tr>
    </w:tbl>
    <w:p>
      <w:pPr>
        <w:spacing w:line="240" w:lineRule="auto" w:before="2"/>
        <w:rPr>
          <w:rFonts w:ascii="宋体" w:hAnsi="宋体" w:cs="宋体" w:eastAsia="宋体" w:hint="default"/>
          <w:sz w:val="19"/>
          <w:szCs w:val="19"/>
        </w:rPr>
      </w:pPr>
    </w:p>
    <w:p>
      <w:pPr>
        <w:pStyle w:val="Heading4"/>
        <w:spacing w:line="530" w:lineRule="auto" w:before="35"/>
        <w:ind w:left="574" w:right="6508"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spacing w:val="1"/>
          <w:w w:val="99"/>
        </w:rPr>
        <w:t> </w:t>
      </w:r>
      <w:r>
        <w:rPr>
          <w:rFonts w:ascii="宋体" w:hAnsi="宋体" w:cs="宋体" w:eastAsia="宋体" w:hint="default"/>
          <w:b w:val="0"/>
          <w:bCs w:val="0"/>
        </w:rPr>
        <w:t>不适用。</w:t>
      </w:r>
    </w:p>
    <w:p>
      <w:pPr>
        <w:spacing w:after="0" w:line="530" w:lineRule="auto"/>
        <w:jc w:val="left"/>
        <w:rPr>
          <w:rFonts w:ascii="宋体" w:hAnsi="宋体" w:cs="宋体" w:eastAsia="宋体" w:hint="default"/>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07"/>
      <w:bookmarkEnd w:id="307"/>
      <w:r>
        <w:rPr>
          <w:b w:val="0"/>
          <w:bCs w:val="0"/>
        </w:rPr>
      </w:r>
      <w:r>
        <w:rPr>
          <w:rFonts w:ascii="Times New Roman" w:hAnsi="Times New Roman" w:cs="Times New Roman" w:eastAsia="Times New Roman" w:hint="default"/>
        </w:rPr>
        <w:t>36</w:t>
      </w:r>
      <w:bookmarkStart w:name="36、预收款项" w:id="308"/>
      <w:bookmarkEnd w:id="308"/>
      <w:r>
        <w:rPr>
          <w:rFonts w:ascii="Times New Roman" w:hAnsi="Times New Roman" w:cs="Times New Roman" w:eastAsia="Times New Roman" w:hint="default"/>
        </w:rPr>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bookmarkStart w:name="（1）预收款项列示" w:id="309"/>
      <w:bookmarkEnd w:id="309"/>
      <w:r>
        <w:rPr>
          <w:rFonts w:ascii="Times New Roman" w:hAnsi="Times New Roman" w:cs="Times New Roman" w:eastAsia="Times New Roman" w:hint="default"/>
        </w:rPr>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240,178,293.76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131,387,990.19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240,178,293.76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131,387,990.19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w:t>
      </w:r>
      <w:bookmarkStart w:name="（2）账龄超过1年的重要预收款项" w:id="310"/>
      <w:bookmarkEnd w:id="310"/>
      <w:r>
        <w:rPr/>
        <w:t>预收款项</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8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21,272,615.39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16,485,392.89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12,217,179.51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8,171,161.97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6,858,589.73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未验收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65,004,939.49</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418"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530" w:lineRule="auto" w:before="35"/>
        <w:ind w:left="574" w:right="5240"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）期末建造合同形成的已结算未完工项目情况</w:t>
      </w:r>
      <w:r>
        <w:rPr>
          <w:spacing w:val="1"/>
          <w:w w:val="99"/>
        </w:rPr>
        <w:t> </w:t>
      </w:r>
      <w:r>
        <w:rPr>
          <w:rFonts w:ascii="宋体" w:hAnsi="宋体" w:cs="宋体" w:eastAsia="宋体" w:hint="default"/>
          <w:b w:val="0"/>
          <w:bCs w:val="0"/>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期末建造合同形成的已结算未完工项目情况" w:id="311"/>
      <w:bookmarkEnd w:id="311"/>
      <w:r>
        <w:rPr/>
      </w:r>
      <w:bookmarkStart w:name="37、应付职工薪酬" w:id="312"/>
      <w:bookmarkEnd w:id="312"/>
      <w:r>
        <w:rPr/>
      </w:r>
      <w:r>
        <w:rPr>
          <w:rFonts w:ascii="宋体" w:hAnsi="宋体" w:cs="宋体" w:eastAsia="宋体" w:hint="default"/>
          <w:sz w:val="18"/>
          <w:szCs w:val="18"/>
        </w:rPr>
        <w:t>单位： </w:t>
      </w:r>
      <w:bookmarkStart w:name="（1）应付职工薪酬列示" w:id="313"/>
      <w:bookmarkEnd w:id="313"/>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6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52,929,523.45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199,085,467.41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186,026,251.08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65,988,739.78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125" w:firstLine="4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 </w:t>
            </w:r>
            <w:r>
              <w:rPr>
                <w:rFonts w:ascii="宋体" w:hAnsi="宋体" w:cs="宋体" w:eastAsia="宋体" w:hint="default"/>
                <w:sz w:val="18"/>
                <w:szCs w:val="18"/>
              </w:rPr>
              <w:t>设定提存计划</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113,509.62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11,986,685.03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11,863,966.29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236,228.36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140,760.00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140,760.00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53,043,033.07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211,212,912.44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198,030,977.37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66,224,968.14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3238"/>
        <w:gridCol w:w="1712"/>
        <w:gridCol w:w="1559"/>
        <w:gridCol w:w="1702"/>
        <w:gridCol w:w="1348"/>
      </w:tblGrid>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52,663,466.13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173,523,563.10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160,539,082.19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65,647,947.04</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5,683,814.20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5,683,814.20</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61,156.80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7,007,613.23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6,962,224.30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106,545.73</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54,121.00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5,910,916.22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5,871,399.62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93,637.60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2,706.13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399,791.11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396,472.67</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6,024.57</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4,329.67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696,905.90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694,352.01</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6,883.56</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12" w:type="dxa"/>
            <w:tcBorders>
              <w:top w:val="single" w:sz="4" w:space="0" w:color="000000"/>
              <w:left w:val="single" w:sz="13" w:space="0" w:color="D4D4D4"/>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10,494,202.62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10,417,176.62</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77,026.00</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204,900.52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1,838,225.14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1,885,904.65</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157,221.01</w:t>
            </w: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、股权激励</w:t>
            </w:r>
          </w:p>
        </w:tc>
        <w:tc>
          <w:tcPr>
            <w:tcW w:w="1712"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538,049.12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538,049.12</w:t>
            </w: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52,929,523.45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199,085,467.41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186,026,251.08</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65,988,739.78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设定提存计划列示" w:id="314"/>
      <w:bookmarkEnd w:id="314"/>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6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108,104.40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10,224,932.07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10,134,489.67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198,546.80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1,064,030.94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1,057,742.82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11,693.34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9" w:space="0" w:color="D4D4D4"/>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697,722.02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671,733.80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25,988.22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113,509.62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11,986,685.03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11,863,966.29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236,228.36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8、应交税费" w:id="315"/>
      <w:bookmarkEnd w:id="315"/>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37,063,403.37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28,105,670.02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157,969.31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172,149.86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8,285,397.11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12,776,551.18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5,158,133.76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412,125.84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2,634,337.22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1,980,107.38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1,129,001.71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848,617.46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752,873.05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566,031.06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146,535.09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101,465.76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18,201.36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28,208.64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50,573.85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20,267.99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55,396,425.83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45,011,195.19</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2、划分为持有待售的负债" w:id="316"/>
      <w:bookmarkEnd w:id="316"/>
      <w:r>
        <w:rPr>
          <w:b w:val="0"/>
          <w:bCs w:val="0"/>
        </w:rPr>
      </w:r>
      <w:bookmarkStart w:name="43、一年内到期的非流动负债" w:id="317"/>
      <w:bookmarkEnd w:id="31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bookmarkStart w:name="39、应付利息" w:id="318"/>
      <w:bookmarkEnd w:id="318"/>
      <w:r>
        <w:rPr/>
      </w:r>
      <w:r>
        <w:rPr/>
        <w:t>不适用。</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0、应付股利" w:id="319"/>
      <w:bookmarkEnd w:id="319"/>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5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8,586,795.58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8,586,795.58</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1、其他应付款" w:id="320"/>
      <w:bookmarkEnd w:id="320"/>
      <w:r>
        <w:rPr/>
      </w:r>
      <w:bookmarkStart w:name="（1）按款项性质列示其他应付款" w:id="321"/>
      <w:bookmarkEnd w:id="321"/>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8"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9,484,800.00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9,709,600.00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870,351.57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4,071,481.82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3,837,507.25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4,437,086.19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非公开发行股份中介机构费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9,233,100.00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18,750,139.20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1,267,471.38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531,011.88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24,693,230.20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37,499,319.09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账龄超过1年的重要其他应付款" w:id="322"/>
      <w:bookmarkEnd w:id="322"/>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4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569"/>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苏学武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5"/>
              <w:jc w:val="right"/>
              <w:rPr>
                <w:rFonts w:ascii="宋体" w:hAnsi="宋体" w:cs="宋体" w:eastAsia="宋体" w:hint="default"/>
                <w:sz w:val="18"/>
                <w:szCs w:val="18"/>
              </w:rPr>
            </w:pPr>
            <w:r>
              <w:rPr>
                <w:rFonts w:ascii="宋体" w:hAnsi="宋体" w:cs="宋体" w:eastAsia="宋体" w:hint="default"/>
                <w:sz w:val="18"/>
                <w:szCs w:val="18"/>
              </w:rPr>
              <w:t>股权受让应付款，分期支付</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9" w:space="0" w:color="D4D4D4"/>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4,854,800.00</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8"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line="530" w:lineRule="auto" w:before="35"/>
        <w:ind w:left="574" w:right="724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、划分为持有待售的负债</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532" w:lineRule="auto" w:before="115"/>
        <w:ind w:left="574" w:right="703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after="0" w:line="532" w:lineRule="auto"/>
        <w:jc w:val="left"/>
        <w:rPr>
          <w:rFonts w:ascii="宋体" w:hAnsi="宋体" w:cs="宋体" w:eastAsia="宋体" w:hint="default"/>
          <w:sz w:val="21"/>
          <w:szCs w:val="21"/>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spacing w:line="530" w:lineRule="auto" w:before="35"/>
        <w:ind w:left="574" w:right="808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bookmarkStart w:name="44、其他流动负债" w:id="323"/>
      <w:bookmarkEnd w:id="323"/>
      <w:r>
        <w:rPr>
          <w:rFonts w:ascii="Times New Roman" w:hAnsi="Times New Roman" w:cs="Times New Roman" w:eastAsia="Times New Roman" w:hint="default"/>
          <w:b/>
          <w:bCs/>
          <w:sz w:val="21"/>
          <w:szCs w:val="21"/>
        </w:rPr>
      </w:r>
      <w:r>
        <w:rPr>
          <w:rFonts w:ascii="宋体" w:hAnsi="宋体" w:cs="宋体" w:eastAsia="宋体" w:hint="default"/>
          <w:b/>
          <w:bCs/>
          <w:sz w:val="21"/>
          <w:szCs w:val="21"/>
        </w:rPr>
        <w:t>、其他流动负债</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34" w:right="8090"/>
        <w:jc w:val="center"/>
      </w:pPr>
      <w:r>
        <w:rPr/>
        <w:t>不适用。</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134" w:right="8090"/>
        <w:jc w:val="center"/>
      </w:pPr>
      <w:r>
        <w:rPr/>
        <w:t>不适用。</w:t>
      </w:r>
    </w:p>
    <w:p>
      <w:pPr>
        <w:spacing w:line="240" w:lineRule="auto" w:before="3"/>
        <w:rPr>
          <w:rFonts w:ascii="宋体" w:hAnsi="宋体" w:cs="宋体" w:eastAsia="宋体" w:hint="default"/>
          <w:sz w:val="28"/>
          <w:szCs w:val="28"/>
        </w:rPr>
      </w:pPr>
    </w:p>
    <w:p>
      <w:pPr>
        <w:spacing w:line="530" w:lineRule="auto" w:before="0"/>
        <w:ind w:left="574" w:right="829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w:t>
      </w:r>
      <w:bookmarkStart w:name="45、长期借款" w:id="324"/>
      <w:bookmarkEnd w:id="324"/>
      <w:r>
        <w:rPr>
          <w:rFonts w:ascii="宋体" w:hAnsi="宋体" w:cs="宋体" w:eastAsia="宋体" w:hint="default"/>
          <w:b/>
          <w:bCs/>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line="530" w:lineRule="auto" w:before="115"/>
        <w:ind w:left="574" w:right="766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、长期应付职工薪酬</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spacing w:line="530" w:lineRule="auto" w:before="115"/>
        <w:ind w:left="574" w:right="829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、专项应付款</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left="134" w:right="8090"/>
        <w:jc w:val="center"/>
      </w:pPr>
      <w:r>
        <w:rPr/>
        <w:t>不适用。</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6、应付债券" w:id="325"/>
      <w:bookmarkEnd w:id="325"/>
      <w:r>
        <w:rPr/>
      </w:r>
      <w:bookmarkStart w:name="47、长期应付款" w:id="326"/>
      <w:bookmarkEnd w:id="326"/>
      <w:r>
        <w:rPr/>
      </w:r>
      <w:bookmarkStart w:name="48、长期应付职工薪酬" w:id="327"/>
      <w:bookmarkEnd w:id="327"/>
      <w:r>
        <w:rPr/>
      </w:r>
      <w:bookmarkStart w:name="49、专项应付款" w:id="328"/>
      <w:bookmarkEnd w:id="328"/>
      <w:r>
        <w:rPr/>
      </w:r>
      <w:bookmarkStart w:name="50、预计负债" w:id="329"/>
      <w:bookmarkEnd w:id="329"/>
      <w:r>
        <w:rPr/>
      </w:r>
      <w:bookmarkStart w:name="51、递延收益" w:id="330"/>
      <w:bookmarkEnd w:id="330"/>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388"/>
              <w:jc w:val="right"/>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4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407"/>
              <w:jc w:val="righ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507" w:right="0"/>
              <w:jc w:val="center"/>
              <w:rPr>
                <w:rFonts w:ascii="Times New Roman" w:hAnsi="Times New Roman" w:cs="Times New Roman" w:eastAsia="Times New Roman" w:hint="default"/>
                <w:sz w:val="18"/>
                <w:szCs w:val="18"/>
              </w:rPr>
            </w:pPr>
            <w:r>
              <w:rPr>
                <w:rFonts w:ascii="Times New Roman"/>
                <w:sz w:val="18"/>
              </w:rPr>
              <w:t>22,302,918.52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9,928,600.00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4,566,517.55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27,665,000.97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left="507" w:right="0"/>
              <w:jc w:val="center"/>
              <w:rPr>
                <w:rFonts w:ascii="Times New Roman" w:hAnsi="Times New Roman" w:cs="Times New Roman" w:eastAsia="Times New Roman" w:hint="default"/>
                <w:sz w:val="18"/>
                <w:szCs w:val="18"/>
              </w:rPr>
            </w:pPr>
            <w:r>
              <w:rPr>
                <w:rFonts w:ascii="Times New Roman"/>
                <w:sz w:val="18"/>
              </w:rPr>
              <w:t>22,302,918.52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9,928,600.00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4,566,517.55</w:t>
            </w:r>
          </w:p>
        </w:tc>
        <w:tc>
          <w:tcPr>
            <w:tcW w:w="1594" w:type="dxa"/>
            <w:tcBorders>
              <w:top w:val="single" w:sz="4" w:space="0" w:color="000000"/>
              <w:left w:val="single" w:sz="4" w:space="0" w:color="000000"/>
              <w:bottom w:val="single" w:sz="4" w:space="0" w:color="000000"/>
              <w:right w:val="single" w:sz="13" w:space="0" w:color="D4D4D4"/>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27,665,000.97</w:t>
            </w:r>
          </w:p>
        </w:tc>
        <w:tc>
          <w:tcPr>
            <w:tcW w:w="15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2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涉及政府补助的项目：</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1134"/>
        <w:gridCol w:w="1134"/>
        <w:gridCol w:w="1276"/>
        <w:gridCol w:w="992"/>
        <w:gridCol w:w="1134"/>
        <w:gridCol w:w="1207"/>
      </w:tblGrid>
      <w:tr>
        <w:trPr>
          <w:trHeight w:val="714"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本期计入营业 外收入金额</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1"/>
              <w:ind w:left="237" w:right="32"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pacing w:val="8"/>
                <w:sz w:val="18"/>
                <w:szCs w:val="18"/>
              </w:rPr>
              <w:t>电子数据取证综合平台产业化项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目</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186,516.28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186,516.28</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694"/>
        <w:gridCol w:w="1134"/>
        <w:gridCol w:w="1134"/>
        <w:gridCol w:w="1276"/>
        <w:gridCol w:w="992"/>
        <w:gridCol w:w="1134"/>
        <w:gridCol w:w="1207"/>
      </w:tblGrid>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厦门超级计算（云计算）中心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8,539,696.95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5,259,696.95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厦门超级计算中心滚动支持（说明</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pacing w:val="-90"/>
                <w:sz w:val="18"/>
                <w:szCs w:val="18"/>
              </w:rPr>
              <w:t>））</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2011-2013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年继续对重点制造 业企业技术改造实施财政扶持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356,205.09</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156,205.09</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8"/>
                <w:sz w:val="18"/>
                <w:szCs w:val="18"/>
              </w:rPr>
              <w:t>面向新型信息技术和应用环境的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网络技术研究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电子取证关键技术研究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8"/>
                <w:sz w:val="18"/>
                <w:szCs w:val="18"/>
              </w:rPr>
              <w:t>面向互联网的海量信息分析挖掘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关键技术及系统研究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企业技术改造项目补助资金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科技政策定额扶持资金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280,500.20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100,001.27</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180,498.93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国家服务业发展引导资金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据存证云</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物联网实时图像识别</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优秀骨干人才软件产业化项目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w:t>
            </w:r>
            <w:r>
              <w:rPr>
                <w:rFonts w:ascii="宋体" w:hAnsi="宋体" w:cs="宋体" w:eastAsia="宋体" w:hint="default"/>
                <w:spacing w:val="-83"/>
                <w:sz w:val="18"/>
                <w:szCs w:val="18"/>
              </w:rPr>
              <w:t> </w:t>
            </w:r>
            <w:r>
              <w:rPr>
                <w:rFonts w:ascii="宋体" w:hAnsi="宋体" w:cs="宋体" w:eastAsia="宋体" w:hint="default"/>
                <w:sz w:val="18"/>
                <w:szCs w:val="18"/>
              </w:rPr>
              <w:t>于手机云的手机综合取证系统</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省级企业技术中心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电子数据分析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系统平台建设</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8"/>
                <w:sz w:val="18"/>
                <w:szCs w:val="18"/>
              </w:rPr>
              <w:t>博士后工作站科技政策定额扶持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8"/>
                <w:sz w:val="18"/>
                <w:szCs w:val="18"/>
              </w:rPr>
              <w:t>基于内容感知的智能视频浓缩设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备产学研资金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安全服务器项目创新资金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失泄密取证系统的产业化项目（说</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6"/>
                <w:sz w:val="18"/>
                <w:szCs w:val="18"/>
              </w:rPr>
              <w:t>明（</w:t>
            </w:r>
            <w:r>
              <w:rPr>
                <w:rFonts w:ascii="Times New Roman" w:hAnsi="Times New Roman" w:cs="Times New Roman" w:eastAsia="Times New Roman" w:hint="default"/>
                <w:spacing w:val="-36"/>
                <w:sz w:val="18"/>
                <w:szCs w:val="18"/>
              </w:rPr>
              <w:t>2</w:t>
            </w:r>
            <w:r>
              <w:rPr>
                <w:rFonts w:ascii="宋体" w:hAnsi="宋体" w:cs="宋体" w:eastAsia="宋体" w:hint="default"/>
                <w:spacing w:val="-36"/>
                <w:sz w:val="18"/>
                <w:szCs w:val="18"/>
              </w:rPr>
              <w:t>））</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5"/>
                <w:sz w:val="18"/>
                <w:szCs w:val="18"/>
              </w:rPr>
              <w:t>多源、多通道数据取证技术研究项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228,600.00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228,600.00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jc w:val="left"/>
              <w:rPr>
                <w:rFonts w:ascii="宋体" w:hAnsi="宋体" w:cs="宋体" w:eastAsia="宋体" w:hint="default"/>
                <w:sz w:val="18"/>
                <w:szCs w:val="18"/>
              </w:rPr>
            </w:pPr>
            <w:r>
              <w:rPr>
                <w:rFonts w:ascii="宋体" w:hAnsi="宋体" w:cs="宋体" w:eastAsia="宋体" w:hint="default"/>
                <w:spacing w:val="8"/>
                <w:sz w:val="18"/>
                <w:szCs w:val="18"/>
              </w:rPr>
              <w:t>基于云技术的证据链综合取证平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台</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22,302,918.52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9,528,600.00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3,766,517.55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-400,000.00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27,665,000.97</w:t>
            </w:r>
          </w:p>
        </w:tc>
        <w:tc>
          <w:tcPr>
            <w:tcW w:w="120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35"/>
        <w:ind w:right="0"/>
        <w:jc w:val="left"/>
      </w:pPr>
      <w:r>
        <w:rPr/>
        <w:t>其他说明：</w:t>
      </w:r>
    </w:p>
    <w:p>
      <w:pPr>
        <w:spacing w:line="240" w:lineRule="auto" w:before="10"/>
        <w:rPr>
          <w:rFonts w:ascii="宋体" w:hAnsi="宋体" w:cs="宋体" w:eastAsia="宋体" w:hint="default"/>
          <w:sz w:val="16"/>
          <w:szCs w:val="16"/>
        </w:rPr>
      </w:pPr>
    </w:p>
    <w:p>
      <w:pPr>
        <w:pStyle w:val="BodyText"/>
        <w:spacing w:line="309" w:lineRule="auto"/>
        <w:ind w:left="153" w:right="237" w:firstLine="420"/>
        <w:jc w:val="both"/>
      </w:pPr>
      <w:r>
        <w:rPr/>
        <w:t>（</w:t>
      </w:r>
      <w:r>
        <w:rPr>
          <w:rFonts w:ascii="Times New Roman" w:hAnsi="Times New Roman" w:cs="Times New Roman" w:eastAsia="Times New Roman" w:hint="default"/>
        </w:rPr>
        <w:t>1</w:t>
      </w:r>
      <w:r>
        <w:rPr/>
        <w:t>）根据厦门科技局《关于下达</w:t>
      </w:r>
      <w:r>
        <w:rPr>
          <w:rFonts w:ascii="Times New Roman" w:hAnsi="Times New Roman" w:cs="Times New Roman" w:eastAsia="Times New Roman" w:hint="default"/>
        </w:rPr>
        <w:t>2015</w:t>
      </w:r>
      <w:r>
        <w:rPr/>
        <w:t>年第三批市科技计划重大项目及拨付资助经费的通知》（厦科 联【</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61</w:t>
      </w:r>
      <w:r>
        <w:rPr/>
        <w:t>号），对本公司承担的项目“厦门超级计算中心滚动支持”予以补助金额</w:t>
      </w:r>
      <w:r>
        <w:rPr>
          <w:rFonts w:ascii="Times New Roman" w:hAnsi="Times New Roman" w:cs="Times New Roman" w:eastAsia="Times New Roman" w:hint="default"/>
        </w:rPr>
        <w:t>800</w:t>
      </w:r>
      <w:r>
        <w:rPr/>
        <w:t>万元；项目补 助会形成相应的资产，并按资产年限摊销；截止本年度末，已收到补助</w:t>
      </w:r>
      <w:r>
        <w:rPr>
          <w:rFonts w:ascii="Times New Roman" w:hAnsi="Times New Roman" w:cs="Times New Roman" w:eastAsia="Times New Roman" w:hint="default"/>
        </w:rPr>
        <w:t>480</w:t>
      </w:r>
      <w:r>
        <w:rPr/>
        <w:t>万元，该项目尚未验收。</w:t>
      </w:r>
    </w:p>
    <w:p>
      <w:pPr>
        <w:spacing w:after="0" w:line="309" w:lineRule="auto"/>
        <w:jc w:val="both"/>
        <w:sectPr>
          <w:pgSz w:w="11910" w:h="16840"/>
          <w:pgMar w:header="917" w:footer="1267" w:top="1140" w:bottom="1460" w:left="980" w:right="980"/>
        </w:sectPr>
      </w:pPr>
    </w:p>
    <w:p>
      <w:pPr>
        <w:spacing w:line="240" w:lineRule="auto" w:before="6"/>
        <w:rPr>
          <w:rFonts w:ascii="宋体" w:hAnsi="宋体" w:cs="宋体" w:eastAsia="宋体" w:hint="default"/>
          <w:sz w:val="21"/>
          <w:szCs w:val="21"/>
        </w:rPr>
      </w:pPr>
    </w:p>
    <w:p>
      <w:pPr>
        <w:pStyle w:val="BodyText"/>
        <w:spacing w:line="309" w:lineRule="auto" w:before="35"/>
        <w:ind w:left="153" w:right="97" w:firstLine="420"/>
        <w:jc w:val="left"/>
      </w:pPr>
      <w:bookmarkStart w:name="（2）期末发行在外的优先股、永续债等金融工具变动情况表" w:id="331"/>
      <w:bookmarkEnd w:id="331"/>
      <w:r>
        <w:rPr/>
      </w:r>
      <w:bookmarkStart w:name="55、资本公积" w:id="332"/>
      <w:bookmarkEnd w:id="332"/>
      <w:r>
        <w:rPr/>
      </w:r>
      <w:r>
        <w:rPr/>
        <w:t>（</w:t>
      </w:r>
      <w:r>
        <w:rPr>
          <w:rFonts w:ascii="Times New Roman" w:hAnsi="Times New Roman" w:cs="Times New Roman" w:eastAsia="Times New Roman" w:hint="default"/>
        </w:rPr>
        <w:t>2</w:t>
      </w:r>
      <w:r>
        <w:rPr/>
        <w:t>）根据发改办高技【</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289</w:t>
      </w:r>
      <w:r>
        <w:rPr/>
        <w:t>号文，本公司报送的信息安全项目已列入国家高技术产业发展项目 计划，获得国家补助资金</w:t>
      </w:r>
      <w:r>
        <w:rPr>
          <w:rFonts w:ascii="Times New Roman" w:hAnsi="Times New Roman" w:cs="Times New Roman" w:eastAsia="Times New Roman" w:hint="default"/>
        </w:rPr>
        <w:t>800</w:t>
      </w:r>
      <w:r>
        <w:rPr/>
        <w:t>万元；根据厦财企（</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44</w:t>
      </w:r>
      <w:r>
        <w:rPr/>
        <w:t>号文，厦门市财政局下达中央</w:t>
      </w:r>
      <w:r>
        <w:rPr>
          <w:rFonts w:ascii="Times New Roman" w:hAnsi="Times New Roman" w:cs="Times New Roman" w:eastAsia="Times New Roman" w:hint="default"/>
        </w:rPr>
        <w:t>2015</w:t>
      </w:r>
      <w:r>
        <w:rPr/>
        <w:t>年产业技术 </w:t>
      </w:r>
      <w:r>
        <w:rPr>
          <w:spacing w:val="-1"/>
        </w:rPr>
        <w:t>研究与开发资金（高技术产业发展项目补助资金）</w:t>
      </w:r>
      <w:r>
        <w:rPr>
          <w:rFonts w:ascii="Times New Roman" w:hAnsi="Times New Roman" w:cs="Times New Roman" w:eastAsia="Times New Roman" w:hint="default"/>
          <w:spacing w:val="-1"/>
        </w:rPr>
        <w:t>400</w:t>
      </w:r>
      <w:r>
        <w:rPr>
          <w:spacing w:val="-1"/>
        </w:rPr>
        <w:t>万元，补助本公司失泄密取证系统产品产业化项目；</w:t>
      </w:r>
      <w:r>
        <w:rPr>
          <w:spacing w:val="-84"/>
        </w:rPr>
        <w:t> </w:t>
      </w:r>
      <w:r>
        <w:rPr>
          <w:spacing w:val="-84"/>
        </w:rPr>
      </w:r>
      <w:r>
        <w:rPr/>
        <w:t>项目补助会形成相应的资产，并按资产年限摊销；截止本年度年末，本公司已收到</w:t>
      </w:r>
      <w:r>
        <w:rPr>
          <w:rFonts w:ascii="Times New Roman" w:hAnsi="Times New Roman" w:cs="Times New Roman" w:eastAsia="Times New Roman" w:hint="default"/>
        </w:rPr>
        <w:t>400</w:t>
      </w:r>
      <w:r>
        <w:rPr/>
        <w:t>万元，项目尚未验 收。</w:t>
      </w:r>
    </w:p>
    <w:p>
      <w:pPr>
        <w:spacing w:line="240" w:lineRule="auto" w:before="8"/>
        <w:rPr>
          <w:rFonts w:ascii="宋体" w:hAnsi="宋体" w:cs="宋体" w:eastAsia="宋体" w:hint="default"/>
          <w:sz w:val="23"/>
          <w:szCs w:val="23"/>
        </w:rPr>
      </w:pPr>
    </w:p>
    <w:p>
      <w:pPr>
        <w:spacing w:line="530" w:lineRule="auto" w:before="0"/>
        <w:ind w:left="574" w:right="793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4"/>
        <w:spacing w:line="240" w:lineRule="auto" w:before="115"/>
        <w:ind w:right="97"/>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bookmarkStart w:name="52、其他非流动负债" w:id="333"/>
      <w:bookmarkEnd w:id="333"/>
      <w:r>
        <w:rPr/>
      </w:r>
      <w:bookmarkStart w:name="53、股本" w:id="334"/>
      <w:bookmarkEnd w:id="334"/>
      <w:r>
        <w:rPr/>
      </w: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6"/>
        <w:gridCol w:w="1195"/>
        <w:gridCol w:w="1196"/>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4D4D4"/>
          </w:tcPr>
          <w:p>
            <w:pPr/>
          </w:p>
        </w:tc>
        <w:tc>
          <w:tcPr>
            <w:tcW w:w="1208" w:type="dxa"/>
            <w:tcBorders>
              <w:top w:val="single" w:sz="4" w:space="0" w:color="000000"/>
              <w:left w:val="single" w:sz="4" w:space="0" w:color="000000"/>
              <w:bottom w:val="nil" w:sz="6" w:space="0" w:color="auto"/>
              <w:right w:val="single" w:sz="4" w:space="0" w:color="000000"/>
            </w:tcBorders>
            <w:shd w:val="clear" w:color="auto" w:fill="D4D4D4"/>
          </w:tcPr>
          <w:p>
            <w:pPr/>
          </w:p>
        </w:tc>
        <w:tc>
          <w:tcPr>
            <w:tcW w:w="5957" w:type="dxa"/>
            <w:gridSpan w:val="5"/>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4D4D4"/>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4D4D4"/>
          </w:tcPr>
          <w:p>
            <w:pPr/>
          </w:p>
        </w:tc>
        <w:tc>
          <w:tcPr>
            <w:tcW w:w="1208"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4D4D4"/>
          </w:tcPr>
          <w:p>
            <w:pPr/>
          </w:p>
        </w:tc>
        <w:tc>
          <w:tcPr>
            <w:tcW w:w="1207"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4D4D4"/>
          </w:tcPr>
          <w:p>
            <w:pPr/>
          </w:p>
        </w:tc>
        <w:tc>
          <w:tcPr>
            <w:tcW w:w="1208" w:type="dxa"/>
            <w:vMerge/>
            <w:tcBorders>
              <w:left w:val="single" w:sz="4" w:space="0" w:color="000000"/>
              <w:bottom w:val="nil" w:sz="6" w:space="0" w:color="auto"/>
              <w:right w:val="single" w:sz="4" w:space="0" w:color="000000"/>
            </w:tcBorders>
            <w:shd w:val="clear" w:color="auto" w:fill="D4D4D4"/>
          </w:tcPr>
          <w:p>
            <w:pP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4D4D4"/>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4D4D4"/>
          </w:tcPr>
          <w:p>
            <w:pPr/>
          </w:p>
        </w:tc>
        <w:tc>
          <w:tcPr>
            <w:tcW w:w="1208" w:type="dxa"/>
            <w:tcBorders>
              <w:top w:val="nil" w:sz="6" w:space="0" w:color="auto"/>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95" w:type="dxa"/>
            <w:vMerge/>
            <w:tcBorders>
              <w:left w:val="single" w:sz="4" w:space="0" w:color="000000"/>
              <w:bottom w:val="single" w:sz="4" w:space="0" w:color="000000"/>
              <w:right w:val="single" w:sz="4" w:space="0" w:color="000000"/>
            </w:tcBorders>
            <w:shd w:val="clear" w:color="auto" w:fill="D4D4D4"/>
          </w:tcPr>
          <w:p>
            <w:pPr/>
          </w:p>
        </w:tc>
        <w:tc>
          <w:tcPr>
            <w:tcW w:w="1196" w:type="dxa"/>
            <w:vMerge/>
            <w:tcBorders>
              <w:left w:val="single" w:sz="4" w:space="0" w:color="000000"/>
              <w:bottom w:val="single" w:sz="4" w:space="0" w:color="000000"/>
              <w:right w:val="single" w:sz="4" w:space="0" w:color="000000"/>
            </w:tcBorders>
            <w:shd w:val="clear" w:color="auto" w:fill="D4D4D4"/>
          </w:tcPr>
          <w:p>
            <w:pPr/>
          </w:p>
        </w:tc>
        <w:tc>
          <w:tcPr>
            <w:tcW w:w="1184" w:type="dxa"/>
            <w:vMerge/>
            <w:tcBorders>
              <w:left w:val="single" w:sz="4" w:space="0" w:color="000000"/>
              <w:bottom w:val="single" w:sz="4" w:space="0" w:color="000000"/>
              <w:right w:val="single" w:sz="4" w:space="0" w:color="000000"/>
            </w:tcBorders>
            <w:shd w:val="clear" w:color="auto" w:fill="D4D4D4"/>
          </w:tcPr>
          <w:p>
            <w:pPr/>
          </w:p>
        </w:tc>
        <w:tc>
          <w:tcPr>
            <w:tcW w:w="1207" w:type="dxa"/>
            <w:tcBorders>
              <w:top w:val="nil" w:sz="6" w:space="0" w:color="auto"/>
              <w:left w:val="single" w:sz="4" w:space="0" w:color="000000"/>
              <w:bottom w:val="single" w:sz="4" w:space="0" w:color="000000"/>
              <w:right w:val="single" w:sz="4" w:space="0" w:color="000000"/>
            </w:tcBorders>
            <w:shd w:val="clear" w:color="auto" w:fill="D4D4D4"/>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221,581,600.00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221,581,600.00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221,581,600.00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443,163,200.00</w:t>
            </w:r>
          </w:p>
        </w:tc>
      </w:tr>
    </w:tbl>
    <w:p>
      <w:pPr>
        <w:spacing w:line="240" w:lineRule="auto" w:before="10"/>
        <w:rPr>
          <w:rFonts w:ascii="宋体" w:hAnsi="宋体" w:cs="宋体" w:eastAsia="宋体" w:hint="default"/>
          <w:sz w:val="7"/>
          <w:szCs w:val="7"/>
        </w:rPr>
      </w:pPr>
    </w:p>
    <w:p>
      <w:pPr>
        <w:pStyle w:val="BodyText"/>
        <w:spacing w:line="240" w:lineRule="auto" w:before="35"/>
        <w:ind w:right="97"/>
        <w:jc w:val="left"/>
      </w:pPr>
      <w:r>
        <w:rPr/>
        <w:t>其他说明：</w:t>
      </w:r>
    </w:p>
    <w:p>
      <w:pPr>
        <w:spacing w:line="240" w:lineRule="auto" w:before="10"/>
        <w:rPr>
          <w:rFonts w:ascii="宋体" w:hAnsi="宋体" w:cs="宋体" w:eastAsia="宋体" w:hint="default"/>
          <w:sz w:val="16"/>
          <w:szCs w:val="16"/>
        </w:rPr>
      </w:pPr>
    </w:p>
    <w:p>
      <w:pPr>
        <w:pStyle w:val="BodyText"/>
        <w:spacing w:line="240" w:lineRule="auto"/>
        <w:ind w:right="97"/>
        <w:jc w:val="left"/>
        <w:rPr>
          <w:rFonts w:ascii="Times New Roman" w:hAnsi="Times New Roman" w:cs="Times New Roman" w:eastAsia="Times New Roman" w:hint="default"/>
        </w:rPr>
      </w:pPr>
      <w:r>
        <w:rPr/>
        <w:t>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月股东大会通过《</w:t>
      </w:r>
      <w:r>
        <w:rPr>
          <w:rFonts w:ascii="Times New Roman" w:hAnsi="Times New Roman" w:cs="Times New Roman" w:eastAsia="Times New Roman" w:hint="default"/>
        </w:rPr>
        <w:t>2014</w:t>
      </w:r>
      <w:r>
        <w:rPr/>
        <w:t>年度利润分配及资本公积金转增股本预案》，同意以截至</w:t>
      </w:r>
      <w:r>
        <w:rPr>
          <w:spacing w:val="-33"/>
        </w:rPr>
        <w:t> </w:t>
      </w:r>
      <w:r>
        <w:rPr>
          <w:rFonts w:ascii="Times New Roman" w:hAnsi="Times New Roman" w:cs="Times New Roman" w:eastAsia="Times New Roman" w:hint="default"/>
        </w:rPr>
        <w:t>2014</w:t>
      </w:r>
    </w:p>
    <w:p>
      <w:pPr>
        <w:pStyle w:val="BodyText"/>
        <w:spacing w:line="240" w:lineRule="auto" w:before="83"/>
        <w:ind w:left="153" w:right="97"/>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 </w:t>
      </w:r>
      <w:r>
        <w:rPr>
          <w:rFonts w:ascii="Times New Roman" w:hAnsi="Times New Roman" w:cs="Times New Roman" w:eastAsia="Times New Roman" w:hint="default"/>
        </w:rPr>
        <w:t>221,581,600</w:t>
      </w:r>
      <w:r>
        <w:rPr>
          <w:rFonts w:ascii="Times New Roman" w:hAnsi="Times New Roman" w:cs="Times New Roman" w:eastAsia="Times New Roman" w:hint="default"/>
          <w:spacing w:val="15"/>
        </w:rPr>
        <w:t> </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股，本公司新增股本</w:t>
      </w:r>
    </w:p>
    <w:p>
      <w:pPr>
        <w:pStyle w:val="BodyText"/>
        <w:spacing w:line="240" w:lineRule="auto" w:before="83"/>
        <w:ind w:left="153" w:right="97"/>
        <w:jc w:val="left"/>
      </w:pPr>
      <w:r>
        <w:rPr>
          <w:rFonts w:ascii="Times New Roman" w:hAnsi="Times New Roman" w:cs="Times New Roman" w:eastAsia="Times New Roman" w:hint="default"/>
        </w:rPr>
        <w:t>22,158.16</w:t>
      </w:r>
      <w:r>
        <w:rPr/>
        <w:t>万股，每股面值</w:t>
      </w:r>
      <w:r>
        <w:rPr>
          <w:rFonts w:ascii="Times New Roman" w:hAnsi="Times New Roman" w:cs="Times New Roman" w:eastAsia="Times New Roman" w:hint="default"/>
        </w:rPr>
        <w:t>1</w:t>
      </w:r>
      <w:r>
        <w:rPr/>
        <w:t>元上述股本变动业经致同会计师事务所（特殊普通合伙）</w:t>
      </w:r>
      <w:r>
        <w:rPr>
          <w:rFonts w:ascii="Times New Roman" w:hAnsi="Times New Roman" w:cs="Times New Roman" w:eastAsia="Times New Roman" w:hint="default"/>
        </w:rPr>
        <w:t>“</w:t>
      </w:r>
      <w:r>
        <w:rPr/>
        <w:t>致同验字（</w:t>
      </w:r>
      <w:r>
        <w:rPr>
          <w:rFonts w:ascii="Times New Roman" w:hAnsi="Times New Roman" w:cs="Times New Roman" w:eastAsia="Times New Roman" w:hint="default"/>
        </w:rPr>
        <w:t>2015</w:t>
      </w:r>
      <w:r>
        <w:rPr/>
        <w:t>）第</w:t>
      </w:r>
    </w:p>
    <w:p>
      <w:pPr>
        <w:pStyle w:val="BodyText"/>
        <w:spacing w:line="240" w:lineRule="auto" w:before="83"/>
        <w:ind w:left="153" w:right="97"/>
        <w:jc w:val="left"/>
      </w:pPr>
      <w:r>
        <w:rPr>
          <w:rFonts w:ascii="Times New Roman" w:hAnsi="Times New Roman" w:cs="Times New Roman" w:eastAsia="Times New Roman" w:hint="default"/>
        </w:rPr>
        <w:t>350ZA0038</w:t>
      </w:r>
      <w:r>
        <w:rPr/>
        <w:t>号</w:t>
      </w:r>
      <w:r>
        <w:rPr>
          <w:rFonts w:ascii="Times New Roman" w:hAnsi="Times New Roman" w:cs="Times New Roman" w:eastAsia="Times New Roman" w:hint="default"/>
        </w:rPr>
        <w:t>”</w:t>
      </w:r>
      <w:r>
        <w:rPr/>
        <w:t>验资报告验证。</w:t>
      </w:r>
    </w:p>
    <w:p>
      <w:pPr>
        <w:spacing w:line="240" w:lineRule="auto" w:before="0"/>
        <w:rPr>
          <w:rFonts w:ascii="宋体" w:hAnsi="宋体" w:cs="宋体" w:eastAsia="宋体" w:hint="default"/>
          <w:sz w:val="27"/>
          <w:szCs w:val="27"/>
        </w:rPr>
      </w:pPr>
    </w:p>
    <w:p>
      <w:pPr>
        <w:pStyle w:val="Heading4"/>
        <w:spacing w:line="240" w:lineRule="auto"/>
        <w:ind w:right="97"/>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530" w:lineRule="auto"/>
        <w:ind w:left="574" w:right="4246"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1</w:t>
      </w:r>
      <w:r>
        <w:rPr>
          <w:w w:val="95"/>
        </w:rPr>
        <w:t>）期末发行在外的优先股、永续债等其他金融工具基本情况</w:t>
      </w:r>
      <w:r>
        <w:rPr>
          <w:spacing w:val="78"/>
          <w:w w:val="95"/>
        </w:rPr>
        <w:t> </w:t>
      </w:r>
      <w:r>
        <w:rPr>
          <w:spacing w:val="78"/>
          <w:w w:val="95"/>
        </w:rPr>
      </w:r>
      <w:r>
        <w:rPr>
          <w:rFonts w:ascii="宋体" w:hAnsi="宋体" w:cs="宋体" w:eastAsia="宋体" w:hint="default"/>
          <w:b w:val="0"/>
          <w:bCs w:val="0"/>
        </w:rPr>
        <w:t>不适用。</w:t>
      </w:r>
    </w:p>
    <w:p>
      <w:pPr>
        <w:pStyle w:val="Heading4"/>
        <w:spacing w:line="530" w:lineRule="auto" w:before="115"/>
        <w:ind w:left="574" w:right="4246"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）期末发行在外的优先股、永续债等金融工具变动情况表</w:t>
      </w:r>
      <w:r>
        <w:rPr>
          <w:spacing w:val="1"/>
          <w:w w:val="99"/>
        </w:rPr>
        <w:t> </w:t>
      </w:r>
      <w:r>
        <w:rPr>
          <w:rFonts w:ascii="宋体" w:hAnsi="宋体" w:cs="宋体" w:eastAsia="宋体" w:hint="default"/>
          <w:b w:val="0"/>
          <w:bCs w:val="0"/>
        </w:rPr>
        <w:t>不适用。</w:t>
      </w:r>
    </w:p>
    <w:p>
      <w:pPr>
        <w:pStyle w:val="Heading4"/>
        <w:spacing w:line="240" w:lineRule="auto" w:before="115"/>
        <w:ind w:right="97"/>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bookmarkStart w:name="54、其他权益工具" w:id="335"/>
      <w:bookmarkEnd w:id="335"/>
      <w:r>
        <w:rPr/>
      </w:r>
      <w:bookmarkStart w:name="（1）期末发行在外的优先股、永续债等其他金融工具基本情况" w:id="336"/>
      <w:bookmarkEnd w:id="336"/>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367,644,498.13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800,536,881.86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450,781,959.64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717,399,420.35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22,075,463.51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34,687,809.45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56,763,272.96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389,719,961.64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835,924,691.31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450,781,959.64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774,162,693.31</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20"/>
        </w:sectPr>
      </w:pPr>
    </w:p>
    <w:p>
      <w:pPr>
        <w:spacing w:line="240" w:lineRule="auto" w:before="6"/>
        <w:rPr>
          <w:rFonts w:ascii="宋体" w:hAnsi="宋体" w:cs="宋体" w:eastAsia="宋体" w:hint="default"/>
          <w:sz w:val="21"/>
          <w:szCs w:val="21"/>
        </w:rPr>
      </w:pPr>
    </w:p>
    <w:p>
      <w:pPr>
        <w:pStyle w:val="BodyText"/>
        <w:spacing w:line="240" w:lineRule="auto" w:before="35"/>
        <w:ind w:right="97"/>
        <w:jc w:val="left"/>
      </w:pPr>
      <w:bookmarkStart w:name="58、专项储备" w:id="337"/>
      <w:bookmarkEnd w:id="337"/>
      <w:r>
        <w:rPr/>
      </w:r>
      <w:bookmarkStart w:name="59、盈余公积" w:id="338"/>
      <w:bookmarkEnd w:id="338"/>
      <w:r>
        <w:rPr/>
      </w:r>
      <w:r>
        <w:rPr/>
        <w:t>其他说明，包括本期增减变动情况、变动原因说明：</w:t>
      </w:r>
    </w:p>
    <w:p>
      <w:pPr>
        <w:spacing w:line="240" w:lineRule="auto" w:before="10"/>
        <w:rPr>
          <w:rFonts w:ascii="宋体" w:hAnsi="宋体" w:cs="宋体" w:eastAsia="宋体" w:hint="default"/>
          <w:sz w:val="16"/>
          <w:szCs w:val="16"/>
        </w:rPr>
      </w:pPr>
    </w:p>
    <w:p>
      <w:pPr>
        <w:pStyle w:val="BodyText"/>
        <w:spacing w:line="309" w:lineRule="auto"/>
        <w:ind w:left="154" w:right="97" w:firstLine="420"/>
        <w:jc w:val="left"/>
      </w:pPr>
      <w:r>
        <w:rPr/>
        <w:t>说明</w:t>
      </w:r>
      <w:r>
        <w:rPr>
          <w:rFonts w:ascii="Times New Roman" w:hAnsi="Times New Roman" w:cs="Times New Roman" w:eastAsia="Times New Roman" w:hint="default"/>
        </w:rPr>
        <w:t>1</w:t>
      </w:r>
      <w:r>
        <w:rPr/>
        <w:t>：资本公积</w:t>
      </w:r>
      <w:r>
        <w:rPr>
          <w:rFonts w:ascii="Times New Roman" w:hAnsi="Times New Roman" w:cs="Times New Roman" w:eastAsia="Times New Roman" w:hint="default"/>
        </w:rPr>
        <w:t>-</w:t>
      </w:r>
      <w:r>
        <w:rPr/>
        <w:t>股本溢价本年增加</w:t>
      </w:r>
      <w:r>
        <w:rPr>
          <w:rFonts w:ascii="Times New Roman" w:hAnsi="Times New Roman" w:cs="Times New Roman" w:eastAsia="Times New Roman" w:hint="default"/>
        </w:rPr>
        <w:t>800,536,881.86</w:t>
      </w:r>
      <w:r>
        <w:rPr/>
        <w:t>元，系本年本公司以</w:t>
      </w:r>
      <w:r>
        <w:rPr>
          <w:rFonts w:ascii="Times New Roman" w:hAnsi="Times New Roman" w:cs="Times New Roman" w:eastAsia="Times New Roman" w:hint="default"/>
        </w:rPr>
        <w:t>807,309,981.86</w:t>
      </w:r>
      <w:r>
        <w:rPr/>
        <w:t>元</w:t>
      </w:r>
      <w:r>
        <w:rPr>
          <w:rFonts w:ascii="Times New Roman" w:hAnsi="Times New Roman" w:cs="Times New Roman" w:eastAsia="Times New Roman" w:hint="default"/>
        </w:rPr>
        <w:t>(</w:t>
      </w:r>
      <w:r>
        <w:rPr/>
        <w:t>发行 </w:t>
      </w:r>
      <w:r>
        <w:rPr>
          <w:rFonts w:ascii="Times New Roman" w:hAnsi="Times New Roman" w:cs="Times New Roman" w:eastAsia="Times New Roman" w:hint="default"/>
          <w:spacing w:val="-1"/>
        </w:rPr>
        <w:t>44,091,206</w:t>
      </w:r>
      <w:r>
        <w:rPr>
          <w:spacing w:val="-1"/>
        </w:rPr>
        <w:t>股</w:t>
      </w:r>
      <w:r>
        <w:rPr>
          <w:rFonts w:ascii="Times New Roman" w:hAnsi="Times New Roman" w:cs="Times New Roman" w:eastAsia="Times New Roman" w:hint="default"/>
          <w:spacing w:val="-1"/>
        </w:rPr>
        <w:t>,</w:t>
      </w:r>
      <w:r>
        <w:rPr>
          <w:spacing w:val="-1"/>
        </w:rPr>
        <w:t>每股</w:t>
      </w:r>
      <w:r>
        <w:rPr>
          <w:rFonts w:ascii="Times New Roman" w:hAnsi="Times New Roman" w:cs="Times New Roman" w:eastAsia="Times New Roman" w:hint="default"/>
          <w:spacing w:val="-1"/>
        </w:rPr>
        <w:t>18.31</w:t>
      </w:r>
      <w:r>
        <w:rPr>
          <w:spacing w:val="-1"/>
        </w:rPr>
        <w:t>元</w:t>
      </w:r>
      <w:r>
        <w:rPr>
          <w:rFonts w:ascii="Times New Roman" w:hAnsi="Times New Roman" w:cs="Times New Roman" w:eastAsia="Times New Roman" w:hint="default"/>
          <w:spacing w:val="-1"/>
        </w:rPr>
        <w:t>)</w:t>
      </w:r>
      <w:r>
        <w:rPr>
          <w:spacing w:val="-1"/>
        </w:rPr>
        <w:t>购买江苏税软</w:t>
      </w:r>
      <w:r>
        <w:rPr>
          <w:rFonts w:ascii="Times New Roman" w:hAnsi="Times New Roman" w:cs="Times New Roman" w:eastAsia="Times New Roman" w:hint="default"/>
          <w:spacing w:val="-1"/>
        </w:rPr>
        <w:t>100%</w:t>
      </w:r>
      <w:r>
        <w:rPr>
          <w:spacing w:val="-1"/>
        </w:rPr>
        <w:t>股权、以及购买珠海新德汇少数股东</w:t>
      </w:r>
      <w:r>
        <w:rPr>
          <w:rFonts w:ascii="Times New Roman" w:hAnsi="Times New Roman" w:cs="Times New Roman" w:eastAsia="Times New Roman" w:hint="default"/>
          <w:spacing w:val="-1"/>
        </w:rPr>
        <w:t>49%</w:t>
      </w:r>
      <w:r>
        <w:rPr>
          <w:spacing w:val="-1"/>
        </w:rPr>
        <w:t>股权；发行金额扣</w:t>
      </w:r>
      <w:r>
        <w:rPr>
          <w:spacing w:val="-61"/>
        </w:rPr>
        <w:t> </w:t>
      </w:r>
      <w:r>
        <w:rPr/>
        <w:t>除本次与发行股份相关的中介机构费</w:t>
      </w:r>
      <w:r>
        <w:rPr>
          <w:rFonts w:ascii="Times New Roman" w:hAnsi="Times New Roman" w:cs="Times New Roman" w:eastAsia="Times New Roman" w:hint="default"/>
        </w:rPr>
        <w:t>6,773,100.00</w:t>
      </w:r>
      <w:r>
        <w:rPr/>
        <w:t>元后金额为</w:t>
      </w:r>
      <w:r>
        <w:rPr>
          <w:rFonts w:ascii="Times New Roman" w:hAnsi="Times New Roman" w:cs="Times New Roman" w:eastAsia="Times New Roman" w:hint="default"/>
        </w:rPr>
        <w:t>800,536,881.86</w:t>
      </w:r>
      <w:r>
        <w:rPr/>
        <w:t>元。</w:t>
      </w:r>
    </w:p>
    <w:p>
      <w:pPr>
        <w:pStyle w:val="BodyText"/>
        <w:spacing w:line="314" w:lineRule="auto" w:before="136"/>
        <w:ind w:left="153" w:right="97" w:firstLine="419"/>
        <w:jc w:val="left"/>
      </w:pPr>
      <w:r>
        <w:rPr>
          <w:spacing w:val="-5"/>
        </w:rPr>
        <w:t>说明</w:t>
      </w:r>
      <w:r>
        <w:rPr>
          <w:rFonts w:ascii="Times New Roman" w:hAnsi="Times New Roman" w:cs="Times New Roman" w:eastAsia="Times New Roman" w:hint="default"/>
          <w:spacing w:val="-5"/>
        </w:rPr>
        <w:t>2</w:t>
      </w:r>
      <w:r>
        <w:rPr>
          <w:spacing w:val="-5"/>
        </w:rPr>
        <w:t>：资本公积</w:t>
      </w:r>
      <w:r>
        <w:rPr>
          <w:rFonts w:ascii="Times New Roman" w:hAnsi="Times New Roman" w:cs="Times New Roman" w:eastAsia="Times New Roman" w:hint="default"/>
          <w:spacing w:val="-5"/>
        </w:rPr>
        <w:t>-</w:t>
      </w:r>
      <w:r>
        <w:rPr>
          <w:spacing w:val="-5"/>
        </w:rPr>
        <w:t>股本溢价本年减少</w:t>
      </w:r>
      <w:r>
        <w:rPr>
          <w:rFonts w:ascii="Times New Roman" w:hAnsi="Times New Roman" w:cs="Times New Roman" w:eastAsia="Times New Roman" w:hint="default"/>
          <w:spacing w:val="-5"/>
        </w:rPr>
        <w:t>450,781,959.64</w:t>
      </w:r>
      <w:r>
        <w:rPr>
          <w:spacing w:val="-5"/>
        </w:rPr>
        <w:t>元，系：（</w:t>
      </w:r>
      <w:r>
        <w:rPr>
          <w:rFonts w:ascii="Times New Roman" w:hAnsi="Times New Roman" w:cs="Times New Roman" w:eastAsia="Times New Roman" w:hint="default"/>
          <w:spacing w:val="-5"/>
        </w:rPr>
        <w:t>1</w:t>
      </w:r>
      <w:r>
        <w:rPr>
          <w:spacing w:val="-5"/>
        </w:rPr>
        <w:t>）本公司</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4</w:t>
      </w:r>
      <w:r>
        <w:rPr>
          <w:spacing w:val="-5"/>
        </w:rPr>
        <w:t>月股东大会通过《</w:t>
      </w:r>
      <w:r>
        <w:rPr>
          <w:rFonts w:ascii="Times New Roman" w:hAnsi="Times New Roman" w:cs="Times New Roman" w:eastAsia="Times New Roman" w:hint="default"/>
          <w:spacing w:val="-5"/>
        </w:rPr>
        <w:t>2014</w:t>
      </w:r>
      <w:r>
        <w:rPr>
          <w:rFonts w:ascii="Times New Roman" w:hAnsi="Times New Roman" w:cs="Times New Roman" w:eastAsia="Times New Roman" w:hint="default"/>
        </w:rPr>
        <w:t> </w:t>
      </w:r>
      <w:r>
        <w:rPr/>
        <w:t>年度利润分配及资本公积金转增股本预案》，同意以截至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 </w:t>
      </w:r>
      <w:r>
        <w:rPr>
          <w:rFonts w:ascii="Times New Roman" w:hAnsi="Times New Roman" w:cs="Times New Roman" w:eastAsia="Times New Roman" w:hint="default"/>
        </w:rPr>
        <w:t>221,581,600</w:t>
      </w:r>
      <w:r>
        <w:rPr>
          <w:rFonts w:ascii="Times New Roman" w:hAnsi="Times New Roman" w:cs="Times New Roman" w:eastAsia="Times New Roman" w:hint="default"/>
          <w:spacing w:val="40"/>
        </w:rPr>
        <w:t> </w:t>
      </w:r>
      <w:r>
        <w:rPr/>
        <w:t>股为 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股，相应结转资本公积</w:t>
      </w:r>
      <w:r>
        <w:rPr>
          <w:rFonts w:ascii="Times New Roman" w:hAnsi="Times New Roman" w:cs="Times New Roman" w:eastAsia="Times New Roman" w:hint="default"/>
        </w:rPr>
        <w:t>221,581,600.00</w:t>
      </w:r>
      <w:r>
        <w:rPr/>
        <w:t>元；（</w:t>
      </w:r>
      <w:r>
        <w:rPr>
          <w:rFonts w:ascii="Times New Roman" w:hAnsi="Times New Roman" w:cs="Times New Roman" w:eastAsia="Times New Roman" w:hint="default"/>
        </w:rPr>
        <w:t>2</w:t>
      </w:r>
      <w:r>
        <w:rPr/>
        <w:t>）本公司发行 </w:t>
      </w:r>
      <w:r>
        <w:rPr>
          <w:spacing w:val="-1"/>
        </w:rPr>
        <w:t>股份购买子公司珠海新德汇少数股东股权，新取得的长期股权投资与按照新增持股比例计算应享有子公司</w:t>
      </w:r>
      <w:r>
        <w:rPr>
          <w:spacing w:val="-81"/>
        </w:rPr>
        <w:t> </w:t>
      </w:r>
      <w:r>
        <w:rPr>
          <w:spacing w:val="-81"/>
        </w:rPr>
      </w:r>
      <w:r>
        <w:rPr/>
        <w:t>自购买日开始持续计算的净资产份额之间的差额，冲减资本公积</w:t>
      </w:r>
      <w:r>
        <w:rPr>
          <w:rFonts w:ascii="Times New Roman" w:hAnsi="Times New Roman" w:cs="Times New Roman" w:eastAsia="Times New Roman" w:hint="default"/>
        </w:rPr>
        <w:t>229,200,359.64</w:t>
      </w:r>
      <w:r>
        <w:rPr/>
        <w:t>元。</w:t>
      </w:r>
    </w:p>
    <w:p>
      <w:pPr>
        <w:pStyle w:val="BodyText"/>
        <w:spacing w:line="312" w:lineRule="auto" w:before="131"/>
        <w:ind w:left="153" w:right="97" w:firstLine="419"/>
        <w:jc w:val="left"/>
      </w:pPr>
      <w:r>
        <w:rPr>
          <w:spacing w:val="-3"/>
        </w:rPr>
        <w:t>说明</w:t>
      </w:r>
      <w:r>
        <w:rPr>
          <w:rFonts w:ascii="Times New Roman" w:hAnsi="Times New Roman" w:cs="Times New Roman" w:eastAsia="Times New Roman" w:hint="default"/>
          <w:spacing w:val="-3"/>
        </w:rPr>
        <w:t>3</w:t>
      </w:r>
      <w:r>
        <w:rPr>
          <w:spacing w:val="-3"/>
        </w:rPr>
        <w:t>：资本公积</w:t>
      </w:r>
      <w:r>
        <w:rPr>
          <w:rFonts w:ascii="Times New Roman" w:hAnsi="Times New Roman" w:cs="Times New Roman" w:eastAsia="Times New Roman" w:hint="default"/>
          <w:spacing w:val="-3"/>
        </w:rPr>
        <w:t>-</w:t>
      </w:r>
      <w:r>
        <w:rPr>
          <w:spacing w:val="-3"/>
        </w:rPr>
        <w:t>其他资本公积本年增加</w:t>
      </w:r>
      <w:r>
        <w:rPr>
          <w:rFonts w:ascii="Times New Roman" w:hAnsi="Times New Roman" w:cs="Times New Roman" w:eastAsia="Times New Roman" w:hint="default"/>
          <w:spacing w:val="-3"/>
        </w:rPr>
        <w:t>34,687,809.45</w:t>
      </w:r>
      <w:r>
        <w:rPr>
          <w:spacing w:val="-3"/>
        </w:rPr>
        <w:t>元，</w:t>
      </w:r>
      <w:r>
        <w:rPr>
          <w:spacing w:val="-75"/>
        </w:rPr>
        <w:t> </w:t>
      </w:r>
      <w:r>
        <w:rPr>
          <w:spacing w:val="-4"/>
        </w:rPr>
        <w:t>系：（</w:t>
      </w:r>
      <w:r>
        <w:rPr>
          <w:rFonts w:ascii="Times New Roman" w:hAnsi="Times New Roman" w:cs="Times New Roman" w:eastAsia="Times New Roman" w:hint="default"/>
          <w:spacing w:val="-4"/>
        </w:rPr>
        <w:t>1</w:t>
      </w:r>
      <w:r>
        <w:rPr>
          <w:spacing w:val="-4"/>
        </w:rPr>
        <w:t>）本年股权激励费用摊销</w:t>
      </w:r>
      <w:r>
        <w:rPr>
          <w:rFonts w:ascii="Times New Roman" w:hAnsi="Times New Roman" w:cs="Times New Roman" w:eastAsia="Times New Roman" w:hint="default"/>
          <w:spacing w:val="-4"/>
        </w:rPr>
        <w:t>582,633.06</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2</w:t>
      </w:r>
      <w:r>
        <w:rPr/>
        <w:t>）本公司持有联营企业服云科技股权被动稀释所形成的资本公积</w:t>
      </w:r>
      <w:r>
        <w:rPr>
          <w:rFonts w:ascii="Times New Roman" w:hAnsi="Times New Roman" w:cs="Times New Roman" w:eastAsia="Times New Roman" w:hint="default"/>
        </w:rPr>
        <w:t>9,795,995.89</w:t>
      </w:r>
      <w:r>
        <w:rPr/>
        <w:t>元，以及按权益法确 </w:t>
      </w:r>
      <w:r>
        <w:rPr>
          <w:spacing w:val="-4"/>
        </w:rPr>
        <w:t>认对服云科技的其他权益变动</w:t>
      </w:r>
      <w:r>
        <w:rPr>
          <w:rFonts w:ascii="Times New Roman" w:hAnsi="Times New Roman" w:cs="Times New Roman" w:eastAsia="Times New Roman" w:hint="default"/>
          <w:spacing w:val="-4"/>
        </w:rPr>
        <w:t>1,126,098.24</w:t>
      </w:r>
      <w:r>
        <w:rPr>
          <w:spacing w:val="-4"/>
        </w:rPr>
        <w:t>元；（</w:t>
      </w:r>
      <w:r>
        <w:rPr>
          <w:rFonts w:ascii="Times New Roman" w:hAnsi="Times New Roman" w:cs="Times New Roman" w:eastAsia="Times New Roman" w:hint="default"/>
          <w:spacing w:val="-4"/>
        </w:rPr>
        <w:t>3</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9</w:t>
      </w:r>
      <w:r>
        <w:rPr>
          <w:spacing w:val="-4"/>
        </w:rPr>
        <w:t>月本公司员工股权激励计划已全部到期可行权，</w:t>
      </w:r>
      <w:r>
        <w:rPr>
          <w:spacing w:val="-67"/>
        </w:rPr>
        <w:t> </w:t>
      </w:r>
      <w:r>
        <w:rPr>
          <w:spacing w:val="-67"/>
        </w:rPr>
      </w:r>
      <w:r>
        <w:rPr/>
        <w:t>根据该限制性股票实际行权时的公允价格（即行权日股票收盘价格）与授予日购买价格的差额及行权数量</w:t>
      </w:r>
      <w:r>
        <w:rPr/>
        <w:t> </w:t>
      </w:r>
      <w:r>
        <w:rPr>
          <w:spacing w:val="-8"/>
        </w:rPr>
        <w:t>计算确定本公司工资薪金支出，依照税法规定进行税前扣除，相应冲减应交税费（企业所得税）</w:t>
      </w:r>
      <w:r>
        <w:rPr>
          <w:rFonts w:ascii="Times New Roman" w:hAnsi="Times New Roman" w:cs="Times New Roman" w:eastAsia="Times New Roman" w:hint="default"/>
          <w:spacing w:val="-8"/>
        </w:rPr>
        <w:t>31,366,983.78</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10"/>
        </w:rPr>
      </w:r>
      <w:r>
        <w:rPr/>
        <w:t>元，转回递延所得税资产（股份支付）</w:t>
      </w:r>
      <w:r>
        <w:rPr>
          <w:rFonts w:ascii="Times New Roman" w:hAnsi="Times New Roman" w:cs="Times New Roman" w:eastAsia="Times New Roman" w:hint="default"/>
        </w:rPr>
        <w:t>8,183,901.52</w:t>
      </w:r>
      <w:r>
        <w:rPr/>
        <w:t>元，差额计入资本公积</w:t>
      </w:r>
      <w:r>
        <w:rPr>
          <w:rFonts w:ascii="Times New Roman" w:hAnsi="Times New Roman" w:cs="Times New Roman" w:eastAsia="Times New Roman" w:hint="default"/>
        </w:rPr>
        <w:t>23,183,082.26</w:t>
      </w:r>
      <w:r>
        <w:rPr/>
        <w:t>元。</w:t>
      </w:r>
    </w:p>
    <w:p>
      <w:pPr>
        <w:spacing w:line="240" w:lineRule="auto" w:before="9"/>
        <w:rPr>
          <w:rFonts w:ascii="宋体" w:hAnsi="宋体" w:cs="宋体" w:eastAsia="宋体" w:hint="default"/>
          <w:sz w:val="21"/>
          <w:szCs w:val="21"/>
        </w:rPr>
      </w:pPr>
    </w:p>
    <w:p>
      <w:pPr>
        <w:pStyle w:val="Heading4"/>
        <w:spacing w:line="240" w:lineRule="auto"/>
        <w:ind w:right="97"/>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bookmarkStart w:name="56、库存股" w:id="339"/>
      <w:bookmarkEnd w:id="339"/>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8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18,750,139.20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18,750,139.20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left="843" w:right="0"/>
              <w:jc w:val="left"/>
              <w:rPr>
                <w:rFonts w:ascii="Times New Roman" w:hAnsi="Times New Roman" w:cs="Times New Roman" w:eastAsia="Times New Roman" w:hint="default"/>
                <w:sz w:val="18"/>
                <w:szCs w:val="18"/>
              </w:rPr>
            </w:pPr>
            <w:r>
              <w:rPr>
                <w:rFonts w:ascii="Times New Roman"/>
                <w:sz w:val="18"/>
              </w:rPr>
              <w:t>18,750,139.20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18,750,139.20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line="530" w:lineRule="auto" w:before="35"/>
        <w:ind w:left="574" w:right="814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pStyle w:val="Heading4"/>
        <w:spacing w:line="240" w:lineRule="auto" w:before="115"/>
        <w:ind w:right="97"/>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left="555" w:right="8571"/>
        <w:jc w:val="center"/>
      </w:pPr>
      <w:r>
        <w:rPr/>
        <w:t>不适用。</w:t>
      </w:r>
    </w:p>
    <w:p>
      <w:pPr>
        <w:spacing w:line="240" w:lineRule="auto" w:before="3"/>
        <w:rPr>
          <w:rFonts w:ascii="宋体" w:hAnsi="宋体" w:cs="宋体" w:eastAsia="宋体" w:hint="default"/>
          <w:sz w:val="28"/>
          <w:szCs w:val="28"/>
        </w:rPr>
      </w:pPr>
    </w:p>
    <w:p>
      <w:pPr>
        <w:pStyle w:val="Heading4"/>
        <w:spacing w:line="240" w:lineRule="auto"/>
        <w:ind w:right="97"/>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bookmarkStart w:name="57、其他综合收益" w:id="340"/>
      <w:bookmarkEnd w:id="340"/>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6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left="854" w:right="0"/>
              <w:jc w:val="left"/>
              <w:rPr>
                <w:rFonts w:ascii="Times New Roman" w:hAnsi="Times New Roman" w:cs="Times New Roman" w:eastAsia="Times New Roman" w:hint="default"/>
                <w:sz w:val="18"/>
                <w:szCs w:val="18"/>
              </w:rPr>
            </w:pPr>
            <w:r>
              <w:rPr>
                <w:rFonts w:ascii="Times New Roman"/>
                <w:sz w:val="18"/>
              </w:rPr>
              <w:t>35,686,525.88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11,496,029.60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47,182,555.48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left="854" w:right="0"/>
              <w:jc w:val="left"/>
              <w:rPr>
                <w:rFonts w:ascii="Times New Roman" w:hAnsi="Times New Roman" w:cs="Times New Roman" w:eastAsia="Times New Roman" w:hint="default"/>
                <w:sz w:val="18"/>
                <w:szCs w:val="18"/>
              </w:rPr>
            </w:pPr>
            <w:r>
              <w:rPr>
                <w:rFonts w:ascii="Times New Roman"/>
                <w:sz w:val="18"/>
              </w:rPr>
              <w:t>35,686,525.88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1" w:right="0"/>
              <w:jc w:val="left"/>
              <w:rPr>
                <w:rFonts w:ascii="Times New Roman" w:hAnsi="Times New Roman" w:cs="Times New Roman" w:eastAsia="Times New Roman" w:hint="default"/>
                <w:sz w:val="18"/>
                <w:szCs w:val="18"/>
              </w:rPr>
            </w:pPr>
            <w:r>
              <w:rPr>
                <w:rFonts w:ascii="Times New Roman"/>
                <w:sz w:val="18"/>
              </w:rPr>
              <w:t>11,496,029.60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47,182,555.48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20"/>
        </w:sectPr>
      </w:pPr>
    </w:p>
    <w:p>
      <w:pPr>
        <w:spacing w:line="240" w:lineRule="auto" w:before="6"/>
        <w:rPr>
          <w:rFonts w:ascii="宋体" w:hAnsi="宋体" w:cs="宋体" w:eastAsia="宋体" w:hint="default"/>
          <w:sz w:val="21"/>
          <w:szCs w:val="21"/>
        </w:rPr>
      </w:pPr>
    </w:p>
    <w:p>
      <w:pPr>
        <w:pStyle w:val="BodyText"/>
        <w:spacing w:line="432" w:lineRule="auto" w:before="35"/>
        <w:ind w:right="952"/>
        <w:jc w:val="left"/>
      </w:pPr>
      <w:bookmarkStart w:name="62、营业税金及附加" w:id="341"/>
      <w:bookmarkEnd w:id="341"/>
      <w:r>
        <w:rPr/>
      </w:r>
      <w:r>
        <w:rPr/>
        <w:t>盈余公积说明，包括本期增减变动情况、变动原因说明： 本年度盈余公积增加数系本公司根据母公司本年度实现的净利润的</w:t>
      </w:r>
      <w:r>
        <w:rPr>
          <w:rFonts w:ascii="Times New Roman" w:hAnsi="Times New Roman" w:cs="Times New Roman" w:eastAsia="Times New Roman" w:hint="default"/>
        </w:rPr>
        <w:t>10</w:t>
      </w:r>
      <w:r>
        <w:rPr/>
        <w:t>％提取法定盈余公积。</w:t>
      </w:r>
    </w:p>
    <w:p>
      <w:pPr>
        <w:pStyle w:val="Heading4"/>
        <w:spacing w:line="240" w:lineRule="auto" w:before="167"/>
        <w:ind w:right="0"/>
        <w:jc w:val="left"/>
        <w:rPr>
          <w:b w:val="0"/>
          <w:bCs w:val="0"/>
        </w:rPr>
      </w:pPr>
      <w:r>
        <w:rPr>
          <w:rFonts w:ascii="Times New Roman" w:hAnsi="Times New Roman" w:cs="Times New Roman" w:eastAsia="Times New Roman" w:hint="default"/>
        </w:rPr>
        <w:t>60</w:t>
      </w:r>
      <w:r>
        <w:rPr/>
        <w:t>、未分配利</w:t>
      </w:r>
      <w:bookmarkStart w:name="60、未分配利润" w:id="342"/>
      <w:bookmarkEnd w:id="342"/>
      <w:r>
        <w:rPr/>
        <w:t>润</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296,653,550.96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199,392,324.68</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296,653,550.96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199,392,324.68</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133,165,026.62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114,602,055.27</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11,496,029.60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10,689,636.99</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79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9,971,172.00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6,651,192.00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408,351,375.98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296,653,550.96</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调整期初未分配利润明细：</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0.00</w:t>
      </w:r>
      <w:r>
        <w:rPr/>
        <w:t>元。</w:t>
      </w:r>
    </w:p>
    <w:p>
      <w:pPr>
        <w:spacing w:line="240" w:lineRule="auto" w:before="7"/>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0.00</w:t>
      </w:r>
      <w:r>
        <w:rPr/>
        <w:t>元。</w:t>
      </w:r>
    </w:p>
    <w:p>
      <w:pPr>
        <w:spacing w:line="240" w:lineRule="auto" w:before="7"/>
        <w:rPr>
          <w:rFonts w:ascii="宋体" w:hAnsi="宋体" w:cs="宋体" w:eastAsia="宋体" w:hint="default"/>
          <w:sz w:val="15"/>
          <w:szCs w:val="15"/>
        </w:rPr>
      </w:pPr>
    </w:p>
    <w:p>
      <w:pPr>
        <w:pStyle w:val="BodyText"/>
        <w:spacing w:line="240" w:lineRule="auto"/>
        <w:ind w:right="0"/>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0.00</w:t>
      </w:r>
      <w:r>
        <w:rPr/>
        <w:t>元。</w:t>
      </w:r>
    </w:p>
    <w:p>
      <w:pPr>
        <w:spacing w:line="240" w:lineRule="auto" w:before="7"/>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0.00</w:t>
      </w:r>
      <w:r>
        <w:rPr/>
        <w:t>元。</w:t>
      </w:r>
    </w:p>
    <w:p>
      <w:pPr>
        <w:spacing w:line="240" w:lineRule="auto" w:before="7"/>
        <w:rPr>
          <w:rFonts w:ascii="宋体" w:hAnsi="宋体" w:cs="宋体" w:eastAsia="宋体" w:hint="default"/>
          <w:sz w:val="15"/>
          <w:szCs w:val="15"/>
        </w:rPr>
      </w:pPr>
    </w:p>
    <w:p>
      <w:pPr>
        <w:pStyle w:val="BodyText"/>
        <w:spacing w:line="240" w:lineRule="auto"/>
        <w:ind w:left="573" w:right="0"/>
        <w:jc w:val="left"/>
      </w:pPr>
      <w:r>
        <w:rPr>
          <w:rFonts w:ascii="Times New Roman" w:hAnsi="Times New Roman" w:cs="Times New Roman" w:eastAsia="Times New Roman" w:hint="default"/>
        </w:rPr>
        <w:t>5)</w:t>
      </w:r>
      <w:r>
        <w:rPr/>
        <w:t>、其他调整合计影响期初未分配利润</w:t>
      </w:r>
      <w:r>
        <w:rPr>
          <w:rFonts w:ascii="Times New Roman" w:hAnsi="Times New Roman" w:cs="Times New Roman" w:eastAsia="Times New Roman" w:hint="default"/>
        </w:rPr>
        <w:t>0.00</w:t>
      </w:r>
      <w:r>
        <w:rPr/>
        <w:t>元。</w:t>
      </w:r>
    </w:p>
    <w:p>
      <w:pPr>
        <w:spacing w:line="240" w:lineRule="auto" w:before="1"/>
        <w:rPr>
          <w:rFonts w:ascii="宋体" w:hAnsi="宋体" w:cs="宋体" w:eastAsia="宋体" w:hint="default"/>
          <w:sz w:val="27"/>
          <w:szCs w:val="27"/>
        </w:rPr>
      </w:pPr>
    </w:p>
    <w:p>
      <w:pPr>
        <w:pStyle w:val="Heading4"/>
        <w:spacing w:line="240" w:lineRule="auto"/>
        <w:ind w:right="0"/>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1、营业收入和营业成本" w:id="343"/>
      <w:bookmarkEnd w:id="343"/>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4D4D4"/>
          </w:tcPr>
          <w:p>
            <w:pPr/>
          </w:p>
        </w:tc>
        <w:tc>
          <w:tcPr>
            <w:tcW w:w="3830"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67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1"/>
              <w:ind w:left="166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98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4D4D4"/>
          </w:tcPr>
          <w:p>
            <w:pPr/>
          </w:p>
        </w:tc>
        <w:tc>
          <w:tcPr>
            <w:tcW w:w="3828"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4D4D4"/>
          </w:tcPr>
          <w:p>
            <w:pPr/>
          </w:p>
        </w:tc>
        <w:tc>
          <w:tcPr>
            <w:tcW w:w="19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98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98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98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6"/>
              <w:ind w:left="98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6"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c>
          <w:tcPr>
            <w:tcW w:w="1914"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762,547,388.75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262,831,716.86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602,714,279.02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218,400,164.19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612,968.00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498,008.20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380,928.00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318,207.49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763,160,356.75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263,329,725.06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603,095,207.02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218,718,371.68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606,954.65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516,825.83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5,290,563.18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4,323,459.82</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2,267,384.30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1,852,954.20</w:t>
            </w:r>
            <w:r>
              <w:rPr>
                <w:rFonts w:ascii="Times New Roman"/>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1,511,589.46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1,235,402.81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水利建设专项资金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1,629.24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9,678,120.83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7,928,642.66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4、管理费用" w:id="344"/>
      <w:bookmarkEnd w:id="344"/>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3、销售费用" w:id="345"/>
      <w:bookmarkEnd w:id="345"/>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60,374,196.96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49,305,921.10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16,965,054.06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13,213,937.03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6,829,251.21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6,064,070.41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电讯费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3,017,751.80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2,908,802.79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3,586,341.89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3,174,977.70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171,000.44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704,655.74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2,029,977.69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1,198,285.35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2,127,809.06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1,094,540.36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1,916,078.05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1,809,136.65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747,774.39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113,226.74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2,291,124.21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1,702,236.44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1,071,520.39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844,660.04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4,466,780.90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768,567.11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294,283.38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318,258.47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410,844.32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251,545.27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499,239.29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242,033.29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233,513.98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169,883.35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107,032,542.02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83,884,737.84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118,885,669.25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77,826,708.28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市场运营费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25,540,062.36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23,131,038.46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25,822,023.28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22,789,683.12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21,131,511.38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18,669,641.41</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9,455,174.24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6,116,850.34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4,854,864.10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4,224,159.58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2,890,694.42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2,685,533.18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1,800,927.70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1,478,530.55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2,808,242.06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2,310,214.49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215,711.83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741,951.12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3,258,378.72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2,042,010.66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维修</w:t>
            </w:r>
            <w:r>
              <w:rPr>
                <w:rFonts w:ascii="Times New Roman" w:hAnsi="Times New Roman" w:cs="Times New Roman" w:eastAsia="Times New Roman" w:hint="default"/>
                <w:sz w:val="18"/>
                <w:szCs w:val="18"/>
              </w:rPr>
              <w:t>(</w:t>
            </w:r>
            <w:r>
              <w:rPr>
                <w:rFonts w:ascii="宋体" w:hAnsi="宋体" w:cs="宋体" w:eastAsia="宋体" w:hint="default"/>
                <w:sz w:val="18"/>
                <w:szCs w:val="18"/>
              </w:rPr>
              <w:t>护</w:t>
            </w:r>
            <w:r>
              <w:rPr>
                <w:rFonts w:ascii="Times New Roman" w:hAnsi="Times New Roman" w:cs="Times New Roman" w:eastAsia="Times New Roman" w:hint="default"/>
                <w:sz w:val="18"/>
                <w:szCs w:val="18"/>
              </w:rPr>
              <w:t>)</w:t>
            </w:r>
            <w:r>
              <w:rPr>
                <w:rFonts w:ascii="宋体" w:hAnsi="宋体" w:cs="宋体" w:eastAsia="宋体" w:hint="default"/>
                <w:sz w:val="18"/>
                <w:szCs w:val="18"/>
              </w:rPr>
              <w:t>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2,271,420.20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1,019,543.74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1,577,552.43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1,396,594.53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1,746,384.79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1,449,774.95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3,205,978.37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2,444,891.40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575,675.04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482,155.88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1,675,988.87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673,062.54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3,902,965.10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476,921.04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残疾人补助金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224,176.61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250,417.91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企业年金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139,445.82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152,308.67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会员年费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456,018.45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280,595.00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无形资产评估增值摊销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726,090.00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1,436,160.36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571,279.51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235,186,115.38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171,753,866.36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6、资产减值损失" w:id="346"/>
      <w:bookmarkEnd w:id="346"/>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5、财务费用" w:id="347"/>
      <w:bookmarkEnd w:id="347"/>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6,835,963.79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7,579,256.30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-124,822.44</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52,190.05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146,127.41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198,884.00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-6,814,658.82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-7,328,182.25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10,007,093.19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7,262,404.45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6,331,415.68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546,996.96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3,781,540.47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20,120,049.34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7,809,401.41</w:t>
            </w:r>
          </w:p>
        </w:tc>
      </w:tr>
    </w:tbl>
    <w:p>
      <w:pPr>
        <w:spacing w:line="240" w:lineRule="auto" w:before="2"/>
        <w:rPr>
          <w:rFonts w:ascii="宋体" w:hAnsi="宋体" w:cs="宋体" w:eastAsia="宋体" w:hint="default"/>
          <w:sz w:val="19"/>
          <w:szCs w:val="19"/>
        </w:rPr>
      </w:pPr>
    </w:p>
    <w:p>
      <w:pPr>
        <w:spacing w:line="530" w:lineRule="auto" w:before="35"/>
        <w:ind w:left="574" w:right="7665"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、公允价值</w:t>
      </w:r>
      <w:bookmarkStart w:name="67、公允价值变动收益" w:id="348"/>
      <w:bookmarkEnd w:id="348"/>
      <w:r>
        <w:rPr>
          <w:rFonts w:ascii="宋体" w:hAnsi="宋体" w:cs="宋体" w:eastAsia="宋体" w:hint="default"/>
          <w:b/>
          <w:bCs/>
          <w:sz w:val="21"/>
          <w:szCs w:val="21"/>
        </w:rPr>
        <w:t>变动收益</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8、投资收益" w:id="349"/>
      <w:bookmarkEnd w:id="349"/>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6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1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-6,092,019.31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-4,297,571.35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230,606.42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-5,861,412.89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-4,297,571.35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69</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69、营业外收入" w:id="350"/>
      <w:bookmarkEnd w:id="350"/>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04"/>
        <w:gridCol w:w="2479"/>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62"/>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44,363,973.59</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21,768,238.35</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14,803,594.48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401,229.28</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426,526.46</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401,229.28</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44,765,202.87</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22,194,764.81</w:t>
            </w:r>
          </w:p>
        </w:tc>
        <w:tc>
          <w:tcPr>
            <w:tcW w:w="2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15,204,823.76</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计入当期损益的政府补助：</w:t>
      </w:r>
    </w:p>
    <w:p>
      <w:pPr>
        <w:spacing w:line="240" w:lineRule="auto" w:before="0"/>
        <w:rPr>
          <w:rFonts w:ascii="宋体" w:hAnsi="宋体" w:cs="宋体" w:eastAsia="宋体" w:hint="default"/>
          <w:sz w:val="13"/>
          <w:szCs w:val="1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779"/>
        <w:gridCol w:w="1134"/>
        <w:gridCol w:w="1276"/>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pacing w:val="20"/>
                <w:sz w:val="18"/>
                <w:szCs w:val="18"/>
              </w:rPr>
              <w:t>补贴是否影</w:t>
            </w:r>
            <w:r>
              <w:rPr>
                <w:rFonts w:ascii="宋体" w:hAnsi="宋体" w:cs="宋体" w:eastAsia="宋体" w:hint="default"/>
                <w:spacing w:val="-86"/>
                <w:sz w:val="18"/>
                <w:szCs w:val="18"/>
              </w:rPr>
              <w:t> </w:t>
            </w:r>
            <w:r>
              <w:rPr>
                <w:rFonts w:ascii="宋体" w:hAnsi="宋体" w:cs="宋体" w:eastAsia="宋体" w:hint="default"/>
                <w:sz w:val="18"/>
                <w:szCs w:val="18"/>
              </w:rPr>
              <w:t>响当年盈亏</w:t>
            </w:r>
          </w:p>
        </w:tc>
        <w:tc>
          <w:tcPr>
            <w:tcW w:w="7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是否特殊</w:t>
            </w:r>
            <w:r>
              <w:rPr>
                <w:rFonts w:ascii="宋体" w:hAnsi="宋体" w:cs="宋体" w:eastAsia="宋体" w:hint="default"/>
                <w:spacing w:val="-86"/>
                <w:sz w:val="18"/>
                <w:szCs w:val="18"/>
              </w:rPr>
              <w:t> </w:t>
            </w:r>
            <w:r>
              <w:rPr>
                <w:rFonts w:ascii="宋体" w:hAnsi="宋体" w:cs="宋体" w:eastAsia="宋体" w:hint="default"/>
                <w:sz w:val="18"/>
                <w:szCs w:val="18"/>
              </w:rPr>
              <w:t>补贴</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35"/>
                <w:sz w:val="18"/>
                <w:szCs w:val="18"/>
              </w:rPr>
              <w:t>本期发生金</w:t>
            </w:r>
            <w:r>
              <w:rPr>
                <w:rFonts w:ascii="宋体" w:hAnsi="宋体" w:cs="宋体" w:eastAsia="宋体" w:hint="default"/>
                <w:spacing w:val="-46"/>
                <w:sz w:val="18"/>
                <w:szCs w:val="18"/>
              </w:rPr>
              <w:t> </w:t>
            </w:r>
            <w:r>
              <w:rPr>
                <w:rFonts w:ascii="宋体" w:hAnsi="宋体" w:cs="宋体" w:eastAsia="宋体" w:hint="default"/>
                <w:sz w:val="18"/>
                <w:szCs w:val="18"/>
              </w:rPr>
              <w:t>额</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23" w:right="21"/>
              <w:jc w:val="left"/>
              <w:rPr>
                <w:rFonts w:ascii="宋体" w:hAnsi="宋体" w:cs="宋体" w:eastAsia="宋体" w:hint="default"/>
                <w:sz w:val="18"/>
                <w:szCs w:val="18"/>
              </w:rPr>
            </w:pPr>
            <w:r>
              <w:rPr>
                <w:rFonts w:ascii="宋体" w:hAnsi="宋体" w:cs="宋体" w:eastAsia="宋体" w:hint="default"/>
                <w:spacing w:val="9"/>
                <w:sz w:val="18"/>
                <w:szCs w:val="18"/>
              </w:rPr>
              <w:t>与资产相关</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5"/>
              <w:jc w:val="left"/>
              <w:rPr>
                <w:rFonts w:ascii="宋体" w:hAnsi="宋体" w:cs="宋体" w:eastAsia="宋体" w:hint="default"/>
                <w:sz w:val="18"/>
                <w:szCs w:val="18"/>
              </w:rPr>
            </w:pPr>
            <w:r>
              <w:rPr>
                <w:rFonts w:ascii="宋体" w:hAnsi="宋体" w:cs="宋体" w:eastAsia="宋体" w:hint="default"/>
                <w:spacing w:val="21"/>
                <w:sz w:val="18"/>
                <w:szCs w:val="18"/>
              </w:rPr>
              <w:t>软件产品增</w:t>
            </w:r>
            <w:r>
              <w:rPr>
                <w:rFonts w:ascii="宋体" w:hAnsi="宋体" w:cs="宋体" w:eastAsia="宋体" w:hint="default"/>
                <w:spacing w:val="-88"/>
                <w:sz w:val="18"/>
                <w:szCs w:val="18"/>
              </w:rPr>
              <w:t> </w:t>
            </w:r>
            <w:r>
              <w:rPr>
                <w:rFonts w:ascii="宋体" w:hAnsi="宋体" w:cs="宋体" w:eastAsia="宋体" w:hint="default"/>
                <w:sz w:val="18"/>
                <w:szCs w:val="18"/>
              </w:rPr>
              <w:t>值税返还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
              <w:jc w:val="both"/>
              <w:rPr>
                <w:rFonts w:ascii="宋体" w:hAnsi="宋体" w:cs="宋体" w:eastAsia="宋体" w:hint="default"/>
                <w:sz w:val="18"/>
                <w:szCs w:val="18"/>
              </w:rPr>
            </w:pPr>
            <w:r>
              <w:rPr>
                <w:rFonts w:ascii="宋体" w:hAnsi="宋体" w:cs="宋体" w:eastAsia="宋体" w:hint="default"/>
                <w:spacing w:val="20"/>
                <w:sz w:val="18"/>
                <w:szCs w:val="18"/>
              </w:rPr>
              <w:t>厦门国家税</w:t>
            </w:r>
            <w:r>
              <w:rPr>
                <w:rFonts w:ascii="宋体" w:hAnsi="宋体" w:cs="宋体" w:eastAsia="宋体" w:hint="default"/>
                <w:spacing w:val="-86"/>
                <w:sz w:val="18"/>
                <w:szCs w:val="18"/>
              </w:rPr>
              <w:t> </w:t>
            </w:r>
            <w:r>
              <w:rPr>
                <w:rFonts w:ascii="宋体" w:hAnsi="宋体" w:cs="宋体" w:eastAsia="宋体" w:hint="default"/>
                <w:spacing w:val="-13"/>
                <w:sz w:val="18"/>
                <w:szCs w:val="18"/>
              </w:rPr>
              <w:t>务局、珠海国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家税务局、武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汉国家税务</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
              <w:jc w:val="both"/>
              <w:rPr>
                <w:rFonts w:ascii="宋体" w:hAnsi="宋体" w:cs="宋体" w:eastAsia="宋体" w:hint="default"/>
                <w:sz w:val="18"/>
                <w:szCs w:val="18"/>
              </w:rPr>
            </w:pPr>
            <w:r>
              <w:rPr>
                <w:rFonts w:ascii="宋体" w:hAnsi="宋体" w:cs="宋体" w:eastAsia="宋体" w:hint="default"/>
                <w:spacing w:val="20"/>
                <w:sz w:val="18"/>
                <w:szCs w:val="18"/>
              </w:rPr>
              <w:t>因从事国家</w:t>
            </w:r>
            <w:r>
              <w:rPr>
                <w:rFonts w:ascii="宋体" w:hAnsi="宋体" w:cs="宋体" w:eastAsia="宋体" w:hint="default"/>
                <w:spacing w:val="-86"/>
                <w:sz w:val="18"/>
                <w:szCs w:val="18"/>
              </w:rPr>
              <w:t> </w:t>
            </w:r>
            <w:r>
              <w:rPr>
                <w:rFonts w:ascii="宋体" w:hAnsi="宋体" w:cs="宋体" w:eastAsia="宋体" w:hint="default"/>
                <w:spacing w:val="17"/>
                <w:sz w:val="18"/>
                <w:szCs w:val="18"/>
              </w:rPr>
              <w:t>鼓励和</w:t>
            </w:r>
            <w:r>
              <w:rPr>
                <w:rFonts w:ascii="宋体" w:hAnsi="宋体" w:cs="宋体" w:eastAsia="宋体" w:hint="default"/>
                <w:spacing w:val="-64"/>
                <w:sz w:val="18"/>
                <w:szCs w:val="18"/>
              </w:rPr>
              <w:t> </w:t>
            </w:r>
            <w:r>
              <w:rPr>
                <w:rFonts w:ascii="宋体" w:hAnsi="宋体" w:cs="宋体" w:eastAsia="宋体" w:hint="default"/>
                <w:spacing w:val="13"/>
                <w:sz w:val="18"/>
                <w:szCs w:val="18"/>
              </w:rPr>
              <w:t>扶持</w:t>
            </w:r>
            <w:r>
              <w:rPr>
                <w:rFonts w:ascii="宋体" w:hAnsi="宋体" w:cs="宋体" w:eastAsia="宋体" w:hint="default"/>
                <w:spacing w:val="-64"/>
                <w:sz w:val="18"/>
                <w:szCs w:val="18"/>
              </w:rPr>
              <w:t>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业而获得的</w:t>
            </w:r>
            <w:r>
              <w:rPr>
                <w:rFonts w:ascii="宋体" w:hAnsi="宋体" w:cs="宋体" w:eastAsia="宋体" w:hint="default"/>
                <w:spacing w:val="-86"/>
                <w:sz w:val="18"/>
                <w:szCs w:val="18"/>
              </w:rPr>
              <w:t>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级政策规定</w:t>
            </w:r>
            <w:r>
              <w:rPr>
                <w:rFonts w:ascii="宋体" w:hAnsi="宋体" w:cs="宋体" w:eastAsia="宋体" w:hint="default"/>
                <w:spacing w:val="-86"/>
                <w:sz w:val="18"/>
                <w:szCs w:val="18"/>
              </w:rPr>
              <w:t> </w:t>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29,560,379.11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12,896,929.92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
              <w:jc w:val="both"/>
              <w:rPr>
                <w:rFonts w:ascii="宋体" w:hAnsi="宋体" w:cs="宋体" w:eastAsia="宋体" w:hint="default"/>
                <w:sz w:val="18"/>
                <w:szCs w:val="18"/>
              </w:rPr>
            </w:pPr>
            <w:r>
              <w:rPr>
                <w:rFonts w:ascii="宋体" w:hAnsi="宋体" w:cs="宋体" w:eastAsia="宋体" w:hint="default"/>
                <w:spacing w:val="21"/>
                <w:sz w:val="18"/>
                <w:szCs w:val="18"/>
              </w:rPr>
              <w:t>厦门超级计</w:t>
            </w:r>
            <w:r>
              <w:rPr>
                <w:rFonts w:ascii="宋体" w:hAnsi="宋体" w:cs="宋体" w:eastAsia="宋体" w:hint="default"/>
                <w:spacing w:val="-88"/>
                <w:sz w:val="18"/>
                <w:szCs w:val="18"/>
              </w:rPr>
              <w:t> </w:t>
            </w:r>
            <w:r>
              <w:rPr>
                <w:rFonts w:ascii="宋体" w:hAnsi="宋体" w:cs="宋体" w:eastAsia="宋体" w:hint="default"/>
                <w:spacing w:val="-12"/>
                <w:sz w:val="18"/>
                <w:szCs w:val="18"/>
              </w:rPr>
              <w:t>算中心（云计</w:t>
            </w:r>
            <w:r>
              <w:rPr>
                <w:rFonts w:ascii="宋体" w:hAnsi="宋体" w:cs="宋体" w:eastAsia="宋体" w:hint="default"/>
                <w:sz w:val="18"/>
                <w:szCs w:val="18"/>
              </w:rPr>
              <w:t> 算中心）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厦门市发改</w:t>
            </w:r>
            <w:r>
              <w:rPr>
                <w:rFonts w:ascii="宋体" w:hAnsi="宋体" w:cs="宋体" w:eastAsia="宋体" w:hint="default"/>
                <w:spacing w:val="-86"/>
                <w:sz w:val="18"/>
                <w:szCs w:val="18"/>
              </w:rPr>
              <w:t> </w:t>
            </w:r>
            <w:r>
              <w:rPr>
                <w:rFonts w:ascii="宋体" w:hAnsi="宋体" w:cs="宋体" w:eastAsia="宋体" w:hint="default"/>
                <w:sz w:val="18"/>
                <w:szCs w:val="18"/>
              </w:rPr>
              <w:t>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
              <w:jc w:val="both"/>
              <w:rPr>
                <w:rFonts w:ascii="宋体" w:hAnsi="宋体" w:cs="宋体" w:eastAsia="宋体" w:hint="default"/>
                <w:sz w:val="18"/>
                <w:szCs w:val="18"/>
              </w:rPr>
            </w:pPr>
            <w:r>
              <w:rPr>
                <w:rFonts w:ascii="宋体" w:hAnsi="宋体" w:cs="宋体" w:eastAsia="宋体" w:hint="default"/>
                <w:spacing w:val="20"/>
                <w:sz w:val="18"/>
                <w:szCs w:val="18"/>
              </w:rPr>
              <w:t>因从事国家</w:t>
            </w:r>
            <w:r>
              <w:rPr>
                <w:rFonts w:ascii="宋体" w:hAnsi="宋体" w:cs="宋体" w:eastAsia="宋体" w:hint="default"/>
                <w:spacing w:val="-86"/>
                <w:sz w:val="18"/>
                <w:szCs w:val="18"/>
              </w:rPr>
              <w:t> </w:t>
            </w:r>
            <w:r>
              <w:rPr>
                <w:rFonts w:ascii="宋体" w:hAnsi="宋体" w:cs="宋体" w:eastAsia="宋体" w:hint="default"/>
                <w:spacing w:val="20"/>
                <w:sz w:val="18"/>
                <w:szCs w:val="18"/>
              </w:rPr>
              <w:t>鼓励和扶持</w:t>
            </w:r>
            <w:r>
              <w:rPr>
                <w:rFonts w:ascii="宋体" w:hAnsi="宋体" w:cs="宋体" w:eastAsia="宋体" w:hint="default"/>
                <w:spacing w:val="-86"/>
                <w:sz w:val="18"/>
                <w:szCs w:val="18"/>
              </w:rPr>
              <w:t> </w:t>
            </w:r>
            <w:r>
              <w:rPr>
                <w:rFonts w:ascii="宋体" w:hAnsi="宋体" w:cs="宋体" w:eastAsia="宋体" w:hint="default"/>
                <w:spacing w:val="-13"/>
                <w:sz w:val="18"/>
                <w:szCs w:val="18"/>
              </w:rPr>
              <w:t>特定行业、产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3,280,000.00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779"/>
        <w:gridCol w:w="1134"/>
        <w:gridCol w:w="1276"/>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
              <w:jc w:val="both"/>
              <w:rPr>
                <w:rFonts w:ascii="宋体" w:hAnsi="宋体" w:cs="宋体" w:eastAsia="宋体" w:hint="default"/>
                <w:sz w:val="18"/>
                <w:szCs w:val="18"/>
              </w:rPr>
            </w:pPr>
            <w:r>
              <w:rPr>
                <w:rFonts w:ascii="宋体" w:hAnsi="宋体" w:cs="宋体" w:eastAsia="宋体" w:hint="default"/>
                <w:spacing w:val="20"/>
                <w:sz w:val="18"/>
                <w:szCs w:val="18"/>
              </w:rPr>
              <w:t>业而获得的</w:t>
            </w:r>
            <w:r>
              <w:rPr>
                <w:rFonts w:ascii="宋体" w:hAnsi="宋体" w:cs="宋体" w:eastAsia="宋体" w:hint="default"/>
                <w:spacing w:val="-86"/>
                <w:sz w:val="18"/>
                <w:szCs w:val="18"/>
              </w:rPr>
              <w:t>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级政策规定</w:t>
            </w:r>
            <w:r>
              <w:rPr>
                <w:rFonts w:ascii="宋体" w:hAnsi="宋体" w:cs="宋体" w:eastAsia="宋体" w:hint="default"/>
                <w:spacing w:val="-86"/>
                <w:sz w:val="18"/>
                <w:szCs w:val="18"/>
              </w:rPr>
              <w:t> </w:t>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
              <w:jc w:val="both"/>
              <w:rPr>
                <w:rFonts w:ascii="宋体" w:hAnsi="宋体" w:cs="宋体" w:eastAsia="宋体" w:hint="default"/>
                <w:sz w:val="18"/>
                <w:szCs w:val="18"/>
              </w:rPr>
            </w:pPr>
            <w:r>
              <w:rPr>
                <w:rFonts w:ascii="宋体" w:hAnsi="宋体" w:cs="宋体" w:eastAsia="宋体" w:hint="default"/>
                <w:spacing w:val="-12"/>
                <w:sz w:val="18"/>
                <w:szCs w:val="18"/>
              </w:rPr>
              <w:t>房产税、城镇</w:t>
            </w:r>
            <w:r>
              <w:rPr>
                <w:rFonts w:ascii="宋体" w:hAnsi="宋体" w:cs="宋体" w:eastAsia="宋体" w:hint="default"/>
                <w:sz w:val="18"/>
                <w:szCs w:val="18"/>
              </w:rPr>
              <w:t> </w:t>
            </w:r>
            <w:r>
              <w:rPr>
                <w:rFonts w:ascii="宋体" w:hAnsi="宋体" w:cs="宋体" w:eastAsia="宋体" w:hint="default"/>
                <w:spacing w:val="21"/>
                <w:sz w:val="18"/>
                <w:szCs w:val="18"/>
              </w:rPr>
              <w:t>土地使用税</w:t>
            </w:r>
            <w:r>
              <w:rPr>
                <w:rFonts w:ascii="宋体" w:hAnsi="宋体" w:cs="宋体" w:eastAsia="宋体" w:hint="default"/>
                <w:spacing w:val="-88"/>
                <w:sz w:val="18"/>
                <w:szCs w:val="18"/>
              </w:rPr>
              <w:t> </w:t>
            </w:r>
            <w:r>
              <w:rPr>
                <w:rFonts w:ascii="宋体" w:hAnsi="宋体" w:cs="宋体" w:eastAsia="宋体" w:hint="default"/>
                <w:sz w:val="18"/>
                <w:szCs w:val="18"/>
              </w:rPr>
              <w:t>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
              <w:jc w:val="both"/>
              <w:rPr>
                <w:rFonts w:ascii="宋体" w:hAnsi="宋体" w:cs="宋体" w:eastAsia="宋体" w:hint="default"/>
                <w:sz w:val="18"/>
                <w:szCs w:val="18"/>
              </w:rPr>
            </w:pPr>
            <w:r>
              <w:rPr>
                <w:rFonts w:ascii="宋体" w:hAnsi="宋体" w:cs="宋体" w:eastAsia="宋体" w:hint="default"/>
                <w:spacing w:val="20"/>
                <w:sz w:val="18"/>
                <w:szCs w:val="18"/>
              </w:rPr>
              <w:t>厦门火炬高</w:t>
            </w:r>
            <w:r>
              <w:rPr>
                <w:rFonts w:ascii="宋体" w:hAnsi="宋体" w:cs="宋体" w:eastAsia="宋体" w:hint="default"/>
                <w:spacing w:val="-86"/>
                <w:sz w:val="18"/>
                <w:szCs w:val="18"/>
              </w:rPr>
              <w:t> </w:t>
            </w:r>
            <w:r>
              <w:rPr>
                <w:rFonts w:ascii="宋体" w:hAnsi="宋体" w:cs="宋体" w:eastAsia="宋体" w:hint="default"/>
                <w:spacing w:val="20"/>
                <w:sz w:val="18"/>
                <w:szCs w:val="18"/>
              </w:rPr>
              <w:t>技术产业开</w:t>
            </w:r>
            <w:r>
              <w:rPr>
                <w:rFonts w:ascii="宋体" w:hAnsi="宋体" w:cs="宋体" w:eastAsia="宋体" w:hint="default"/>
                <w:spacing w:val="-86"/>
                <w:sz w:val="18"/>
                <w:szCs w:val="18"/>
              </w:rPr>
              <w:t> </w:t>
            </w:r>
            <w:r>
              <w:rPr>
                <w:rFonts w:ascii="宋体" w:hAnsi="宋体" w:cs="宋体" w:eastAsia="宋体" w:hint="default"/>
                <w:spacing w:val="20"/>
                <w:sz w:val="18"/>
                <w:szCs w:val="18"/>
              </w:rPr>
              <w:t>发区管理委</w:t>
            </w:r>
            <w:r>
              <w:rPr>
                <w:rFonts w:ascii="宋体" w:hAnsi="宋体" w:cs="宋体" w:eastAsia="宋体" w:hint="default"/>
                <w:spacing w:val="-86"/>
                <w:sz w:val="18"/>
                <w:szCs w:val="18"/>
              </w:rPr>
              <w:t> </w:t>
            </w:r>
            <w:r>
              <w:rPr>
                <w:rFonts w:ascii="宋体" w:hAnsi="宋体" w:cs="宋体" w:eastAsia="宋体" w:hint="default"/>
                <w:sz w:val="18"/>
                <w:szCs w:val="18"/>
              </w:rPr>
              <w:t>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86,243.04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5"/>
              <w:jc w:val="both"/>
              <w:rPr>
                <w:rFonts w:ascii="宋体" w:hAnsi="宋体" w:cs="宋体" w:eastAsia="宋体" w:hint="default"/>
                <w:sz w:val="18"/>
                <w:szCs w:val="18"/>
              </w:rPr>
            </w:pPr>
            <w:r>
              <w:rPr>
                <w:rFonts w:ascii="宋体" w:hAnsi="宋体" w:cs="宋体" w:eastAsia="宋体" w:hint="default"/>
                <w:sz w:val="18"/>
                <w:szCs w:val="18"/>
              </w:rPr>
              <w:t>电</w:t>
            </w:r>
            <w:r>
              <w:rPr>
                <w:rFonts w:ascii="宋体" w:hAnsi="宋体" w:cs="宋体" w:eastAsia="宋体" w:hint="default"/>
                <w:spacing w:val="-63"/>
                <w:sz w:val="18"/>
                <w:szCs w:val="18"/>
              </w:rPr>
              <w:t> </w:t>
            </w:r>
            <w:r>
              <w:rPr>
                <w:rFonts w:ascii="宋体" w:hAnsi="宋体" w:cs="宋体" w:eastAsia="宋体" w:hint="default"/>
                <w:spacing w:val="20"/>
                <w:sz w:val="18"/>
                <w:szCs w:val="18"/>
              </w:rPr>
              <w:t>子数据取</w:t>
            </w:r>
            <w:r>
              <w:rPr>
                <w:rFonts w:ascii="宋体" w:hAnsi="宋体" w:cs="宋体" w:eastAsia="宋体" w:hint="default"/>
                <w:spacing w:val="-63"/>
                <w:sz w:val="18"/>
                <w:szCs w:val="18"/>
              </w:rPr>
              <w:t> </w:t>
            </w:r>
            <w:r>
              <w:rPr>
                <w:rFonts w:ascii="宋体" w:hAnsi="宋体" w:cs="宋体" w:eastAsia="宋体" w:hint="default"/>
                <w:spacing w:val="21"/>
                <w:sz w:val="18"/>
                <w:szCs w:val="18"/>
              </w:rPr>
              <w:t>证综合平台</w:t>
            </w:r>
            <w:r>
              <w:rPr>
                <w:rFonts w:ascii="宋体" w:hAnsi="宋体" w:cs="宋体" w:eastAsia="宋体" w:hint="default"/>
                <w:spacing w:val="-88"/>
                <w:sz w:val="18"/>
                <w:szCs w:val="18"/>
              </w:rPr>
              <w:t> </w:t>
            </w:r>
            <w:r>
              <w:rPr>
                <w:rFonts w:ascii="宋体" w:hAnsi="宋体" w:cs="宋体" w:eastAsia="宋体" w:hint="default"/>
                <w:sz w:val="18"/>
                <w:szCs w:val="18"/>
              </w:rPr>
              <w:t>产业化项目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国家发改委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因从事国家</w:t>
            </w:r>
            <w:r>
              <w:rPr>
                <w:rFonts w:ascii="宋体" w:hAnsi="宋体" w:cs="宋体" w:eastAsia="宋体" w:hint="default"/>
                <w:spacing w:val="-86"/>
                <w:sz w:val="18"/>
                <w:szCs w:val="18"/>
              </w:rPr>
              <w:t> </w:t>
            </w:r>
            <w:r>
              <w:rPr>
                <w:rFonts w:ascii="宋体" w:hAnsi="宋体" w:cs="宋体" w:eastAsia="宋体" w:hint="default"/>
                <w:spacing w:val="20"/>
                <w:sz w:val="18"/>
                <w:szCs w:val="18"/>
              </w:rPr>
              <w:t>鼓励和扶持</w:t>
            </w:r>
            <w:r>
              <w:rPr>
                <w:rFonts w:ascii="宋体" w:hAnsi="宋体" w:cs="宋体" w:eastAsia="宋体" w:hint="default"/>
                <w:spacing w:val="-86"/>
                <w:sz w:val="18"/>
                <w:szCs w:val="18"/>
              </w:rPr>
              <w:t>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业而获得的</w:t>
            </w:r>
            <w:r>
              <w:rPr>
                <w:rFonts w:ascii="宋体" w:hAnsi="宋体" w:cs="宋体" w:eastAsia="宋体" w:hint="default"/>
                <w:spacing w:val="-86"/>
                <w:sz w:val="18"/>
                <w:szCs w:val="18"/>
              </w:rPr>
              <w:t>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级政策规定</w:t>
            </w:r>
            <w:r>
              <w:rPr>
                <w:rFonts w:ascii="宋体" w:hAnsi="宋体" w:cs="宋体" w:eastAsia="宋体" w:hint="default"/>
                <w:spacing w:val="-86"/>
                <w:sz w:val="18"/>
                <w:szCs w:val="18"/>
              </w:rPr>
              <w:t> </w:t>
            </w: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186,516.27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475,476.59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专利申请费</w:t>
            </w:r>
            <w:r>
              <w:rPr>
                <w:rFonts w:ascii="宋体" w:hAnsi="宋体" w:cs="宋体" w:eastAsia="宋体" w:hint="default"/>
                <w:spacing w:val="-88"/>
                <w:sz w:val="18"/>
                <w:szCs w:val="18"/>
              </w:rPr>
              <w:t> </w:t>
            </w:r>
            <w:r>
              <w:rPr>
                <w:rFonts w:ascii="宋体" w:hAnsi="宋体" w:cs="宋体" w:eastAsia="宋体" w:hint="default"/>
                <w:sz w:val="18"/>
                <w:szCs w:val="18"/>
              </w:rPr>
              <w:t>用资助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
              <w:jc w:val="both"/>
              <w:rPr>
                <w:rFonts w:ascii="宋体" w:hAnsi="宋体" w:cs="宋体" w:eastAsia="宋体" w:hint="default"/>
                <w:sz w:val="18"/>
                <w:szCs w:val="18"/>
              </w:rPr>
            </w:pPr>
            <w:r>
              <w:rPr>
                <w:rFonts w:ascii="宋体" w:hAnsi="宋体" w:cs="宋体" w:eastAsia="宋体" w:hint="default"/>
                <w:spacing w:val="20"/>
                <w:sz w:val="18"/>
                <w:szCs w:val="18"/>
              </w:rPr>
              <w:t>厦门火炬高</w:t>
            </w:r>
            <w:r>
              <w:rPr>
                <w:rFonts w:ascii="宋体" w:hAnsi="宋体" w:cs="宋体" w:eastAsia="宋体" w:hint="default"/>
                <w:spacing w:val="-86"/>
                <w:sz w:val="18"/>
                <w:szCs w:val="18"/>
              </w:rPr>
              <w:t> </w:t>
            </w:r>
            <w:r>
              <w:rPr>
                <w:rFonts w:ascii="宋体" w:hAnsi="宋体" w:cs="宋体" w:eastAsia="宋体" w:hint="default"/>
                <w:spacing w:val="20"/>
                <w:sz w:val="18"/>
                <w:szCs w:val="18"/>
              </w:rPr>
              <w:t>技术产业开</w:t>
            </w:r>
            <w:r>
              <w:rPr>
                <w:rFonts w:ascii="宋体" w:hAnsi="宋体" w:cs="宋体" w:eastAsia="宋体" w:hint="default"/>
                <w:spacing w:val="-86"/>
                <w:sz w:val="18"/>
                <w:szCs w:val="18"/>
              </w:rPr>
              <w:t> </w:t>
            </w:r>
            <w:r>
              <w:rPr>
                <w:rFonts w:ascii="宋体" w:hAnsi="宋体" w:cs="宋体" w:eastAsia="宋体" w:hint="default"/>
                <w:spacing w:val="20"/>
                <w:sz w:val="18"/>
                <w:szCs w:val="18"/>
              </w:rPr>
              <w:t>发区管理委</w:t>
            </w:r>
            <w:r>
              <w:rPr>
                <w:rFonts w:ascii="宋体" w:hAnsi="宋体" w:cs="宋体" w:eastAsia="宋体" w:hint="default"/>
                <w:spacing w:val="-86"/>
                <w:sz w:val="18"/>
                <w:szCs w:val="18"/>
              </w:rPr>
              <w:t> </w:t>
            </w:r>
            <w:r>
              <w:rPr>
                <w:rFonts w:ascii="宋体" w:hAnsi="宋体" w:cs="宋体" w:eastAsia="宋体" w:hint="default"/>
                <w:sz w:val="18"/>
                <w:szCs w:val="18"/>
              </w:rPr>
              <w:t>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
              <w:jc w:val="both"/>
              <w:rPr>
                <w:rFonts w:ascii="宋体" w:hAnsi="宋体" w:cs="宋体" w:eastAsia="宋体" w:hint="default"/>
                <w:sz w:val="18"/>
                <w:szCs w:val="18"/>
              </w:rPr>
            </w:pPr>
            <w:r>
              <w:rPr>
                <w:rFonts w:ascii="宋体" w:hAnsi="宋体" w:cs="宋体" w:eastAsia="宋体" w:hint="default"/>
                <w:spacing w:val="21"/>
                <w:sz w:val="18"/>
                <w:szCs w:val="18"/>
              </w:rPr>
              <w:t>科学仪器设</w:t>
            </w:r>
            <w:r>
              <w:rPr>
                <w:rFonts w:ascii="宋体" w:hAnsi="宋体" w:cs="宋体" w:eastAsia="宋体" w:hint="default"/>
                <w:spacing w:val="-88"/>
                <w:sz w:val="18"/>
                <w:szCs w:val="18"/>
              </w:rPr>
              <w:t> </w:t>
            </w:r>
            <w:r>
              <w:rPr>
                <w:rFonts w:ascii="宋体" w:hAnsi="宋体" w:cs="宋体" w:eastAsia="宋体" w:hint="default"/>
                <w:spacing w:val="21"/>
                <w:sz w:val="18"/>
                <w:szCs w:val="18"/>
              </w:rPr>
              <w:t>备资源共享</w:t>
            </w:r>
            <w:r>
              <w:rPr>
                <w:rFonts w:ascii="宋体" w:hAnsi="宋体" w:cs="宋体" w:eastAsia="宋体" w:hint="default"/>
                <w:spacing w:val="-88"/>
                <w:sz w:val="18"/>
                <w:szCs w:val="18"/>
              </w:rPr>
              <w:t> </w:t>
            </w:r>
            <w:r>
              <w:rPr>
                <w:rFonts w:ascii="宋体" w:hAnsi="宋体" w:cs="宋体" w:eastAsia="宋体" w:hint="default"/>
                <w:sz w:val="18"/>
                <w:szCs w:val="18"/>
              </w:rPr>
              <w:t>优惠补贴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厦门市财政</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354,124.00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259,289.00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both"/>
              <w:rPr>
                <w:rFonts w:ascii="宋体" w:hAnsi="宋体" w:cs="宋体" w:eastAsia="宋体" w:hint="default"/>
                <w:sz w:val="18"/>
                <w:szCs w:val="18"/>
              </w:rPr>
            </w:pPr>
            <w:r>
              <w:rPr>
                <w:rFonts w:ascii="宋体" w:hAnsi="宋体" w:cs="宋体" w:eastAsia="宋体" w:hint="default"/>
                <w:spacing w:val="21"/>
                <w:sz w:val="18"/>
                <w:szCs w:val="18"/>
              </w:rPr>
              <w:t>重点技术创</w:t>
            </w:r>
            <w:r>
              <w:rPr>
                <w:rFonts w:ascii="宋体" w:hAnsi="宋体" w:cs="宋体" w:eastAsia="宋体" w:hint="default"/>
                <w:spacing w:val="-88"/>
                <w:sz w:val="18"/>
                <w:szCs w:val="18"/>
              </w:rPr>
              <w:t> </w:t>
            </w:r>
            <w:r>
              <w:rPr>
                <w:rFonts w:ascii="宋体" w:hAnsi="宋体" w:cs="宋体" w:eastAsia="宋体" w:hint="default"/>
                <w:spacing w:val="21"/>
                <w:sz w:val="18"/>
                <w:szCs w:val="18"/>
              </w:rPr>
              <w:t>新及产学研</w:t>
            </w:r>
            <w:r>
              <w:rPr>
                <w:rFonts w:ascii="宋体" w:hAnsi="宋体" w:cs="宋体" w:eastAsia="宋体" w:hint="default"/>
                <w:spacing w:val="-88"/>
                <w:sz w:val="18"/>
                <w:szCs w:val="18"/>
              </w:rPr>
              <w:t> </w:t>
            </w:r>
            <w:r>
              <w:rPr>
                <w:rFonts w:ascii="宋体" w:hAnsi="宋体" w:cs="宋体" w:eastAsia="宋体" w:hint="default"/>
                <w:spacing w:val="21"/>
                <w:sz w:val="18"/>
                <w:szCs w:val="18"/>
              </w:rPr>
              <w:t>项目资金补</w:t>
            </w:r>
            <w:r>
              <w:rPr>
                <w:rFonts w:ascii="宋体" w:hAnsi="宋体" w:cs="宋体" w:eastAsia="宋体" w:hint="default"/>
                <w:spacing w:val="-88"/>
                <w:sz w:val="18"/>
                <w:szCs w:val="18"/>
              </w:rPr>
              <w:t> </w:t>
            </w:r>
            <w:r>
              <w:rPr>
                <w:rFonts w:ascii="宋体" w:hAnsi="宋体" w:cs="宋体" w:eastAsia="宋体" w:hint="default"/>
                <w:sz w:val="18"/>
                <w:szCs w:val="18"/>
              </w:rPr>
              <w:t>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厦门市财政</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 </w:t>
            </w:r>
            <w:r>
              <w:rPr>
                <w:rFonts w:ascii="宋体" w:hAnsi="宋体" w:cs="宋体" w:eastAsia="宋体" w:hint="default"/>
                <w:spacing w:val="20"/>
                <w:sz w:val="18"/>
                <w:szCs w:val="18"/>
              </w:rPr>
              <w:t>技术更新及</w:t>
            </w:r>
            <w:r>
              <w:rPr>
                <w:rFonts w:ascii="宋体" w:hAnsi="宋体" w:cs="宋体" w:eastAsia="宋体" w:hint="default"/>
                <w:spacing w:val="-86"/>
                <w:sz w:val="18"/>
                <w:szCs w:val="18"/>
              </w:rPr>
              <w:t> </w:t>
            </w:r>
            <w:r>
              <w:rPr>
                <w:rFonts w:ascii="宋体" w:hAnsi="宋体" w:cs="宋体" w:eastAsia="宋体" w:hint="default"/>
                <w:spacing w:val="20"/>
                <w:sz w:val="18"/>
                <w:szCs w:val="18"/>
              </w:rPr>
              <w:t>改造等获得</w:t>
            </w:r>
            <w:r>
              <w:rPr>
                <w:rFonts w:ascii="宋体" w:hAnsi="宋体" w:cs="宋体" w:eastAsia="宋体" w:hint="default"/>
                <w:spacing w:val="-86"/>
                <w:sz w:val="18"/>
                <w:szCs w:val="18"/>
              </w:rPr>
              <w:t> </w:t>
            </w: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4"/>
              <w:jc w:val="both"/>
              <w:rPr>
                <w:rFonts w:ascii="宋体" w:hAnsi="宋体" w:cs="宋体" w:eastAsia="宋体" w:hint="default"/>
                <w:sz w:val="18"/>
                <w:szCs w:val="18"/>
              </w:rPr>
            </w:pP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电子数据公 证云</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的购置 </w:t>
            </w:r>
            <w:r>
              <w:rPr>
                <w:rFonts w:ascii="宋体" w:hAnsi="宋体" w:cs="宋体" w:eastAsia="宋体" w:hint="default"/>
                <w:sz w:val="18"/>
                <w:szCs w:val="18"/>
              </w:rPr>
              <w:t>设备补助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厦门市火炬</w:t>
            </w:r>
            <w:r>
              <w:rPr>
                <w:rFonts w:ascii="宋体" w:hAnsi="宋体" w:cs="宋体" w:eastAsia="宋体" w:hint="default"/>
                <w:spacing w:val="-86"/>
                <w:sz w:val="18"/>
                <w:szCs w:val="18"/>
              </w:rPr>
              <w:t> </w:t>
            </w:r>
            <w:r>
              <w:rPr>
                <w:rFonts w:ascii="宋体" w:hAnsi="宋体" w:cs="宋体" w:eastAsia="宋体" w:hint="default"/>
                <w:sz w:val="18"/>
                <w:szCs w:val="18"/>
              </w:rPr>
              <w:t>高新管委会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 </w:t>
            </w:r>
            <w:r>
              <w:rPr>
                <w:rFonts w:ascii="宋体" w:hAnsi="宋体" w:cs="宋体" w:eastAsia="宋体" w:hint="default"/>
                <w:spacing w:val="20"/>
                <w:sz w:val="18"/>
                <w:szCs w:val="18"/>
              </w:rPr>
              <w:t>技术更新及</w:t>
            </w:r>
            <w:r>
              <w:rPr>
                <w:rFonts w:ascii="宋体" w:hAnsi="宋体" w:cs="宋体" w:eastAsia="宋体" w:hint="default"/>
                <w:spacing w:val="-86"/>
                <w:sz w:val="18"/>
                <w:szCs w:val="18"/>
              </w:rPr>
              <w:t> </w:t>
            </w:r>
            <w:r>
              <w:rPr>
                <w:rFonts w:ascii="宋体" w:hAnsi="宋体" w:cs="宋体" w:eastAsia="宋体" w:hint="default"/>
                <w:spacing w:val="20"/>
                <w:sz w:val="18"/>
                <w:szCs w:val="18"/>
              </w:rPr>
              <w:t>改造等获得</w:t>
            </w:r>
            <w:r>
              <w:rPr>
                <w:rFonts w:ascii="宋体" w:hAnsi="宋体" w:cs="宋体" w:eastAsia="宋体" w:hint="default"/>
                <w:spacing w:val="-86"/>
                <w:sz w:val="18"/>
                <w:szCs w:val="18"/>
              </w:rPr>
              <w:t> </w:t>
            </w: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
              <w:jc w:val="both"/>
              <w:rPr>
                <w:rFonts w:ascii="宋体" w:hAnsi="宋体" w:cs="宋体" w:eastAsia="宋体" w:hint="default"/>
                <w:sz w:val="18"/>
                <w:szCs w:val="18"/>
              </w:rPr>
            </w:pPr>
            <w:r>
              <w:rPr>
                <w:rFonts w:ascii="宋体" w:hAnsi="宋体" w:cs="宋体" w:eastAsia="宋体" w:hint="default"/>
                <w:spacing w:val="21"/>
                <w:sz w:val="18"/>
                <w:szCs w:val="18"/>
              </w:rPr>
              <w:t>珠海市企业</w:t>
            </w:r>
            <w:r>
              <w:rPr>
                <w:rFonts w:ascii="宋体" w:hAnsi="宋体" w:cs="宋体" w:eastAsia="宋体" w:hint="default"/>
                <w:spacing w:val="-88"/>
                <w:sz w:val="18"/>
                <w:szCs w:val="18"/>
              </w:rPr>
              <w:t> </w:t>
            </w:r>
            <w:r>
              <w:rPr>
                <w:rFonts w:ascii="宋体" w:hAnsi="宋体" w:cs="宋体" w:eastAsia="宋体" w:hint="default"/>
                <w:spacing w:val="21"/>
                <w:sz w:val="18"/>
                <w:szCs w:val="18"/>
              </w:rPr>
              <w:t>研究开发费</w:t>
            </w:r>
            <w:r>
              <w:rPr>
                <w:rFonts w:ascii="宋体" w:hAnsi="宋体" w:cs="宋体" w:eastAsia="宋体" w:hint="default"/>
                <w:spacing w:val="-88"/>
                <w:sz w:val="18"/>
                <w:szCs w:val="18"/>
              </w:rPr>
              <w:t> </w:t>
            </w:r>
            <w:r>
              <w:rPr>
                <w:rFonts w:ascii="宋体" w:hAnsi="宋体" w:cs="宋体" w:eastAsia="宋体" w:hint="default"/>
                <w:sz w:val="18"/>
                <w:szCs w:val="18"/>
              </w:rPr>
              <w:t>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
              <w:jc w:val="both"/>
              <w:rPr>
                <w:rFonts w:ascii="宋体" w:hAnsi="宋体" w:cs="宋体" w:eastAsia="宋体" w:hint="default"/>
                <w:sz w:val="18"/>
                <w:szCs w:val="18"/>
              </w:rPr>
            </w:pPr>
            <w:r>
              <w:rPr>
                <w:rFonts w:ascii="宋体" w:hAnsi="宋体" w:cs="宋体" w:eastAsia="宋体" w:hint="default"/>
                <w:spacing w:val="20"/>
                <w:sz w:val="18"/>
                <w:szCs w:val="18"/>
              </w:rPr>
              <w:t>珠海市科技</w:t>
            </w:r>
            <w:r>
              <w:rPr>
                <w:rFonts w:ascii="宋体" w:hAnsi="宋体" w:cs="宋体" w:eastAsia="宋体" w:hint="default"/>
                <w:spacing w:val="-86"/>
                <w:sz w:val="18"/>
                <w:szCs w:val="18"/>
              </w:rPr>
              <w:t> </w:t>
            </w:r>
            <w:r>
              <w:rPr>
                <w:rFonts w:ascii="宋体" w:hAnsi="宋体" w:cs="宋体" w:eastAsia="宋体" w:hint="default"/>
                <w:spacing w:val="20"/>
                <w:sz w:val="18"/>
                <w:szCs w:val="18"/>
              </w:rPr>
              <w:t>工贸和信息</w:t>
            </w:r>
            <w:r>
              <w:rPr>
                <w:rFonts w:ascii="宋体" w:hAnsi="宋体" w:cs="宋体" w:eastAsia="宋体" w:hint="default"/>
                <w:spacing w:val="-86"/>
                <w:sz w:val="18"/>
                <w:szCs w:val="18"/>
              </w:rPr>
              <w:t> </w:t>
            </w:r>
            <w:r>
              <w:rPr>
                <w:rFonts w:ascii="宋体" w:hAnsi="宋体" w:cs="宋体" w:eastAsia="宋体" w:hint="default"/>
                <w:sz w:val="18"/>
                <w:szCs w:val="18"/>
              </w:rPr>
              <w:t>化局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 </w:t>
            </w:r>
            <w:r>
              <w:rPr>
                <w:rFonts w:ascii="宋体" w:hAnsi="宋体" w:cs="宋体" w:eastAsia="宋体" w:hint="default"/>
                <w:spacing w:val="20"/>
                <w:sz w:val="18"/>
                <w:szCs w:val="18"/>
              </w:rPr>
              <w:t>技术更新及</w:t>
            </w:r>
            <w:r>
              <w:rPr>
                <w:rFonts w:ascii="宋体" w:hAnsi="宋体" w:cs="宋体" w:eastAsia="宋体" w:hint="default"/>
                <w:spacing w:val="-86"/>
                <w:sz w:val="18"/>
                <w:szCs w:val="18"/>
              </w:rPr>
              <w:t> </w:t>
            </w:r>
            <w:r>
              <w:rPr>
                <w:rFonts w:ascii="宋体" w:hAnsi="宋体" w:cs="宋体" w:eastAsia="宋体" w:hint="default"/>
                <w:spacing w:val="20"/>
                <w:sz w:val="18"/>
                <w:szCs w:val="18"/>
              </w:rPr>
              <w:t>改造等获得</w:t>
            </w:r>
            <w:r>
              <w:rPr>
                <w:rFonts w:ascii="宋体" w:hAnsi="宋体" w:cs="宋体" w:eastAsia="宋体" w:hint="default"/>
                <w:spacing w:val="-86"/>
                <w:sz w:val="18"/>
                <w:szCs w:val="18"/>
              </w:rPr>
              <w:t> </w:t>
            </w: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975,800.00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both"/>
              <w:rPr>
                <w:rFonts w:ascii="宋体" w:hAnsi="宋体" w:cs="宋体" w:eastAsia="宋体" w:hint="default"/>
                <w:sz w:val="18"/>
                <w:szCs w:val="18"/>
              </w:rPr>
            </w:pPr>
            <w:r>
              <w:rPr>
                <w:rFonts w:ascii="宋体" w:hAnsi="宋体" w:cs="宋体" w:eastAsia="宋体" w:hint="default"/>
                <w:spacing w:val="21"/>
                <w:sz w:val="18"/>
                <w:szCs w:val="18"/>
              </w:rPr>
              <w:t>鼓励企业加</w:t>
            </w:r>
            <w:r>
              <w:rPr>
                <w:rFonts w:ascii="宋体" w:hAnsi="宋体" w:cs="宋体" w:eastAsia="宋体" w:hint="default"/>
                <w:spacing w:val="-88"/>
                <w:sz w:val="18"/>
                <w:szCs w:val="18"/>
              </w:rPr>
              <w:t> </w:t>
            </w:r>
            <w:r>
              <w:rPr>
                <w:rFonts w:ascii="宋体" w:hAnsi="宋体" w:cs="宋体" w:eastAsia="宋体" w:hint="default"/>
                <w:spacing w:val="21"/>
                <w:sz w:val="18"/>
                <w:szCs w:val="18"/>
              </w:rPr>
              <w:t>大研发投入</w:t>
            </w:r>
            <w:r>
              <w:rPr>
                <w:rFonts w:ascii="宋体" w:hAnsi="宋体" w:cs="宋体" w:eastAsia="宋体" w:hint="default"/>
                <w:spacing w:val="-88"/>
                <w:sz w:val="18"/>
                <w:szCs w:val="18"/>
              </w:rPr>
              <w:t> </w:t>
            </w:r>
            <w:r>
              <w:rPr>
                <w:rFonts w:ascii="宋体" w:hAnsi="宋体" w:cs="宋体" w:eastAsia="宋体" w:hint="default"/>
                <w:sz w:val="18"/>
                <w:szCs w:val="18"/>
              </w:rPr>
              <w:t>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pacing w:val="17"/>
                <w:sz w:val="18"/>
                <w:szCs w:val="18"/>
              </w:rPr>
              <w:t>厦门市</w:t>
            </w:r>
            <w:r>
              <w:rPr>
                <w:rFonts w:ascii="宋体" w:hAnsi="宋体" w:cs="宋体" w:eastAsia="宋体" w:hint="default"/>
                <w:spacing w:val="-64"/>
                <w:sz w:val="18"/>
                <w:szCs w:val="18"/>
              </w:rPr>
              <w:t> </w:t>
            </w:r>
            <w:r>
              <w:rPr>
                <w:rFonts w:ascii="宋体" w:hAnsi="宋体" w:cs="宋体" w:eastAsia="宋体" w:hint="default"/>
                <w:spacing w:val="13"/>
                <w:sz w:val="18"/>
                <w:szCs w:val="18"/>
              </w:rPr>
              <w:t>财政</w:t>
            </w:r>
            <w:r>
              <w:rPr>
                <w:rFonts w:ascii="宋体" w:hAnsi="宋体" w:cs="宋体" w:eastAsia="宋体" w:hint="default"/>
                <w:spacing w:val="-64"/>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0"/>
              <w:jc w:val="both"/>
              <w:rPr>
                <w:rFonts w:ascii="宋体" w:hAnsi="宋体" w:cs="宋体" w:eastAsia="宋体" w:hint="default"/>
                <w:sz w:val="18"/>
                <w:szCs w:val="18"/>
              </w:rPr>
            </w:pPr>
            <w:r>
              <w:rPr>
                <w:rFonts w:ascii="宋体" w:hAnsi="宋体" w:cs="宋体" w:eastAsia="宋体" w:hint="default"/>
                <w:sz w:val="18"/>
                <w:szCs w:val="18"/>
              </w:rPr>
              <w:t>因研究开发、 </w:t>
            </w:r>
            <w:r>
              <w:rPr>
                <w:rFonts w:ascii="宋体" w:hAnsi="宋体" w:cs="宋体" w:eastAsia="宋体" w:hint="default"/>
                <w:spacing w:val="20"/>
                <w:sz w:val="18"/>
                <w:szCs w:val="18"/>
              </w:rPr>
              <w:t>技术更新及</w:t>
            </w:r>
            <w:r>
              <w:rPr>
                <w:rFonts w:ascii="宋体" w:hAnsi="宋体" w:cs="宋体" w:eastAsia="宋体" w:hint="default"/>
                <w:spacing w:val="-86"/>
                <w:sz w:val="18"/>
                <w:szCs w:val="18"/>
              </w:rPr>
              <w:t> </w:t>
            </w:r>
            <w:r>
              <w:rPr>
                <w:rFonts w:ascii="宋体" w:hAnsi="宋体" w:cs="宋体" w:eastAsia="宋体" w:hint="default"/>
                <w:spacing w:val="20"/>
                <w:sz w:val="18"/>
                <w:szCs w:val="18"/>
              </w:rPr>
              <w:t>改造等获得</w:t>
            </w:r>
            <w:r>
              <w:rPr>
                <w:rFonts w:ascii="宋体" w:hAnsi="宋体" w:cs="宋体" w:eastAsia="宋体" w:hint="default"/>
                <w:spacing w:val="-64"/>
                <w:sz w:val="18"/>
                <w:szCs w:val="18"/>
              </w:rPr>
              <w:t> </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5.6pt;mso-position-horizontal-relative:char;mso-position-vertical-relative:line" coordorigin="0,0" coordsize="1054,312">
                  <v:group style="position:absolute;left:0;top:0;width:1054;height:312" coordorigin="0,0" coordsize="1054,312">
                    <v:shape style="position:absolute;left:0;top:0;width:1054;height:312" coordorigin="0,0" coordsize="1054,312" path="m0,312l1054,312,1054,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779"/>
        <w:gridCol w:w="1134"/>
        <w:gridCol w:w="1276"/>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纳税大户企</w:t>
            </w:r>
            <w:r>
              <w:rPr>
                <w:rFonts w:ascii="宋体" w:hAnsi="宋体" w:cs="宋体" w:eastAsia="宋体" w:hint="default"/>
                <w:spacing w:val="-88"/>
                <w:sz w:val="18"/>
                <w:szCs w:val="18"/>
              </w:rPr>
              <w:t> </w:t>
            </w:r>
            <w:r>
              <w:rPr>
                <w:rFonts w:ascii="宋体" w:hAnsi="宋体" w:cs="宋体" w:eastAsia="宋体" w:hint="default"/>
                <w:sz w:val="18"/>
                <w:szCs w:val="18"/>
              </w:rPr>
              <w:t>业奖励金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
              <w:jc w:val="both"/>
              <w:rPr>
                <w:rFonts w:ascii="宋体" w:hAnsi="宋体" w:cs="宋体" w:eastAsia="宋体" w:hint="default"/>
                <w:sz w:val="18"/>
                <w:szCs w:val="18"/>
              </w:rPr>
            </w:pPr>
            <w:r>
              <w:rPr>
                <w:rFonts w:ascii="宋体" w:hAnsi="宋体" w:cs="宋体" w:eastAsia="宋体" w:hint="default"/>
                <w:spacing w:val="20"/>
                <w:sz w:val="18"/>
                <w:szCs w:val="18"/>
              </w:rPr>
              <w:t>厦门火炬高</w:t>
            </w:r>
            <w:r>
              <w:rPr>
                <w:rFonts w:ascii="宋体" w:hAnsi="宋体" w:cs="宋体" w:eastAsia="宋体" w:hint="default"/>
                <w:spacing w:val="-86"/>
                <w:sz w:val="18"/>
                <w:szCs w:val="18"/>
              </w:rPr>
              <w:t> </w:t>
            </w:r>
            <w:r>
              <w:rPr>
                <w:rFonts w:ascii="宋体" w:hAnsi="宋体" w:cs="宋体" w:eastAsia="宋体" w:hint="default"/>
                <w:spacing w:val="20"/>
                <w:sz w:val="18"/>
                <w:szCs w:val="18"/>
              </w:rPr>
              <w:t>技术产业开</w:t>
            </w:r>
            <w:r>
              <w:rPr>
                <w:rFonts w:ascii="宋体" w:hAnsi="宋体" w:cs="宋体" w:eastAsia="宋体" w:hint="default"/>
                <w:spacing w:val="-86"/>
                <w:sz w:val="18"/>
                <w:szCs w:val="18"/>
              </w:rPr>
              <w:t> </w:t>
            </w:r>
            <w:r>
              <w:rPr>
                <w:rFonts w:ascii="宋体" w:hAnsi="宋体" w:cs="宋体" w:eastAsia="宋体" w:hint="default"/>
                <w:spacing w:val="20"/>
                <w:sz w:val="18"/>
                <w:szCs w:val="18"/>
              </w:rPr>
              <w:t>发区管理委</w:t>
            </w:r>
            <w:r>
              <w:rPr>
                <w:rFonts w:ascii="宋体" w:hAnsi="宋体" w:cs="宋体" w:eastAsia="宋体" w:hint="default"/>
                <w:spacing w:val="-86"/>
                <w:sz w:val="18"/>
                <w:szCs w:val="18"/>
              </w:rPr>
              <w:t> </w:t>
            </w:r>
            <w:r>
              <w:rPr>
                <w:rFonts w:ascii="宋体" w:hAnsi="宋体" w:cs="宋体" w:eastAsia="宋体" w:hint="default"/>
                <w:sz w:val="18"/>
                <w:szCs w:val="18"/>
              </w:rPr>
              <w:t>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厦门市知识</w:t>
            </w:r>
            <w:r>
              <w:rPr>
                <w:rFonts w:ascii="宋体" w:hAnsi="宋体" w:cs="宋体" w:eastAsia="宋体" w:hint="default"/>
                <w:spacing w:val="-86"/>
                <w:sz w:val="18"/>
                <w:szCs w:val="18"/>
              </w:rPr>
              <w:t> </w:t>
            </w:r>
            <w:r>
              <w:rPr>
                <w:rFonts w:ascii="宋体" w:hAnsi="宋体" w:cs="宋体" w:eastAsia="宋体" w:hint="default"/>
                <w:sz w:val="18"/>
                <w:szCs w:val="18"/>
              </w:rPr>
              <w:t>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523,600.00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pacing w:val="21"/>
                <w:sz w:val="18"/>
                <w:szCs w:val="18"/>
              </w:rPr>
              <w:t>企业上市工</w:t>
            </w:r>
            <w:r>
              <w:rPr>
                <w:rFonts w:ascii="宋体" w:hAnsi="宋体" w:cs="宋体" w:eastAsia="宋体" w:hint="default"/>
                <w:spacing w:val="-88"/>
                <w:sz w:val="18"/>
                <w:szCs w:val="18"/>
              </w:rPr>
              <w:t> </w:t>
            </w:r>
            <w:r>
              <w:rPr>
                <w:rFonts w:ascii="宋体" w:hAnsi="宋体" w:cs="宋体" w:eastAsia="宋体" w:hint="default"/>
                <w:sz w:val="18"/>
                <w:szCs w:val="18"/>
              </w:rPr>
              <w:t>作经费补助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厦门市财政</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奖励上市而</w:t>
            </w:r>
            <w:r>
              <w:rPr>
                <w:rFonts w:ascii="宋体" w:hAnsi="宋体" w:cs="宋体" w:eastAsia="宋体" w:hint="default"/>
                <w:spacing w:val="-86"/>
                <w:sz w:val="18"/>
                <w:szCs w:val="18"/>
              </w:rPr>
              <w:t> </w:t>
            </w:r>
            <w:r>
              <w:rPr>
                <w:rFonts w:ascii="宋体" w:hAnsi="宋体" w:cs="宋体" w:eastAsia="宋体" w:hint="default"/>
                <w:spacing w:val="20"/>
                <w:sz w:val="18"/>
                <w:szCs w:val="18"/>
              </w:rPr>
              <w:t>给予的政府</w:t>
            </w:r>
            <w:r>
              <w:rPr>
                <w:rFonts w:ascii="宋体" w:hAnsi="宋体" w:cs="宋体" w:eastAsia="宋体" w:hint="default"/>
                <w:spacing w:val="-86"/>
                <w:sz w:val="18"/>
                <w:szCs w:val="18"/>
              </w:rPr>
              <w:t> </w:t>
            </w: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软件骨干企</w:t>
            </w:r>
            <w:r>
              <w:rPr>
                <w:rFonts w:ascii="宋体" w:hAnsi="宋体" w:cs="宋体" w:eastAsia="宋体" w:hint="default"/>
                <w:spacing w:val="-88"/>
                <w:sz w:val="18"/>
                <w:szCs w:val="18"/>
              </w:rPr>
              <w:t> </w:t>
            </w:r>
            <w:r>
              <w:rPr>
                <w:rFonts w:ascii="宋体" w:hAnsi="宋体" w:cs="宋体" w:eastAsia="宋体" w:hint="default"/>
                <w:sz w:val="18"/>
                <w:szCs w:val="18"/>
              </w:rPr>
              <w:t>业奖励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厦门市财政</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317,700.00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
              <w:jc w:val="left"/>
              <w:rPr>
                <w:rFonts w:ascii="宋体" w:hAnsi="宋体" w:cs="宋体" w:eastAsia="宋体" w:hint="default"/>
                <w:sz w:val="18"/>
                <w:szCs w:val="18"/>
              </w:rPr>
            </w:pPr>
            <w:r>
              <w:rPr>
                <w:rFonts w:ascii="宋体" w:hAnsi="宋体" w:cs="宋体" w:eastAsia="宋体" w:hint="default"/>
                <w:spacing w:val="21"/>
                <w:sz w:val="18"/>
                <w:szCs w:val="18"/>
              </w:rPr>
              <w:t>党群活动中</w:t>
            </w:r>
            <w:r>
              <w:rPr>
                <w:rFonts w:ascii="宋体" w:hAnsi="宋体" w:cs="宋体" w:eastAsia="宋体" w:hint="default"/>
                <w:spacing w:val="-88"/>
                <w:sz w:val="18"/>
                <w:szCs w:val="18"/>
              </w:rPr>
              <w:t> </w:t>
            </w:r>
            <w:r>
              <w:rPr>
                <w:rFonts w:ascii="宋体" w:hAnsi="宋体" w:cs="宋体" w:eastAsia="宋体" w:hint="default"/>
                <w:sz w:val="18"/>
                <w:szCs w:val="18"/>
              </w:rPr>
              <w:t>心补助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both"/>
              <w:rPr>
                <w:rFonts w:ascii="宋体" w:hAnsi="宋体" w:cs="宋体" w:eastAsia="宋体" w:hint="default"/>
                <w:sz w:val="18"/>
                <w:szCs w:val="18"/>
              </w:rPr>
            </w:pPr>
            <w:r>
              <w:rPr>
                <w:rFonts w:ascii="宋体" w:hAnsi="宋体" w:cs="宋体" w:eastAsia="宋体" w:hint="default"/>
                <w:spacing w:val="20"/>
                <w:sz w:val="18"/>
                <w:szCs w:val="18"/>
              </w:rPr>
              <w:t>厦门火炬高</w:t>
            </w:r>
            <w:r>
              <w:rPr>
                <w:rFonts w:ascii="宋体" w:hAnsi="宋体" w:cs="宋体" w:eastAsia="宋体" w:hint="default"/>
                <w:spacing w:val="-86"/>
                <w:sz w:val="18"/>
                <w:szCs w:val="18"/>
              </w:rPr>
              <w:t> </w:t>
            </w:r>
            <w:r>
              <w:rPr>
                <w:rFonts w:ascii="宋体" w:hAnsi="宋体" w:cs="宋体" w:eastAsia="宋体" w:hint="default"/>
                <w:spacing w:val="20"/>
                <w:sz w:val="18"/>
                <w:szCs w:val="18"/>
              </w:rPr>
              <w:t>技术产业开</w:t>
            </w:r>
            <w:r>
              <w:rPr>
                <w:rFonts w:ascii="宋体" w:hAnsi="宋体" w:cs="宋体" w:eastAsia="宋体" w:hint="default"/>
                <w:spacing w:val="-86"/>
                <w:sz w:val="18"/>
                <w:szCs w:val="18"/>
              </w:rPr>
              <w:t> </w:t>
            </w:r>
            <w:r>
              <w:rPr>
                <w:rFonts w:ascii="宋体" w:hAnsi="宋体" w:cs="宋体" w:eastAsia="宋体" w:hint="default"/>
                <w:spacing w:val="20"/>
                <w:sz w:val="18"/>
                <w:szCs w:val="18"/>
              </w:rPr>
              <w:t>发区管理委</w:t>
            </w:r>
            <w:r>
              <w:rPr>
                <w:rFonts w:ascii="宋体" w:hAnsi="宋体" w:cs="宋体" w:eastAsia="宋体" w:hint="default"/>
                <w:spacing w:val="-86"/>
                <w:sz w:val="18"/>
                <w:szCs w:val="18"/>
              </w:rPr>
              <w:t> </w:t>
            </w:r>
            <w:r>
              <w:rPr>
                <w:rFonts w:ascii="宋体" w:hAnsi="宋体" w:cs="宋体" w:eastAsia="宋体" w:hint="default"/>
                <w:sz w:val="18"/>
                <w:szCs w:val="18"/>
              </w:rPr>
              <w:t>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 </w:t>
            </w:r>
            <w:r>
              <w:rPr>
                <w:rFonts w:ascii="宋体" w:hAnsi="宋体" w:cs="宋体" w:eastAsia="宋体" w:hint="default"/>
                <w:spacing w:val="20"/>
                <w:sz w:val="18"/>
                <w:szCs w:val="18"/>
              </w:rPr>
              <w:t>技术更新及</w:t>
            </w:r>
            <w:r>
              <w:rPr>
                <w:rFonts w:ascii="宋体" w:hAnsi="宋体" w:cs="宋体" w:eastAsia="宋体" w:hint="default"/>
                <w:spacing w:val="-86"/>
                <w:sz w:val="18"/>
                <w:szCs w:val="18"/>
              </w:rPr>
              <w:t> </w:t>
            </w:r>
            <w:r>
              <w:rPr>
                <w:rFonts w:ascii="宋体" w:hAnsi="宋体" w:cs="宋体" w:eastAsia="宋体" w:hint="default"/>
                <w:spacing w:val="20"/>
                <w:sz w:val="18"/>
                <w:szCs w:val="18"/>
              </w:rPr>
              <w:t>改造等获得</w:t>
            </w:r>
            <w:r>
              <w:rPr>
                <w:rFonts w:ascii="宋体" w:hAnsi="宋体" w:cs="宋体" w:eastAsia="宋体" w:hint="default"/>
                <w:spacing w:val="-86"/>
                <w:sz w:val="18"/>
                <w:szCs w:val="18"/>
              </w:rPr>
              <w:t> </w:t>
            </w: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
              <w:jc w:val="both"/>
              <w:rPr>
                <w:rFonts w:ascii="宋体" w:hAnsi="宋体" w:cs="宋体" w:eastAsia="宋体" w:hint="default"/>
                <w:sz w:val="18"/>
                <w:szCs w:val="18"/>
              </w:rPr>
            </w:pPr>
            <w:r>
              <w:rPr>
                <w:rFonts w:ascii="宋体" w:hAnsi="宋体" w:cs="宋体" w:eastAsia="宋体" w:hint="default"/>
                <w:spacing w:val="21"/>
                <w:sz w:val="18"/>
                <w:szCs w:val="18"/>
              </w:rPr>
              <w:t>高新技术企</w:t>
            </w:r>
            <w:r>
              <w:rPr>
                <w:rFonts w:ascii="宋体" w:hAnsi="宋体" w:cs="宋体" w:eastAsia="宋体" w:hint="default"/>
                <w:spacing w:val="-88"/>
                <w:sz w:val="18"/>
                <w:szCs w:val="18"/>
              </w:rPr>
              <w:t> </w:t>
            </w:r>
            <w:r>
              <w:rPr>
                <w:rFonts w:ascii="宋体" w:hAnsi="宋体" w:cs="宋体" w:eastAsia="宋体" w:hint="default"/>
                <w:spacing w:val="21"/>
                <w:sz w:val="18"/>
                <w:szCs w:val="18"/>
              </w:rPr>
              <w:t>业财政扶持</w:t>
            </w:r>
            <w:r>
              <w:rPr>
                <w:rFonts w:ascii="宋体" w:hAnsi="宋体" w:cs="宋体" w:eastAsia="宋体" w:hint="default"/>
                <w:spacing w:val="-88"/>
                <w:sz w:val="18"/>
                <w:szCs w:val="18"/>
              </w:rPr>
              <w:t> </w:t>
            </w:r>
            <w:r>
              <w:rPr>
                <w:rFonts w:ascii="宋体" w:hAnsi="宋体" w:cs="宋体" w:eastAsia="宋体" w:hint="default"/>
                <w:sz w:val="18"/>
                <w:szCs w:val="18"/>
              </w:rPr>
              <w:t>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both"/>
              <w:rPr>
                <w:rFonts w:ascii="宋体" w:hAnsi="宋体" w:cs="宋体" w:eastAsia="宋体" w:hint="default"/>
                <w:sz w:val="18"/>
                <w:szCs w:val="18"/>
              </w:rPr>
            </w:pPr>
            <w:r>
              <w:rPr>
                <w:rFonts w:ascii="宋体" w:hAnsi="宋体" w:cs="宋体" w:eastAsia="宋体" w:hint="default"/>
                <w:spacing w:val="20"/>
                <w:sz w:val="18"/>
                <w:szCs w:val="18"/>
              </w:rPr>
              <w:t>厦门火炬高</w:t>
            </w:r>
            <w:r>
              <w:rPr>
                <w:rFonts w:ascii="宋体" w:hAnsi="宋体" w:cs="宋体" w:eastAsia="宋体" w:hint="default"/>
                <w:spacing w:val="-86"/>
                <w:sz w:val="18"/>
                <w:szCs w:val="18"/>
              </w:rPr>
              <w:t> </w:t>
            </w:r>
            <w:r>
              <w:rPr>
                <w:rFonts w:ascii="宋体" w:hAnsi="宋体" w:cs="宋体" w:eastAsia="宋体" w:hint="default"/>
                <w:spacing w:val="20"/>
                <w:sz w:val="18"/>
                <w:szCs w:val="18"/>
              </w:rPr>
              <w:t>技术产业开</w:t>
            </w:r>
            <w:r>
              <w:rPr>
                <w:rFonts w:ascii="宋体" w:hAnsi="宋体" w:cs="宋体" w:eastAsia="宋体" w:hint="default"/>
                <w:spacing w:val="-86"/>
                <w:sz w:val="18"/>
                <w:szCs w:val="18"/>
              </w:rPr>
              <w:t> </w:t>
            </w:r>
            <w:r>
              <w:rPr>
                <w:rFonts w:ascii="宋体" w:hAnsi="宋体" w:cs="宋体" w:eastAsia="宋体" w:hint="default"/>
                <w:spacing w:val="20"/>
                <w:sz w:val="18"/>
                <w:szCs w:val="18"/>
              </w:rPr>
              <w:t>发区管理委</w:t>
            </w:r>
            <w:r>
              <w:rPr>
                <w:rFonts w:ascii="宋体" w:hAnsi="宋体" w:cs="宋体" w:eastAsia="宋体" w:hint="default"/>
                <w:spacing w:val="-86"/>
                <w:sz w:val="18"/>
                <w:szCs w:val="18"/>
              </w:rPr>
              <w:t> </w:t>
            </w:r>
            <w:r>
              <w:rPr>
                <w:rFonts w:ascii="宋体" w:hAnsi="宋体" w:cs="宋体" w:eastAsia="宋体" w:hint="default"/>
                <w:sz w:val="18"/>
                <w:szCs w:val="18"/>
              </w:rPr>
              <w:t>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 </w:t>
            </w:r>
            <w:r>
              <w:rPr>
                <w:rFonts w:ascii="宋体" w:hAnsi="宋体" w:cs="宋体" w:eastAsia="宋体" w:hint="default"/>
                <w:spacing w:val="20"/>
                <w:sz w:val="18"/>
                <w:szCs w:val="18"/>
              </w:rPr>
              <w:t>技术更新及</w:t>
            </w:r>
            <w:r>
              <w:rPr>
                <w:rFonts w:ascii="宋体" w:hAnsi="宋体" w:cs="宋体" w:eastAsia="宋体" w:hint="default"/>
                <w:spacing w:val="-86"/>
                <w:sz w:val="18"/>
                <w:szCs w:val="18"/>
              </w:rPr>
              <w:t> </w:t>
            </w:r>
            <w:r>
              <w:rPr>
                <w:rFonts w:ascii="宋体" w:hAnsi="宋体" w:cs="宋体" w:eastAsia="宋体" w:hint="default"/>
                <w:spacing w:val="20"/>
                <w:sz w:val="18"/>
                <w:szCs w:val="18"/>
              </w:rPr>
              <w:t>改造等获得</w:t>
            </w:r>
            <w:r>
              <w:rPr>
                <w:rFonts w:ascii="宋体" w:hAnsi="宋体" w:cs="宋体" w:eastAsia="宋体" w:hint="default"/>
                <w:spacing w:val="-86"/>
                <w:sz w:val="18"/>
                <w:szCs w:val="18"/>
              </w:rPr>
              <w:t> </w:t>
            </w: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776,200.00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816,500.00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软件产品登</w:t>
            </w:r>
            <w:r>
              <w:rPr>
                <w:rFonts w:ascii="宋体" w:hAnsi="宋体" w:cs="宋体" w:eastAsia="宋体" w:hint="default"/>
                <w:spacing w:val="-88"/>
                <w:sz w:val="18"/>
                <w:szCs w:val="18"/>
              </w:rPr>
              <w:t> </w:t>
            </w:r>
            <w:r>
              <w:rPr>
                <w:rFonts w:ascii="宋体" w:hAnsi="宋体" w:cs="宋体" w:eastAsia="宋体" w:hint="default"/>
                <w:sz w:val="18"/>
                <w:szCs w:val="18"/>
              </w:rPr>
              <w:t>记奖励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厦门市财政</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软件人才培</w:t>
            </w:r>
            <w:r>
              <w:rPr>
                <w:rFonts w:ascii="宋体" w:hAnsi="宋体" w:cs="宋体" w:eastAsia="宋体" w:hint="default"/>
                <w:spacing w:val="-88"/>
                <w:sz w:val="18"/>
                <w:szCs w:val="18"/>
              </w:rPr>
              <w:t> </w:t>
            </w:r>
            <w:r>
              <w:rPr>
                <w:rFonts w:ascii="宋体" w:hAnsi="宋体" w:cs="宋体" w:eastAsia="宋体" w:hint="default"/>
                <w:sz w:val="18"/>
                <w:szCs w:val="18"/>
              </w:rPr>
              <w:t>训补助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福建省财政</w:t>
            </w:r>
            <w:r>
              <w:rPr>
                <w:rFonts w:ascii="宋体" w:hAnsi="宋体" w:cs="宋体" w:eastAsia="宋体" w:hint="default"/>
                <w:spacing w:val="-86"/>
                <w:sz w:val="18"/>
                <w:szCs w:val="18"/>
              </w:rPr>
              <w:t> </w:t>
            </w:r>
            <w:r>
              <w:rPr>
                <w:rFonts w:ascii="宋体" w:hAnsi="宋体" w:cs="宋体" w:eastAsia="宋体" w:hint="default"/>
                <w:sz w:val="18"/>
                <w:szCs w:val="18"/>
              </w:rPr>
              <w:t>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both"/>
              <w:rPr>
                <w:rFonts w:ascii="宋体" w:hAnsi="宋体" w:cs="宋体" w:eastAsia="宋体" w:hint="default"/>
                <w:sz w:val="18"/>
                <w:szCs w:val="18"/>
              </w:rPr>
            </w:pPr>
            <w:r>
              <w:rPr>
                <w:rFonts w:ascii="宋体" w:hAnsi="宋体" w:cs="宋体" w:eastAsia="宋体" w:hint="default"/>
                <w:spacing w:val="20"/>
                <w:sz w:val="18"/>
                <w:szCs w:val="18"/>
              </w:rPr>
              <w:t>手机数据</w:t>
            </w:r>
            <w:r>
              <w:rPr>
                <w:rFonts w:ascii="宋体" w:hAnsi="宋体" w:cs="宋体" w:eastAsia="宋体" w:hint="default"/>
                <w:spacing w:val="-63"/>
                <w:sz w:val="18"/>
                <w:szCs w:val="18"/>
              </w:rPr>
              <w:t> </w:t>
            </w:r>
            <w:r>
              <w:rPr>
                <w:rFonts w:ascii="宋体" w:hAnsi="宋体" w:cs="宋体" w:eastAsia="宋体" w:hint="default"/>
                <w:sz w:val="18"/>
                <w:szCs w:val="18"/>
              </w:rPr>
              <w:t>取</w:t>
            </w:r>
            <w:r>
              <w:rPr>
                <w:rFonts w:ascii="宋体" w:hAnsi="宋体" w:cs="宋体" w:eastAsia="宋体" w:hint="default"/>
                <w:sz w:val="18"/>
                <w:szCs w:val="18"/>
              </w:rPr>
              <w:t> 证</w:t>
            </w:r>
            <w:r>
              <w:rPr>
                <w:rFonts w:ascii="宋体" w:hAnsi="宋体" w:cs="宋体" w:eastAsia="宋体" w:hint="default"/>
                <w:spacing w:val="-63"/>
                <w:sz w:val="18"/>
                <w:szCs w:val="18"/>
              </w:rPr>
              <w:t> </w:t>
            </w:r>
            <w:r>
              <w:rPr>
                <w:rFonts w:ascii="宋体" w:hAnsi="宋体" w:cs="宋体" w:eastAsia="宋体" w:hint="default"/>
                <w:spacing w:val="20"/>
                <w:sz w:val="18"/>
                <w:szCs w:val="18"/>
              </w:rPr>
              <w:t>分析系统</w:t>
            </w:r>
            <w:r>
              <w:rPr>
                <w:rFonts w:ascii="宋体" w:hAnsi="宋体" w:cs="宋体" w:eastAsia="宋体" w:hint="default"/>
                <w:spacing w:val="-63"/>
                <w:sz w:val="18"/>
                <w:szCs w:val="18"/>
              </w:rPr>
              <w:t> </w:t>
            </w:r>
            <w:r>
              <w:rPr>
                <w:rFonts w:ascii="宋体" w:hAnsi="宋体" w:cs="宋体" w:eastAsia="宋体" w:hint="default"/>
                <w:spacing w:val="21"/>
                <w:sz w:val="18"/>
                <w:szCs w:val="18"/>
              </w:rPr>
              <w:t>购置设备补</w:t>
            </w:r>
            <w:r>
              <w:rPr>
                <w:rFonts w:ascii="宋体" w:hAnsi="宋体" w:cs="宋体" w:eastAsia="宋体" w:hint="default"/>
                <w:spacing w:val="-88"/>
                <w:sz w:val="18"/>
                <w:szCs w:val="18"/>
              </w:rPr>
              <w:t> </w:t>
            </w:r>
            <w:r>
              <w:rPr>
                <w:rFonts w:ascii="宋体" w:hAnsi="宋体" w:cs="宋体" w:eastAsia="宋体" w:hint="default"/>
                <w:sz w:val="18"/>
                <w:szCs w:val="18"/>
              </w:rPr>
              <w:t>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厦门市经信</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因研究开发、 </w:t>
            </w:r>
            <w:r>
              <w:rPr>
                <w:rFonts w:ascii="宋体" w:hAnsi="宋体" w:cs="宋体" w:eastAsia="宋体" w:hint="default"/>
                <w:spacing w:val="20"/>
                <w:sz w:val="18"/>
                <w:szCs w:val="18"/>
              </w:rPr>
              <w:t>技术更新及</w:t>
            </w:r>
            <w:r>
              <w:rPr>
                <w:rFonts w:ascii="宋体" w:hAnsi="宋体" w:cs="宋体" w:eastAsia="宋体" w:hint="default"/>
                <w:spacing w:val="-86"/>
                <w:sz w:val="18"/>
                <w:szCs w:val="18"/>
              </w:rPr>
              <w:t> </w:t>
            </w:r>
            <w:r>
              <w:rPr>
                <w:rFonts w:ascii="宋体" w:hAnsi="宋体" w:cs="宋体" w:eastAsia="宋体" w:hint="default"/>
                <w:spacing w:val="20"/>
                <w:sz w:val="18"/>
                <w:szCs w:val="18"/>
              </w:rPr>
              <w:t>改造等获得</w:t>
            </w:r>
            <w:r>
              <w:rPr>
                <w:rFonts w:ascii="宋体" w:hAnsi="宋体" w:cs="宋体" w:eastAsia="宋体" w:hint="default"/>
                <w:spacing w:val="-86"/>
                <w:sz w:val="18"/>
                <w:szCs w:val="18"/>
              </w:rPr>
              <w:t> </w:t>
            </w: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100,001.28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219,499.80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779"/>
        <w:gridCol w:w="1134"/>
        <w:gridCol w:w="1276"/>
        <w:gridCol w:w="1063"/>
      </w:tblGrid>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5"/>
              <w:jc w:val="both"/>
              <w:rPr>
                <w:rFonts w:ascii="宋体" w:hAnsi="宋体" w:cs="宋体" w:eastAsia="宋体" w:hint="default"/>
                <w:sz w:val="18"/>
                <w:szCs w:val="18"/>
              </w:rPr>
            </w:pPr>
            <w:r>
              <w:rPr>
                <w:rFonts w:ascii="宋体" w:hAnsi="宋体" w:cs="宋体" w:eastAsia="宋体" w:hint="default"/>
                <w:spacing w:val="3"/>
                <w:sz w:val="18"/>
                <w:szCs w:val="18"/>
              </w:rPr>
              <w:t>厦门市</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pacing w:val="21"/>
                <w:sz w:val="18"/>
                <w:szCs w:val="18"/>
              </w:rPr>
              <w:t>年软件和信</w:t>
            </w:r>
            <w:r>
              <w:rPr>
                <w:rFonts w:ascii="宋体" w:hAnsi="宋体" w:cs="宋体" w:eastAsia="宋体" w:hint="default"/>
                <w:spacing w:val="-88"/>
                <w:sz w:val="18"/>
                <w:szCs w:val="18"/>
              </w:rPr>
              <w:t> </w:t>
            </w:r>
            <w:r>
              <w:rPr>
                <w:rFonts w:ascii="宋体" w:hAnsi="宋体" w:cs="宋体" w:eastAsia="宋体" w:hint="default"/>
                <w:spacing w:val="21"/>
                <w:sz w:val="18"/>
                <w:szCs w:val="18"/>
              </w:rPr>
              <w:t>息服务业发</w:t>
            </w:r>
            <w:r>
              <w:rPr>
                <w:rFonts w:ascii="宋体" w:hAnsi="宋体" w:cs="宋体" w:eastAsia="宋体" w:hint="default"/>
                <w:spacing w:val="-88"/>
                <w:sz w:val="18"/>
                <w:szCs w:val="18"/>
              </w:rPr>
              <w:t> </w:t>
            </w:r>
            <w:r>
              <w:rPr>
                <w:rFonts w:ascii="宋体" w:hAnsi="宋体" w:cs="宋体" w:eastAsia="宋体" w:hint="default"/>
                <w:sz w:val="18"/>
                <w:szCs w:val="18"/>
              </w:rPr>
              <w:t>展专项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厦门市经信</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21"/>
                <w:sz w:val="18"/>
                <w:szCs w:val="18"/>
              </w:rPr>
              <w:t>百人计划</w:t>
            </w:r>
            <w:r>
              <w:rPr>
                <w:rFonts w:ascii="宋体" w:hAnsi="宋体" w:cs="宋体" w:eastAsia="宋体" w:hint="default"/>
                <w:spacing w:val="-8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中共厦门市</w:t>
            </w:r>
            <w:r>
              <w:rPr>
                <w:rFonts w:ascii="宋体" w:hAnsi="宋体" w:cs="宋体" w:eastAsia="宋体" w:hint="default"/>
                <w:spacing w:val="-86"/>
                <w:sz w:val="18"/>
                <w:szCs w:val="18"/>
              </w:rPr>
              <w:t> </w:t>
            </w:r>
            <w:r>
              <w:rPr>
                <w:rFonts w:ascii="宋体" w:hAnsi="宋体" w:cs="宋体" w:eastAsia="宋体" w:hint="default"/>
                <w:sz w:val="18"/>
                <w:szCs w:val="18"/>
              </w:rPr>
              <w:t>委组织部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05"/>
              <w:ind w:left="2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年超算 </w:t>
            </w:r>
            <w:r>
              <w:rPr>
                <w:rFonts w:ascii="宋体" w:hAnsi="宋体" w:cs="宋体" w:eastAsia="宋体" w:hint="default"/>
                <w:sz w:val="18"/>
                <w:szCs w:val="18"/>
              </w:rPr>
              <w:t>共享补贴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厦门市科技</w:t>
            </w:r>
            <w:r>
              <w:rPr>
                <w:rFonts w:ascii="宋体" w:hAnsi="宋体" w:cs="宋体" w:eastAsia="宋体" w:hint="default"/>
                <w:spacing w:val="-86"/>
                <w:sz w:val="18"/>
                <w:szCs w:val="18"/>
              </w:rPr>
              <w:t> </w:t>
            </w:r>
            <w:r>
              <w:rPr>
                <w:rFonts w:ascii="宋体" w:hAnsi="宋体" w:cs="宋体" w:eastAsia="宋体" w:hint="default"/>
                <w:sz w:val="18"/>
                <w:szCs w:val="18"/>
              </w:rPr>
              <w:t>局、财政局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631,995.00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22" w:right="-5"/>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年第一 </w:t>
            </w:r>
            <w:r>
              <w:rPr>
                <w:rFonts w:ascii="宋体" w:hAnsi="宋体" w:cs="宋体" w:eastAsia="宋体" w:hint="default"/>
                <w:spacing w:val="21"/>
                <w:sz w:val="18"/>
                <w:szCs w:val="18"/>
              </w:rPr>
              <w:t>批软件产业</w:t>
            </w:r>
            <w:r>
              <w:rPr>
                <w:rFonts w:ascii="宋体" w:hAnsi="宋体" w:cs="宋体" w:eastAsia="宋体" w:hint="default"/>
                <w:spacing w:val="-88"/>
                <w:sz w:val="18"/>
                <w:szCs w:val="18"/>
              </w:rPr>
              <w:t> </w:t>
            </w:r>
            <w:r>
              <w:rPr>
                <w:rFonts w:ascii="宋体" w:hAnsi="宋体" w:cs="宋体" w:eastAsia="宋体" w:hint="default"/>
                <w:spacing w:val="21"/>
                <w:sz w:val="18"/>
                <w:szCs w:val="18"/>
              </w:rPr>
              <w:t>发展专项资</w:t>
            </w:r>
            <w:r>
              <w:rPr>
                <w:rFonts w:ascii="宋体" w:hAnsi="宋体" w:cs="宋体" w:eastAsia="宋体" w:hint="default"/>
                <w:spacing w:val="-88"/>
                <w:sz w:val="18"/>
                <w:szCs w:val="18"/>
              </w:rPr>
              <w:t> </w:t>
            </w:r>
            <w:r>
              <w:rPr>
                <w:rFonts w:ascii="宋体" w:hAnsi="宋体" w:cs="宋体" w:eastAsia="宋体" w:hint="default"/>
                <w:sz w:val="18"/>
                <w:szCs w:val="18"/>
              </w:rPr>
              <w:t>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厦门市经信</w:t>
            </w:r>
            <w:r>
              <w:rPr>
                <w:rFonts w:ascii="宋体" w:hAnsi="宋体" w:cs="宋体" w:eastAsia="宋体" w:hint="default"/>
                <w:spacing w:val="-86"/>
                <w:sz w:val="18"/>
                <w:szCs w:val="18"/>
              </w:rPr>
              <w:t> </w:t>
            </w:r>
            <w:r>
              <w:rPr>
                <w:rFonts w:ascii="宋体" w:hAnsi="宋体" w:cs="宋体" w:eastAsia="宋体" w:hint="default"/>
                <w:sz w:val="18"/>
                <w:szCs w:val="18"/>
              </w:rPr>
              <w:t>局、财政局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z w:val="18"/>
                <w:szCs w:val="18"/>
              </w:rPr>
              <w:t>资</w:t>
            </w:r>
            <w:r>
              <w:rPr>
                <w:rFonts w:ascii="宋体" w:hAnsi="宋体" w:cs="宋体" w:eastAsia="宋体" w:hint="default"/>
                <w:spacing w:val="-64"/>
                <w:sz w:val="18"/>
                <w:szCs w:val="18"/>
              </w:rPr>
              <w:t> </w:t>
            </w:r>
            <w:r>
              <w:rPr>
                <w:rFonts w:ascii="宋体" w:hAnsi="宋体" w:cs="宋体" w:eastAsia="宋体" w:hint="default"/>
                <w:spacing w:val="19"/>
                <w:sz w:val="18"/>
                <w:szCs w:val="18"/>
              </w:rPr>
              <w:t>等地方性</w:t>
            </w:r>
            <w:r>
              <w:rPr>
                <w:rFonts w:ascii="宋体" w:hAnsi="宋体" w:cs="宋体" w:eastAsia="宋体" w:hint="default"/>
                <w:spacing w:val="-64"/>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毕业生补贴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珠海市财政</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36,670.20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海西创业英</w:t>
            </w:r>
            <w:r>
              <w:rPr>
                <w:rFonts w:ascii="宋体" w:hAnsi="宋体" w:cs="宋体" w:eastAsia="宋体" w:hint="default"/>
                <w:spacing w:val="-88"/>
                <w:sz w:val="18"/>
                <w:szCs w:val="18"/>
              </w:rPr>
              <w:t> </w:t>
            </w:r>
            <w:r>
              <w:rPr>
                <w:rFonts w:ascii="宋体" w:hAnsi="宋体" w:cs="宋体" w:eastAsia="宋体" w:hint="default"/>
                <w:sz w:val="18"/>
                <w:szCs w:val="18"/>
              </w:rPr>
              <w:t>才奖励款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福建省人社</w:t>
            </w:r>
            <w:r>
              <w:rPr>
                <w:rFonts w:ascii="宋体" w:hAnsi="宋体" w:cs="宋体" w:eastAsia="宋体" w:hint="default"/>
                <w:spacing w:val="-86"/>
                <w:sz w:val="18"/>
                <w:szCs w:val="18"/>
              </w:rPr>
              <w:t> </w:t>
            </w:r>
            <w:r>
              <w:rPr>
                <w:rFonts w:ascii="宋体" w:hAnsi="宋体" w:cs="宋体" w:eastAsia="宋体" w:hint="default"/>
                <w:sz w:val="18"/>
                <w:szCs w:val="18"/>
              </w:rPr>
              <w:t>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
              <w:jc w:val="both"/>
              <w:rPr>
                <w:rFonts w:ascii="宋体" w:hAnsi="宋体" w:cs="宋体" w:eastAsia="宋体" w:hint="default"/>
                <w:sz w:val="18"/>
                <w:szCs w:val="18"/>
              </w:rPr>
            </w:pPr>
            <w:r>
              <w:rPr>
                <w:rFonts w:ascii="宋体" w:hAnsi="宋体" w:cs="宋体" w:eastAsia="宋体" w:hint="default"/>
                <w:spacing w:val="5"/>
                <w:sz w:val="18"/>
                <w:szCs w:val="18"/>
              </w:rPr>
              <w:t>厦 门 </w:t>
            </w:r>
            <w:r>
              <w:rPr>
                <w:rFonts w:ascii="宋体" w:hAnsi="宋体" w:cs="宋体" w:eastAsia="宋体" w:hint="default"/>
                <w:sz w:val="18"/>
                <w:szCs w:val="18"/>
              </w:rPr>
              <w:t>财</w:t>
            </w:r>
            <w:r>
              <w:rPr>
                <w:rFonts w:ascii="宋体" w:hAnsi="宋体" w:cs="宋体" w:eastAsia="宋体" w:hint="default"/>
                <w:spacing w:val="-5"/>
                <w:sz w:val="18"/>
                <w:szCs w:val="18"/>
              </w:rPr>
              <w:t> </w:t>
            </w:r>
            <w:r>
              <w:rPr>
                <w:rFonts w:ascii="宋体" w:hAnsi="宋体" w:cs="宋体" w:eastAsia="宋体" w:hint="default"/>
                <w:sz w:val="18"/>
                <w:szCs w:val="18"/>
              </w:rPr>
              <w:t>政</w:t>
            </w:r>
            <w:r>
              <w:rPr>
                <w:rFonts w:ascii="宋体" w:hAnsi="宋体" w:cs="宋体" w:eastAsia="宋体" w:hint="default"/>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年新增 </w:t>
            </w:r>
            <w:r>
              <w:rPr>
                <w:rFonts w:ascii="宋体" w:hAnsi="宋体" w:cs="宋体" w:eastAsia="宋体" w:hint="default"/>
                <w:spacing w:val="21"/>
                <w:sz w:val="18"/>
                <w:szCs w:val="18"/>
              </w:rPr>
              <w:t>规模以上工</w:t>
            </w:r>
            <w:r>
              <w:rPr>
                <w:rFonts w:ascii="宋体" w:hAnsi="宋体" w:cs="宋体" w:eastAsia="宋体" w:hint="default"/>
                <w:spacing w:val="-88"/>
                <w:sz w:val="18"/>
                <w:szCs w:val="18"/>
              </w:rPr>
              <w:t> </w:t>
            </w:r>
            <w:r>
              <w:rPr>
                <w:rFonts w:ascii="宋体" w:hAnsi="宋体" w:cs="宋体" w:eastAsia="宋体" w:hint="default"/>
                <w:spacing w:val="21"/>
                <w:sz w:val="18"/>
                <w:szCs w:val="18"/>
              </w:rPr>
              <w:t>业企业奖励</w:t>
            </w:r>
            <w:r>
              <w:rPr>
                <w:rFonts w:ascii="宋体" w:hAnsi="宋体" w:cs="宋体" w:eastAsia="宋体" w:hint="default"/>
                <w:spacing w:val="-88"/>
                <w:sz w:val="18"/>
                <w:szCs w:val="18"/>
              </w:rPr>
              <w:t> </w:t>
            </w:r>
            <w:r>
              <w:rPr>
                <w:rFonts w:ascii="宋体" w:hAnsi="宋体" w:cs="宋体" w:eastAsia="宋体" w:hint="default"/>
                <w:sz w:val="18"/>
                <w:szCs w:val="18"/>
              </w:rPr>
              <w:t>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厦门市财政</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
              <w:jc w:val="both"/>
              <w:rPr>
                <w:rFonts w:ascii="宋体" w:hAnsi="宋体" w:cs="宋体" w:eastAsia="宋体" w:hint="default"/>
                <w:sz w:val="18"/>
                <w:szCs w:val="18"/>
              </w:rPr>
            </w:pPr>
            <w:r>
              <w:rPr>
                <w:rFonts w:ascii="宋体" w:hAnsi="宋体" w:cs="宋体" w:eastAsia="宋体" w:hint="default"/>
                <w:spacing w:val="21"/>
                <w:sz w:val="18"/>
                <w:szCs w:val="18"/>
              </w:rPr>
              <w:t>软件和集成</w:t>
            </w:r>
            <w:r>
              <w:rPr>
                <w:rFonts w:ascii="宋体" w:hAnsi="宋体" w:cs="宋体" w:eastAsia="宋体" w:hint="default"/>
                <w:spacing w:val="-88"/>
                <w:sz w:val="18"/>
                <w:szCs w:val="18"/>
              </w:rPr>
              <w:t> </w:t>
            </w:r>
            <w:r>
              <w:rPr>
                <w:rFonts w:ascii="宋体" w:hAnsi="宋体" w:cs="宋体" w:eastAsia="宋体" w:hint="default"/>
                <w:spacing w:val="21"/>
                <w:sz w:val="18"/>
                <w:szCs w:val="18"/>
              </w:rPr>
              <w:t>电路设计产</w:t>
            </w:r>
            <w:r>
              <w:rPr>
                <w:rFonts w:ascii="宋体" w:hAnsi="宋体" w:cs="宋体" w:eastAsia="宋体" w:hint="default"/>
                <w:spacing w:val="-88"/>
                <w:sz w:val="18"/>
                <w:szCs w:val="18"/>
              </w:rPr>
              <w:t> </w:t>
            </w:r>
            <w:r>
              <w:rPr>
                <w:rFonts w:ascii="宋体" w:hAnsi="宋体" w:cs="宋体" w:eastAsia="宋体" w:hint="default"/>
                <w:spacing w:val="21"/>
                <w:sz w:val="18"/>
                <w:szCs w:val="18"/>
              </w:rPr>
              <w:t>业专项资金</w:t>
            </w:r>
            <w:r>
              <w:rPr>
                <w:rFonts w:ascii="宋体" w:hAnsi="宋体" w:cs="宋体" w:eastAsia="宋体" w:hint="default"/>
                <w:spacing w:val="-88"/>
                <w:sz w:val="18"/>
                <w:szCs w:val="18"/>
              </w:rPr>
              <w:t> </w:t>
            </w:r>
            <w:r>
              <w:rPr>
                <w:rFonts w:ascii="宋体" w:hAnsi="宋体" w:cs="宋体" w:eastAsia="宋体" w:hint="default"/>
                <w:sz w:val="18"/>
                <w:szCs w:val="18"/>
              </w:rPr>
              <w:t>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珠海市财政</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宋体" w:hAnsi="宋体" w:cs="宋体" w:eastAsia="宋体" w:hint="default"/>
                <w:sz w:val="18"/>
                <w:szCs w:val="18"/>
              </w:rPr>
              <w:t>科技进步奖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省</w:t>
            </w:r>
            <w:r>
              <w:rPr>
                <w:rFonts w:ascii="宋体" w:hAnsi="宋体" w:cs="宋体" w:eastAsia="宋体" w:hint="default"/>
                <w:spacing w:val="-74"/>
                <w:sz w:val="18"/>
                <w:szCs w:val="18"/>
              </w:rPr>
              <w:t>、</w:t>
            </w:r>
            <w:r>
              <w:rPr>
                <w:rFonts w:ascii="宋体" w:hAnsi="宋体" w:cs="宋体" w:eastAsia="宋体" w:hint="default"/>
                <w:sz w:val="18"/>
                <w:szCs w:val="18"/>
              </w:rPr>
              <w:t>市科技奖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71"/>
              <w:ind w:left="22" w:right="-56"/>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779"/>
        <w:gridCol w:w="1134"/>
        <w:gridCol w:w="1276"/>
        <w:gridCol w:w="1063"/>
      </w:tblGrid>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励委员会</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
              <w:jc w:val="left"/>
              <w:rPr>
                <w:rFonts w:ascii="宋体" w:hAnsi="宋体" w:cs="宋体" w:eastAsia="宋体" w:hint="default"/>
                <w:sz w:val="18"/>
                <w:szCs w:val="18"/>
              </w:rPr>
            </w:pPr>
            <w:r>
              <w:rPr>
                <w:rFonts w:ascii="宋体" w:hAnsi="宋体" w:cs="宋体" w:eastAsia="宋体" w:hint="default"/>
                <w:spacing w:val="20"/>
                <w:sz w:val="18"/>
                <w:szCs w:val="18"/>
              </w:rPr>
              <w:t>技术更新等</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
              <w:jc w:val="both"/>
              <w:rPr>
                <w:rFonts w:ascii="宋体" w:hAnsi="宋体" w:cs="宋体" w:eastAsia="宋体" w:hint="default"/>
                <w:sz w:val="18"/>
                <w:szCs w:val="18"/>
              </w:rPr>
            </w:pPr>
            <w:r>
              <w:rPr>
                <w:rFonts w:ascii="宋体" w:hAnsi="宋体" w:cs="宋体" w:eastAsia="宋体" w:hint="default"/>
                <w:spacing w:val="21"/>
                <w:sz w:val="18"/>
                <w:szCs w:val="18"/>
              </w:rPr>
              <w:t>厦门火炬高</w:t>
            </w:r>
            <w:r>
              <w:rPr>
                <w:rFonts w:ascii="宋体" w:hAnsi="宋体" w:cs="宋体" w:eastAsia="宋体" w:hint="default"/>
                <w:spacing w:val="-88"/>
                <w:sz w:val="18"/>
                <w:szCs w:val="18"/>
              </w:rPr>
              <w:t> </w:t>
            </w:r>
            <w:r>
              <w:rPr>
                <w:rFonts w:ascii="宋体" w:hAnsi="宋体" w:cs="宋体" w:eastAsia="宋体" w:hint="default"/>
                <w:spacing w:val="21"/>
                <w:sz w:val="18"/>
                <w:szCs w:val="18"/>
              </w:rPr>
              <w:t>新技术管委</w:t>
            </w:r>
            <w:r>
              <w:rPr>
                <w:rFonts w:ascii="宋体" w:hAnsi="宋体" w:cs="宋体" w:eastAsia="宋体" w:hint="default"/>
                <w:spacing w:val="-88"/>
                <w:sz w:val="18"/>
                <w:szCs w:val="18"/>
              </w:rPr>
              <w:t> </w:t>
            </w:r>
            <w:r>
              <w:rPr>
                <w:rFonts w:ascii="宋体" w:hAnsi="宋体" w:cs="宋体" w:eastAsia="宋体" w:hint="default"/>
                <w:spacing w:val="21"/>
                <w:sz w:val="18"/>
                <w:szCs w:val="18"/>
              </w:rPr>
              <w:t>会重点税源</w:t>
            </w:r>
            <w:r>
              <w:rPr>
                <w:rFonts w:ascii="宋体" w:hAnsi="宋体" w:cs="宋体" w:eastAsia="宋体" w:hint="default"/>
                <w:spacing w:val="-88"/>
                <w:sz w:val="18"/>
                <w:szCs w:val="18"/>
              </w:rPr>
              <w:t> </w:t>
            </w:r>
            <w:r>
              <w:rPr>
                <w:rFonts w:ascii="宋体" w:hAnsi="宋体" w:cs="宋体" w:eastAsia="宋体" w:hint="default"/>
                <w:sz w:val="18"/>
                <w:szCs w:val="18"/>
              </w:rPr>
              <w:t>奖励金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
              <w:jc w:val="both"/>
              <w:rPr>
                <w:rFonts w:ascii="宋体" w:hAnsi="宋体" w:cs="宋体" w:eastAsia="宋体" w:hint="default"/>
                <w:sz w:val="18"/>
                <w:szCs w:val="18"/>
              </w:rPr>
            </w:pPr>
            <w:r>
              <w:rPr>
                <w:rFonts w:ascii="宋体" w:hAnsi="宋体" w:cs="宋体" w:eastAsia="宋体" w:hint="default"/>
                <w:spacing w:val="20"/>
                <w:sz w:val="18"/>
                <w:szCs w:val="18"/>
              </w:rPr>
              <w:t>厦门火炬高</w:t>
            </w:r>
            <w:r>
              <w:rPr>
                <w:rFonts w:ascii="宋体" w:hAnsi="宋体" w:cs="宋体" w:eastAsia="宋体" w:hint="default"/>
                <w:spacing w:val="-86"/>
                <w:sz w:val="18"/>
                <w:szCs w:val="18"/>
              </w:rPr>
              <w:t> </w:t>
            </w:r>
            <w:r>
              <w:rPr>
                <w:rFonts w:ascii="宋体" w:hAnsi="宋体" w:cs="宋体" w:eastAsia="宋体" w:hint="default"/>
                <w:spacing w:val="20"/>
                <w:sz w:val="18"/>
                <w:szCs w:val="18"/>
              </w:rPr>
              <w:t>技术产业开</w:t>
            </w:r>
            <w:r>
              <w:rPr>
                <w:rFonts w:ascii="宋体" w:hAnsi="宋体" w:cs="宋体" w:eastAsia="宋体" w:hint="default"/>
                <w:spacing w:val="-86"/>
                <w:sz w:val="18"/>
                <w:szCs w:val="18"/>
              </w:rPr>
              <w:t> </w:t>
            </w:r>
            <w:r>
              <w:rPr>
                <w:rFonts w:ascii="宋体" w:hAnsi="宋体" w:cs="宋体" w:eastAsia="宋体" w:hint="default"/>
                <w:spacing w:val="20"/>
                <w:sz w:val="18"/>
                <w:szCs w:val="18"/>
              </w:rPr>
              <w:t>发区管理委</w:t>
            </w:r>
            <w:r>
              <w:rPr>
                <w:rFonts w:ascii="宋体" w:hAnsi="宋体" w:cs="宋体" w:eastAsia="宋体" w:hint="default"/>
                <w:spacing w:val="-86"/>
                <w:sz w:val="18"/>
                <w:szCs w:val="18"/>
              </w:rPr>
              <w:t> </w:t>
            </w:r>
            <w:r>
              <w:rPr>
                <w:rFonts w:ascii="宋体" w:hAnsi="宋体" w:cs="宋体" w:eastAsia="宋体" w:hint="default"/>
                <w:sz w:val="18"/>
                <w:szCs w:val="18"/>
              </w:rPr>
              <w:t>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社保补差补</w:t>
            </w:r>
            <w:r>
              <w:rPr>
                <w:rFonts w:ascii="宋体" w:hAnsi="宋体" w:cs="宋体" w:eastAsia="宋体" w:hint="default"/>
                <w:spacing w:val="-88"/>
                <w:sz w:val="18"/>
                <w:szCs w:val="18"/>
              </w:rPr>
              <w:t> </w:t>
            </w:r>
            <w:r>
              <w:rPr>
                <w:rFonts w:ascii="宋体" w:hAnsi="宋体" w:cs="宋体" w:eastAsia="宋体" w:hint="default"/>
                <w:sz w:val="18"/>
                <w:szCs w:val="18"/>
              </w:rPr>
              <w:t>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
              <w:jc w:val="both"/>
              <w:rPr>
                <w:rFonts w:ascii="宋体" w:hAnsi="宋体" w:cs="宋体" w:eastAsia="宋体" w:hint="default"/>
                <w:sz w:val="18"/>
                <w:szCs w:val="18"/>
              </w:rPr>
            </w:pPr>
            <w:r>
              <w:rPr>
                <w:rFonts w:ascii="宋体" w:hAnsi="宋体" w:cs="宋体" w:eastAsia="宋体" w:hint="default"/>
                <w:spacing w:val="20"/>
                <w:sz w:val="18"/>
                <w:szCs w:val="18"/>
              </w:rPr>
              <w:t>厦门火炬高</w:t>
            </w:r>
            <w:r>
              <w:rPr>
                <w:rFonts w:ascii="宋体" w:hAnsi="宋体" w:cs="宋体" w:eastAsia="宋体" w:hint="default"/>
                <w:spacing w:val="-86"/>
                <w:sz w:val="18"/>
                <w:szCs w:val="18"/>
              </w:rPr>
              <w:t> </w:t>
            </w:r>
            <w:r>
              <w:rPr>
                <w:rFonts w:ascii="宋体" w:hAnsi="宋体" w:cs="宋体" w:eastAsia="宋体" w:hint="default"/>
                <w:spacing w:val="20"/>
                <w:sz w:val="18"/>
                <w:szCs w:val="18"/>
              </w:rPr>
              <w:t>技术产业开</w:t>
            </w:r>
            <w:r>
              <w:rPr>
                <w:rFonts w:ascii="宋体" w:hAnsi="宋体" w:cs="宋体" w:eastAsia="宋体" w:hint="default"/>
                <w:spacing w:val="-86"/>
                <w:sz w:val="18"/>
                <w:szCs w:val="18"/>
              </w:rPr>
              <w:t> </w:t>
            </w:r>
            <w:r>
              <w:rPr>
                <w:rFonts w:ascii="宋体" w:hAnsi="宋体" w:cs="宋体" w:eastAsia="宋体" w:hint="default"/>
                <w:spacing w:val="20"/>
                <w:sz w:val="18"/>
                <w:szCs w:val="18"/>
              </w:rPr>
              <w:t>发区管理委</w:t>
            </w:r>
            <w:r>
              <w:rPr>
                <w:rFonts w:ascii="宋体" w:hAnsi="宋体" w:cs="宋体" w:eastAsia="宋体" w:hint="default"/>
                <w:spacing w:val="-86"/>
                <w:sz w:val="18"/>
                <w:szCs w:val="18"/>
              </w:rPr>
              <w:t> </w:t>
            </w:r>
            <w:r>
              <w:rPr>
                <w:rFonts w:ascii="宋体" w:hAnsi="宋体" w:cs="宋体" w:eastAsia="宋体" w:hint="default"/>
                <w:sz w:val="18"/>
                <w:szCs w:val="18"/>
              </w:rPr>
              <w:t>员、</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83,087.73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
              <w:jc w:val="both"/>
              <w:rPr>
                <w:rFonts w:ascii="宋体" w:hAnsi="宋体" w:cs="宋体" w:eastAsia="宋体" w:hint="default"/>
                <w:sz w:val="18"/>
                <w:szCs w:val="18"/>
              </w:rPr>
            </w:pPr>
            <w:r>
              <w:rPr>
                <w:rFonts w:ascii="宋体" w:hAnsi="宋体" w:cs="宋体" w:eastAsia="宋体" w:hint="default"/>
                <w:spacing w:val="21"/>
                <w:sz w:val="18"/>
                <w:szCs w:val="18"/>
              </w:rPr>
              <w:t>财政资助招</w:t>
            </w:r>
            <w:r>
              <w:rPr>
                <w:rFonts w:ascii="宋体" w:hAnsi="宋体" w:cs="宋体" w:eastAsia="宋体" w:hint="default"/>
                <w:spacing w:val="-88"/>
                <w:sz w:val="18"/>
                <w:szCs w:val="18"/>
              </w:rPr>
              <w:t> </w:t>
            </w:r>
            <w:r>
              <w:rPr>
                <w:rFonts w:ascii="宋体" w:hAnsi="宋体" w:cs="宋体" w:eastAsia="宋体" w:hint="default"/>
                <w:spacing w:val="21"/>
                <w:sz w:val="18"/>
                <w:szCs w:val="18"/>
              </w:rPr>
              <w:t>收博士后研</w:t>
            </w:r>
            <w:r>
              <w:rPr>
                <w:rFonts w:ascii="宋体" w:hAnsi="宋体" w:cs="宋体" w:eastAsia="宋体" w:hint="default"/>
                <w:spacing w:val="-88"/>
                <w:sz w:val="18"/>
                <w:szCs w:val="18"/>
              </w:rPr>
              <w:t> </w:t>
            </w:r>
            <w:r>
              <w:rPr>
                <w:rFonts w:ascii="宋体" w:hAnsi="宋体" w:cs="宋体" w:eastAsia="宋体" w:hint="default"/>
                <w:sz w:val="18"/>
                <w:szCs w:val="18"/>
              </w:rPr>
              <w:t>究人员</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福建省人社</w:t>
            </w:r>
            <w:r>
              <w:rPr>
                <w:rFonts w:ascii="宋体" w:hAnsi="宋体" w:cs="宋体" w:eastAsia="宋体" w:hint="default"/>
                <w:spacing w:val="-86"/>
                <w:sz w:val="18"/>
                <w:szCs w:val="18"/>
              </w:rPr>
              <w:t> </w:t>
            </w:r>
            <w:r>
              <w:rPr>
                <w:rFonts w:ascii="宋体" w:hAnsi="宋体" w:cs="宋体" w:eastAsia="宋体" w:hint="default"/>
                <w:sz w:val="18"/>
                <w:szCs w:val="18"/>
              </w:rPr>
              <w:t>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
              <w:jc w:val="both"/>
              <w:rPr>
                <w:rFonts w:ascii="宋体" w:hAnsi="宋体" w:cs="宋体" w:eastAsia="宋体" w:hint="default"/>
                <w:sz w:val="18"/>
                <w:szCs w:val="18"/>
              </w:rPr>
            </w:pPr>
            <w:r>
              <w:rPr>
                <w:rFonts w:ascii="宋体" w:hAnsi="宋体" w:cs="宋体" w:eastAsia="宋体" w:hint="default"/>
                <w:spacing w:val="21"/>
                <w:sz w:val="18"/>
                <w:szCs w:val="18"/>
              </w:rPr>
              <w:t>标准化工作</w:t>
            </w:r>
            <w:r>
              <w:rPr>
                <w:rFonts w:ascii="宋体" w:hAnsi="宋体" w:cs="宋体" w:eastAsia="宋体" w:hint="default"/>
                <w:spacing w:val="-88"/>
                <w:sz w:val="18"/>
                <w:szCs w:val="18"/>
              </w:rPr>
              <w:t> </w:t>
            </w:r>
            <w:r>
              <w:rPr>
                <w:rFonts w:ascii="宋体" w:hAnsi="宋体" w:cs="宋体" w:eastAsia="宋体" w:hint="default"/>
                <w:spacing w:val="21"/>
                <w:sz w:val="18"/>
                <w:szCs w:val="18"/>
              </w:rPr>
              <w:t>资助与奖励</w:t>
            </w:r>
            <w:r>
              <w:rPr>
                <w:rFonts w:ascii="宋体" w:hAnsi="宋体" w:cs="宋体" w:eastAsia="宋体" w:hint="default"/>
                <w:spacing w:val="-88"/>
                <w:sz w:val="18"/>
                <w:szCs w:val="18"/>
              </w:rPr>
              <w:t> </w:t>
            </w:r>
            <w:r>
              <w:rPr>
                <w:rFonts w:ascii="宋体" w:hAnsi="宋体" w:cs="宋体" w:eastAsia="宋体" w:hint="default"/>
                <w:sz w:val="18"/>
                <w:szCs w:val="18"/>
              </w:rPr>
              <w:t>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厦门市质监</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科普基地经</w:t>
            </w:r>
            <w:r>
              <w:rPr>
                <w:rFonts w:ascii="宋体" w:hAnsi="宋体" w:cs="宋体" w:eastAsia="宋体" w:hint="default"/>
                <w:spacing w:val="-88"/>
                <w:sz w:val="18"/>
                <w:szCs w:val="18"/>
              </w:rPr>
              <w:t> </w:t>
            </w:r>
            <w:r>
              <w:rPr>
                <w:rFonts w:ascii="宋体" w:hAnsi="宋体" w:cs="宋体" w:eastAsia="宋体" w:hint="default"/>
                <w:sz w:val="18"/>
                <w:szCs w:val="18"/>
              </w:rPr>
              <w:t>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思明区科协</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科普日补助</w:t>
            </w:r>
            <w:r>
              <w:rPr>
                <w:rFonts w:ascii="宋体" w:hAnsi="宋体" w:cs="宋体" w:eastAsia="宋体" w:hint="default"/>
                <w:spacing w:val="-88"/>
                <w:sz w:val="18"/>
                <w:szCs w:val="18"/>
              </w:rPr>
              <w:t> </w:t>
            </w:r>
            <w:r>
              <w:rPr>
                <w:rFonts w:ascii="宋体" w:hAnsi="宋体" w:cs="宋体" w:eastAsia="宋体" w:hint="default"/>
                <w:sz w:val="18"/>
                <w:szCs w:val="18"/>
              </w:rPr>
              <w:t>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厦门市科协</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5"/>
              <w:jc w:val="both"/>
              <w:rPr>
                <w:rFonts w:ascii="宋体" w:hAnsi="宋体" w:cs="宋体" w:eastAsia="宋体" w:hint="default"/>
                <w:sz w:val="18"/>
                <w:szCs w:val="18"/>
              </w:rPr>
            </w:pPr>
            <w:r>
              <w:rPr>
                <w:rFonts w:ascii="宋体" w:hAnsi="宋体" w:cs="宋体" w:eastAsia="宋体" w:hint="default"/>
                <w:spacing w:val="21"/>
                <w:sz w:val="18"/>
                <w:szCs w:val="18"/>
              </w:rPr>
              <w:t>厦门中小企</w:t>
            </w:r>
            <w:r>
              <w:rPr>
                <w:rFonts w:ascii="宋体" w:hAnsi="宋体" w:cs="宋体" w:eastAsia="宋体" w:hint="default"/>
                <w:spacing w:val="-88"/>
                <w:sz w:val="18"/>
                <w:szCs w:val="18"/>
              </w:rPr>
              <w:t> </w:t>
            </w:r>
            <w:r>
              <w:rPr>
                <w:rFonts w:ascii="宋体" w:hAnsi="宋体" w:cs="宋体" w:eastAsia="宋体" w:hint="default"/>
                <w:spacing w:val="21"/>
                <w:sz w:val="18"/>
                <w:szCs w:val="18"/>
              </w:rPr>
              <w:t>业协会付的</w:t>
            </w:r>
            <w:r>
              <w:rPr>
                <w:rFonts w:ascii="宋体" w:hAnsi="宋体" w:cs="宋体" w:eastAsia="宋体" w:hint="default"/>
                <w:spacing w:val="-88"/>
                <w:sz w:val="18"/>
                <w:szCs w:val="18"/>
              </w:rPr>
              <w:t> </w:t>
            </w:r>
            <w:r>
              <w:rPr>
                <w:rFonts w:ascii="宋体" w:hAnsi="宋体" w:cs="宋体" w:eastAsia="宋体" w:hint="default"/>
                <w:sz w:val="18"/>
                <w:szCs w:val="18"/>
              </w:rPr>
              <w:t>服务费补贴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厦门市中小</w:t>
            </w:r>
            <w:r>
              <w:rPr>
                <w:rFonts w:ascii="宋体" w:hAnsi="宋体" w:cs="宋体" w:eastAsia="宋体" w:hint="default"/>
                <w:spacing w:val="-86"/>
                <w:sz w:val="18"/>
                <w:szCs w:val="18"/>
              </w:rPr>
              <w:t> </w:t>
            </w:r>
            <w:r>
              <w:rPr>
                <w:rFonts w:ascii="宋体" w:hAnsi="宋体" w:cs="宋体" w:eastAsia="宋体" w:hint="default"/>
                <w:sz w:val="18"/>
                <w:szCs w:val="18"/>
              </w:rPr>
              <w:t>企业协会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5"/>
              <w:jc w:val="left"/>
              <w:rPr>
                <w:rFonts w:ascii="宋体" w:hAnsi="宋体" w:cs="宋体" w:eastAsia="宋体" w:hint="default"/>
                <w:sz w:val="18"/>
                <w:szCs w:val="18"/>
              </w:rPr>
            </w:pPr>
            <w:r>
              <w:rPr>
                <w:rFonts w:ascii="宋体" w:hAnsi="宋体" w:cs="宋体" w:eastAsia="宋体" w:hint="default"/>
                <w:spacing w:val="21"/>
                <w:sz w:val="18"/>
                <w:szCs w:val="18"/>
              </w:rPr>
              <w:t>思明区科协</w:t>
            </w:r>
            <w:r>
              <w:rPr>
                <w:rFonts w:ascii="宋体" w:hAnsi="宋体" w:cs="宋体" w:eastAsia="宋体" w:hint="default"/>
                <w:spacing w:val="-88"/>
                <w:sz w:val="18"/>
                <w:szCs w:val="18"/>
              </w:rPr>
              <w:t> </w:t>
            </w:r>
            <w:r>
              <w:rPr>
                <w:rFonts w:ascii="宋体" w:hAnsi="宋体" w:cs="宋体" w:eastAsia="宋体" w:hint="default"/>
                <w:sz w:val="18"/>
                <w:szCs w:val="18"/>
              </w:rPr>
              <w:t>活动的补贴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思明区科协</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64"/>
                <w:sz w:val="18"/>
                <w:szCs w:val="18"/>
              </w:rPr>
              <w:t> </w:t>
            </w:r>
            <w:r>
              <w:rPr>
                <w:rFonts w:ascii="宋体" w:hAnsi="宋体" w:cs="宋体" w:eastAsia="宋体" w:hint="default"/>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779"/>
        <w:gridCol w:w="1134"/>
        <w:gridCol w:w="1276"/>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知识产权补</w:t>
            </w:r>
            <w:r>
              <w:rPr>
                <w:rFonts w:ascii="宋体" w:hAnsi="宋体" w:cs="宋体" w:eastAsia="宋体" w:hint="default"/>
                <w:spacing w:val="-88"/>
                <w:sz w:val="18"/>
                <w:szCs w:val="18"/>
              </w:rPr>
              <w:t> </w:t>
            </w:r>
            <w:r>
              <w:rPr>
                <w:rFonts w:ascii="宋体" w:hAnsi="宋体" w:cs="宋体" w:eastAsia="宋体" w:hint="default"/>
                <w:sz w:val="18"/>
                <w:szCs w:val="18"/>
              </w:rPr>
              <w:t>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武汉市知识</w:t>
            </w:r>
            <w:r>
              <w:rPr>
                <w:rFonts w:ascii="宋体" w:hAnsi="宋体" w:cs="宋体" w:eastAsia="宋体" w:hint="default"/>
                <w:spacing w:val="-86"/>
                <w:sz w:val="18"/>
                <w:szCs w:val="18"/>
              </w:rPr>
              <w:t> </w:t>
            </w:r>
            <w:r>
              <w:rPr>
                <w:rFonts w:ascii="宋体" w:hAnsi="宋体" w:cs="宋体" w:eastAsia="宋体" w:hint="default"/>
                <w:sz w:val="18"/>
                <w:szCs w:val="18"/>
              </w:rPr>
              <w:t>产权局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中博会补贴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厦门市财政</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5"/>
              <w:jc w:val="left"/>
              <w:rPr>
                <w:rFonts w:ascii="宋体" w:hAnsi="宋体" w:cs="宋体" w:eastAsia="宋体" w:hint="default"/>
                <w:sz w:val="18"/>
                <w:szCs w:val="18"/>
              </w:rPr>
            </w:pPr>
            <w:r>
              <w:rPr>
                <w:rFonts w:ascii="宋体" w:hAnsi="宋体" w:cs="宋体" w:eastAsia="宋体" w:hint="default"/>
                <w:spacing w:val="21"/>
                <w:sz w:val="18"/>
                <w:szCs w:val="18"/>
              </w:rPr>
              <w:t>著作权登记</w:t>
            </w:r>
            <w:r>
              <w:rPr>
                <w:rFonts w:ascii="宋体" w:hAnsi="宋体" w:cs="宋体" w:eastAsia="宋体" w:hint="default"/>
                <w:spacing w:val="-88"/>
                <w:sz w:val="18"/>
                <w:szCs w:val="18"/>
              </w:rPr>
              <w:t> </w:t>
            </w:r>
            <w:r>
              <w:rPr>
                <w:rFonts w:ascii="宋体" w:hAnsi="宋体" w:cs="宋体" w:eastAsia="宋体" w:hint="default"/>
                <w:sz w:val="18"/>
                <w:szCs w:val="18"/>
              </w:rPr>
              <w:t>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
              <w:jc w:val="left"/>
              <w:rPr>
                <w:rFonts w:ascii="宋体" w:hAnsi="宋体" w:cs="宋体" w:eastAsia="宋体" w:hint="default"/>
                <w:sz w:val="18"/>
                <w:szCs w:val="18"/>
              </w:rPr>
            </w:pPr>
            <w:r>
              <w:rPr>
                <w:rFonts w:ascii="宋体" w:hAnsi="宋体" w:cs="宋体" w:eastAsia="宋体" w:hint="default"/>
                <w:spacing w:val="20"/>
                <w:sz w:val="18"/>
                <w:szCs w:val="18"/>
              </w:rPr>
              <w:t>武汉市文化</w:t>
            </w:r>
            <w:r>
              <w:rPr>
                <w:rFonts w:ascii="宋体" w:hAnsi="宋体" w:cs="宋体" w:eastAsia="宋体" w:hint="default"/>
                <w:spacing w:val="-86"/>
                <w:sz w:val="18"/>
                <w:szCs w:val="18"/>
              </w:rPr>
              <w:t> </w:t>
            </w:r>
            <w:r>
              <w:rPr>
                <w:rFonts w:ascii="宋体" w:hAnsi="宋体" w:cs="宋体" w:eastAsia="宋体" w:hint="default"/>
                <w:sz w:val="18"/>
                <w:szCs w:val="18"/>
              </w:rPr>
              <w:t>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
              <w:jc w:val="both"/>
              <w:rPr>
                <w:rFonts w:ascii="宋体" w:hAnsi="宋体" w:cs="宋体" w:eastAsia="宋体" w:hint="default"/>
                <w:sz w:val="18"/>
                <w:szCs w:val="18"/>
              </w:rPr>
            </w:pPr>
            <w:r>
              <w:rPr>
                <w:rFonts w:ascii="宋体" w:hAnsi="宋体" w:cs="宋体" w:eastAsia="宋体" w:hint="default"/>
                <w:spacing w:val="20"/>
                <w:sz w:val="18"/>
                <w:szCs w:val="18"/>
              </w:rPr>
              <w:t>因符合地方</w:t>
            </w:r>
            <w:r>
              <w:rPr>
                <w:rFonts w:ascii="宋体" w:hAnsi="宋体" w:cs="宋体" w:eastAsia="宋体" w:hint="default"/>
                <w:spacing w:val="-86"/>
                <w:sz w:val="18"/>
                <w:szCs w:val="18"/>
              </w:rPr>
              <w:t> </w:t>
            </w:r>
            <w:r>
              <w:rPr>
                <w:rFonts w:ascii="宋体" w:hAnsi="宋体" w:cs="宋体" w:eastAsia="宋体" w:hint="default"/>
                <w:spacing w:val="20"/>
                <w:sz w:val="18"/>
                <w:szCs w:val="18"/>
              </w:rPr>
              <w:t>政府招商引</w:t>
            </w:r>
            <w:r>
              <w:rPr>
                <w:rFonts w:ascii="宋体" w:hAnsi="宋体" w:cs="宋体" w:eastAsia="宋体" w:hint="default"/>
                <w:spacing w:val="-86"/>
                <w:sz w:val="18"/>
                <w:szCs w:val="18"/>
              </w:rPr>
              <w:t> </w:t>
            </w:r>
            <w:r>
              <w:rPr>
                <w:rFonts w:ascii="宋体" w:hAnsi="宋体" w:cs="宋体" w:eastAsia="宋体" w:hint="default"/>
                <w:spacing w:val="20"/>
                <w:sz w:val="18"/>
                <w:szCs w:val="18"/>
              </w:rPr>
              <w:t>资等地方性</w:t>
            </w:r>
            <w:r>
              <w:rPr>
                <w:rFonts w:ascii="宋体" w:hAnsi="宋体" w:cs="宋体" w:eastAsia="宋体" w:hint="default"/>
                <w:spacing w:val="-86"/>
                <w:sz w:val="18"/>
                <w:szCs w:val="18"/>
              </w:rPr>
              <w:t> </w:t>
            </w:r>
            <w:r>
              <w:rPr>
                <w:rFonts w:ascii="宋体" w:hAnsi="宋体" w:cs="宋体" w:eastAsia="宋体" w:hint="default"/>
                <w:spacing w:val="20"/>
                <w:sz w:val="18"/>
                <w:szCs w:val="18"/>
              </w:rPr>
              <w:t>扶持政策而</w:t>
            </w:r>
            <w:r>
              <w:rPr>
                <w:rFonts w:ascii="宋体" w:hAnsi="宋体" w:cs="宋体" w:eastAsia="宋体" w:hint="default"/>
                <w:spacing w:val="-86"/>
                <w:sz w:val="18"/>
                <w:szCs w:val="18"/>
              </w:rPr>
              <w:t> </w:t>
            </w:r>
            <w:r>
              <w:rPr>
                <w:rFonts w:ascii="宋体" w:hAnsi="宋体" w:cs="宋体" w:eastAsia="宋体" w:hint="default"/>
                <w:sz w:val="18"/>
                <w:szCs w:val="18"/>
              </w:rPr>
              <w:t>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44,363,973.59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21,768,238.35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8"/>
          <w:szCs w:val="8"/>
        </w:rPr>
      </w:pPr>
    </w:p>
    <w:p>
      <w:pPr>
        <w:pStyle w:val="BodyText"/>
        <w:spacing w:line="240" w:lineRule="auto" w:before="35"/>
        <w:ind w:right="0"/>
        <w:jc w:val="left"/>
      </w:pPr>
      <w:bookmarkStart w:name="71、所得税费用" w:id="351"/>
      <w:bookmarkEnd w:id="351"/>
      <w:r>
        <w:rPr/>
      </w:r>
      <w:bookmarkStart w:name="（1）所得税费用表" w:id="352"/>
      <w:bookmarkEnd w:id="352"/>
      <w:r>
        <w:rPr/>
      </w:r>
      <w:r>
        <w:rPr/>
        <w:t>其他说明：</w:t>
      </w:r>
    </w:p>
    <w:p>
      <w:pPr>
        <w:spacing w:line="240" w:lineRule="auto" w:before="10"/>
        <w:rPr>
          <w:rFonts w:ascii="宋体" w:hAnsi="宋体" w:cs="宋体" w:eastAsia="宋体" w:hint="default"/>
          <w:sz w:val="16"/>
          <w:szCs w:val="16"/>
        </w:rPr>
      </w:pPr>
    </w:p>
    <w:p>
      <w:pPr>
        <w:pStyle w:val="BodyText"/>
        <w:spacing w:line="309" w:lineRule="auto"/>
        <w:ind w:left="154" w:right="164" w:firstLine="420"/>
        <w:jc w:val="left"/>
      </w:pPr>
      <w:r>
        <w:rPr/>
        <w:t>本公司收到的软件产品增值税返还</w:t>
      </w:r>
      <w:r>
        <w:rPr>
          <w:rFonts w:ascii="Times New Roman" w:hAnsi="Times New Roman" w:cs="Times New Roman" w:eastAsia="Times New Roman" w:hint="default"/>
        </w:rPr>
        <w:t>29,560,379.11</w:t>
      </w:r>
      <w:r>
        <w:rPr/>
        <w:t>元，因与公司经常性经营活动相关，作为经常性损益 的政府补助。</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70</w:t>
      </w:r>
      <w:r>
        <w:rPr/>
        <w:t>、营业外支出</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70、营业外支出" w:id="353"/>
      <w:bookmarkEnd w:id="353"/>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94"/>
        <w:gridCol w:w="2090"/>
        <w:gridCol w:w="2392"/>
        <w:gridCol w:w="2392"/>
      </w:tblGrid>
      <w:tr>
        <w:trPr>
          <w:trHeight w:val="161" w:hRule="exact"/>
        </w:trPr>
        <w:tc>
          <w:tcPr>
            <w:tcW w:w="2694" w:type="dxa"/>
            <w:tcBorders>
              <w:top w:val="single" w:sz="4" w:space="0" w:color="000000"/>
              <w:left w:val="single" w:sz="4" w:space="0" w:color="000000"/>
              <w:bottom w:val="nil" w:sz="6" w:space="0" w:color="auto"/>
              <w:right w:val="single" w:sz="4" w:space="0" w:color="000000"/>
            </w:tcBorders>
            <w:shd w:val="clear" w:color="auto" w:fill="D4D4D4"/>
          </w:tcPr>
          <w:p>
            <w:pPr/>
          </w:p>
        </w:tc>
        <w:tc>
          <w:tcPr>
            <w:tcW w:w="2090"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2" w:type="dxa"/>
            <w:tcBorders>
              <w:top w:val="single" w:sz="4" w:space="0" w:color="000000"/>
              <w:left w:val="single" w:sz="4" w:space="0" w:color="000000"/>
              <w:bottom w:val="nil" w:sz="6" w:space="0" w:color="auto"/>
              <w:right w:val="single" w:sz="4" w:space="0" w:color="000000"/>
            </w:tcBorders>
            <w:shd w:val="clear" w:color="auto" w:fill="D4D4D4"/>
          </w:tcPr>
          <w:p>
            <w:pPr/>
          </w:p>
        </w:tc>
        <w:tc>
          <w:tcPr>
            <w:tcW w:w="239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2"/>
              <w:ind w:left="920" w:right="79" w:hanging="42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2694"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90"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7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4D4D4"/>
          </w:tcPr>
          <w:p>
            <w:pPr>
              <w:pStyle w:val="TableParagraph"/>
              <w:spacing w:line="240" w:lineRule="auto" w:before="51"/>
              <w:ind w:left="95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4D4D4"/>
          </w:tcPr>
          <w:p>
            <w:pPr/>
          </w:p>
        </w:tc>
      </w:tr>
      <w:tr>
        <w:trPr>
          <w:trHeight w:val="161" w:hRule="exact"/>
        </w:trPr>
        <w:tc>
          <w:tcPr>
            <w:tcW w:w="2694" w:type="dxa"/>
            <w:tcBorders>
              <w:top w:val="nil" w:sz="6" w:space="0" w:color="auto"/>
              <w:left w:val="single" w:sz="4" w:space="0" w:color="000000"/>
              <w:bottom w:val="single" w:sz="4" w:space="0" w:color="000000"/>
              <w:right w:val="single" w:sz="4" w:space="0" w:color="000000"/>
            </w:tcBorders>
            <w:shd w:val="clear" w:color="auto" w:fill="D4D4D4"/>
          </w:tcPr>
          <w:p>
            <w:pPr/>
          </w:p>
        </w:tc>
        <w:tc>
          <w:tcPr>
            <w:tcW w:w="2090"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2" w:type="dxa"/>
            <w:tcBorders>
              <w:top w:val="nil" w:sz="6" w:space="0" w:color="auto"/>
              <w:left w:val="single" w:sz="4" w:space="0" w:color="000000"/>
              <w:bottom w:val="single" w:sz="4" w:space="0" w:color="000000"/>
              <w:right w:val="single" w:sz="4" w:space="0" w:color="000000"/>
            </w:tcBorders>
            <w:shd w:val="clear" w:color="auto" w:fill="D4D4D4"/>
          </w:tcPr>
          <w:p>
            <w:pPr/>
          </w:p>
        </w:tc>
        <w:tc>
          <w:tcPr>
            <w:tcW w:w="239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137,593.82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256,715.51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137,593.82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137,593.82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256,715.51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137,593.82</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144,557.01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168,247.26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144,557.01</w:t>
            </w:r>
          </w:p>
        </w:tc>
      </w:tr>
      <w:tr>
        <w:trPr>
          <w:trHeight w:val="40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99,977.05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15,783.84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99,977.05</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90"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682,127.88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740,746.61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682,127.88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30,527,867.63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17,570,118.52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-10,153,316.79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-3,504,767.12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20,374,550.84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14,065,351.40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收到的其他与经营活动有关的现金" w:id="354"/>
      <w:bookmarkEnd w:id="354"/>
      <w:r>
        <w:rPr>
          <w:b w:val="0"/>
          <w:bCs w:val="0"/>
        </w:rPr>
      </w:r>
      <w:r>
        <w:rPr/>
        <w:t>（</w:t>
      </w:r>
      <w:r>
        <w:rPr>
          <w:rFonts w:ascii="Times New Roman" w:hAnsi="Times New Roman" w:cs="Times New Roman" w:eastAsia="Times New Roman" w:hint="default"/>
        </w:rPr>
        <w:t>2</w:t>
      </w:r>
      <w:r>
        <w:rPr/>
        <w:t>）会计利润</w:t>
      </w:r>
      <w:bookmarkStart w:name="（2）会计利润与所得税费用调整过程" w:id="355"/>
      <w:bookmarkEnd w:id="355"/>
      <w:r>
        <w:rPr/>
        <w:t>与所得税</w:t>
      </w:r>
      <w:r>
        <w:rPr/>
        <w:t>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498"/>
        <w:gridCol w:w="3058"/>
      </w:tblGrid>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289"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172,850,125.04</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25,927,518.76</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-570,812.91</w:t>
            </w:r>
            <w:r>
              <w:rPr>
                <w:rFonts w:ascii="Times New Roman"/>
                <w:sz w:val="18"/>
              </w:rPr>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1,558,236.48</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-4,571,649.14</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7,253,438.45</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34,077.11</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42,040.49</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913,802.90</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-3,158,586.02</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-7,053,515.28</w:t>
            </w:r>
          </w:p>
        </w:tc>
      </w:tr>
      <w:tr>
        <w:trPr>
          <w:trHeight w:val="402" w:hRule="exact"/>
        </w:trPr>
        <w:tc>
          <w:tcPr>
            <w:tcW w:w="64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05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20,374,550.84</w:t>
            </w:r>
          </w:p>
        </w:tc>
      </w:tr>
    </w:tbl>
    <w:p>
      <w:pPr>
        <w:spacing w:line="240" w:lineRule="auto" w:before="2"/>
        <w:rPr>
          <w:rFonts w:ascii="宋体" w:hAnsi="宋体" w:cs="宋体" w:eastAsia="宋体" w:hint="default"/>
          <w:sz w:val="19"/>
          <w:szCs w:val="19"/>
        </w:rPr>
      </w:pPr>
    </w:p>
    <w:p>
      <w:pPr>
        <w:pStyle w:val="Heading4"/>
        <w:spacing w:line="530" w:lineRule="auto" w:before="35"/>
        <w:ind w:left="574" w:right="8086" w:hanging="420"/>
        <w:jc w:val="left"/>
        <w:rPr>
          <w:rFonts w:ascii="宋体" w:hAnsi="宋体" w:cs="宋体" w:eastAsia="宋体" w:hint="default"/>
          <w:b w:val="0"/>
          <w:bCs w:val="0"/>
        </w:rPr>
      </w:pPr>
      <w:r>
        <w:rPr>
          <w:rFonts w:ascii="Times New Roman" w:hAnsi="Times New Roman" w:cs="Times New Roman" w:eastAsia="Times New Roman" w:hint="default"/>
        </w:rPr>
        <w:t>72</w:t>
      </w:r>
      <w:r>
        <w:rPr/>
        <w:t>、其他综合收益</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73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72、其他综合收益" w:id="356"/>
      <w:bookmarkEnd w:id="356"/>
      <w:r>
        <w:rPr/>
      </w:r>
      <w:r>
        <w:rPr>
          <w:rFonts w:ascii="宋体" w:hAnsi="宋体" w:cs="宋体" w:eastAsia="宋体" w:hint="default"/>
          <w:sz w:val="18"/>
          <w:szCs w:val="18"/>
        </w:rPr>
        <w:t>单位： </w:t>
      </w:r>
      <w:bookmarkStart w:name="73、现金流量表项目" w:id="357"/>
      <w:bookmarkEnd w:id="357"/>
      <w:r>
        <w:rPr>
          <w:rFonts w:ascii="宋体" w:hAnsi="宋体" w:cs="宋体" w:eastAsia="宋体" w:hint="default"/>
          <w:sz w:val="18"/>
          <w:szCs w:val="18"/>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44"/>
        <w:gridCol w:w="2837"/>
        <w:gridCol w:w="3188"/>
      </w:tblGrid>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收政府补助专项资金</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18,834,142.01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14,402,559.48</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收到利息收入</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2,469,674.54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2,630,514.70</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代收股权激励个税</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4,393,780.25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收到的保证金、押金及其他往来款等</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2,765,586.66</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4,274,205.54</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28,463,183.46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21,307,279.72</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4、现金流量表补充资料" w:id="358"/>
      <w:bookmarkEnd w:id="358"/>
      <w:r>
        <w:rPr>
          <w:b w:val="0"/>
          <w:bCs w:val="0"/>
        </w:rPr>
      </w:r>
      <w:bookmarkStart w:name="（1）现金流量表补充资料" w:id="359"/>
      <w:bookmarkEnd w:id="35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支付的其他与经营活动有关的现金" w:id="360"/>
      <w:bookmarkEnd w:id="360"/>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6"/>
        <w:gridCol w:w="2694"/>
        <w:gridCol w:w="3188"/>
      </w:tblGrid>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0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支付保函保证金</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3,120,987.00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5,241,933.00</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支付其他保证金、押金及其他往来款等</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19,405,585.44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16,511,151.06</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支付期间费用</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92,121,831.90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70,998,341.81</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4"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114948404.34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93,051,425.87</w:t>
            </w:r>
          </w:p>
        </w:tc>
      </w:tr>
    </w:tbl>
    <w:p>
      <w:pPr>
        <w:spacing w:line="240" w:lineRule="auto" w:before="2"/>
        <w:rPr>
          <w:rFonts w:ascii="宋体" w:hAnsi="宋体" w:cs="宋体" w:eastAsia="宋体" w:hint="default"/>
          <w:sz w:val="19"/>
          <w:szCs w:val="19"/>
        </w:rPr>
      </w:pPr>
    </w:p>
    <w:p>
      <w:pPr>
        <w:pStyle w:val="Heading4"/>
        <w:spacing w:line="530" w:lineRule="auto" w:before="35"/>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）收到的其他与投资活动有关的现</w:t>
      </w:r>
      <w:bookmarkStart w:name="（3）收到的其他与投资活动有关的现金" w:id="361"/>
      <w:bookmarkEnd w:id="361"/>
      <w:r>
        <w:rPr/>
        <w:t>金</w:t>
      </w:r>
      <w:r>
        <w:rPr>
          <w:w w:val="99"/>
        </w:rPr>
        <w:t> </w:t>
      </w:r>
      <w:r>
        <w:rPr>
          <w:rFonts w:ascii="宋体" w:hAnsi="宋体" w:cs="宋体" w:eastAsia="宋体" w:hint="default"/>
          <w:b w:val="0"/>
          <w:bCs w:val="0"/>
        </w:rPr>
        <w:t>无。</w:t>
      </w:r>
    </w:p>
    <w:p>
      <w:pPr>
        <w:pStyle w:val="Heading4"/>
        <w:spacing w:line="530" w:lineRule="auto" w:before="115"/>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）支付的其他与投资活动有关的现金</w:t>
      </w:r>
      <w:r>
        <w:rPr>
          <w:w w:val="99"/>
        </w:rPr>
        <w:t> </w:t>
      </w:r>
      <w:r>
        <w:rPr>
          <w:rFonts w:ascii="宋体" w:hAnsi="宋体" w:cs="宋体" w:eastAsia="宋体" w:hint="default"/>
          <w:b w:val="0"/>
          <w:bCs w:val="0"/>
        </w:rPr>
        <w:t>无。</w:t>
      </w:r>
    </w:p>
    <w:p>
      <w:pPr>
        <w:pStyle w:val="Heading4"/>
        <w:spacing w:line="530" w:lineRule="auto" w:before="115"/>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）收到的其他与筹资活动有关的现金</w:t>
      </w:r>
      <w:r>
        <w:rPr>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支付的其他与投资活动有关的现金" w:id="362"/>
      <w:bookmarkEnd w:id="362"/>
      <w:r>
        <w:rPr/>
      </w:r>
      <w:bookmarkStart w:name="（5）收到的其他与筹资活动有关的现金" w:id="363"/>
      <w:bookmarkEnd w:id="363"/>
      <w:r>
        <w:rPr/>
      </w:r>
      <w:bookmarkStart w:name="（6）支付的其他与筹资活动有关的现金" w:id="364"/>
      <w:bookmarkEnd w:id="364"/>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5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4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回购注销限制性股票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854,430.00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非公开发行股份支付的中介机构费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854,430.00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74</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506"/>
        <w:gridCol w:w="2137"/>
        <w:gridCol w:w="1913"/>
      </w:tblGrid>
      <w:tr>
        <w:trPr>
          <w:trHeight w:val="403"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8"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1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19"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80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1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3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152,475,574.20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123,419,464.77</w:t>
            </w:r>
          </w:p>
        </w:tc>
      </w:tr>
      <w:tr>
        <w:trPr>
          <w:trHeight w:val="403"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20,120,049.34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7,809,401.41</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60" w:type="dxa"/>
        <w:tblLayout w:type="fixed"/>
        <w:tblCellMar>
          <w:top w:w="0" w:type="dxa"/>
          <w:left w:w="0" w:type="dxa"/>
          <w:bottom w:w="0" w:type="dxa"/>
          <w:right w:w="0" w:type="dxa"/>
        </w:tblCellMar>
        <w:tblLook w:val="01E0"/>
      </w:tblPr>
      <w:tblGrid>
        <w:gridCol w:w="5506"/>
        <w:gridCol w:w="2137"/>
        <w:gridCol w:w="1913"/>
      </w:tblGrid>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24,276,369.08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21,472,502.37</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20,335,742.31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12,520,985.55</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964,088.19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924,898.67</w:t>
            </w:r>
          </w:p>
        </w:tc>
      </w:tr>
      <w:tr>
        <w:trPr>
          <w:trHeight w:val="714"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2" w:lineRule="auto" w:before="51"/>
              <w:ind w:left="11" w:right="43" w:firstLine="42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 填列）</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137,593.82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256,715.51</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-4,931,198.17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-4,919,356.38</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5,861,412.89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4,297,571.35</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-10,062,555.54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-3,504,767.12</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-90,761.25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-70,583,727.59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-66,992,121.78</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-128,307,728.74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-66,384,010.03</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170,808,671.95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142,671,004.98</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582,633.06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2,088,868.11</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181,586,163.55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173,661,157.41</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1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3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1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3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9"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294,836,300.09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246,699,791.23</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246,699,791.23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212,815,985.41</w:t>
            </w:r>
          </w:p>
        </w:tc>
      </w:tr>
      <w:tr>
        <w:trPr>
          <w:trHeight w:val="402" w:hRule="exact"/>
        </w:trPr>
        <w:tc>
          <w:tcPr>
            <w:tcW w:w="550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37"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48,136,508.86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33,883,805.82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本期支付的取得子公司的现金净额" w:id="365"/>
      <w:bookmarkEnd w:id="365"/>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238"/>
        <w:gridCol w:w="3330"/>
      </w:tblGrid>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4D4D4"/>
          </w:tcPr>
          <w:p>
            <w:pPr/>
          </w:p>
        </w:tc>
        <w:tc>
          <w:tcPr>
            <w:tcW w:w="3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33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28,520,000.00</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28,520,000.00</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33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12,517,284.85</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12,517,284.85</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333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4,854,800.00</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33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418"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4,854,800.00</w:t>
            </w:r>
          </w:p>
        </w:tc>
      </w:tr>
      <w:tr>
        <w:trPr>
          <w:trHeight w:val="402" w:hRule="exact"/>
        </w:trPr>
        <w:tc>
          <w:tcPr>
            <w:tcW w:w="623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20,857,515.15</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530" w:lineRule="auto" w:before="35"/>
        <w:ind w:left="574" w:right="6083"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）本期收到的处置子公司的现金净额</w:t>
      </w:r>
      <w:r>
        <w:rPr>
          <w:w w:val="99"/>
        </w:rPr>
        <w:t> </w:t>
      </w:r>
      <w:bookmarkStart w:name="（3）本期收到的处置子公司的现金净额" w:id="366"/>
      <w:bookmarkEnd w:id="366"/>
      <w:r>
        <w:rPr>
          <w:w w:val="99"/>
        </w:rPr>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4</w:t>
      </w:r>
      <w:r>
        <w:rPr/>
        <w:t>）现金和现</w:t>
      </w:r>
      <w:bookmarkStart w:name="（4）现金和现金等价物的构成" w:id="367"/>
      <w:bookmarkEnd w:id="367"/>
      <w:r>
        <w:rPr/>
        <w:t>金等价物</w:t>
      </w:r>
      <w:r>
        <w:rPr/>
        <w:t>的构成</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6"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294,836,300.09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246,699,791.23</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77,587.97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19,254.28</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97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294,758,712.12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246,680,536.95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294,836,300.09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246,699,791.23</w:t>
            </w:r>
          </w:p>
        </w:tc>
      </w:tr>
    </w:tbl>
    <w:p>
      <w:pPr>
        <w:spacing w:line="240" w:lineRule="auto" w:before="2"/>
        <w:rPr>
          <w:rFonts w:ascii="宋体" w:hAnsi="宋体" w:cs="宋体" w:eastAsia="宋体" w:hint="default"/>
          <w:sz w:val="19"/>
          <w:szCs w:val="19"/>
        </w:rPr>
      </w:pPr>
    </w:p>
    <w:p>
      <w:pPr>
        <w:pStyle w:val="Heading4"/>
        <w:spacing w:line="530" w:lineRule="auto" w:before="35"/>
        <w:ind w:left="574" w:right="6821" w:hanging="420"/>
        <w:jc w:val="left"/>
        <w:rPr>
          <w:rFonts w:ascii="宋体" w:hAnsi="宋体" w:cs="宋体" w:eastAsia="宋体" w:hint="default"/>
          <w:b w:val="0"/>
          <w:bCs w:val="0"/>
        </w:rPr>
      </w:pPr>
      <w:r>
        <w:rPr>
          <w:rFonts w:ascii="Times New Roman" w:hAnsi="Times New Roman" w:cs="Times New Roman" w:eastAsia="Times New Roman" w:hint="default"/>
        </w:rPr>
        <w:t>75</w:t>
      </w:r>
      <w:r>
        <w:rPr/>
        <w:t>、所有者权益变动表项目注释</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76</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75、所有者权益变动表项目注释" w:id="368"/>
      <w:bookmarkEnd w:id="368"/>
      <w:r>
        <w:rPr/>
      </w:r>
      <w:bookmarkStart w:name="76、所有权或使用权受到限制的资产" w:id="369"/>
      <w:bookmarkEnd w:id="369"/>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0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436"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291,421,098.96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保证金及定期存款</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4D4D4"/>
              <w:bottom w:val="single" w:sz="4" w:space="0" w:color="000000"/>
              <w:right w:val="single" w:sz="9" w:space="0" w:color="D4D4D4"/>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291,421,098.96</w:t>
            </w:r>
          </w:p>
        </w:tc>
        <w:tc>
          <w:tcPr>
            <w:tcW w:w="31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418"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77</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77、外币货币性项目" w:id="370"/>
      <w:bookmarkEnd w:id="370"/>
      <w:r>
        <w:rPr/>
      </w:r>
      <w:bookmarkStart w:name="（1）外币货币性项目" w:id="371"/>
      <w:bookmarkEnd w:id="371"/>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2"/>
        <w:gridCol w:w="2305"/>
        <w:gridCol w:w="2390"/>
        <w:gridCol w:w="2389"/>
      </w:tblGrid>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9" w:right="0"/>
              <w:jc w:val="left"/>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667,301.70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4,333,190.32</w:t>
            </w: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13" w:space="0" w:color="D4D4D4"/>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84,632.28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549,568.16</w:t>
            </w: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48,486.20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314,849.99</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59" w:lineRule="auto" w:before="35"/>
        <w:ind w:right="97"/>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bookmarkStart w:name="（2）境外经营实体说明，包括对于重要的境外经营实体，应披露其境外主要经营地、记账" w:id="372"/>
      <w:bookmarkEnd w:id="372"/>
      <w:r>
        <w:rPr/>
        <w:t>依据，记账</w:t>
      </w:r>
      <w:r>
        <w:rPr/>
        <w:t>本位币发生变化的还应披露原因。</w:t>
      </w:r>
      <w:r>
        <w:rPr>
          <w:b w:val="0"/>
          <w:bCs w:val="0"/>
        </w:rPr>
      </w:r>
    </w:p>
    <w:p>
      <w:pPr>
        <w:spacing w:line="240" w:lineRule="auto" w:before="11"/>
        <w:rPr>
          <w:rFonts w:ascii="宋体" w:hAnsi="宋体" w:cs="宋体" w:eastAsia="宋体" w:hint="default"/>
          <w:b/>
          <w:bCs/>
          <w:sz w:val="26"/>
          <w:szCs w:val="26"/>
        </w:rPr>
      </w:pPr>
    </w:p>
    <w:p>
      <w:pPr>
        <w:pStyle w:val="BodyText"/>
        <w:spacing w:line="408" w:lineRule="auto"/>
        <w:ind w:left="573" w:right="290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2"/>
        </w:rPr>
        <w:t>不适用 </w:t>
      </w:r>
      <w:r>
        <w:rPr/>
        <w:t>本公司子公司香港鼎永以香港为主要经营地，其采用美元记账本位币。</w:t>
      </w:r>
    </w:p>
    <w:p>
      <w:pPr>
        <w:spacing w:line="240" w:lineRule="auto" w:before="0"/>
        <w:rPr>
          <w:rFonts w:ascii="宋体" w:hAnsi="宋体" w:cs="宋体" w:eastAsia="宋体" w:hint="default"/>
          <w:sz w:val="17"/>
          <w:szCs w:val="17"/>
        </w:rPr>
      </w:pPr>
    </w:p>
    <w:p>
      <w:pPr>
        <w:pStyle w:val="Heading4"/>
        <w:spacing w:line="240" w:lineRule="auto"/>
        <w:ind w:right="97"/>
        <w:jc w:val="left"/>
        <w:rPr>
          <w:b w:val="0"/>
          <w:bCs w:val="0"/>
        </w:rPr>
      </w:pPr>
      <w:r>
        <w:rPr>
          <w:rFonts w:ascii="Times New Roman" w:hAnsi="Times New Roman" w:cs="Times New Roman" w:eastAsia="Times New Roman" w:hint="default"/>
        </w:rPr>
        <w:t>78</w:t>
      </w:r>
      <w:r>
        <w:rPr/>
        <w:t>、套期</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t>无。</w:t>
      </w:r>
    </w:p>
    <w:p>
      <w:pPr>
        <w:spacing w:line="240" w:lineRule="auto" w:before="3"/>
        <w:rPr>
          <w:rFonts w:ascii="宋体" w:hAnsi="宋体" w:cs="宋体" w:eastAsia="宋体" w:hint="default"/>
          <w:sz w:val="28"/>
          <w:szCs w:val="28"/>
        </w:rPr>
      </w:pPr>
    </w:p>
    <w:p>
      <w:pPr>
        <w:pStyle w:val="Heading4"/>
        <w:spacing w:line="240" w:lineRule="auto"/>
        <w:ind w:right="97"/>
        <w:jc w:val="left"/>
        <w:rPr>
          <w:b w:val="0"/>
          <w:bCs w:val="0"/>
        </w:rPr>
      </w:pPr>
      <w:r>
        <w:rPr>
          <w:rFonts w:ascii="Times New Roman" w:hAnsi="Times New Roman" w:cs="Times New Roman" w:eastAsia="Times New Roman" w:hint="default"/>
        </w:rPr>
        <w:t>79</w:t>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t>无。</w:t>
      </w:r>
    </w:p>
    <w:p>
      <w:pPr>
        <w:spacing w:line="240" w:lineRule="auto" w:before="6"/>
        <w:rPr>
          <w:rFonts w:ascii="宋体" w:hAnsi="宋体" w:cs="宋体" w:eastAsia="宋体" w:hint="default"/>
          <w:sz w:val="26"/>
          <w:szCs w:val="26"/>
        </w:rPr>
      </w:pPr>
    </w:p>
    <w:p>
      <w:pPr>
        <w:pStyle w:val="Heading2"/>
        <w:spacing w:line="240" w:lineRule="auto"/>
        <w:ind w:right="97"/>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7"/>
        <w:jc w:val="left"/>
        <w:rPr>
          <w:b w:val="0"/>
          <w:bCs w:val="0"/>
        </w:rPr>
      </w:pPr>
      <w:r>
        <w:rPr>
          <w:rFonts w:ascii="Times New Roman" w:hAnsi="Times New Roman" w:cs="Times New Roman" w:eastAsia="Times New Roman" w:hint="default"/>
        </w:rPr>
        <w:t>1</w:t>
      </w:r>
      <w:r>
        <w:rPr/>
        <w:t>、非同一控制</w:t>
      </w:r>
      <w:bookmarkStart w:name="78、套期" w:id="373"/>
      <w:bookmarkEnd w:id="373"/>
      <w:r>
        <w:rPr/>
        <w:t>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7"/>
        <w:jc w:val="left"/>
        <w:rPr>
          <w:b w:val="0"/>
          <w:bCs w:val="0"/>
        </w:rPr>
      </w:pPr>
      <w:r>
        <w:rPr/>
        <w:t>（</w:t>
      </w:r>
      <w:r>
        <w:rPr>
          <w:rFonts w:ascii="Times New Roman" w:hAnsi="Times New Roman" w:cs="Times New Roman" w:eastAsia="Times New Roman" w:hint="default"/>
        </w:rPr>
        <w:t>1</w:t>
      </w:r>
      <w:r>
        <w:rPr/>
        <w:t>）本期发生的非同一控制下企业合</w:t>
      </w:r>
      <w:bookmarkStart w:name="79、其他" w:id="374"/>
      <w:bookmarkEnd w:id="374"/>
      <w:r>
        <w:rPr/>
        <w:t>并</w:t>
      </w:r>
      <w:r>
        <w:rPr>
          <w:b w:val="0"/>
          <w:bCs w:val="0"/>
        </w:rPr>
      </w:r>
    </w:p>
    <w:p>
      <w:pPr>
        <w:spacing w:line="240" w:lineRule="auto" w:before="9"/>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bookmarkStart w:name="八、合并范围的变更" w:id="375"/>
      <w:bookmarkEnd w:id="375"/>
      <w:r>
        <w:rPr/>
      </w:r>
      <w:bookmarkStart w:name="1、非同一控制下企业合并" w:id="376"/>
      <w:bookmarkEnd w:id="376"/>
      <w:r>
        <w:rPr/>
      </w:r>
      <w:bookmarkStart w:name="（1）本期发生的非同一控制下企业合并" w:id="377"/>
      <w:bookmarkEnd w:id="377"/>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见说明①</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16,116,670.9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7,448,973.14</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543,199,986.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非</w:t>
            </w:r>
            <w:r>
              <w:rPr>
                <w:rFonts w:ascii="宋体" w:hAnsi="宋体" w:cs="宋体" w:eastAsia="宋体" w:hint="default"/>
                <w:spacing w:val="-63"/>
                <w:sz w:val="18"/>
                <w:szCs w:val="18"/>
              </w:rPr>
              <w:t> </w:t>
            </w:r>
            <w:r>
              <w:rPr>
                <w:rFonts w:ascii="宋体" w:hAnsi="宋体" w:cs="宋体" w:eastAsia="宋体" w:hint="default"/>
                <w:sz w:val="18"/>
                <w:szCs w:val="18"/>
              </w:rPr>
              <w:t>公</w:t>
            </w:r>
            <w:r>
              <w:rPr>
                <w:rFonts w:ascii="宋体" w:hAnsi="宋体" w:cs="宋体" w:eastAsia="宋体" w:hint="default"/>
                <w:spacing w:val="-63"/>
                <w:sz w:val="18"/>
                <w:szCs w:val="18"/>
              </w:rPr>
              <w:t> </w:t>
            </w:r>
            <w:r>
              <w:rPr>
                <w:rFonts w:ascii="宋体" w:hAnsi="宋体" w:cs="宋体" w:eastAsia="宋体" w:hint="default"/>
                <w:spacing w:val="17"/>
                <w:sz w:val="18"/>
                <w:szCs w:val="18"/>
              </w:rPr>
              <w:t>开发行</w:t>
            </w:r>
            <w:r>
              <w:rPr>
                <w:rFonts w:ascii="宋体" w:hAnsi="宋体" w:cs="宋体" w:eastAsia="宋体" w:hint="default"/>
                <w:spacing w:val="-64"/>
                <w:sz w:val="18"/>
                <w:szCs w:val="18"/>
              </w:rPr>
              <w:t> </w:t>
            </w:r>
            <w:r>
              <w:rPr>
                <w:rFonts w:ascii="宋体" w:hAnsi="宋体" w:cs="宋体" w:eastAsia="宋体" w:hint="default"/>
                <w:sz w:val="18"/>
                <w:szCs w:val="18"/>
              </w:rPr>
              <w:t>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见说明②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240" w:lineRule="auto" w:before="35"/>
        <w:ind w:right="97"/>
        <w:jc w:val="left"/>
      </w:pPr>
      <w:r>
        <w:rPr/>
        <w:t>其他说明：</w:t>
      </w:r>
    </w:p>
    <w:p>
      <w:pPr>
        <w:spacing w:line="240" w:lineRule="auto" w:before="10"/>
        <w:rPr>
          <w:rFonts w:ascii="宋体" w:hAnsi="宋体" w:cs="宋体" w:eastAsia="宋体" w:hint="default"/>
          <w:sz w:val="16"/>
          <w:szCs w:val="16"/>
        </w:rPr>
      </w:pPr>
    </w:p>
    <w:p>
      <w:pPr>
        <w:pStyle w:val="BodyText"/>
        <w:spacing w:line="309" w:lineRule="auto"/>
        <w:ind w:left="153" w:right="97" w:firstLine="420"/>
        <w:jc w:val="left"/>
      </w:pPr>
      <w:r>
        <w:rPr>
          <w:spacing w:val="-2"/>
        </w:rPr>
        <w:t>①根据本公司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24</w:t>
      </w:r>
      <w:r>
        <w:rPr>
          <w:spacing w:val="-2"/>
        </w:rPr>
        <w:t>日董事会决议，本公司拟以自有资金人民币</w:t>
      </w:r>
      <w:r>
        <w:rPr>
          <w:rFonts w:ascii="Times New Roman" w:hAnsi="Times New Roman" w:cs="Times New Roman" w:eastAsia="Times New Roman" w:hint="default"/>
          <w:spacing w:val="-2"/>
        </w:rPr>
        <w:t>1,000</w:t>
      </w:r>
      <w:r>
        <w:rPr>
          <w:spacing w:val="-2"/>
        </w:rPr>
        <w:t>万元对武汉大千进行增资，</w:t>
      </w:r>
      <w:r>
        <w:rPr/>
        <w:t> 其中新增注册资本</w:t>
      </w:r>
      <w:r>
        <w:rPr>
          <w:rFonts w:ascii="Times New Roman" w:hAnsi="Times New Roman" w:cs="Times New Roman" w:eastAsia="Times New Roman" w:hint="default"/>
        </w:rPr>
        <w:t>43.2727 </w:t>
      </w:r>
      <w:r>
        <w:rPr/>
        <w:t>万元，余额 </w:t>
      </w:r>
      <w:r>
        <w:rPr>
          <w:rFonts w:ascii="Times New Roman" w:hAnsi="Times New Roman" w:cs="Times New Roman" w:eastAsia="Times New Roman" w:hint="default"/>
        </w:rPr>
        <w:t>956.7273</w:t>
      </w:r>
      <w:r>
        <w:rPr>
          <w:rFonts w:ascii="Times New Roman" w:hAnsi="Times New Roman" w:cs="Times New Roman" w:eastAsia="Times New Roman" w:hint="default"/>
          <w:spacing w:val="43"/>
        </w:rPr>
        <w:t> </w:t>
      </w:r>
      <w:r>
        <w:rPr/>
        <w:t>万元计入资本公积，获得武汉大千</w:t>
      </w:r>
      <w:r>
        <w:rPr>
          <w:rFonts w:ascii="Times New Roman" w:hAnsi="Times New Roman" w:cs="Times New Roman" w:eastAsia="Times New Roman" w:hint="default"/>
        </w:rPr>
        <w:t>15.3846%</w:t>
      </w:r>
      <w:r>
        <w:rPr/>
        <w:t>的股权；并 </w:t>
      </w:r>
      <w:r>
        <w:rPr>
          <w:spacing w:val="-1"/>
        </w:rPr>
        <w:t>以自有资金人民币</w:t>
      </w:r>
      <w:r>
        <w:rPr>
          <w:rFonts w:ascii="Times New Roman" w:hAnsi="Times New Roman" w:cs="Times New Roman" w:eastAsia="Times New Roman" w:hint="default"/>
          <w:spacing w:val="-1"/>
        </w:rPr>
        <w:t>2,315</w:t>
      </w:r>
      <w:r>
        <w:rPr>
          <w:rFonts w:ascii="Times New Roman" w:hAnsi="Times New Roman" w:cs="Times New Roman" w:eastAsia="Times New Roman" w:hint="default"/>
        </w:rPr>
        <w:t> </w:t>
      </w:r>
      <w:r>
        <w:rPr>
          <w:spacing w:val="-6"/>
        </w:rPr>
        <w:t>万元受让严国建先生、杨捷女士、王彬先生和熊子松先生持有的武汉大千</w:t>
      </w:r>
      <w:r>
        <w:rPr>
          <w:rFonts w:ascii="Times New Roman" w:hAnsi="Times New Roman" w:cs="Times New Roman" w:eastAsia="Times New Roman" w:hint="default"/>
          <w:spacing w:val="-6"/>
        </w:rPr>
        <w:t>35.6154%</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的股权；增资及受让股权后本公司共获取武汉大千</w:t>
      </w:r>
      <w:r>
        <w:rPr>
          <w:rFonts w:ascii="Times New Roman" w:hAnsi="Times New Roman" w:cs="Times New Roman" w:eastAsia="Times New Roman" w:hint="default"/>
        </w:rPr>
        <w:t>51%</w:t>
      </w:r>
      <w:r>
        <w:rPr/>
        <w:t>股权。</w:t>
      </w:r>
    </w:p>
    <w:p>
      <w:pPr>
        <w:pStyle w:val="BodyText"/>
        <w:spacing w:line="309" w:lineRule="auto" w:before="136"/>
        <w:ind w:left="154" w:right="225"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月本公司对武汉大千派驻董事</w:t>
      </w:r>
      <w:r>
        <w:rPr>
          <w:rFonts w:ascii="Times New Roman" w:hAnsi="Times New Roman" w:cs="Times New Roman" w:eastAsia="Times New Roman" w:hint="default"/>
        </w:rPr>
        <w:t>2</w:t>
      </w:r>
      <w:r>
        <w:rPr/>
        <w:t>名（武汉大千共有董事</w:t>
      </w:r>
      <w:r>
        <w:rPr>
          <w:rFonts w:ascii="Times New Roman" w:hAnsi="Times New Roman" w:cs="Times New Roman" w:eastAsia="Times New Roman" w:hint="default"/>
        </w:rPr>
        <w:t>3</w:t>
      </w:r>
      <w:r>
        <w:rPr/>
        <w:t>名），</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w:t>
      </w:r>
      <w:r>
        <w:rPr/>
        <w:t>日按协议约定支付 增资款</w:t>
      </w:r>
      <w:r>
        <w:rPr>
          <w:rFonts w:ascii="Times New Roman" w:hAnsi="Times New Roman" w:cs="Times New Roman" w:eastAsia="Times New Roman" w:hint="default"/>
        </w:rPr>
        <w:t>1,000</w:t>
      </w:r>
      <w:r>
        <w:rPr/>
        <w:t>万元及</w:t>
      </w:r>
      <w:r>
        <w:rPr>
          <w:rFonts w:ascii="Times New Roman" w:hAnsi="Times New Roman" w:cs="Times New Roman" w:eastAsia="Times New Roman" w:hint="default"/>
        </w:rPr>
        <w:t>30%</w:t>
      </w:r>
      <w:r>
        <w:rPr/>
        <w:t>股权转让款</w:t>
      </w:r>
      <w:r>
        <w:rPr>
          <w:rFonts w:ascii="Times New Roman" w:hAnsi="Times New Roman" w:cs="Times New Roman" w:eastAsia="Times New Roman" w:hint="default"/>
        </w:rPr>
        <w:t>694.50</w:t>
      </w:r>
      <w:r>
        <w:rPr/>
        <w:t>万元，本公司对武汉大千的财务和经营决策拥有控制权，享有相 应的收益并承担相应的风险，故武汉大千购买日确定为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w:t>
      </w:r>
    </w:p>
    <w:p>
      <w:pPr>
        <w:pStyle w:val="BodyText"/>
        <w:spacing w:line="309" w:lineRule="auto" w:before="136"/>
        <w:ind w:left="154" w:right="97" w:firstLine="420"/>
        <w:jc w:val="left"/>
      </w:pPr>
      <w:r>
        <w:rPr/>
        <w:t>②</w:t>
      </w:r>
      <w:r>
        <w:rPr>
          <w:spacing w:val="-8"/>
        </w:rPr>
        <w:t> </w:t>
      </w:r>
      <w:r>
        <w:rPr/>
        <w:t>根据本公司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月董事会决议，本公司拟向江苏税软非公开发行股份</w:t>
      </w:r>
      <w:r>
        <w:rPr>
          <w:rFonts w:ascii="Times New Roman" w:hAnsi="Times New Roman" w:cs="Times New Roman" w:eastAsia="Times New Roman" w:hint="default"/>
        </w:rPr>
        <w:t>29,666,848 </w:t>
      </w:r>
      <w:r>
        <w:rPr>
          <w:spacing w:val="-2"/>
        </w:rPr>
        <w:t>股购买江苏税软</w:t>
      </w:r>
      <w:r>
        <w:rPr>
          <w:rFonts w:ascii="Times New Roman" w:hAnsi="Times New Roman" w:cs="Times New Roman" w:eastAsia="Times New Roman" w:hint="default"/>
          <w:spacing w:val="-2"/>
        </w:rPr>
        <w:t>100%</w:t>
      </w:r>
      <w:r>
        <w:rPr>
          <w:spacing w:val="-2"/>
        </w:rPr>
        <w:t>股权（包括江苏税软持有无锡博盾</w:t>
      </w:r>
      <w:r>
        <w:rPr>
          <w:rFonts w:ascii="Times New Roman" w:hAnsi="Times New Roman" w:cs="Times New Roman" w:eastAsia="Times New Roman" w:hint="default"/>
          <w:spacing w:val="-2"/>
        </w:rPr>
        <w:t>100%</w:t>
      </w:r>
      <w:r>
        <w:rPr>
          <w:spacing w:val="-2"/>
        </w:rPr>
        <w:t>的股权），发行价格为定价基准日前</w:t>
      </w:r>
      <w:r>
        <w:rPr>
          <w:rFonts w:ascii="Times New Roman" w:hAnsi="Times New Roman" w:cs="Times New Roman" w:eastAsia="Times New Roman" w:hint="default"/>
          <w:spacing w:val="-2"/>
        </w:rPr>
        <w:t>120</w:t>
      </w:r>
      <w:r>
        <w:rPr>
          <w:spacing w:val="-2"/>
        </w:rPr>
        <w:t>个交</w:t>
      </w:r>
      <w:r>
        <w:rPr/>
      </w:r>
    </w:p>
    <w:p>
      <w:pPr>
        <w:spacing w:after="0" w:line="309" w:lineRule="auto"/>
        <w:jc w:val="left"/>
        <w:sectPr>
          <w:pgSz w:w="11910" w:h="16840"/>
          <w:pgMar w:header="917" w:footer="1267" w:top="1140" w:bottom="1460" w:left="980" w:right="920"/>
        </w:sectPr>
      </w:pPr>
    </w:p>
    <w:p>
      <w:pPr>
        <w:spacing w:line="240" w:lineRule="auto" w:before="6"/>
        <w:rPr>
          <w:rFonts w:ascii="宋体" w:hAnsi="宋体" w:cs="宋体" w:eastAsia="宋体" w:hint="default"/>
          <w:sz w:val="21"/>
          <w:szCs w:val="21"/>
        </w:rPr>
      </w:pPr>
    </w:p>
    <w:p>
      <w:pPr>
        <w:pStyle w:val="BodyText"/>
        <w:spacing w:line="309" w:lineRule="auto" w:before="35"/>
        <w:ind w:left="153" w:right="153"/>
        <w:jc w:val="both"/>
      </w:pPr>
      <w:r>
        <w:rPr>
          <w:spacing w:val="-3"/>
        </w:rPr>
        <w:t>易日本公司</w:t>
      </w:r>
      <w:r>
        <w:rPr>
          <w:rFonts w:ascii="Times New Roman" w:hAnsi="Times New Roman" w:cs="Times New Roman" w:eastAsia="Times New Roman" w:hint="default"/>
          <w:spacing w:val="-3"/>
        </w:rPr>
        <w:t>A</w:t>
      </w:r>
      <w:r>
        <w:rPr>
          <w:spacing w:val="-3"/>
        </w:rPr>
        <w:t>股股票交易均价的</w:t>
      </w:r>
      <w:r>
        <w:rPr>
          <w:rFonts w:ascii="Times New Roman" w:hAnsi="Times New Roman" w:cs="Times New Roman" w:eastAsia="Times New Roman" w:hint="default"/>
          <w:spacing w:val="-3"/>
        </w:rPr>
        <w:t>90%</w:t>
      </w:r>
      <w:r>
        <w:rPr>
          <w:spacing w:val="-3"/>
        </w:rPr>
        <w:t>，即</w:t>
      </w:r>
      <w:r>
        <w:rPr>
          <w:rFonts w:ascii="Times New Roman" w:hAnsi="Times New Roman" w:cs="Times New Roman" w:eastAsia="Times New Roman" w:hint="default"/>
          <w:spacing w:val="-3"/>
        </w:rPr>
        <w:t>18.31</w:t>
      </w:r>
      <w:r>
        <w:rPr>
          <w:spacing w:val="-3"/>
        </w:rPr>
        <w:t>元</w:t>
      </w:r>
      <w:r>
        <w:rPr>
          <w:rFonts w:ascii="Times New Roman" w:hAnsi="Times New Roman" w:cs="Times New Roman" w:eastAsia="Times New Roman" w:hint="default"/>
          <w:spacing w:val="-3"/>
        </w:rPr>
        <w:t>/</w:t>
      </w:r>
      <w:r>
        <w:rPr>
          <w:spacing w:val="-3"/>
        </w:rPr>
        <w:t>股，购买成本为</w:t>
      </w:r>
      <w:r>
        <w:rPr>
          <w:rFonts w:ascii="Times New Roman" w:hAnsi="Times New Roman" w:cs="Times New Roman" w:eastAsia="Times New Roman" w:hint="default"/>
          <w:spacing w:val="-3"/>
        </w:rPr>
        <w:t>543,199,986.88</w:t>
      </w:r>
      <w:r>
        <w:rPr>
          <w:spacing w:val="-3"/>
        </w:rPr>
        <w:t>元；</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22</w:t>
      </w:r>
      <w:r>
        <w:rPr>
          <w:spacing w:val="-3"/>
        </w:rPr>
        <w:t>日，本公</w:t>
      </w:r>
      <w:r>
        <w:rPr>
          <w:spacing w:val="-73"/>
        </w:rPr>
        <w:t> </w:t>
      </w:r>
      <w:r>
        <w:rPr>
          <w:spacing w:val="-73"/>
        </w:rPr>
      </w:r>
      <w:r>
        <w:rPr>
          <w:spacing w:val="-1"/>
        </w:rPr>
        <w:t>司发行股份购买资产重组事项获得中国证监会核准通过，</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日江苏税软完成企业类型变更和股</w:t>
      </w:r>
      <w:r>
        <w:rPr>
          <w:spacing w:val="-82"/>
        </w:rPr>
        <w:t> </w:t>
      </w:r>
      <w:r>
        <w:rPr/>
        <w:t>东变更相关手续，故江苏税软购买日确定为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11"/>
        <w:rPr>
          <w:rFonts w:ascii="宋体" w:hAnsi="宋体" w:cs="宋体" w:eastAsia="宋体" w:hint="default"/>
          <w:sz w:val="21"/>
          <w:szCs w:val="21"/>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）合并成本</w:t>
      </w:r>
      <w:bookmarkStart w:name="（2）合并成本及商誉" w:id="378"/>
      <w:bookmarkEnd w:id="378"/>
      <w:r>
        <w:rPr/>
        <w:t>及商誉</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36"/>
        <w:gridCol w:w="2552"/>
        <w:gridCol w:w="2482"/>
      </w:tblGrid>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255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20"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2482"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086" w:right="0"/>
              <w:jc w:val="left"/>
              <w:rPr>
                <w:rFonts w:ascii="宋体" w:hAnsi="宋体" w:cs="宋体" w:eastAsia="宋体" w:hint="default"/>
                <w:sz w:val="18"/>
                <w:szCs w:val="18"/>
              </w:rPr>
            </w:pPr>
            <w:r>
              <w:rPr>
                <w:rFonts w:ascii="宋体" w:hAnsi="宋体" w:cs="宋体" w:eastAsia="宋体" w:hint="default"/>
                <w:sz w:val="18"/>
                <w:szCs w:val="18"/>
              </w:rPr>
              <w:t>江苏税软</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33,150,000.00</w:t>
            </w:r>
          </w:p>
        </w:tc>
        <w:tc>
          <w:tcPr>
            <w:tcW w:w="24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2552" w:type="dxa"/>
            <w:tcBorders>
              <w:top w:val="single" w:sz="4" w:space="0" w:color="000000"/>
              <w:left w:val="single" w:sz="4" w:space="0" w:color="000000"/>
              <w:bottom w:val="single" w:sz="4" w:space="0" w:color="000000"/>
              <w:right w:val="single" w:sz="4" w:space="0" w:color="000000"/>
            </w:tcBorders>
          </w:tcPr>
          <w:p>
            <w:pP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543,199,986.88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33,150,000.00</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543,199,986.88</w:t>
            </w:r>
          </w:p>
        </w:tc>
      </w:tr>
      <w:tr>
        <w:trPr>
          <w:trHeight w:val="402"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9,723,535.02</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44,853,803.99</w:t>
            </w:r>
          </w:p>
        </w:tc>
      </w:tr>
      <w:tr>
        <w:trPr>
          <w:trHeight w:val="715" w:hRule="exact"/>
        </w:trPr>
        <w:tc>
          <w:tcPr>
            <w:tcW w:w="45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00" w:lineRule="auto" w:before="52"/>
              <w:ind w:left="22" w:right="71" w:firstLine="42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 额的金额</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23,426,464.98</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498,346,182.89</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r>
        <w:rPr/>
        <w:t>合并成本公允价值的确定方法、或有对价及其变动的说明：</w:t>
      </w:r>
    </w:p>
    <w:p>
      <w:pPr>
        <w:spacing w:line="240" w:lineRule="auto" w:before="10"/>
        <w:rPr>
          <w:rFonts w:ascii="宋体" w:hAnsi="宋体" w:cs="宋体" w:eastAsia="宋体" w:hint="default"/>
          <w:sz w:val="16"/>
          <w:szCs w:val="16"/>
        </w:rPr>
      </w:pPr>
    </w:p>
    <w:p>
      <w:pPr>
        <w:pStyle w:val="BodyText"/>
        <w:spacing w:line="314" w:lineRule="auto"/>
        <w:ind w:left="154" w:right="151" w:firstLine="420"/>
        <w:jc w:val="both"/>
      </w:pPr>
      <w:r>
        <w:rPr>
          <w:spacing w:val="-1"/>
        </w:rPr>
        <w:t>①合并成本公允价值的确定方法：本公司购买武汉大千的合并成本为所支付的银行存款金额；购买江</w:t>
      </w:r>
      <w:r>
        <w:rPr/>
        <w:t> </w:t>
      </w:r>
      <w:r>
        <w:rPr>
          <w:spacing w:val="-2"/>
        </w:rPr>
        <w:t>苏税软的合并成本为发行的权益性证券的公允价值，股份发行价格为每股</w:t>
      </w:r>
      <w:r>
        <w:rPr>
          <w:rFonts w:ascii="Times New Roman" w:hAnsi="Times New Roman" w:cs="Times New Roman" w:eastAsia="Times New Roman" w:hint="default"/>
          <w:spacing w:val="-2"/>
        </w:rPr>
        <w:t>18.31</w:t>
      </w:r>
      <w:r>
        <w:rPr>
          <w:spacing w:val="-2"/>
        </w:rPr>
        <w:t>元，不低于为审议本次重大</w:t>
      </w:r>
      <w:r>
        <w:rPr>
          <w:spacing w:val="-85"/>
        </w:rPr>
        <w:t> </w:t>
      </w:r>
      <w:r>
        <w:rPr>
          <w:spacing w:val="-85"/>
        </w:rPr>
      </w:r>
      <w:r>
        <w:rPr>
          <w:spacing w:val="-1"/>
        </w:rPr>
        <w:t>资产重组而召开的本公司首次董事会决议公告日（即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10</w:t>
      </w:r>
      <w:r>
        <w:rPr>
          <w:spacing w:val="-1"/>
        </w:rPr>
        <w:t>日）前</w:t>
      </w:r>
      <w:r>
        <w:rPr>
          <w:rFonts w:ascii="Times New Roman" w:hAnsi="Times New Roman" w:cs="Times New Roman" w:eastAsia="Times New Roman" w:hint="default"/>
          <w:spacing w:val="-1"/>
        </w:rPr>
        <w:t>120</w:t>
      </w:r>
      <w:r>
        <w:rPr>
          <w:spacing w:val="-1"/>
        </w:rPr>
        <w:t>个交易日美亚柏科股票交易均</w:t>
      </w:r>
      <w:r>
        <w:rPr>
          <w:spacing w:val="-83"/>
        </w:rPr>
        <w:t> </w:t>
      </w:r>
      <w:r>
        <w:rPr>
          <w:spacing w:val="-83"/>
        </w:rPr>
      </w:r>
      <w:r>
        <w:rPr>
          <w:spacing w:val="-1"/>
        </w:rPr>
        <w:t>价的</w:t>
      </w:r>
      <w:r>
        <w:rPr>
          <w:rFonts w:ascii="Times New Roman" w:hAnsi="Times New Roman" w:cs="Times New Roman" w:eastAsia="Times New Roman" w:hint="default"/>
          <w:spacing w:val="-1"/>
        </w:rPr>
        <w:t>90%</w:t>
      </w:r>
      <w:r>
        <w:rPr>
          <w:spacing w:val="-1"/>
        </w:rPr>
        <w:t>，股份数量</w:t>
      </w:r>
      <w:r>
        <w:rPr>
          <w:rFonts w:ascii="Times New Roman" w:hAnsi="Times New Roman" w:cs="Times New Roman" w:eastAsia="Times New Roman" w:hint="default"/>
          <w:spacing w:val="-1"/>
        </w:rPr>
        <w:t>=</w:t>
      </w:r>
      <w:r>
        <w:rPr>
          <w:spacing w:val="-1"/>
        </w:rPr>
        <w:t>江苏税软</w:t>
      </w:r>
      <w:r>
        <w:rPr>
          <w:rFonts w:ascii="Times New Roman" w:hAnsi="Times New Roman" w:cs="Times New Roman" w:eastAsia="Times New Roman" w:hint="default"/>
          <w:spacing w:val="-1"/>
        </w:rPr>
        <w:t>100%</w:t>
      </w:r>
      <w:r>
        <w:rPr>
          <w:spacing w:val="-1"/>
        </w:rPr>
        <w:t>股权的收购对价</w:t>
      </w:r>
      <w:r>
        <w:rPr>
          <w:rFonts w:ascii="Times New Roman" w:hAnsi="Times New Roman" w:cs="Times New Roman" w:eastAsia="Times New Roman" w:hint="default"/>
          <w:spacing w:val="-1"/>
        </w:rPr>
        <w:t>/</w:t>
      </w:r>
      <w:r>
        <w:rPr>
          <w:spacing w:val="-1"/>
        </w:rPr>
        <w:t>股份发行价格，江苏税软收购对价参考北京中企华资</w:t>
      </w:r>
      <w:r>
        <w:rPr>
          <w:spacing w:val="-84"/>
        </w:rPr>
        <w:t> </w:t>
      </w:r>
      <w:r>
        <w:rPr>
          <w:spacing w:val="-84"/>
        </w:rPr>
      </w:r>
      <w:r>
        <w:rPr/>
        <w:t>产评估有限责任公司出具</w:t>
      </w:r>
      <w:r>
        <w:rPr>
          <w:rFonts w:ascii="Times New Roman" w:hAnsi="Times New Roman" w:cs="Times New Roman" w:eastAsia="Times New Roman" w:hint="default"/>
        </w:rPr>
        <w:t>“</w:t>
      </w:r>
      <w:r>
        <w:rPr/>
        <w:t>中企华评报字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1262-02</w:t>
      </w:r>
      <w:r>
        <w:rPr/>
        <w:t>号</w:t>
      </w:r>
      <w:r>
        <w:rPr>
          <w:rFonts w:ascii="Times New Roman" w:hAnsi="Times New Roman" w:cs="Times New Roman" w:eastAsia="Times New Roman" w:hint="default"/>
        </w:rPr>
        <w:t>”</w:t>
      </w:r>
      <w:r>
        <w:rPr/>
        <w:t>《评估报告》的评估结果确定。</w:t>
      </w:r>
    </w:p>
    <w:p>
      <w:pPr>
        <w:pStyle w:val="BodyText"/>
        <w:spacing w:line="309" w:lineRule="auto" w:before="131"/>
        <w:ind w:left="154" w:right="94" w:firstLine="420"/>
        <w:jc w:val="left"/>
      </w:pPr>
      <w:r>
        <w:rPr/>
        <w:t>②本公司收购武汉大千股权款项支付方式为：，本公司在协议生效之日起</w:t>
      </w:r>
      <w:r>
        <w:rPr>
          <w:rFonts w:ascii="Times New Roman" w:hAnsi="Times New Roman" w:cs="Times New Roman" w:eastAsia="Times New Roman" w:hint="default"/>
        </w:rPr>
        <w:t>15</w:t>
      </w:r>
      <w:r>
        <w:rPr/>
        <w:t>个工作日内，向严国建、 杨捷、王彬、熊子松支付股权转让价款的</w:t>
      </w:r>
      <w:r>
        <w:rPr>
          <w:rFonts w:ascii="Times New Roman" w:hAnsi="Times New Roman" w:cs="Times New Roman" w:eastAsia="Times New Roman" w:hint="default"/>
        </w:rPr>
        <w:t>30%</w:t>
      </w:r>
      <w:r>
        <w:rPr/>
        <w:t>合计</w:t>
      </w:r>
      <w:r>
        <w:rPr>
          <w:rFonts w:ascii="Times New Roman" w:hAnsi="Times New Roman" w:cs="Times New Roman" w:eastAsia="Times New Roman" w:hint="default"/>
        </w:rPr>
        <w:t>694.5</w:t>
      </w:r>
      <w:r>
        <w:rPr/>
        <w:t>万元；本公司自股权转让办理工商变更登记手续， 并取得换发的营业执照之日起</w:t>
      </w:r>
      <w:r>
        <w:rPr>
          <w:rFonts w:ascii="Times New Roman" w:hAnsi="Times New Roman" w:cs="Times New Roman" w:eastAsia="Times New Roman" w:hint="default"/>
        </w:rPr>
        <w:t>15</w:t>
      </w:r>
      <w:r>
        <w:rPr/>
        <w:t>个工作日内，向严国建先生、杨捷女士、王彬先生和熊子松先生支付相应 股权转让款的</w:t>
      </w:r>
      <w:r>
        <w:rPr>
          <w:rFonts w:ascii="Times New Roman" w:hAnsi="Times New Roman" w:cs="Times New Roman" w:eastAsia="Times New Roman" w:hint="default"/>
        </w:rPr>
        <w:t>50%</w:t>
      </w:r>
      <w:r>
        <w:rPr/>
        <w:t>合计</w:t>
      </w:r>
      <w:r>
        <w:rPr>
          <w:rFonts w:ascii="Times New Roman" w:hAnsi="Times New Roman" w:cs="Times New Roman" w:eastAsia="Times New Roman" w:hint="default"/>
        </w:rPr>
        <w:t>1,157.5</w:t>
      </w:r>
      <w:r>
        <w:rPr/>
        <w:t>万元。</w:t>
      </w:r>
      <w:r>
        <w:rPr>
          <w:rFonts w:ascii="Times New Roman" w:hAnsi="Times New Roman" w:cs="Times New Roman" w:eastAsia="Times New Roman" w:hint="default"/>
        </w:rPr>
        <w:t>2015</w:t>
      </w:r>
      <w:r>
        <w:rPr/>
        <w:t>年出具审计报告之日起</w:t>
      </w:r>
      <w:r>
        <w:rPr>
          <w:rFonts w:ascii="Times New Roman" w:hAnsi="Times New Roman" w:cs="Times New Roman" w:eastAsia="Times New Roman" w:hint="default"/>
        </w:rPr>
        <w:t>15</w:t>
      </w:r>
      <w:r>
        <w:rPr/>
        <w:t>个工作日内，满足投资协议约定业绩承 </w:t>
      </w:r>
      <w:r>
        <w:rPr>
          <w:spacing w:val="-2"/>
        </w:rPr>
        <w:t>诺条件则支付</w:t>
      </w:r>
      <w:r>
        <w:rPr>
          <w:rFonts w:ascii="Times New Roman" w:hAnsi="Times New Roman" w:cs="Times New Roman" w:eastAsia="Times New Roman" w:hint="default"/>
          <w:spacing w:val="-2"/>
        </w:rPr>
        <w:t>20%</w:t>
      </w:r>
      <w:r>
        <w:rPr>
          <w:spacing w:val="-2"/>
        </w:rPr>
        <w:t>，若不满足，当期支付款按实现净利润占承诺净利润的百分比</w:t>
      </w:r>
      <w:r>
        <w:rPr>
          <w:rFonts w:ascii="Times New Roman" w:hAnsi="Times New Roman" w:cs="Times New Roman" w:eastAsia="Times New Roman" w:hint="default"/>
          <w:spacing w:val="-2"/>
        </w:rPr>
        <w:t>*</w:t>
      </w:r>
      <w:r>
        <w:rPr>
          <w:spacing w:val="-2"/>
        </w:rPr>
        <w:t>当期应付转让价款；</w:t>
      </w:r>
      <w:r>
        <w:rPr>
          <w:rFonts w:ascii="Times New Roman" w:hAnsi="Times New Roman" w:cs="Times New Roman" w:eastAsia="Times New Roman" w:hint="default"/>
          <w:spacing w:val="-2"/>
        </w:rPr>
        <w:t>2016</w:t>
      </w:r>
      <w:r>
        <w:rPr>
          <w:rFonts w:ascii="Times New Roman" w:hAnsi="Times New Roman" w:cs="Times New Roman" w:eastAsia="Times New Roman" w:hint="default"/>
        </w:rPr>
        <w:t> </w:t>
      </w:r>
      <w:r>
        <w:rPr/>
        <w:t>年出具审计报告之日起</w:t>
      </w:r>
      <w:r>
        <w:rPr>
          <w:rFonts w:ascii="Times New Roman" w:hAnsi="Times New Roman" w:cs="Times New Roman" w:eastAsia="Times New Roman" w:hint="default"/>
        </w:rPr>
        <w:t>15</w:t>
      </w:r>
      <w:r>
        <w:rPr/>
        <w:t>个工作日内，满足投资协议约定业绩承诺条件则支付剩余的未支付的股权转让 款，否则剩余未支付转让款顺延至下一年度支付。</w:t>
      </w:r>
    </w:p>
    <w:p>
      <w:pPr>
        <w:pStyle w:val="BodyText"/>
        <w:spacing w:line="326" w:lineRule="auto" w:before="158"/>
        <w:ind w:left="154" w:right="151" w:firstLine="420"/>
        <w:jc w:val="both"/>
      </w:pPr>
      <w:r>
        <w:rPr>
          <w:spacing w:val="-1"/>
        </w:rPr>
        <w:t>本公司发行股份购买江苏税软股权，江苏税软业绩未达到业绩承诺金额时原股东需进行补偿，详见附</w:t>
      </w:r>
      <w:r>
        <w:rPr/>
        <w:t> 注十四、</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p>
    <w:p>
      <w:pPr>
        <w:pStyle w:val="BodyText"/>
        <w:spacing w:line="432" w:lineRule="auto" w:before="120"/>
        <w:ind w:right="4522"/>
        <w:jc w:val="left"/>
      </w:pPr>
      <w:r>
        <w:rPr/>
        <w:t>本年武汉大千、江苏税软业绩均达到业绩承诺金额。 大额商誉形成的主要原因：</w:t>
      </w:r>
    </w:p>
    <w:p>
      <w:pPr>
        <w:pStyle w:val="BodyText"/>
        <w:spacing w:line="309" w:lineRule="auto" w:before="51"/>
        <w:ind w:left="154" w:right="152" w:firstLine="480"/>
        <w:jc w:val="both"/>
      </w:pPr>
      <w:r>
        <w:rPr>
          <w:spacing w:val="-2"/>
        </w:rPr>
        <w:t>本公司本年通过增资及受让股权的方式取得武汉大千</w:t>
      </w:r>
      <w:r>
        <w:rPr>
          <w:rFonts w:ascii="Times New Roman" w:hAnsi="Times New Roman" w:cs="Times New Roman" w:eastAsia="Times New Roman" w:hint="default"/>
          <w:spacing w:val="-2"/>
        </w:rPr>
        <w:t>51%</w:t>
      </w:r>
      <w:r>
        <w:rPr>
          <w:spacing w:val="-2"/>
        </w:rPr>
        <w:t>，购买日确定为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w:t>
      </w:r>
      <w:r>
        <w:rPr>
          <w:spacing w:val="-2"/>
        </w:rPr>
        <w:t>日，购买成本为</w:t>
      </w:r>
      <w:r>
        <w:rPr/>
        <w:t> </w:t>
      </w:r>
      <w:r>
        <w:rPr>
          <w:rFonts w:ascii="Times New Roman" w:hAnsi="Times New Roman" w:cs="Times New Roman" w:eastAsia="Times New Roman" w:hint="default"/>
          <w:spacing w:val="-1"/>
        </w:rPr>
        <w:t>33,150,000.00</w:t>
      </w:r>
      <w:r>
        <w:rPr>
          <w:spacing w:val="-1"/>
        </w:rPr>
        <w:t>元，武汉大千的可辨认净资产公允价值为</w:t>
      </w:r>
      <w:r>
        <w:rPr>
          <w:rFonts w:ascii="Times New Roman" w:hAnsi="Times New Roman" w:cs="Times New Roman" w:eastAsia="Times New Roman" w:hint="default"/>
          <w:spacing w:val="-1"/>
        </w:rPr>
        <w:t>9,723,535.02</w:t>
      </w:r>
      <w:r>
        <w:rPr>
          <w:spacing w:val="-1"/>
        </w:rPr>
        <w:t>元，购买成本大于可辨认净资产公允价</w:t>
      </w:r>
      <w:r>
        <w:rPr>
          <w:spacing w:val="-80"/>
        </w:rPr>
        <w:t> </w:t>
      </w:r>
      <w:r>
        <w:rPr>
          <w:spacing w:val="-80"/>
        </w:rPr>
      </w:r>
      <w:r>
        <w:rPr/>
        <w:t>值的金额</w:t>
      </w:r>
      <w:r>
        <w:rPr>
          <w:rFonts w:ascii="Times New Roman" w:hAnsi="Times New Roman" w:cs="Times New Roman" w:eastAsia="Times New Roman" w:hint="default"/>
        </w:rPr>
        <w:t>23,426,464.98</w:t>
      </w:r>
      <w:r>
        <w:rPr/>
        <w:t>元确认为商誉。</w:t>
      </w:r>
    </w:p>
    <w:p>
      <w:pPr>
        <w:spacing w:after="0" w:line="309" w:lineRule="auto"/>
        <w:jc w:val="both"/>
        <w:sectPr>
          <w:pgSz w:w="11910" w:h="16840"/>
          <w:pgMar w:header="917" w:footer="1267" w:top="1140" w:bottom="1460" w:left="980" w:right="980"/>
        </w:sectPr>
      </w:pPr>
    </w:p>
    <w:p>
      <w:pPr>
        <w:spacing w:line="240" w:lineRule="auto" w:before="6"/>
        <w:rPr>
          <w:rFonts w:ascii="宋体" w:hAnsi="宋体" w:cs="宋体" w:eastAsia="宋体" w:hint="default"/>
          <w:sz w:val="21"/>
          <w:szCs w:val="21"/>
        </w:rPr>
      </w:pPr>
    </w:p>
    <w:p>
      <w:pPr>
        <w:pStyle w:val="BodyText"/>
        <w:spacing w:line="309" w:lineRule="auto" w:before="35"/>
        <w:ind w:left="153" w:right="153" w:firstLine="420"/>
        <w:jc w:val="both"/>
      </w:pPr>
      <w:bookmarkStart w:name="（5）购买日或合并当期期末无法合理确定合并对价或被购买方可辨认资产、负债公允价值" w:id="379"/>
      <w:bookmarkEnd w:id="379"/>
      <w:r>
        <w:rPr/>
      </w:r>
      <w:bookmarkStart w:name="（6）其他说明" w:id="380"/>
      <w:bookmarkEnd w:id="380"/>
      <w:r>
        <w:rPr/>
      </w:r>
      <w:r>
        <w:rPr/>
        <w:t>本公司本年向江苏税软非公开发行股份</w:t>
      </w:r>
      <w:r>
        <w:rPr>
          <w:rFonts w:ascii="Times New Roman" w:hAnsi="Times New Roman" w:cs="Times New Roman" w:eastAsia="Times New Roman" w:hint="default"/>
        </w:rPr>
        <w:t>29,666,848</w:t>
      </w:r>
      <w:r>
        <w:rPr/>
        <w:t>股购买江苏税软</w:t>
      </w:r>
      <w:r>
        <w:rPr>
          <w:rFonts w:ascii="Times New Roman" w:hAnsi="Times New Roman" w:cs="Times New Roman" w:eastAsia="Times New Roman" w:hint="default"/>
        </w:rPr>
        <w:t>100%</w:t>
      </w:r>
      <w:r>
        <w:rPr/>
        <w:t>股权，发行价格为定价基准日 前</w:t>
      </w:r>
      <w:r>
        <w:rPr>
          <w:rFonts w:ascii="Times New Roman" w:hAnsi="Times New Roman" w:cs="Times New Roman" w:eastAsia="Times New Roman" w:hint="default"/>
        </w:rPr>
        <w:t>120</w:t>
      </w:r>
      <w:r>
        <w:rPr/>
        <w:t>个交易日公司</w:t>
      </w:r>
      <w:r>
        <w:rPr>
          <w:rFonts w:ascii="Times New Roman" w:hAnsi="Times New Roman" w:cs="Times New Roman" w:eastAsia="Times New Roman" w:hint="default"/>
        </w:rPr>
        <w:t>A</w:t>
      </w:r>
      <w:r>
        <w:rPr/>
        <w:t>股股票交易均价的</w:t>
      </w:r>
      <w:r>
        <w:rPr>
          <w:rFonts w:ascii="Times New Roman" w:hAnsi="Times New Roman" w:cs="Times New Roman" w:eastAsia="Times New Roman" w:hint="default"/>
        </w:rPr>
        <w:t>90%</w:t>
      </w:r>
      <w:r>
        <w:rPr/>
        <w:t>，即</w:t>
      </w:r>
      <w:r>
        <w:rPr>
          <w:rFonts w:ascii="Times New Roman" w:hAnsi="Times New Roman" w:cs="Times New Roman" w:eastAsia="Times New Roman" w:hint="default"/>
        </w:rPr>
        <w:t>18.31</w:t>
      </w:r>
      <w:r>
        <w:rPr/>
        <w:t>元</w:t>
      </w:r>
      <w:r>
        <w:rPr>
          <w:rFonts w:ascii="Times New Roman" w:hAnsi="Times New Roman" w:cs="Times New Roman" w:eastAsia="Times New Roman" w:hint="default"/>
        </w:rPr>
        <w:t>/</w:t>
      </w:r>
      <w:r>
        <w:rPr/>
        <w:t>股，购买成本为</w:t>
      </w:r>
      <w:r>
        <w:rPr>
          <w:rFonts w:ascii="Times New Roman" w:hAnsi="Times New Roman" w:cs="Times New Roman" w:eastAsia="Times New Roman" w:hint="default"/>
        </w:rPr>
        <w:t>543,199,986.88</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 </w:t>
      </w:r>
      <w:r>
        <w:rPr>
          <w:spacing w:val="-1"/>
        </w:rPr>
        <w:t>日通过证监会审核通过，并与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日完成企业类型变更和股东变更相关手续，购买日为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3"/>
        </w:rPr>
        <w:t> </w:t>
      </w:r>
      <w:r>
        <w:rPr/>
        <w:t>月</w:t>
      </w:r>
      <w:r>
        <w:rPr>
          <w:rFonts w:ascii="Times New Roman" w:hAnsi="Times New Roman" w:cs="Times New Roman" w:eastAsia="Times New Roman" w:hint="default"/>
        </w:rPr>
        <w:t>31</w:t>
      </w:r>
      <w:r>
        <w:rPr/>
        <w:t>日，江苏税软购买日的可辨认净资产公允价值为</w:t>
      </w:r>
      <w:r>
        <w:rPr>
          <w:rFonts w:ascii="Times New Roman" w:hAnsi="Times New Roman" w:cs="Times New Roman" w:eastAsia="Times New Roman" w:hint="default"/>
        </w:rPr>
        <w:t>44,853,803.99</w:t>
      </w:r>
      <w:r>
        <w:rPr/>
        <w:t>元，购买成本大于可辨认净资产公允价 值的金额</w:t>
      </w:r>
      <w:r>
        <w:rPr>
          <w:rFonts w:ascii="Times New Roman" w:hAnsi="Times New Roman" w:cs="Times New Roman" w:eastAsia="Times New Roman" w:hint="default"/>
        </w:rPr>
        <w:t>498,346,182.89</w:t>
      </w:r>
      <w:r>
        <w:rPr/>
        <w:t>元确认为商誉。</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）被购买方</w:t>
      </w:r>
      <w:bookmarkStart w:name="（3）被购买方于购买日可辨认资产、负债" w:id="381"/>
      <w:bookmarkEnd w:id="381"/>
      <w:r>
        <w:rPr/>
        <w:t>于购买日</w:t>
      </w:r>
      <w:r>
        <w:rPr/>
        <w:t>可辨认资产、负债</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14"/>
        <w:gridCol w:w="1914"/>
        <w:gridCol w:w="1914"/>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3839"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29" w:right="0"/>
              <w:jc w:val="center"/>
              <w:rPr>
                <w:rFonts w:ascii="宋体" w:hAnsi="宋体" w:cs="宋体" w:eastAsia="宋体" w:hint="default"/>
                <w:sz w:val="18"/>
                <w:szCs w:val="18"/>
              </w:rPr>
            </w:pPr>
            <w:r>
              <w:rPr>
                <w:rFonts w:ascii="宋体" w:hAnsi="宋体" w:cs="宋体" w:eastAsia="宋体" w:hint="default"/>
                <w:sz w:val="18"/>
                <w:szCs w:val="18"/>
              </w:rPr>
              <w:t>武汉大千</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江苏税软</w:t>
            </w:r>
          </w:p>
        </w:tc>
      </w:tr>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110"/>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53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53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right="110"/>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12,517,284.85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12,517,284.85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11,258,135.42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11,258,135.42</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1,408,551.38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1,408,551.38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9,456,703.55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9,456,703.55</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101,538.42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101,538.42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988,295.80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988,295.80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45,489.20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45,489.20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1,036,407.32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1,036,407.32</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6,534,810.00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其他资产项</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415,988.69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415,988.69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203,131.07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203,131.07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1,256,213.68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1,256,213.68</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816,851.25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816,851.25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其他负债项</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937,925.27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937,925.27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10,860,946.62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10,860,946.62</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19,065,754.95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13,347,796.20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44,853,803.99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44,853,803.99</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9,342,219.93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6,540,420.14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5" w:type="dxa"/>
            <w:tcBorders>
              <w:top w:val="single" w:sz="4" w:space="0" w:color="000000"/>
              <w:left w:val="single" w:sz="9"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9,723,535.02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6,807,376.06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44,853,803.99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44,853,803.99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27"/>
          <w:szCs w:val="27"/>
        </w:rPr>
      </w:pPr>
    </w:p>
    <w:p>
      <w:pPr>
        <w:pStyle w:val="Heading4"/>
        <w:spacing w:line="530" w:lineRule="auto"/>
        <w:ind w:left="574" w:right="218" w:hanging="420"/>
        <w:jc w:val="left"/>
        <w:rPr>
          <w:rFonts w:ascii="宋体" w:hAnsi="宋体" w:cs="宋体" w:eastAsia="宋体" w:hint="default"/>
          <w:b w:val="0"/>
          <w:bCs w:val="0"/>
        </w:rPr>
      </w:pPr>
      <w:r>
        <w:rPr>
          <w:w w:val="95"/>
        </w:rPr>
        <w:t>（</w:t>
      </w:r>
      <w:r>
        <w:rPr>
          <w:rFonts w:ascii="Times New Roman" w:hAnsi="Times New Roman" w:cs="Times New Roman" w:eastAsia="Times New Roman" w:hint="default"/>
          <w:w w:val="95"/>
        </w:rPr>
        <w:t>5</w:t>
      </w:r>
      <w:r>
        <w:rPr>
          <w:w w:val="95"/>
        </w:rPr>
        <w:t>）购买日或合并当期期末无法合理确定合并对价或被购买方可辨认资产、负债公允价值的相</w:t>
      </w:r>
      <w:bookmarkStart w:name="（4）购买日之前持有的股权按照公允价值重新计量产生的利得或损失" w:id="382"/>
      <w:bookmarkEnd w:id="382"/>
      <w:r>
        <w:rPr>
          <w:w w:val="95"/>
        </w:rPr>
        <w:t>关说明</w:t>
      </w:r>
      <w:r>
        <w:rPr>
          <w:spacing w:val="51"/>
          <w:w w:val="95"/>
        </w:rPr>
        <w:t> </w:t>
      </w:r>
      <w:r>
        <w:rPr>
          <w:spacing w:val="51"/>
          <w:w w:val="95"/>
        </w:rPr>
      </w:r>
      <w:r>
        <w:rPr>
          <w:rFonts w:ascii="宋体" w:hAnsi="宋体" w:cs="宋体" w:eastAsia="宋体" w:hint="default"/>
          <w:b w:val="0"/>
          <w:bCs w:val="0"/>
        </w:rPr>
        <w:t>不适用。</w:t>
      </w:r>
    </w:p>
    <w:p>
      <w:pPr>
        <w:pStyle w:val="Heading4"/>
        <w:spacing w:line="530" w:lineRule="auto" w:before="115"/>
        <w:ind w:left="574" w:right="8402"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）其他说明</w:t>
      </w:r>
      <w:r>
        <w:rPr>
          <w:w w:val="99"/>
        </w:rPr>
        <w:t> </w:t>
      </w:r>
      <w:r>
        <w:rPr>
          <w:rFonts w:ascii="宋体" w:hAnsi="宋体" w:cs="宋体" w:eastAsia="宋体" w:hint="default"/>
          <w:b w:val="0"/>
          <w:bCs w:val="0"/>
        </w:rPr>
        <w:t>无。</w:t>
      </w:r>
    </w:p>
    <w:p>
      <w:pPr>
        <w:spacing w:after="0" w:line="530" w:lineRule="auto"/>
        <w:jc w:val="left"/>
        <w:rPr>
          <w:rFonts w:ascii="宋体" w:hAnsi="宋体" w:cs="宋体" w:eastAsia="宋体" w:hint="default"/>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97"/>
        <w:jc w:val="left"/>
        <w:rPr>
          <w:b w:val="0"/>
          <w:bCs w:val="0"/>
        </w:rPr>
      </w:pPr>
      <w:r>
        <w:rPr>
          <w:rFonts w:ascii="Times New Roman" w:hAnsi="Times New Roman" w:cs="Times New Roman" w:eastAsia="Times New Roman" w:hint="default"/>
        </w:rPr>
        <w:t>2</w:t>
      </w:r>
      <w:bookmarkStart w:name="2、同一控制下企业合并" w:id="383"/>
      <w:bookmarkEnd w:id="383"/>
      <w:r>
        <w:rPr>
          <w:rFonts w:ascii="Times New Roman" w:hAnsi="Times New Roman" w:cs="Times New Roman" w:eastAsia="Times New Roman" w:hint="default"/>
        </w:rPr>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530" w:lineRule="auto"/>
        <w:ind w:left="574" w:right="6354"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bookmarkStart w:name="（1）本期发生的同一控制下企业合并" w:id="384"/>
      <w:bookmarkEnd w:id="384"/>
      <w:r>
        <w:rPr>
          <w:rFonts w:ascii="Times New Roman" w:hAnsi="Times New Roman" w:cs="Times New Roman" w:eastAsia="Times New Roman" w:hint="default"/>
        </w:rPr>
      </w:r>
      <w:r>
        <w:rPr/>
        <w:t>）本期发生的同一控制下企业合并</w:t>
      </w:r>
      <w:r>
        <w:rPr>
          <w:spacing w:val="1"/>
          <w:w w:val="99"/>
        </w:rPr>
        <w:t> </w:t>
      </w:r>
      <w:r>
        <w:rPr>
          <w:rFonts w:ascii="宋体" w:hAnsi="宋体" w:cs="宋体" w:eastAsia="宋体" w:hint="default"/>
          <w:b w:val="0"/>
          <w:bCs w:val="0"/>
        </w:rPr>
        <w:t>不适用。</w:t>
      </w:r>
    </w:p>
    <w:p>
      <w:pPr>
        <w:pStyle w:val="Heading4"/>
        <w:spacing w:line="240" w:lineRule="auto" w:before="115"/>
        <w:ind w:right="97"/>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t>不适用。</w:t>
      </w:r>
    </w:p>
    <w:p>
      <w:pPr>
        <w:spacing w:line="240" w:lineRule="auto" w:before="3"/>
        <w:rPr>
          <w:rFonts w:ascii="宋体" w:hAnsi="宋体" w:cs="宋体" w:eastAsia="宋体" w:hint="default"/>
          <w:sz w:val="28"/>
          <w:szCs w:val="28"/>
        </w:rPr>
      </w:pPr>
    </w:p>
    <w:p>
      <w:pPr>
        <w:pStyle w:val="Heading4"/>
        <w:spacing w:line="530" w:lineRule="auto"/>
        <w:ind w:left="574" w:right="5721" w:hanging="420"/>
        <w:jc w:val="left"/>
        <w:rPr>
          <w:rFonts w:ascii="宋体" w:hAnsi="宋体" w:cs="宋体" w:eastAsia="宋体" w:hint="default"/>
          <w:b w:val="0"/>
          <w:bCs w:val="0"/>
        </w:rPr>
      </w:pPr>
      <w:r>
        <w:rPr/>
        <w:t>（</w:t>
      </w:r>
      <w:r>
        <w:rPr>
          <w:rFonts w:ascii="Times New Roman" w:hAnsi="Times New Roman" w:cs="Times New Roman" w:eastAsia="Times New Roman" w:hint="default"/>
        </w:rPr>
        <w:t>3</w:t>
      </w:r>
      <w:r>
        <w:rPr/>
        <w:t>）合并日被</w:t>
      </w:r>
      <w:bookmarkStart w:name="（2）合并成本" w:id="385"/>
      <w:bookmarkEnd w:id="385"/>
      <w:r>
        <w:rPr/>
        <w:t>合并方资</w:t>
      </w:r>
      <w:r>
        <w:rPr/>
        <w:t>产</w:t>
      </w:r>
      <w:bookmarkStart w:name="（3）合并日被合并方资产、负债的账面价值" w:id="386"/>
      <w:bookmarkEnd w:id="386"/>
      <w:r>
        <w:rPr/>
        <w:t>、负债的</w:t>
      </w:r>
      <w:r>
        <w:rPr/>
        <w:t>账面价值</w:t>
      </w:r>
      <w:r>
        <w:rPr>
          <w:spacing w:val="1"/>
          <w:w w:val="99"/>
        </w:rPr>
        <w:t> </w:t>
      </w:r>
      <w:r>
        <w:rPr>
          <w:rFonts w:ascii="宋体" w:hAnsi="宋体" w:cs="宋体" w:eastAsia="宋体" w:hint="default"/>
          <w:b w:val="0"/>
          <w:bCs w:val="0"/>
        </w:rPr>
        <w:t>不适用。</w:t>
      </w:r>
    </w:p>
    <w:p>
      <w:pPr>
        <w:pStyle w:val="Heading4"/>
        <w:spacing w:line="240" w:lineRule="auto" w:before="115"/>
        <w:ind w:right="97"/>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t>不适用。</w:t>
      </w:r>
    </w:p>
    <w:p>
      <w:pPr>
        <w:spacing w:line="240" w:lineRule="auto" w:before="3"/>
        <w:rPr>
          <w:rFonts w:ascii="宋体" w:hAnsi="宋体" w:cs="宋体" w:eastAsia="宋体" w:hint="default"/>
          <w:sz w:val="28"/>
          <w:szCs w:val="28"/>
        </w:rPr>
      </w:pPr>
    </w:p>
    <w:p>
      <w:pPr>
        <w:pStyle w:val="Heading4"/>
        <w:spacing w:line="240" w:lineRule="auto"/>
        <w:ind w:right="97"/>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t>不适用。</w:t>
      </w:r>
    </w:p>
    <w:p>
      <w:pPr>
        <w:spacing w:line="630" w:lineRule="atLeast" w:before="30"/>
        <w:ind w:left="574" w:right="143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b/>
          <w:bCs/>
          <w:w w:val="99"/>
          <w:sz w:val="21"/>
          <w:szCs w:val="21"/>
        </w:rPr>
        <w:t> </w:t>
      </w:r>
      <w:bookmarkStart w:name="3、反向购买" w:id="387"/>
      <w:bookmarkEnd w:id="387"/>
      <w:r>
        <w:rPr>
          <w:rFonts w:ascii="宋体" w:hAnsi="宋体" w:cs="宋体" w:eastAsia="宋体" w:hint="default"/>
          <w:b/>
          <w:bCs/>
          <w:w w:val="99"/>
          <w:sz w:val="21"/>
          <w:szCs w:val="21"/>
        </w:rPr>
      </w:r>
      <w:bookmarkStart w:name="4、处置子公司" w:id="388"/>
      <w:bookmarkEnd w:id="388"/>
      <w:r>
        <w:rPr>
          <w:rFonts w:ascii="宋体" w:hAnsi="宋体" w:cs="宋体" w:eastAsia="宋体" w:hint="default"/>
          <w:b/>
          <w:bCs/>
          <w:w w:val="99"/>
          <w:sz w:val="21"/>
          <w:szCs w:val="21"/>
        </w:rPr>
      </w:r>
      <w:bookmarkStart w:name="5、其他原因的合并范围变动" w:id="389"/>
      <w:bookmarkEnd w:id="389"/>
      <w:r>
        <w:rPr>
          <w:rFonts w:ascii="宋体" w:hAnsi="宋体" w:cs="宋体" w:eastAsia="宋体" w:hint="default"/>
          <w:b/>
          <w:bCs/>
          <w:w w:val="99"/>
          <w:sz w:val="21"/>
          <w:szCs w:val="21"/>
        </w:rPr>
      </w:r>
      <w:r>
        <w:rPr>
          <w:rFonts w:ascii="宋体" w:hAnsi="宋体" w:cs="宋体" w:eastAsia="宋体" w:hint="default"/>
          <w:sz w:val="21"/>
          <w:szCs w:val="21"/>
        </w:rPr>
        <w:t>说明其他原因导致的合并范围变动（如，新设子公司、清算子公司等）及其相关情况：</w:t>
      </w:r>
    </w:p>
    <w:p>
      <w:pPr>
        <w:pStyle w:val="BodyText"/>
        <w:spacing w:line="490" w:lineRule="atLeast" w:before="20"/>
        <w:ind w:right="277"/>
        <w:jc w:val="left"/>
      </w:pPr>
      <w:r>
        <w:rPr/>
        <w:t>（</w:t>
      </w:r>
      <w:r>
        <w:rPr>
          <w:rFonts w:ascii="Times New Roman" w:hAnsi="Times New Roman" w:cs="Times New Roman" w:eastAsia="Times New Roman" w:hint="default"/>
        </w:rPr>
        <w:t>1</w:t>
      </w:r>
      <w:r>
        <w:rPr/>
        <w:t>）设立安胜网络 根据本公司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月董事会决议，本公司与厦门市聚恩信息咨询合伙企业（有限合伙）合资设立安</w:t>
      </w:r>
    </w:p>
    <w:p>
      <w:pPr>
        <w:pStyle w:val="BodyText"/>
        <w:spacing w:line="309" w:lineRule="auto" w:before="83"/>
        <w:ind w:left="153" w:right="330"/>
        <w:jc w:val="left"/>
      </w:pPr>
      <w:r>
        <w:rPr/>
        <w:t>胜科技，注册资本为</w:t>
      </w:r>
      <w:r>
        <w:rPr>
          <w:rFonts w:ascii="Times New Roman" w:hAnsi="Times New Roman" w:cs="Times New Roman" w:eastAsia="Times New Roman" w:hint="default"/>
        </w:rPr>
        <w:t>1,000</w:t>
      </w:r>
      <w:r>
        <w:rPr/>
        <w:t>万，本公司认缴</w:t>
      </w:r>
      <w:r>
        <w:rPr>
          <w:rFonts w:ascii="Times New Roman" w:hAnsi="Times New Roman" w:cs="Times New Roman" w:eastAsia="Times New Roman" w:hint="default"/>
        </w:rPr>
        <w:t>750</w:t>
      </w:r>
      <w:r>
        <w:rPr/>
        <w:t>万元，厦门市聚恩信息咨询合伙企业（有限合伙）认缴</w:t>
      </w:r>
      <w:r>
        <w:rPr>
          <w:rFonts w:ascii="Times New Roman" w:hAnsi="Times New Roman" w:cs="Times New Roman" w:eastAsia="Times New Roman" w:hint="default"/>
        </w:rPr>
        <w:t>250</w:t>
      </w:r>
      <w:r>
        <w:rPr>
          <w:rFonts w:ascii="Times New Roman" w:hAnsi="Times New Roman" w:cs="Times New Roman" w:eastAsia="Times New Roman" w:hint="default"/>
          <w:spacing w:val="-1"/>
        </w:rPr>
        <w:t> </w:t>
      </w:r>
      <w:r>
        <w:rPr/>
        <w:t>万元。安胜科技不设董事会，由本公司委派一名执行董事。</w:t>
      </w:r>
    </w:p>
    <w:p>
      <w:pPr>
        <w:pStyle w:val="BodyText"/>
        <w:spacing w:line="240" w:lineRule="auto" w:before="158"/>
        <w:ind w:left="573" w:right="97"/>
        <w:jc w:val="left"/>
      </w:pPr>
      <w:r>
        <w:rPr/>
        <w:t>（</w:t>
      </w:r>
      <w:r>
        <w:rPr>
          <w:rFonts w:ascii="Times New Roman" w:hAnsi="Times New Roman" w:cs="Times New Roman" w:eastAsia="Times New Roman" w:hint="default"/>
        </w:rPr>
        <w:t>2</w:t>
      </w:r>
      <w:r>
        <w:rPr/>
        <w:t>）设立美亚宏数</w:t>
      </w:r>
    </w:p>
    <w:p>
      <w:pPr>
        <w:spacing w:line="240" w:lineRule="auto" w:before="7"/>
        <w:rPr>
          <w:rFonts w:ascii="宋体" w:hAnsi="宋体" w:cs="宋体" w:eastAsia="宋体" w:hint="default"/>
          <w:sz w:val="15"/>
          <w:szCs w:val="15"/>
        </w:rPr>
      </w:pPr>
    </w:p>
    <w:p>
      <w:pPr>
        <w:pStyle w:val="BodyText"/>
        <w:spacing w:line="309" w:lineRule="auto"/>
        <w:ind w:left="153" w:right="97" w:firstLine="42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27</w:t>
      </w:r>
      <w:r>
        <w:rPr>
          <w:spacing w:val="-3"/>
        </w:rPr>
        <w:t>日，本公司与嘉兴宏数信息科技合伙企业、高峰签订投资协议，共同投资设立美亚宏数，</w:t>
      </w:r>
      <w:r>
        <w:rPr/>
        <w:t> 并于</w:t>
      </w:r>
      <w:r>
        <w:rPr>
          <w:rFonts w:ascii="Times New Roman" w:hAnsi="Times New Roman" w:cs="Times New Roman" w:eastAsia="Times New Roman" w:hint="default"/>
        </w:rPr>
        <w:t>2015</w:t>
      </w:r>
      <w:r>
        <w:rPr/>
        <w:t>月</w:t>
      </w:r>
      <w:r>
        <w:rPr>
          <w:rFonts w:ascii="Times New Roman" w:hAnsi="Times New Roman" w:cs="Times New Roman" w:eastAsia="Times New Roman" w:hint="default"/>
        </w:rPr>
        <w:t>12</w:t>
      </w:r>
      <w:r>
        <w:rPr/>
        <w:t>日</w:t>
      </w:r>
      <w:r>
        <w:rPr>
          <w:rFonts w:ascii="Times New Roman" w:hAnsi="Times New Roman" w:cs="Times New Roman" w:eastAsia="Times New Roman" w:hint="default"/>
        </w:rPr>
        <w:t>8</w:t>
      </w:r>
      <w:r>
        <w:rPr/>
        <w:t>完成工商登记；美亚宏数共设有三个董事会席位，本公司占有两席；截至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日，各股东尚未实际出资。</w:t>
      </w:r>
    </w:p>
    <w:p>
      <w:pPr>
        <w:spacing w:after="0" w:line="309" w:lineRule="auto"/>
        <w:jc w:val="left"/>
        <w:sectPr>
          <w:pgSz w:w="11910" w:h="16840"/>
          <w:pgMar w:header="917" w:footer="1267" w:top="1140" w:bottom="1460" w:left="980" w:right="920"/>
        </w:sectPr>
      </w:pPr>
    </w:p>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3）重要非全资子公司的主要财务信息" w:id="390"/>
      <w:bookmarkEnd w:id="390"/>
      <w:r>
        <w:rPr>
          <w:b w:val="0"/>
          <w:bCs w:val="0"/>
        </w:rPr>
      </w:r>
      <w:bookmarkStart w:name="九、在其他主体中的权益" w:id="391"/>
      <w:bookmarkEnd w:id="391"/>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bookmarkStart w:name="1、在子公司中的权益" w:id="392"/>
      <w:bookmarkEnd w:id="392"/>
      <w:r>
        <w:rPr>
          <w:rFonts w:ascii="Times New Roman" w:hAnsi="Times New Roman" w:cs="Times New Roman" w:eastAsia="Times New Roman" w:hint="default"/>
        </w:rPr>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w:t>
      </w:r>
      <w:bookmarkStart w:name="（1）企业集团的构成" w:id="393"/>
      <w:bookmarkEnd w:id="393"/>
      <w:r>
        <w:rPr/>
        <w:t>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76"/>
        <w:gridCol w:w="992"/>
        <w:gridCol w:w="994"/>
        <w:gridCol w:w="1134"/>
        <w:gridCol w:w="991"/>
        <w:gridCol w:w="992"/>
        <w:gridCol w:w="3192"/>
      </w:tblGrid>
      <w:tr>
        <w:trPr>
          <w:trHeight w:val="402" w:hRule="exact"/>
        </w:trPr>
        <w:tc>
          <w:tcPr>
            <w:tcW w:w="12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319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276" w:type="dxa"/>
            <w:vMerge/>
            <w:tcBorders>
              <w:left w:val="single" w:sz="4" w:space="0" w:color="000000"/>
              <w:bottom w:val="single" w:sz="4" w:space="0" w:color="000000"/>
              <w:right w:val="single" w:sz="4" w:space="0" w:color="000000"/>
            </w:tcBorders>
            <w:shd w:val="clear" w:color="auto" w:fill="D4D4D4"/>
          </w:tcPr>
          <w:p>
            <w:pPr/>
          </w:p>
        </w:tc>
        <w:tc>
          <w:tcPr>
            <w:tcW w:w="992"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3192"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美亚研究所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香港鼎永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67.73%</w:t>
            </w:r>
          </w:p>
        </w:tc>
        <w:tc>
          <w:tcPr>
            <w:tcW w:w="9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安胜科技</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51.00%</w:t>
            </w:r>
          </w:p>
        </w:tc>
        <w:tc>
          <w:tcPr>
            <w:tcW w:w="9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无锡博盾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
              <w:jc w:val="left"/>
              <w:rPr>
                <w:rFonts w:ascii="宋体" w:hAnsi="宋体" w:cs="宋体" w:eastAsia="宋体" w:hint="default"/>
                <w:sz w:val="18"/>
                <w:szCs w:val="18"/>
              </w:rPr>
            </w:pPr>
            <w:r>
              <w:rPr>
                <w:rFonts w:ascii="宋体" w:hAnsi="宋体" w:cs="宋体" w:eastAsia="宋体" w:hint="default"/>
                <w:spacing w:val="4"/>
                <w:sz w:val="18"/>
                <w:szCs w:val="18"/>
              </w:rPr>
              <w:t>非同一控制下企业合并，江苏税软持有 </w:t>
            </w:r>
            <w:r>
              <w:rPr>
                <w:rFonts w:ascii="宋体" w:hAnsi="宋体" w:cs="宋体" w:eastAsia="宋体" w:hint="default"/>
                <w:sz w:val="18"/>
                <w:szCs w:val="18"/>
              </w:rPr>
              <w:t>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美亚宏数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55.00%</w:t>
            </w:r>
          </w:p>
        </w:tc>
        <w:tc>
          <w:tcPr>
            <w:tcW w:w="9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重要的非全资子公司" w:id="394"/>
      <w:bookmarkEnd w:id="394"/>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381,263.49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1,613,500.00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3,693,414.79</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3,661,124.11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13,003,344.03</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4D4D4"/>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4"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pacing w:val="46"/>
                <w:sz w:val="18"/>
                <w:szCs w:val="18"/>
              </w:rPr>
              <w:t>美亚中</w:t>
            </w:r>
            <w:r>
              <w:rPr>
                <w:rFonts w:ascii="宋体" w:hAnsi="宋体" w:cs="宋体" w:eastAsia="宋体" w:hint="default"/>
                <w:spacing w:val="-21"/>
                <w:sz w:val="18"/>
                <w:szCs w:val="18"/>
              </w:rPr>
              <w:t> </w:t>
            </w:r>
            <w:r>
              <w:rPr>
                <w:rFonts w:ascii="宋体" w:hAnsi="宋体" w:cs="宋体" w:eastAsia="宋体" w:hint="default"/>
                <w:sz w:val="18"/>
                <w:szCs w:val="18"/>
              </w:rPr>
              <w:t>敏</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left="62" w:right="0"/>
              <w:jc w:val="left"/>
              <w:rPr>
                <w:rFonts w:ascii="Times New Roman" w:hAnsi="Times New Roman" w:cs="Times New Roman" w:eastAsia="Times New Roman" w:hint="default"/>
                <w:sz w:val="18"/>
                <w:szCs w:val="18"/>
              </w:rPr>
            </w:pPr>
            <w:r>
              <w:rPr>
                <w:rFonts w:ascii="Times New Roman"/>
                <w:sz w:val="18"/>
              </w:rPr>
              <w:t>57,322,2</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01.85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1,776,50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59,098,7</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08.30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35,023,6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47.52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35,363,6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37,557,7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06.37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1,060,83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9.07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38,618,5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18,384,6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24.58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18,724,6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24.58</w:t>
            </w:r>
          </w:p>
        </w:tc>
      </w:tr>
      <w:tr>
        <w:trPr>
          <w:trHeight w:val="715" w:hRule="exact"/>
        </w:trPr>
        <w:tc>
          <w:tcPr>
            <w:tcW w:w="736"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2"/>
              <w:ind w:left="22" w:right="-58"/>
              <w:jc w:val="left"/>
              <w:rPr>
                <w:rFonts w:ascii="宋体" w:hAnsi="宋体" w:cs="宋体" w:eastAsia="宋体" w:hint="default"/>
                <w:sz w:val="18"/>
                <w:szCs w:val="18"/>
              </w:rPr>
            </w:pPr>
            <w:r>
              <w:rPr>
                <w:rFonts w:ascii="宋体" w:hAnsi="宋体" w:cs="宋体" w:eastAsia="宋体" w:hint="default"/>
                <w:spacing w:val="46"/>
                <w:sz w:val="18"/>
                <w:szCs w:val="18"/>
              </w:rPr>
              <w:t>武汉大</w:t>
            </w:r>
            <w:r>
              <w:rPr>
                <w:rFonts w:ascii="宋体" w:hAnsi="宋体" w:cs="宋体" w:eastAsia="宋体" w:hint="default"/>
                <w:spacing w:val="-21"/>
                <w:sz w:val="18"/>
                <w:szCs w:val="18"/>
              </w:rPr>
              <w:t> </w:t>
            </w:r>
            <w:r>
              <w:rPr>
                <w:rFonts w:ascii="宋体" w:hAnsi="宋体" w:cs="宋体" w:eastAsia="宋体" w:hint="default"/>
                <w:sz w:val="18"/>
                <w:szCs w:val="18"/>
              </w:rPr>
              <w:t>千</w:t>
            </w:r>
          </w:p>
        </w:tc>
        <w:tc>
          <w:tcPr>
            <w:tcW w:w="73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2"/>
              <w:ind w:left="62" w:right="0"/>
              <w:jc w:val="left"/>
              <w:rPr>
                <w:rFonts w:ascii="Times New Roman" w:hAnsi="Times New Roman" w:cs="Times New Roman" w:eastAsia="Times New Roman" w:hint="default"/>
                <w:sz w:val="18"/>
                <w:szCs w:val="18"/>
              </w:rPr>
            </w:pPr>
            <w:r>
              <w:rPr>
                <w:rFonts w:ascii="Times New Roman"/>
                <w:sz w:val="18"/>
              </w:rPr>
              <w:t>24,689,5</w:t>
            </w:r>
          </w:p>
          <w:p>
            <w:pPr>
              <w:pStyle w:val="TableParagraph"/>
              <w:spacing w:line="240" w:lineRule="auto" w:before="105"/>
              <w:ind w:left="288" w:right="0"/>
              <w:jc w:val="left"/>
              <w:rPr>
                <w:rFonts w:ascii="Times New Roman" w:hAnsi="Times New Roman" w:cs="Times New Roman" w:eastAsia="Times New Roman" w:hint="default"/>
                <w:sz w:val="18"/>
                <w:szCs w:val="18"/>
              </w:rPr>
            </w:pPr>
            <w:r>
              <w:rPr>
                <w:rFonts w:ascii="Times New Roman"/>
                <w:sz w:val="18"/>
              </w:rPr>
              <w:t>74.53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6,608,04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7.22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31,297,6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21.75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3,634,09</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4.95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2" w:right="0"/>
              <w:jc w:val="left"/>
              <w:rPr>
                <w:rFonts w:ascii="Times New Roman" w:hAnsi="Times New Roman" w:cs="Times New Roman" w:eastAsia="Times New Roman" w:hint="default"/>
                <w:sz w:val="18"/>
                <w:szCs w:val="18"/>
              </w:rPr>
            </w:pPr>
            <w:r>
              <w:rPr>
                <w:rFonts w:ascii="Times New Roman"/>
                <w:sz w:val="18"/>
              </w:rPr>
              <w:t>1,126,09</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4,760,18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14,285,7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6,737,91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1" w:right="0"/>
              <w:jc w:val="left"/>
              <w:rPr>
                <w:rFonts w:ascii="Times New Roman" w:hAnsi="Times New Roman" w:cs="Times New Roman" w:eastAsia="Times New Roman" w:hint="default"/>
                <w:sz w:val="18"/>
                <w:szCs w:val="18"/>
              </w:rPr>
            </w:pPr>
            <w:r>
              <w:rPr>
                <w:rFonts w:ascii="Times New Roman"/>
                <w:sz w:val="18"/>
              </w:rPr>
              <w:t>21,023,6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941,056.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1,016,85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1.25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1,957,90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7.59</w:t>
            </w:r>
          </w:p>
        </w:tc>
      </w:tr>
    </w:tbl>
    <w:p>
      <w:pPr>
        <w:spacing w:before="51"/>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4D4D4"/>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438"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152,813,058.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8,895,512.48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8,895,512.48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16,184,119.7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113,878,331.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7,567,834.41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7,567,834.41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1,372,214.90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16,141,670.9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7,471,681.85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7,471,681.85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2,389,633.51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bookmarkStart w:name="（2）交易对于少数股东权益及归属于母公司所有者权益的影响" w:id="395"/>
      <w:bookmarkEnd w:id="395"/>
      <w:r>
        <w:rPr/>
      </w:r>
      <w:r>
        <w:rPr/>
        <w:t>其他说明：</w:t>
      </w:r>
    </w:p>
    <w:p>
      <w:pPr>
        <w:spacing w:line="240" w:lineRule="auto" w:before="10"/>
        <w:rPr>
          <w:rFonts w:ascii="宋体" w:hAnsi="宋体" w:cs="宋体" w:eastAsia="宋体" w:hint="default"/>
          <w:sz w:val="16"/>
          <w:szCs w:val="16"/>
        </w:rPr>
      </w:pPr>
    </w:p>
    <w:p>
      <w:pPr>
        <w:pStyle w:val="BodyText"/>
        <w:spacing w:line="309" w:lineRule="auto"/>
        <w:ind w:left="153" w:right="237" w:firstLine="420"/>
        <w:jc w:val="left"/>
      </w:pPr>
      <w:r>
        <w:rPr>
          <w:spacing w:val="-1"/>
        </w:rPr>
        <w:t>本公司非同一控制下合并武汉大千的购买日为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w:t>
      </w:r>
      <w:r>
        <w:rPr>
          <w:spacing w:val="-1"/>
        </w:rPr>
        <w:t>日，资产负债表年初数为</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日的</w:t>
      </w:r>
      <w:r>
        <w:rPr/>
        <w:t> 金额，利润表本年发生额为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7-12</w:t>
      </w:r>
      <w:r>
        <w:rPr/>
        <w:t>月的发生额。</w:t>
      </w:r>
    </w:p>
    <w:p>
      <w:pPr>
        <w:spacing w:line="240" w:lineRule="auto" w:before="11"/>
        <w:rPr>
          <w:rFonts w:ascii="宋体" w:hAnsi="宋体" w:cs="宋体" w:eastAsia="宋体" w:hint="default"/>
          <w:sz w:val="21"/>
          <w:szCs w:val="21"/>
        </w:rPr>
      </w:pPr>
    </w:p>
    <w:p>
      <w:pPr>
        <w:pStyle w:val="Heading4"/>
        <w:spacing w:line="530" w:lineRule="auto"/>
        <w:ind w:left="574" w:right="4607"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）使用企业集团资产和清偿企业集</w:t>
      </w:r>
      <w:bookmarkStart w:name="（4）使用企业集团资产和清偿企业集团债务的重大限制" w:id="396"/>
      <w:bookmarkEnd w:id="396"/>
      <w:r>
        <w:rPr/>
        <w:t>团债务的</w:t>
      </w:r>
      <w:r>
        <w:rPr/>
        <w:t>重大限制</w:t>
      </w:r>
      <w:r>
        <w:rPr>
          <w:spacing w:val="1"/>
          <w:w w:val="99"/>
        </w:rPr>
        <w:t> </w:t>
      </w:r>
      <w:r>
        <w:rPr>
          <w:rFonts w:ascii="宋体" w:hAnsi="宋体" w:cs="宋体" w:eastAsia="宋体" w:hint="default"/>
          <w:b w:val="0"/>
          <w:bCs w:val="0"/>
        </w:rPr>
        <w:t>不适用。</w:t>
      </w:r>
    </w:p>
    <w:p>
      <w:pPr>
        <w:pStyle w:val="Heading4"/>
        <w:spacing w:line="530" w:lineRule="auto" w:before="115"/>
        <w:ind w:left="574" w:right="3131"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）向纳入合并财务报表范围的结构化主体提供的财务支持</w:t>
      </w:r>
      <w:bookmarkStart w:name="（5）向纳入合并财务报表范围的结构化主体提供的财务支持或其他支持" w:id="397"/>
      <w:bookmarkEnd w:id="397"/>
      <w:r>
        <w:rPr/>
        <w:t>或其他支持</w:t>
      </w:r>
      <w:r>
        <w:rPr>
          <w:spacing w:val="1"/>
          <w:w w:val="99"/>
        </w:rPr>
        <w:t> </w:t>
      </w:r>
      <w:r>
        <w:rPr>
          <w:rFonts w:ascii="宋体" w:hAnsi="宋体" w:cs="宋体" w:eastAsia="宋体" w:hint="default"/>
          <w:b w:val="0"/>
          <w:bCs w:val="0"/>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644" w:lineRule="exact" w:before="53"/>
        <w:ind w:left="574" w:right="14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b/>
          <w:bCs/>
          <w:w w:val="99"/>
          <w:sz w:val="21"/>
          <w:szCs w:val="21"/>
        </w:rPr>
        <w:t> </w:t>
      </w:r>
      <w:r>
        <w:rPr>
          <w:rFonts w:ascii="宋体" w:hAnsi="宋体" w:cs="宋体" w:eastAsia="宋体" w:hint="default"/>
          <w:sz w:val="21"/>
          <w:szCs w:val="21"/>
        </w:rPr>
        <w:t>本公司原持有珠海新德汇</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月本</w:t>
      </w:r>
      <w:bookmarkStart w:name="2、在子公司的所有者权益份额发生变化且仍控制子公司的交易" w:id="398"/>
      <w:bookmarkEnd w:id="398"/>
      <w:r>
        <w:rPr>
          <w:rFonts w:ascii="宋体" w:hAnsi="宋体" w:cs="宋体" w:eastAsia="宋体" w:hint="default"/>
          <w:sz w:val="21"/>
          <w:szCs w:val="21"/>
        </w:rPr>
      </w:r>
      <w:bookmarkStart w:name="（1）在子公司所有者权益份额发生变化的情况说明" w:id="399"/>
      <w:bookmarkEnd w:id="399"/>
      <w:r>
        <w:rPr>
          <w:rFonts w:ascii="宋体" w:hAnsi="宋体" w:cs="宋体" w:eastAsia="宋体" w:hint="default"/>
          <w:sz w:val="21"/>
          <w:szCs w:val="21"/>
        </w:rPr>
        <w:t>公司与苏学武、水军、邓炽成等</w:t>
      </w:r>
      <w:r>
        <w:rPr>
          <w:rFonts w:ascii="Times New Roman" w:hAnsi="Times New Roman" w:cs="Times New Roman" w:eastAsia="Times New Roman" w:hint="default"/>
          <w:sz w:val="21"/>
          <w:szCs w:val="21"/>
        </w:rPr>
        <w:t>3</w:t>
      </w:r>
      <w:r>
        <w:rPr>
          <w:rFonts w:ascii="宋体" w:hAnsi="宋体" w:cs="宋体" w:eastAsia="宋体" w:hint="default"/>
          <w:sz w:val="21"/>
          <w:szCs w:val="21"/>
        </w:rPr>
        <w:t>人签署《发行股份</w:t>
      </w:r>
    </w:p>
    <w:p>
      <w:pPr>
        <w:pStyle w:val="BodyText"/>
        <w:spacing w:line="309" w:lineRule="auto"/>
        <w:ind w:left="153" w:right="151"/>
        <w:jc w:val="both"/>
      </w:pPr>
      <w:r>
        <w:rPr>
          <w:spacing w:val="-1"/>
        </w:rPr>
        <w:t>购买资产协议》、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日签署《发行股份购买资产协议之补充协议》，由本公司通过非公开发行</w:t>
      </w:r>
      <w:r>
        <w:rPr>
          <w:spacing w:val="-84"/>
        </w:rPr>
        <w:t> </w:t>
      </w:r>
      <w:r>
        <w:rPr>
          <w:spacing w:val="-84"/>
        </w:rPr>
      </w:r>
      <w:r>
        <w:rPr/>
        <w:t>股份购买苏学武、水军、邓炽成持有的珠海新德汇</w:t>
      </w:r>
      <w:r>
        <w:rPr>
          <w:rFonts w:ascii="Times New Roman" w:hAnsi="Times New Roman" w:cs="Times New Roman" w:eastAsia="Times New Roman" w:hint="default"/>
        </w:rPr>
        <w:t>49%</w:t>
      </w:r>
      <w:r>
        <w:rPr/>
        <w:t>的股权。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日，本次非公开发行股票获 </w:t>
      </w:r>
      <w:r>
        <w:rPr>
          <w:spacing w:val="-1"/>
        </w:rPr>
        <w:t>得中国证监会批准，珠海新德汇已于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24</w:t>
      </w:r>
      <w:r>
        <w:rPr>
          <w:spacing w:val="-1"/>
        </w:rPr>
        <w:t>日完成股东变更的工商登记手续，本公司取得珠海新德</w:t>
      </w:r>
      <w:r>
        <w:rPr>
          <w:spacing w:val="-83"/>
        </w:rPr>
        <w:t> </w:t>
      </w:r>
      <w:r>
        <w:rPr>
          <w:spacing w:val="-83"/>
        </w:rPr>
      </w:r>
      <w:r>
        <w:rPr>
          <w:spacing w:val="-2"/>
        </w:rPr>
        <w:t>汇</w:t>
      </w:r>
      <w:r>
        <w:rPr>
          <w:rFonts w:ascii="Times New Roman" w:hAnsi="Times New Roman" w:cs="Times New Roman" w:eastAsia="Times New Roman" w:hint="default"/>
          <w:spacing w:val="-2"/>
        </w:rPr>
        <w:t>100%</w:t>
      </w:r>
      <w:r>
        <w:rPr>
          <w:spacing w:val="-2"/>
        </w:rPr>
        <w:t>股权，交易对价为</w:t>
      </w:r>
      <w:r>
        <w:rPr>
          <w:rFonts w:ascii="Times New Roman" w:hAnsi="Times New Roman" w:cs="Times New Roman" w:eastAsia="Times New Roman" w:hint="default"/>
          <w:spacing w:val="-2"/>
        </w:rPr>
        <w:t>264,109,994.98</w:t>
      </w:r>
      <w:r>
        <w:rPr>
          <w:spacing w:val="-2"/>
        </w:rPr>
        <w:t>元，该项交易导致少数股东权益减少</w:t>
      </w:r>
      <w:r>
        <w:rPr>
          <w:rFonts w:ascii="Times New Roman" w:hAnsi="Times New Roman" w:cs="Times New Roman" w:eastAsia="Times New Roman" w:hint="default"/>
          <w:spacing w:val="-2"/>
        </w:rPr>
        <w:t>34,909,635.34</w:t>
      </w:r>
      <w:r>
        <w:rPr>
          <w:spacing w:val="-2"/>
        </w:rPr>
        <w:t>元，归属于母公</w:t>
      </w:r>
      <w:r>
        <w:rPr>
          <w:spacing w:val="-89"/>
        </w:rPr>
        <w:t> </w:t>
      </w:r>
      <w:r>
        <w:rPr>
          <w:spacing w:val="-89"/>
        </w:rPr>
      </w:r>
      <w:r>
        <w:rPr/>
        <w:t>司所有者权益增加</w:t>
      </w:r>
      <w:r>
        <w:rPr>
          <w:rFonts w:ascii="Times New Roman" w:hAnsi="Times New Roman" w:cs="Times New Roman" w:eastAsia="Times New Roman" w:hint="default"/>
        </w:rPr>
        <w:t>34,909,635.34</w:t>
      </w:r>
      <w:r>
        <w:rPr/>
        <w:t>元。</w:t>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珠海新德汇</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264,109,994.98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发行股份公允价值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264,109,994.98</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264,109,994.98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34,909,635.34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229,200,359.64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229,200,359.64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、在合营安排或联营企业</w:t>
      </w:r>
      <w:bookmarkStart w:name="3、在合营安排或联营企业中的权益" w:id="400"/>
      <w:bookmarkEnd w:id="400"/>
      <w:r>
        <w:rPr/>
        <w:t>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44"/>
        <w:gridCol w:w="1277"/>
        <w:gridCol w:w="850"/>
        <w:gridCol w:w="994"/>
        <w:gridCol w:w="850"/>
        <w:gridCol w:w="692"/>
        <w:gridCol w:w="1366"/>
      </w:tblGrid>
      <w:tr>
        <w:trPr>
          <w:trHeight w:val="402" w:hRule="exact"/>
        </w:trPr>
        <w:tc>
          <w:tcPr>
            <w:tcW w:w="354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776"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83" w:right="0"/>
              <w:jc w:val="left"/>
              <w:rPr>
                <w:rFonts w:ascii="宋体" w:hAnsi="宋体" w:cs="宋体" w:eastAsia="宋体" w:hint="default"/>
                <w:sz w:val="18"/>
                <w:szCs w:val="18"/>
              </w:rPr>
            </w:pPr>
            <w:bookmarkStart w:name="（1）重要的合营企业或联营企业" w:id="401"/>
            <w:bookmarkEnd w:id="401"/>
            <w:r>
              <w:rPr/>
            </w:r>
            <w:r>
              <w:rPr>
                <w:rFonts w:ascii="宋体" w:hAnsi="宋体" w:cs="宋体" w:eastAsia="宋体" w:hint="default"/>
                <w:sz w:val="18"/>
                <w:szCs w:val="18"/>
              </w:rPr>
              <w:t>主要经营地</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49"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4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0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3544" w:type="dxa"/>
            <w:vMerge/>
            <w:tcBorders>
              <w:left w:val="single" w:sz="4" w:space="0" w:color="000000"/>
              <w:bottom w:val="single" w:sz="4" w:space="0" w:color="000000"/>
              <w:right w:val="single" w:sz="4" w:space="0" w:color="000000"/>
            </w:tcBorders>
            <w:shd w:val="clear" w:color="auto" w:fill="D4D4D4"/>
          </w:tcPr>
          <w:p>
            <w:pPr/>
          </w:p>
        </w:tc>
        <w:tc>
          <w:tcPr>
            <w:tcW w:w="1277"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994" w:type="dxa"/>
            <w:vMerge/>
            <w:tcBorders>
              <w:left w:val="single" w:sz="4" w:space="0" w:color="000000"/>
              <w:bottom w:val="single" w:sz="4" w:space="0" w:color="000000"/>
              <w:right w:val="single" w:sz="4" w:space="0" w:color="000000"/>
            </w:tcBorders>
            <w:shd w:val="clear" w:color="auto" w:fill="D4D4D4"/>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32.51%</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2"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北京万诚信用评价有限公司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28.00%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综合</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2" w:right="0"/>
              <w:jc w:val="left"/>
              <w:rPr>
                <w:rFonts w:ascii="Times New Roman" w:hAnsi="Times New Roman" w:cs="Times New Roman" w:eastAsia="Times New Roman" w:hint="default"/>
                <w:sz w:val="18"/>
                <w:szCs w:val="18"/>
              </w:rPr>
            </w:pPr>
            <w:r>
              <w:rPr>
                <w:rFonts w:ascii="Times New Roman"/>
                <w:sz w:val="18"/>
              </w:rPr>
              <w:t>20.00%</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2"/>
        <w:rPr>
          <w:rFonts w:ascii="宋体" w:hAnsi="宋体" w:cs="宋体" w:eastAsia="宋体" w:hint="default"/>
          <w:b/>
          <w:bCs/>
          <w:sz w:val="19"/>
          <w:szCs w:val="19"/>
        </w:rPr>
      </w:pPr>
    </w:p>
    <w:p>
      <w:pPr>
        <w:pStyle w:val="Heading4"/>
        <w:spacing w:line="530" w:lineRule="auto" w:before="35"/>
        <w:ind w:left="574" w:right="6505"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）重要合营企业的主要财务信息</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2）重要合营企业的主要财务信息" w:id="402"/>
      <w:bookmarkEnd w:id="402"/>
      <w:r>
        <w:rPr/>
      </w:r>
      <w:bookmarkStart w:name="（3）重要联营企业的主要财务信息" w:id="403"/>
      <w:bookmarkEnd w:id="403"/>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ADADA"/>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344" w:type="dxa"/>
            <w:tcBorders>
              <w:top w:val="single" w:sz="4" w:space="0" w:color="000000"/>
              <w:left w:val="single" w:sz="4" w:space="0" w:color="000000"/>
              <w:bottom w:val="nil" w:sz="6" w:space="0" w:color="auto"/>
              <w:right w:val="single" w:sz="4" w:space="0" w:color="000000"/>
            </w:tcBorders>
            <w:shd w:val="clear" w:color="auto" w:fill="DADADA"/>
          </w:tcPr>
          <w:p>
            <w:pPr/>
          </w:p>
        </w:tc>
        <w:tc>
          <w:tcPr>
            <w:tcW w:w="1378" w:type="dxa"/>
            <w:vMerge w:val="restart"/>
            <w:tcBorders>
              <w:top w:val="single" w:sz="4" w:space="0" w:color="000000"/>
              <w:left w:val="single" w:sz="4" w:space="0" w:color="000000"/>
              <w:right w:val="single" w:sz="4" w:space="0" w:color="000000"/>
            </w:tcBorders>
            <w:shd w:val="clear" w:color="auto" w:fill="DADADA"/>
          </w:tcPr>
          <w:p>
            <w:pPr>
              <w:pStyle w:val="TableParagraph"/>
              <w:spacing w:line="316" w:lineRule="auto" w:before="52"/>
              <w:ind w:left="239" w:right="47" w:hanging="180"/>
              <w:jc w:val="left"/>
              <w:rPr>
                <w:rFonts w:ascii="宋体" w:hAnsi="宋体" w:cs="宋体" w:eastAsia="宋体" w:hint="default"/>
                <w:sz w:val="18"/>
                <w:szCs w:val="18"/>
              </w:rPr>
            </w:pPr>
            <w:r>
              <w:rPr>
                <w:rFonts w:ascii="宋体" w:hAnsi="宋体" w:cs="宋体" w:eastAsia="宋体" w:hint="default"/>
                <w:sz w:val="18"/>
                <w:szCs w:val="18"/>
              </w:rPr>
              <w:t>厦门服云信息科 技有限公司</w:t>
            </w:r>
          </w:p>
        </w:tc>
        <w:tc>
          <w:tcPr>
            <w:tcW w:w="1368" w:type="dxa"/>
            <w:vMerge w:val="restart"/>
            <w:tcBorders>
              <w:top w:val="single" w:sz="4" w:space="0" w:color="000000"/>
              <w:left w:val="single" w:sz="4" w:space="0" w:color="000000"/>
              <w:right w:val="single" w:sz="4" w:space="0" w:color="000000"/>
            </w:tcBorders>
            <w:shd w:val="clear" w:color="auto" w:fill="DADADA"/>
          </w:tcPr>
          <w:p>
            <w:pPr>
              <w:pStyle w:val="TableParagraph"/>
              <w:spacing w:line="316" w:lineRule="auto" w:before="52"/>
              <w:ind w:left="229" w:right="47" w:hanging="180"/>
              <w:jc w:val="left"/>
              <w:rPr>
                <w:rFonts w:ascii="宋体" w:hAnsi="宋体" w:cs="宋体" w:eastAsia="宋体" w:hint="default"/>
                <w:sz w:val="18"/>
                <w:szCs w:val="18"/>
              </w:rPr>
            </w:pPr>
            <w:r>
              <w:rPr>
                <w:rFonts w:ascii="宋体" w:hAnsi="宋体" w:cs="宋体" w:eastAsia="宋体" w:hint="default"/>
                <w:sz w:val="18"/>
                <w:szCs w:val="18"/>
              </w:rPr>
              <w:t>北京万诚信用评 价有限公司</w:t>
            </w:r>
          </w:p>
        </w:tc>
        <w:tc>
          <w:tcPr>
            <w:tcW w:w="1367" w:type="dxa"/>
            <w:vMerge w:val="restart"/>
            <w:tcBorders>
              <w:top w:val="single" w:sz="4" w:space="0" w:color="000000"/>
              <w:left w:val="single" w:sz="4" w:space="0" w:color="000000"/>
              <w:right w:val="single" w:sz="4" w:space="0" w:color="000000"/>
            </w:tcBorders>
            <w:shd w:val="clear" w:color="auto" w:fill="DADADA"/>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厦门正信世纪信 息科技有限公司</w:t>
            </w:r>
          </w:p>
        </w:tc>
        <w:tc>
          <w:tcPr>
            <w:tcW w:w="1367" w:type="dxa"/>
            <w:vMerge w:val="restart"/>
            <w:tcBorders>
              <w:top w:val="single" w:sz="4" w:space="0" w:color="000000"/>
              <w:left w:val="single" w:sz="4" w:space="0" w:color="000000"/>
              <w:right w:val="single" w:sz="4" w:space="0" w:color="000000"/>
            </w:tcBorders>
            <w:shd w:val="clear" w:color="auto" w:fill="DADADA"/>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厦门服云信息科 技有限公司</w:t>
            </w:r>
          </w:p>
        </w:tc>
        <w:tc>
          <w:tcPr>
            <w:tcW w:w="1367" w:type="dxa"/>
            <w:vMerge w:val="restart"/>
            <w:tcBorders>
              <w:top w:val="single" w:sz="4" w:space="0" w:color="000000"/>
              <w:left w:val="single" w:sz="4" w:space="0" w:color="000000"/>
              <w:right w:val="single" w:sz="4" w:space="0" w:color="000000"/>
            </w:tcBorders>
            <w:shd w:val="clear" w:color="auto" w:fill="DADADA"/>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北京万诚信用评 价有限公司</w:t>
            </w:r>
          </w:p>
        </w:tc>
        <w:tc>
          <w:tcPr>
            <w:tcW w:w="1367" w:type="dxa"/>
            <w:vMerge w:val="restart"/>
            <w:tcBorders>
              <w:top w:val="single" w:sz="4" w:space="0" w:color="000000"/>
              <w:left w:val="single" w:sz="4" w:space="0" w:color="000000"/>
              <w:right w:val="single" w:sz="4" w:space="0" w:color="000000"/>
            </w:tcBorders>
            <w:shd w:val="clear" w:color="auto" w:fill="DADADA"/>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厦门正信世纪信 息科技有限公司</w:t>
            </w:r>
          </w:p>
        </w:tc>
      </w:tr>
      <w:tr>
        <w:trPr>
          <w:trHeight w:val="391" w:hRule="exact"/>
        </w:trPr>
        <w:tc>
          <w:tcPr>
            <w:tcW w:w="1344" w:type="dxa"/>
            <w:tcBorders>
              <w:top w:val="nil" w:sz="6" w:space="0" w:color="auto"/>
              <w:left w:val="single" w:sz="4" w:space="0" w:color="000000"/>
              <w:bottom w:val="nil" w:sz="6" w:space="0" w:color="auto"/>
              <w:right w:val="single" w:sz="4" w:space="0" w:color="000000"/>
            </w:tcBorders>
            <w:shd w:val="clear" w:color="auto" w:fill="DADADA"/>
          </w:tcPr>
          <w:p>
            <w:pPr/>
          </w:p>
        </w:tc>
        <w:tc>
          <w:tcPr>
            <w:tcW w:w="1378" w:type="dxa"/>
            <w:vMerge/>
            <w:tcBorders>
              <w:left w:val="single" w:sz="4" w:space="0" w:color="000000"/>
              <w:right w:val="single" w:sz="4" w:space="0" w:color="000000"/>
            </w:tcBorders>
            <w:shd w:val="clear" w:color="auto" w:fill="DADADA"/>
          </w:tcPr>
          <w:p>
            <w:pPr/>
          </w:p>
        </w:tc>
        <w:tc>
          <w:tcPr>
            <w:tcW w:w="1368" w:type="dxa"/>
            <w:vMerge/>
            <w:tcBorders>
              <w:left w:val="single" w:sz="4" w:space="0" w:color="000000"/>
              <w:right w:val="single" w:sz="4" w:space="0" w:color="000000"/>
            </w:tcBorders>
            <w:shd w:val="clear" w:color="auto" w:fill="DADADA"/>
          </w:tcPr>
          <w:p>
            <w:pPr/>
          </w:p>
        </w:tc>
        <w:tc>
          <w:tcPr>
            <w:tcW w:w="1367" w:type="dxa"/>
            <w:vMerge/>
            <w:tcBorders>
              <w:left w:val="single" w:sz="4" w:space="0" w:color="000000"/>
              <w:right w:val="single" w:sz="4" w:space="0" w:color="000000"/>
            </w:tcBorders>
            <w:shd w:val="clear" w:color="auto" w:fill="DADADA"/>
          </w:tcPr>
          <w:p>
            <w:pPr/>
          </w:p>
        </w:tc>
        <w:tc>
          <w:tcPr>
            <w:tcW w:w="1367" w:type="dxa"/>
            <w:vMerge/>
            <w:tcBorders>
              <w:left w:val="single" w:sz="4" w:space="0" w:color="000000"/>
              <w:right w:val="single" w:sz="4" w:space="0" w:color="000000"/>
            </w:tcBorders>
            <w:shd w:val="clear" w:color="auto" w:fill="DADADA"/>
          </w:tcPr>
          <w:p>
            <w:pPr/>
          </w:p>
        </w:tc>
        <w:tc>
          <w:tcPr>
            <w:tcW w:w="1367" w:type="dxa"/>
            <w:vMerge/>
            <w:tcBorders>
              <w:left w:val="single" w:sz="4" w:space="0" w:color="000000"/>
              <w:right w:val="single" w:sz="4" w:space="0" w:color="000000"/>
            </w:tcBorders>
            <w:shd w:val="clear" w:color="auto" w:fill="DADADA"/>
          </w:tcPr>
          <w:p>
            <w:pPr/>
          </w:p>
        </w:tc>
        <w:tc>
          <w:tcPr>
            <w:tcW w:w="1367" w:type="dxa"/>
            <w:vMerge/>
            <w:tcBorders>
              <w:left w:val="single" w:sz="4" w:space="0" w:color="000000"/>
              <w:right w:val="single" w:sz="4" w:space="0" w:color="000000"/>
            </w:tcBorders>
            <w:shd w:val="clear" w:color="auto" w:fill="DADADA"/>
          </w:tcPr>
          <w:p>
            <w:pPr/>
          </w:p>
        </w:tc>
      </w:tr>
      <w:tr>
        <w:trPr>
          <w:trHeight w:val="161" w:hRule="exact"/>
        </w:trPr>
        <w:tc>
          <w:tcPr>
            <w:tcW w:w="1344" w:type="dxa"/>
            <w:tcBorders>
              <w:top w:val="nil" w:sz="6" w:space="0" w:color="auto"/>
              <w:left w:val="single" w:sz="4" w:space="0" w:color="000000"/>
              <w:bottom w:val="single" w:sz="4" w:space="0" w:color="000000"/>
              <w:right w:val="single" w:sz="4" w:space="0" w:color="000000"/>
            </w:tcBorders>
            <w:shd w:val="clear" w:color="auto" w:fill="DADADA"/>
          </w:tcPr>
          <w:p>
            <w:pPr/>
          </w:p>
        </w:tc>
        <w:tc>
          <w:tcPr>
            <w:tcW w:w="1378" w:type="dxa"/>
            <w:vMerge/>
            <w:tcBorders>
              <w:left w:val="single" w:sz="4" w:space="0" w:color="000000"/>
              <w:bottom w:val="single" w:sz="4" w:space="0" w:color="000000"/>
              <w:right w:val="single" w:sz="4" w:space="0" w:color="000000"/>
            </w:tcBorders>
            <w:shd w:val="clear" w:color="auto" w:fill="DADADA"/>
          </w:tcPr>
          <w:p>
            <w:pPr/>
          </w:p>
        </w:tc>
        <w:tc>
          <w:tcPr>
            <w:tcW w:w="1368" w:type="dxa"/>
            <w:vMerge/>
            <w:tcBorders>
              <w:left w:val="single" w:sz="4" w:space="0" w:color="000000"/>
              <w:bottom w:val="single" w:sz="4" w:space="0" w:color="000000"/>
              <w:right w:val="single" w:sz="4" w:space="0" w:color="000000"/>
            </w:tcBorders>
            <w:shd w:val="clear" w:color="auto" w:fill="DADADA"/>
          </w:tcPr>
          <w:p>
            <w:pPr/>
          </w:p>
        </w:tc>
        <w:tc>
          <w:tcPr>
            <w:tcW w:w="1367" w:type="dxa"/>
            <w:vMerge/>
            <w:tcBorders>
              <w:left w:val="single" w:sz="4" w:space="0" w:color="000000"/>
              <w:bottom w:val="single" w:sz="4" w:space="0" w:color="000000"/>
              <w:right w:val="single" w:sz="4" w:space="0" w:color="000000"/>
            </w:tcBorders>
            <w:shd w:val="clear" w:color="auto" w:fill="DADADA"/>
          </w:tcPr>
          <w:p>
            <w:pPr/>
          </w:p>
        </w:tc>
        <w:tc>
          <w:tcPr>
            <w:tcW w:w="1367" w:type="dxa"/>
            <w:vMerge/>
            <w:tcBorders>
              <w:left w:val="single" w:sz="4" w:space="0" w:color="000000"/>
              <w:bottom w:val="single" w:sz="4" w:space="0" w:color="000000"/>
              <w:right w:val="single" w:sz="4" w:space="0" w:color="000000"/>
            </w:tcBorders>
            <w:shd w:val="clear" w:color="auto" w:fill="DADADA"/>
          </w:tcPr>
          <w:p>
            <w:pPr/>
          </w:p>
        </w:tc>
        <w:tc>
          <w:tcPr>
            <w:tcW w:w="1367" w:type="dxa"/>
            <w:vMerge/>
            <w:tcBorders>
              <w:left w:val="single" w:sz="4" w:space="0" w:color="000000"/>
              <w:bottom w:val="single" w:sz="4" w:space="0" w:color="000000"/>
              <w:right w:val="single" w:sz="4" w:space="0" w:color="000000"/>
            </w:tcBorders>
            <w:shd w:val="clear" w:color="auto" w:fill="DADADA"/>
          </w:tcPr>
          <w:p>
            <w:pPr/>
          </w:p>
        </w:tc>
        <w:tc>
          <w:tcPr>
            <w:tcW w:w="1367" w:type="dxa"/>
            <w:vMerge/>
            <w:tcBorders>
              <w:left w:val="single" w:sz="4" w:space="0" w:color="000000"/>
              <w:bottom w:val="single" w:sz="4" w:space="0" w:color="000000"/>
              <w:right w:val="single" w:sz="4" w:space="0" w:color="000000"/>
            </w:tcBorders>
            <w:shd w:val="clear" w:color="auto" w:fill="DADADA"/>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23,628,148.52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3,507,226.90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5,540,793.16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3,367,610.28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8,433,172.53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1,396,960.59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888,203.39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440,472.28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395,493.74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25,025,109.11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4,395,430.29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5,540,793.16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3,808,082.56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8,828,666.27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2,449,605.70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134,885.73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1,731,975.30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1,200,462.80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49,542.84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2,449,605.70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134,885.73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1,731,975.30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1,200,462.80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49,542.84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78"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22,575,503.41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4,260,544.56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3,808,817.86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2,607,619.76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8,779,123.43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52"/>
              <w:ind w:left="11" w:right="1"/>
              <w:jc w:val="left"/>
              <w:rPr>
                <w:rFonts w:ascii="宋体" w:hAnsi="宋体" w:cs="宋体" w:eastAsia="宋体" w:hint="default"/>
                <w:sz w:val="18"/>
                <w:szCs w:val="18"/>
              </w:rPr>
            </w:pPr>
            <w:r>
              <w:rPr>
                <w:rFonts w:ascii="宋体" w:hAnsi="宋体" w:cs="宋体" w:eastAsia="宋体" w:hint="default"/>
                <w:spacing w:val="8"/>
                <w:sz w:val="18"/>
                <w:szCs w:val="18"/>
              </w:rPr>
              <w:t>归属于母公司股 </w:t>
            </w:r>
            <w:r>
              <w:rPr>
                <w:rFonts w:ascii="宋体" w:hAnsi="宋体" w:cs="宋体" w:eastAsia="宋体" w:hint="default"/>
                <w:sz w:val="18"/>
                <w:szCs w:val="18"/>
              </w:rPr>
              <w:t>东权益</w:t>
            </w:r>
          </w:p>
        </w:tc>
        <w:tc>
          <w:tcPr>
            <w:tcW w:w="1378"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22,575,503.41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4,260,544.56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3,808,817.86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2,607,619.76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8,779,123.43</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6" w:lineRule="auto" w:before="52"/>
              <w:ind w:left="11" w:right="1"/>
              <w:jc w:val="left"/>
              <w:rPr>
                <w:rFonts w:ascii="宋体" w:hAnsi="宋体" w:cs="宋体" w:eastAsia="宋体" w:hint="default"/>
                <w:sz w:val="18"/>
                <w:szCs w:val="18"/>
              </w:rPr>
            </w:pPr>
            <w:r>
              <w:rPr>
                <w:rFonts w:ascii="宋体" w:hAnsi="宋体" w:cs="宋体" w:eastAsia="宋体" w:hint="default"/>
                <w:spacing w:val="8"/>
                <w:sz w:val="18"/>
                <w:szCs w:val="18"/>
              </w:rPr>
              <w:t>按持股比例计算 </w:t>
            </w:r>
            <w:r>
              <w:rPr>
                <w:rFonts w:ascii="宋体" w:hAnsi="宋体" w:cs="宋体" w:eastAsia="宋体" w:hint="default"/>
                <w:sz w:val="18"/>
                <w:szCs w:val="18"/>
              </w:rPr>
              <w:t>的净资产份额</w:t>
            </w:r>
          </w:p>
        </w:tc>
        <w:tc>
          <w:tcPr>
            <w:tcW w:w="1378" w:type="dxa"/>
            <w:tcBorders>
              <w:top w:val="single" w:sz="4" w:space="0" w:color="000000"/>
              <w:left w:val="single" w:sz="13" w:space="0" w:color="DADADA"/>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7,339,296.16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1,192,952.48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761,763.57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1,392,208.19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2,458,154.56</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319" w:lineRule="auto" w:before="51"/>
              <w:ind w:left="22" w:right="13"/>
              <w:jc w:val="left"/>
              <w:rPr>
                <w:rFonts w:ascii="宋体" w:hAnsi="宋体" w:cs="宋体" w:eastAsia="宋体" w:hint="default"/>
                <w:sz w:val="18"/>
                <w:szCs w:val="18"/>
              </w:rPr>
            </w:pPr>
            <w:r>
              <w:rPr>
                <w:rFonts w:ascii="宋体" w:hAnsi="宋体" w:cs="宋体" w:eastAsia="宋体" w:hint="default"/>
                <w:spacing w:val="8"/>
                <w:sz w:val="18"/>
                <w:szCs w:val="18"/>
              </w:rPr>
              <w:t>对联营企业权益 </w:t>
            </w:r>
            <w:r>
              <w:rPr>
                <w:rFonts w:ascii="宋体" w:hAnsi="宋体" w:cs="宋体" w:eastAsia="宋体" w:hint="default"/>
                <w:sz w:val="18"/>
                <w:szCs w:val="18"/>
              </w:rPr>
              <w:t>投资的账面价值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7,339,296.16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1,192,952.48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761,763.57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1,392,376.41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2,458,154.56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3,401,638.39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5,474,995.45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109,216.26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635,732.81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703,494.89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-13,384,153.39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-4,518,578.87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-191,182.14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-6,054,625.48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-3,042,876.57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ADADA"/>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-13,384,153.39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-4,518,578.87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-191,182.14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-6,054,625.48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-3,042,876.57</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7"/>
          <w:szCs w:val="7"/>
        </w:rPr>
      </w:pPr>
    </w:p>
    <w:p>
      <w:pPr>
        <w:pStyle w:val="BodyText"/>
        <w:spacing w:line="240" w:lineRule="auto" w:before="35"/>
        <w:ind w:right="97"/>
        <w:jc w:val="left"/>
      </w:pPr>
      <w:bookmarkStart w:name="（6）合营企业或联营企业发生的超额亏损" w:id="404"/>
      <w:bookmarkEnd w:id="404"/>
      <w:r>
        <w:rPr/>
      </w:r>
      <w:bookmarkStart w:name="（7）与合营企业投资相关的未确认承诺" w:id="405"/>
      <w:bookmarkEnd w:id="405"/>
      <w:r>
        <w:rPr/>
      </w:r>
      <w:bookmarkStart w:name="（8）与合营企业或联营企业投资相关的或有负债" w:id="406"/>
      <w:bookmarkEnd w:id="406"/>
      <w:r>
        <w:rPr/>
      </w:r>
      <w:bookmarkStart w:name="4、重要的共同经营" w:id="407"/>
      <w:bookmarkEnd w:id="407"/>
      <w:r>
        <w:rPr/>
      </w:r>
      <w:bookmarkStart w:name="5、在未纳入合并财务报表范围的结构化主体中的权益" w:id="408"/>
      <w:bookmarkEnd w:id="408"/>
      <w:r>
        <w:rPr/>
      </w:r>
      <w:r>
        <w:rPr/>
        <w:t>其他说明：</w:t>
      </w:r>
    </w:p>
    <w:p>
      <w:pPr>
        <w:spacing w:line="240" w:lineRule="auto" w:before="10"/>
        <w:rPr>
          <w:rFonts w:ascii="宋体" w:hAnsi="宋体" w:cs="宋体" w:eastAsia="宋体" w:hint="default"/>
          <w:sz w:val="16"/>
          <w:szCs w:val="16"/>
        </w:rPr>
      </w:pPr>
    </w:p>
    <w:p>
      <w:pPr>
        <w:pStyle w:val="BodyText"/>
        <w:spacing w:line="309" w:lineRule="auto"/>
        <w:ind w:left="153" w:right="106" w:firstLine="420"/>
        <w:jc w:val="left"/>
      </w:pPr>
      <w:r>
        <w:rPr>
          <w:spacing w:val="-1"/>
        </w:rPr>
        <w:t>厦门正信世纪信息科技有限公司设立时注册资本</w:t>
      </w:r>
      <w:r>
        <w:rPr>
          <w:rFonts w:ascii="Times New Roman" w:hAnsi="Times New Roman" w:cs="Times New Roman" w:eastAsia="Times New Roman" w:hint="default"/>
          <w:spacing w:val="-1"/>
        </w:rPr>
        <w:t>2,000</w:t>
      </w:r>
      <w:r>
        <w:rPr>
          <w:spacing w:val="-1"/>
        </w:rPr>
        <w:t>万元，其中本公司认缴</w:t>
      </w:r>
      <w:r>
        <w:rPr>
          <w:rFonts w:ascii="Times New Roman" w:hAnsi="Times New Roman" w:cs="Times New Roman" w:eastAsia="Times New Roman" w:hint="default"/>
          <w:spacing w:val="-1"/>
        </w:rPr>
        <w:t>400</w:t>
      </w:r>
      <w:r>
        <w:rPr>
          <w:spacing w:val="-1"/>
        </w:rPr>
        <w:t>万元，持股比例</w:t>
      </w:r>
      <w:r>
        <w:rPr>
          <w:rFonts w:ascii="Times New Roman" w:hAnsi="Times New Roman" w:cs="Times New Roman" w:eastAsia="Times New Roman" w:hint="default"/>
          <w:spacing w:val="-1"/>
        </w:rPr>
        <w:t>20%</w:t>
      </w:r>
      <w:r>
        <w:rPr>
          <w:spacing w:val="-1"/>
        </w:rPr>
        <w:t>。</w:t>
      </w:r>
      <w:r>
        <w:rPr/>
        <w:t> 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日，厦门正信世纪信息科技有限公司实收资本</w:t>
      </w:r>
      <w:r>
        <w:rPr>
          <w:rFonts w:ascii="Times New Roman" w:hAnsi="Times New Roman" w:cs="Times New Roman" w:eastAsia="Times New Roman" w:hint="default"/>
        </w:rPr>
        <w:t>400</w:t>
      </w:r>
      <w:r>
        <w:rPr/>
        <w:t>万元，其中本公司出资</w:t>
      </w:r>
      <w:r>
        <w:rPr>
          <w:rFonts w:ascii="Times New Roman" w:hAnsi="Times New Roman" w:cs="Times New Roman" w:eastAsia="Times New Roman" w:hint="default"/>
        </w:rPr>
        <w:t>200</w:t>
      </w:r>
      <w:r>
        <w:rPr/>
        <w:t>万元，谢方 出资</w:t>
      </w:r>
      <w:r>
        <w:rPr>
          <w:rFonts w:ascii="Times New Roman" w:hAnsi="Times New Roman" w:cs="Times New Roman" w:eastAsia="Times New Roman" w:hint="default"/>
        </w:rPr>
        <w:t>65</w:t>
      </w:r>
      <w:r>
        <w:rPr/>
        <w:t>万元，黄峥出资</w:t>
      </w:r>
      <w:r>
        <w:rPr>
          <w:rFonts w:ascii="Times New Roman" w:hAnsi="Times New Roman" w:cs="Times New Roman" w:eastAsia="Times New Roman" w:hint="default"/>
        </w:rPr>
        <w:t>135</w:t>
      </w:r>
      <w:r>
        <w:rPr/>
        <w:t>万元。本公司按约定出资比例</w:t>
      </w:r>
      <w:r>
        <w:rPr>
          <w:rFonts w:ascii="Times New Roman" w:hAnsi="Times New Roman" w:cs="Times New Roman" w:eastAsia="Times New Roman" w:hint="default"/>
        </w:rPr>
        <w:t>20%</w:t>
      </w:r>
      <w:r>
        <w:rPr/>
        <w:t>确认投资收益</w:t>
      </w:r>
      <w:r>
        <w:rPr>
          <w:rFonts w:ascii="Times New Roman" w:hAnsi="Times New Roman" w:cs="Times New Roman" w:eastAsia="Times New Roman" w:hint="default"/>
        </w:rPr>
        <w:t>-38,236.43</w:t>
      </w:r>
      <w:r>
        <w:rPr/>
        <w:t>元。</w:t>
      </w:r>
    </w:p>
    <w:p>
      <w:pPr>
        <w:spacing w:line="240" w:lineRule="auto" w:before="11"/>
        <w:rPr>
          <w:rFonts w:ascii="宋体" w:hAnsi="宋体" w:cs="宋体" w:eastAsia="宋体" w:hint="default"/>
          <w:sz w:val="21"/>
          <w:szCs w:val="21"/>
        </w:rPr>
      </w:pPr>
    </w:p>
    <w:p>
      <w:pPr>
        <w:pStyle w:val="Heading4"/>
        <w:spacing w:line="530" w:lineRule="auto"/>
        <w:ind w:left="574" w:right="5089"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）不重要的合营企业和联营企业的</w:t>
      </w:r>
      <w:bookmarkStart w:name="（4）不重要的合营企业和联营企业的汇总财务信息" w:id="409"/>
      <w:bookmarkEnd w:id="409"/>
      <w:r>
        <w:rPr/>
        <w:t>汇总财务</w:t>
      </w:r>
      <w:r>
        <w:rPr/>
        <w:t>信息</w:t>
      </w:r>
      <w:r>
        <w:rPr>
          <w:w w:val="99"/>
        </w:rPr>
        <w:t> </w:t>
      </w:r>
      <w:r>
        <w:rPr>
          <w:rFonts w:ascii="宋体" w:hAnsi="宋体" w:cs="宋体" w:eastAsia="宋体" w:hint="default"/>
          <w:b w:val="0"/>
          <w:bCs w:val="0"/>
        </w:rPr>
        <w:t>无。</w:t>
      </w:r>
    </w:p>
    <w:p>
      <w:pPr>
        <w:pStyle w:val="Heading4"/>
        <w:spacing w:line="530" w:lineRule="auto" w:before="115"/>
        <w:ind w:left="574" w:right="3191"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）合营企业或联营企业向本公司转移资金的能</w:t>
      </w:r>
      <w:bookmarkStart w:name="（5）合营企业或联营企业向本公司转移资金的能力存在重大限制的说明" w:id="410"/>
      <w:bookmarkEnd w:id="410"/>
      <w:r>
        <w:rPr/>
        <w:t>力存在重</w:t>
      </w:r>
      <w:r>
        <w:rPr/>
        <w:t>大限制的说明</w:t>
      </w:r>
      <w:r>
        <w:rPr>
          <w:spacing w:val="1"/>
          <w:w w:val="99"/>
        </w:rPr>
        <w:t> </w:t>
      </w:r>
      <w:r>
        <w:rPr>
          <w:rFonts w:ascii="宋体" w:hAnsi="宋体" w:cs="宋体" w:eastAsia="宋体" w:hint="default"/>
          <w:b w:val="0"/>
          <w:bCs w:val="0"/>
        </w:rPr>
        <w:t>无。</w:t>
      </w:r>
    </w:p>
    <w:p>
      <w:pPr>
        <w:pStyle w:val="Heading4"/>
        <w:spacing w:line="532" w:lineRule="auto" w:before="115"/>
        <w:ind w:left="574" w:right="5932"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）合营企业或联营企业发生的超额亏损</w:t>
      </w:r>
      <w:r>
        <w:rPr>
          <w:spacing w:val="1"/>
          <w:w w:val="99"/>
        </w:rPr>
        <w:t> </w:t>
      </w:r>
      <w:r>
        <w:rPr>
          <w:rFonts w:ascii="宋体" w:hAnsi="宋体" w:cs="宋体" w:eastAsia="宋体" w:hint="default"/>
          <w:b w:val="0"/>
          <w:bCs w:val="0"/>
        </w:rPr>
        <w:t>无。</w:t>
      </w:r>
    </w:p>
    <w:p>
      <w:pPr>
        <w:pStyle w:val="Heading4"/>
        <w:spacing w:line="530" w:lineRule="auto" w:before="113"/>
        <w:ind w:left="574" w:right="6143"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）与合营企业投资相关的未确认承诺</w:t>
      </w:r>
      <w:r>
        <w:rPr>
          <w:w w:val="99"/>
        </w:rPr>
        <w:t> </w:t>
      </w:r>
      <w:r>
        <w:rPr>
          <w:rFonts w:ascii="宋体" w:hAnsi="宋体" w:cs="宋体" w:eastAsia="宋体" w:hint="default"/>
          <w:b w:val="0"/>
          <w:bCs w:val="0"/>
        </w:rPr>
        <w:t>无。</w:t>
      </w:r>
    </w:p>
    <w:p>
      <w:pPr>
        <w:pStyle w:val="Heading4"/>
        <w:spacing w:line="530" w:lineRule="auto" w:before="115"/>
        <w:ind w:left="574" w:right="5300" w:hanging="420"/>
        <w:jc w:val="left"/>
        <w:rPr>
          <w:rFonts w:ascii="宋体" w:hAnsi="宋体" w:cs="宋体" w:eastAsia="宋体" w:hint="default"/>
          <w:b w:val="0"/>
          <w:bCs w:val="0"/>
        </w:rPr>
      </w:pPr>
      <w:r>
        <w:rPr/>
        <w:t>（</w:t>
      </w:r>
      <w:r>
        <w:rPr>
          <w:rFonts w:ascii="Times New Roman" w:hAnsi="Times New Roman" w:cs="Times New Roman" w:eastAsia="Times New Roman" w:hint="default"/>
        </w:rPr>
        <w:t>8</w:t>
      </w:r>
      <w:r>
        <w:rPr/>
        <w:t>）与合营企业或联营企业投资相关的或有负债</w:t>
      </w:r>
      <w:r>
        <w:rPr>
          <w:spacing w:val="1"/>
          <w:w w:val="99"/>
        </w:rPr>
        <w:t> </w:t>
      </w:r>
      <w:r>
        <w:rPr>
          <w:rFonts w:ascii="宋体" w:hAnsi="宋体" w:cs="宋体" w:eastAsia="宋体" w:hint="default"/>
          <w:b w:val="0"/>
          <w:bCs w:val="0"/>
        </w:rPr>
        <w:t>无。</w:t>
      </w:r>
    </w:p>
    <w:p>
      <w:pPr>
        <w:pStyle w:val="Heading4"/>
        <w:spacing w:line="530" w:lineRule="auto" w:before="115"/>
        <w:ind w:left="574" w:right="8040" w:hanging="420"/>
        <w:jc w:val="left"/>
        <w:rPr>
          <w:rFonts w:ascii="宋体" w:hAnsi="宋体" w:cs="宋体" w:eastAsia="宋体" w:hint="default"/>
          <w:b w:val="0"/>
          <w:bCs w:val="0"/>
        </w:rPr>
      </w:pPr>
      <w:r>
        <w:rPr>
          <w:rFonts w:ascii="Times New Roman" w:hAnsi="Times New Roman" w:cs="Times New Roman" w:eastAsia="Times New Roman" w:hint="default"/>
        </w:rPr>
        <w:t>4</w:t>
      </w:r>
      <w:r>
        <w:rPr/>
        <w:t>、重要的共同经营</w:t>
      </w:r>
      <w:r>
        <w:rPr>
          <w:spacing w:val="1"/>
          <w:w w:val="99"/>
        </w:rPr>
        <w:t> </w:t>
      </w:r>
      <w:r>
        <w:rPr>
          <w:rFonts w:ascii="宋体" w:hAnsi="宋体" w:cs="宋体" w:eastAsia="宋体" w:hint="default"/>
          <w:b w:val="0"/>
          <w:bCs w:val="0"/>
        </w:rPr>
        <w:t>无。</w:t>
      </w:r>
    </w:p>
    <w:p>
      <w:pPr>
        <w:pStyle w:val="Heading4"/>
        <w:spacing w:line="530" w:lineRule="auto" w:before="115"/>
        <w:ind w:left="574" w:right="4878" w:hanging="420"/>
        <w:jc w:val="left"/>
        <w:rPr>
          <w:rFonts w:ascii="宋体" w:hAnsi="宋体" w:cs="宋体" w:eastAsia="宋体" w:hint="default"/>
          <w:b w:val="0"/>
          <w:bCs w:val="0"/>
        </w:rPr>
      </w:pPr>
      <w:r>
        <w:rPr>
          <w:rFonts w:ascii="Times New Roman" w:hAnsi="Times New Roman" w:cs="Times New Roman" w:eastAsia="Times New Roman" w:hint="default"/>
        </w:rPr>
        <w:t>5</w:t>
      </w:r>
      <w:r>
        <w:rPr/>
        <w:t>、在未纳入合并财务报表范围的结构化主体中的权益</w:t>
      </w:r>
      <w:r>
        <w:rPr>
          <w:spacing w:val="1"/>
          <w:w w:val="99"/>
        </w:rPr>
        <w:t> </w:t>
      </w:r>
      <w:r>
        <w:rPr>
          <w:rFonts w:ascii="宋体" w:hAnsi="宋体" w:cs="宋体" w:eastAsia="宋体" w:hint="default"/>
          <w:b w:val="0"/>
          <w:bCs w:val="0"/>
        </w:rPr>
        <w:t>无。</w:t>
      </w:r>
    </w:p>
    <w:p>
      <w:pPr>
        <w:spacing w:after="0" w:line="530" w:lineRule="auto"/>
        <w:jc w:val="left"/>
        <w:rPr>
          <w:rFonts w:ascii="宋体" w:hAnsi="宋体" w:cs="宋体" w:eastAsia="宋体" w:hint="default"/>
        </w:rPr>
        <w:sectPr>
          <w:pgSz w:w="11910" w:h="16840"/>
          <w:pgMar w:header="917" w:footer="1267" w:top="1140" w:bottom="1460" w:left="980" w:right="920"/>
        </w:sectPr>
      </w:pPr>
    </w:p>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r>
        <w:rPr>
          <w:rFonts w:ascii="Times New Roman" w:hAnsi="Times New Roman" w:cs="Times New Roman" w:eastAsia="Times New Roman" w:hint="default"/>
        </w:rPr>
        <w:t>6</w:t>
      </w:r>
      <w:bookmarkStart w:name="6、其他" w:id="411"/>
      <w:bookmarkEnd w:id="411"/>
      <w:r>
        <w:rPr>
          <w:rFonts w:ascii="Times New Roman" w:hAnsi="Times New Roman" w:cs="Times New Roman" w:eastAsia="Times New Roman" w:hint="default"/>
        </w:rPr>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both"/>
        <w:rPr>
          <w:b w:val="0"/>
          <w:bCs w:val="0"/>
        </w:rPr>
      </w:pPr>
      <w:bookmarkStart w:name="十、与金融工具相关的风险" w:id="412"/>
      <w:bookmarkEnd w:id="412"/>
      <w:r>
        <w:rPr>
          <w:b w:val="0"/>
          <w:bCs w:val="0"/>
        </w:rPr>
      </w:r>
      <w:r>
        <w:rPr/>
        <w:t>十、与金融工具相关的风险</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152" w:firstLine="420"/>
        <w:jc w:val="both"/>
      </w:pPr>
      <w:r>
        <w:rPr>
          <w:spacing w:val="-1"/>
        </w:rPr>
        <w:t>本集团各项金融工具的详细情况已于相关附注内披露。与这些金融工具有关的风险，以及本集团为降</w:t>
      </w:r>
      <w:r>
        <w:rPr/>
        <w:t> </w:t>
      </w:r>
      <w:r>
        <w:rPr>
          <w:spacing w:val="-1"/>
        </w:rPr>
        <w:t>低这些风险所采取的风险管理政策如下所述。本集团管理层对这些风险敞口进行管理和监控以确保将上述</w:t>
      </w:r>
      <w:r>
        <w:rPr>
          <w:spacing w:val="-81"/>
        </w:rPr>
        <w:t> </w:t>
      </w:r>
      <w:r>
        <w:rPr>
          <w:spacing w:val="-81"/>
        </w:rPr>
      </w:r>
      <w:r>
        <w:rPr/>
        <w:t>风险控制在限定的范围之内。</w:t>
      </w:r>
    </w:p>
    <w:p>
      <w:pPr>
        <w:pStyle w:val="BodyText"/>
        <w:spacing w:line="408" w:lineRule="auto" w:before="144"/>
        <w:ind w:right="0"/>
        <w:jc w:val="left"/>
      </w:pPr>
      <w:r>
        <w:rPr>
          <w:rFonts w:ascii="Times New Roman" w:hAnsi="Times New Roman" w:cs="Times New Roman" w:eastAsia="Times New Roman" w:hint="default"/>
        </w:rPr>
        <w:t>1</w:t>
      </w:r>
      <w:r>
        <w:rPr/>
        <w:t>、风险管理目标和政策 </w:t>
      </w:r>
      <w:r>
        <w:rPr>
          <w:spacing w:val="-1"/>
        </w:rPr>
        <w:t>本集团从事风险管理的目标是在风险和收益之间取得适当的平衡，力求降低金融风险对本集团财务业</w:t>
      </w:r>
    </w:p>
    <w:p>
      <w:pPr>
        <w:pStyle w:val="BodyText"/>
        <w:spacing w:line="227" w:lineRule="exact"/>
        <w:ind w:left="154" w:right="0"/>
        <w:jc w:val="both"/>
      </w:pPr>
      <w:r>
        <w:rPr/>
        <w:t>绩的不利影响。基于该风险管理目标，本集团已制定风险管理政策以辨别和分析本集团所面临的风险，设</w:t>
      </w:r>
    </w:p>
    <w:p>
      <w:pPr>
        <w:pStyle w:val="BodyText"/>
        <w:spacing w:line="326" w:lineRule="auto" w:before="99"/>
        <w:ind w:left="154" w:right="152"/>
        <w:jc w:val="both"/>
      </w:pPr>
      <w:r>
        <w:rPr>
          <w:spacing w:val="-1"/>
        </w:rPr>
        <w:t>定适当的风险可接受水平并设计相应的内部控制程序，以监控本集团的风险水平。本集团会定期审阅这些</w:t>
      </w:r>
      <w:r>
        <w:rPr>
          <w:spacing w:val="-81"/>
        </w:rPr>
        <w:t> </w:t>
      </w:r>
      <w:r>
        <w:rPr>
          <w:spacing w:val="-81"/>
        </w:rPr>
      </w:r>
      <w:r>
        <w:rPr>
          <w:spacing w:val="-1"/>
        </w:rPr>
        <w:t>风险管理政策及有关内部控制系统，以适应市场情况或本集团经营活动的改变。本集团的内部审计部门也</w:t>
      </w:r>
      <w:r>
        <w:rPr>
          <w:spacing w:val="-81"/>
        </w:rPr>
        <w:t> </w:t>
      </w:r>
      <w:r>
        <w:rPr>
          <w:spacing w:val="-81"/>
        </w:rPr>
      </w:r>
      <w:r>
        <w:rPr/>
        <w:t>定期或随机检查内部控制系统的执行是否符合风险管理政策。</w:t>
      </w:r>
    </w:p>
    <w:p>
      <w:pPr>
        <w:pStyle w:val="BodyText"/>
        <w:spacing w:line="326" w:lineRule="auto" w:before="144"/>
        <w:ind w:left="154" w:right="153" w:firstLine="420"/>
        <w:jc w:val="both"/>
      </w:pPr>
      <w:r>
        <w:rPr>
          <w:spacing w:val="-1"/>
        </w:rPr>
        <w:t>本集团的金融工具导致的主要风险是信用风险、流动性风险、市场风险（包括利率风险、汇率风险和</w:t>
      </w:r>
      <w:r>
        <w:rPr/>
        <w:t> 商品价格风险</w:t>
      </w:r>
      <w:r>
        <w:rPr>
          <w:rFonts w:ascii="Times New Roman" w:hAnsi="Times New Roman" w:cs="Times New Roman" w:eastAsia="Times New Roman" w:hint="default"/>
        </w:rPr>
        <w:t>/</w:t>
      </w:r>
      <w:r>
        <w:rPr/>
        <w:t>权益工具价格风险）。</w:t>
      </w:r>
    </w:p>
    <w:p>
      <w:pPr>
        <w:pStyle w:val="BodyText"/>
        <w:spacing w:line="420" w:lineRule="auto" w:before="120"/>
        <w:ind w:left="573" w:right="1373"/>
        <w:jc w:val="left"/>
      </w:pPr>
      <w:r>
        <w:rPr/>
        <w:t>（</w:t>
      </w:r>
      <w:r>
        <w:rPr>
          <w:rFonts w:ascii="Times New Roman" w:hAnsi="Times New Roman" w:cs="Times New Roman" w:eastAsia="Times New Roman" w:hint="default"/>
        </w:rPr>
        <w:t>1</w:t>
      </w:r>
      <w:r>
        <w:rPr/>
        <w:t>）信用风险 信用风险，是指交易对手方未能履行合同义务而导致本集团产生财务损失的风险。 本集团对信用风险按组合分类进行管理。信用风险主要产生于银行存款和应收款项等。</w:t>
      </w:r>
    </w:p>
    <w:p>
      <w:pPr>
        <w:pStyle w:val="BodyText"/>
        <w:spacing w:line="326" w:lineRule="auto" w:before="62"/>
        <w:ind w:left="153" w:right="152" w:firstLine="420"/>
        <w:jc w:val="both"/>
      </w:pPr>
      <w:r>
        <w:rPr>
          <w:spacing w:val="-1"/>
        </w:rPr>
        <w:t>本集团银行存款主要存放于国有银行和其它大中型上市银行，本集团预期银行存款不存在重大的信用</w:t>
      </w:r>
      <w:r>
        <w:rPr/>
        <w:t> 风险。</w:t>
      </w:r>
    </w:p>
    <w:p>
      <w:pPr>
        <w:pStyle w:val="BodyText"/>
        <w:spacing w:line="326" w:lineRule="auto" w:before="144"/>
        <w:ind w:left="153" w:right="151" w:firstLine="420"/>
        <w:jc w:val="both"/>
      </w:pPr>
      <w:r>
        <w:rPr>
          <w:spacing w:val="-1"/>
        </w:rPr>
        <w:t>对于应收款项，本集团设定相关政策以控制信用风险敞口。本集团基于对债务人的财务状况、外部评</w:t>
      </w:r>
      <w:r>
        <w:rPr/>
        <w:t> </w:t>
      </w:r>
      <w:r>
        <w:rPr>
          <w:spacing w:val="-1"/>
        </w:rPr>
        <w:t>级、从第三方获取担保的可能性、信用记录及其它因素诸如目前市场状况等评估债务人的信用资质并设置</w:t>
      </w:r>
      <w:r>
        <w:rPr>
          <w:spacing w:val="-81"/>
        </w:rPr>
        <w:t> </w:t>
      </w:r>
      <w:r>
        <w:rPr>
          <w:spacing w:val="-81"/>
        </w:rPr>
      </w:r>
      <w:r>
        <w:rPr>
          <w:spacing w:val="-1"/>
        </w:rPr>
        <w:t>相应欠款额度与信用期限。本集团会定期对债务人信用记录进行监控，对于信用记录不良的债务人，本集</w:t>
      </w:r>
      <w:r>
        <w:rPr>
          <w:spacing w:val="-83"/>
        </w:rPr>
        <w:t> </w:t>
      </w:r>
      <w:r>
        <w:rPr>
          <w:spacing w:val="-83"/>
        </w:rPr>
      </w:r>
      <w:r>
        <w:rPr/>
        <w:t>团会采用书面催款、缩短信用期或取消信用期等方式，以确保本集团的整体信用风险在可控的范围内。</w:t>
      </w:r>
    </w:p>
    <w:p>
      <w:pPr>
        <w:pStyle w:val="BodyText"/>
        <w:spacing w:line="326" w:lineRule="auto" w:before="144"/>
        <w:ind w:left="153" w:right="152" w:firstLine="420"/>
        <w:jc w:val="both"/>
      </w:pPr>
      <w:r>
        <w:rPr>
          <w:spacing w:val="-1"/>
        </w:rPr>
        <w:t>本集团所承受的最大信用风险敞口为资产负债表中每项金融资产的账面金额。本集团没有提供任何其</w:t>
      </w:r>
      <w:r>
        <w:rPr/>
        <w:t> 他可能令本集团承受信用风险的担保。</w:t>
      </w:r>
    </w:p>
    <w:p>
      <w:pPr>
        <w:pStyle w:val="BodyText"/>
        <w:spacing w:line="240" w:lineRule="auto" w:before="144"/>
        <w:ind w:left="573" w:right="0"/>
        <w:jc w:val="left"/>
      </w:pPr>
      <w:r>
        <w:rPr/>
        <w:t>本集团应收账款中，欠款金额前五大客户的应收账款占本集团应收账款总额的</w:t>
      </w:r>
      <w:r>
        <w:rPr>
          <w:rFonts w:ascii="Times New Roman" w:hAnsi="Times New Roman" w:cs="Times New Roman" w:eastAsia="Times New Roman" w:hint="default"/>
        </w:rPr>
        <w:t>23.82%</w:t>
      </w:r>
      <w:r>
        <w:rPr/>
        <w:t>（</w:t>
      </w:r>
      <w:r>
        <w:rPr>
          <w:rFonts w:ascii="Times New Roman" w:hAnsi="Times New Roman" w:cs="Times New Roman" w:eastAsia="Times New Roman" w:hint="default"/>
        </w:rPr>
        <w:t>2014</w:t>
      </w:r>
      <w:r>
        <w:rPr/>
        <w:t>年：</w:t>
      </w:r>
    </w:p>
    <w:p>
      <w:pPr>
        <w:pStyle w:val="BodyText"/>
        <w:spacing w:line="240" w:lineRule="auto" w:before="83"/>
        <w:ind w:left="153" w:right="0"/>
        <w:jc w:val="both"/>
        <w:rPr>
          <w:rFonts w:ascii="Times New Roman" w:hAnsi="Times New Roman" w:cs="Times New Roman" w:eastAsia="Times New Roman" w:hint="default"/>
        </w:rPr>
      </w:pPr>
      <w:r>
        <w:rPr>
          <w:rFonts w:ascii="Times New Roman" w:hAnsi="Times New Roman" w:cs="Times New Roman" w:eastAsia="Times New Roman" w:hint="default"/>
        </w:rPr>
        <w:t>27.62%</w:t>
      </w:r>
      <w:r>
        <w:rPr/>
        <w:t>）；本集团其他应收款中，欠款金额前五大公司的其他应收款占本集团其他应收款总额的</w:t>
      </w:r>
      <w:r>
        <w:rPr>
          <w:rFonts w:ascii="Times New Roman" w:hAnsi="Times New Roman" w:cs="Times New Roman" w:eastAsia="Times New Roman" w:hint="default"/>
        </w:rPr>
        <w:t>25.87%</w:t>
      </w:r>
    </w:p>
    <w:p>
      <w:pPr>
        <w:pStyle w:val="BodyText"/>
        <w:spacing w:line="240" w:lineRule="auto" w:before="83"/>
        <w:ind w:left="153" w:right="0"/>
        <w:jc w:val="both"/>
      </w:pP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32.42%</w:t>
      </w:r>
      <w:r>
        <w:rPr/>
        <w:t>）。</w:t>
      </w:r>
    </w:p>
    <w:p>
      <w:pPr>
        <w:spacing w:line="240" w:lineRule="auto" w:before="7"/>
        <w:rPr>
          <w:rFonts w:ascii="宋体" w:hAnsi="宋体" w:cs="宋体" w:eastAsia="宋体" w:hint="default"/>
          <w:sz w:val="15"/>
          <w:szCs w:val="15"/>
        </w:rPr>
      </w:pPr>
    </w:p>
    <w:p>
      <w:pPr>
        <w:pStyle w:val="BodyText"/>
        <w:spacing w:line="408" w:lineRule="auto"/>
        <w:ind w:left="573" w:right="323"/>
        <w:jc w:val="left"/>
      </w:pPr>
      <w:r>
        <w:rPr/>
        <w:t>（</w:t>
      </w:r>
      <w:r>
        <w:rPr>
          <w:rFonts w:ascii="Times New Roman" w:hAnsi="Times New Roman" w:cs="Times New Roman" w:eastAsia="Times New Roman" w:hint="default"/>
        </w:rPr>
        <w:t>2</w:t>
      </w:r>
      <w:r>
        <w:rPr/>
        <w:t>）流动性风险 流动性风险，是指本集团在履行以交付现金或其他金融资产的方式结算的义务时发生资金短缺的风</w:t>
      </w:r>
    </w:p>
    <w:p>
      <w:pPr>
        <w:pStyle w:val="BodyText"/>
        <w:spacing w:line="227" w:lineRule="exact"/>
        <w:ind w:left="153" w:right="0"/>
        <w:jc w:val="both"/>
      </w:pPr>
      <w:r>
        <w:rPr/>
        <w:t>险。</w:t>
      </w:r>
    </w:p>
    <w:p>
      <w:pPr>
        <w:spacing w:after="0" w:line="227" w:lineRule="exact"/>
        <w:jc w:val="both"/>
        <w:sectPr>
          <w:pgSz w:w="11910" w:h="16840"/>
          <w:pgMar w:header="917" w:footer="1267" w:top="1140" w:bottom="1460" w:left="980" w:right="980"/>
        </w:sectPr>
      </w:pPr>
    </w:p>
    <w:p>
      <w:pPr>
        <w:spacing w:line="240" w:lineRule="auto" w:before="6"/>
        <w:rPr>
          <w:rFonts w:ascii="宋体" w:hAnsi="宋体" w:cs="宋体" w:eastAsia="宋体" w:hint="default"/>
          <w:sz w:val="21"/>
          <w:szCs w:val="21"/>
        </w:rPr>
      </w:pPr>
    </w:p>
    <w:p>
      <w:pPr>
        <w:pStyle w:val="BodyText"/>
        <w:spacing w:line="326" w:lineRule="auto" w:before="35"/>
        <w:ind w:left="154" w:right="103" w:firstLine="420"/>
        <w:jc w:val="left"/>
      </w:pPr>
      <w:r>
        <w:rPr/>
        <w:t>管理流动风险时，本集团保持管理层认为充分的现金及现金等价物并对其进行监控，以满足本集团经 </w:t>
      </w:r>
      <w:r>
        <w:rPr>
          <w:spacing w:val="-3"/>
        </w:rPr>
        <w:t>营需要，并降低现金流量波动的影响。本集团管理层对银行借款的使用情况进行监控并确保遵守借款协议。</w:t>
      </w:r>
      <w:r>
        <w:rPr>
          <w:spacing w:val="-92"/>
        </w:rPr>
        <w:t> </w:t>
      </w:r>
      <w:r>
        <w:rPr>
          <w:spacing w:val="-92"/>
        </w:rPr>
      </w:r>
      <w:r>
        <w:rPr/>
        <w:t>同时从主要金融机构获得提供足够备用资金的承诺，以满足短期和长期的资金需求。</w:t>
      </w:r>
    </w:p>
    <w:p>
      <w:pPr>
        <w:pStyle w:val="BodyText"/>
        <w:spacing w:line="326" w:lineRule="auto" w:before="144"/>
        <w:ind w:left="154" w:right="172" w:firstLine="420"/>
        <w:jc w:val="left"/>
      </w:pPr>
      <w:r>
        <w:rPr/>
        <w:t>年末本集团持有的金融负债和表外担保项目按未折现剩余合同现金流量的到期期限分析如下（单位： 人民币元）：</w:t>
      </w:r>
    </w:p>
    <w:p>
      <w:pPr>
        <w:spacing w:line="240" w:lineRule="auto" w:before="10"/>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089"/>
        <w:gridCol w:w="1259"/>
        <w:gridCol w:w="1330"/>
        <w:gridCol w:w="1114"/>
        <w:gridCol w:w="1076"/>
        <w:gridCol w:w="1258"/>
      </w:tblGrid>
      <w:tr>
        <w:trPr>
          <w:trHeight w:val="427" w:hRule="exact"/>
        </w:trPr>
        <w:tc>
          <w:tcPr>
            <w:tcW w:w="3089" w:type="dxa"/>
            <w:vMerge w:val="restart"/>
            <w:tcBorders>
              <w:top w:val="single" w:sz="6" w:space="0" w:color="000000"/>
              <w:left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603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27" w:hRule="exact"/>
        </w:trPr>
        <w:tc>
          <w:tcPr>
            <w:tcW w:w="3089" w:type="dxa"/>
            <w:vMerge/>
            <w:tcBorders>
              <w:left w:val="single" w:sz="6" w:space="0" w:color="000000"/>
              <w:bottom w:val="single" w:sz="6" w:space="0" w:color="000000"/>
              <w:right w:val="single" w:sz="6" w:space="0" w:color="000000"/>
            </w:tcBorders>
          </w:tcPr>
          <w:p>
            <w:pP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一至二年以内</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
              <w:jc w:val="right"/>
              <w:rPr>
                <w:rFonts w:ascii="宋体" w:hAnsi="宋体" w:cs="宋体" w:eastAsia="宋体" w:hint="default"/>
                <w:sz w:val="18"/>
                <w:szCs w:val="18"/>
              </w:rPr>
            </w:pPr>
            <w:r>
              <w:rPr>
                <w:rFonts w:ascii="宋体" w:hAnsi="宋体" w:cs="宋体" w:eastAsia="宋体" w:hint="default"/>
                <w:sz w:val="18"/>
                <w:szCs w:val="18"/>
              </w:rPr>
              <w:t>二至三年以内</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26"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59"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076" w:type="dxa"/>
            <w:tcBorders>
              <w:top w:val="single" w:sz="6" w:space="0" w:color="000000"/>
              <w:left w:val="single" w:sz="6" w:space="0" w:color="000000"/>
              <w:bottom w:val="single" w:sz="6" w:space="0" w:color="000000"/>
              <w:right w:val="single" w:sz="6" w:space="0" w:color="000000"/>
            </w:tcBorders>
          </w:tcPr>
          <w:p>
            <w:pPr/>
          </w:p>
        </w:tc>
        <w:tc>
          <w:tcPr>
            <w:tcW w:w="1258"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83,480,689.75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4,186,417.77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87,667,107.52</w:t>
            </w:r>
          </w:p>
        </w:tc>
      </w:tr>
      <w:tr>
        <w:trPr>
          <w:trHeight w:val="427"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66,224,968.14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66,224,968.14</w:t>
            </w:r>
          </w:p>
        </w:tc>
      </w:tr>
      <w:tr>
        <w:trPr>
          <w:trHeight w:val="427"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8,586,795.58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8,586,795.58</w:t>
            </w:r>
          </w:p>
        </w:tc>
      </w:tr>
      <w:tr>
        <w:trPr>
          <w:trHeight w:val="427"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20,244,798.20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4,448,432.00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24,693,230.20</w:t>
            </w:r>
          </w:p>
        </w:tc>
      </w:tr>
      <w:tr>
        <w:trPr>
          <w:trHeight w:val="427" w:hRule="exact"/>
        </w:trPr>
        <w:tc>
          <w:tcPr>
            <w:tcW w:w="30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178,537,251.67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8,634,849.77</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187,172,101.44</w:t>
            </w:r>
          </w:p>
        </w:tc>
      </w:tr>
    </w:tbl>
    <w:p>
      <w:pPr>
        <w:spacing w:line="240" w:lineRule="auto" w:before="10"/>
        <w:rPr>
          <w:rFonts w:ascii="宋体" w:hAnsi="宋体" w:cs="宋体" w:eastAsia="宋体" w:hint="default"/>
          <w:sz w:val="7"/>
          <w:szCs w:val="7"/>
        </w:rPr>
      </w:pPr>
    </w:p>
    <w:p>
      <w:pPr>
        <w:pStyle w:val="BodyText"/>
        <w:spacing w:line="326" w:lineRule="auto" w:before="35"/>
        <w:ind w:left="154" w:right="172" w:firstLine="420"/>
        <w:jc w:val="left"/>
      </w:pPr>
      <w:r>
        <w:rPr/>
        <w:t>年初本集团持有的金融负债和表外担保项目按未折现剩余合同现金流量的到期期限分析如下（单位： 人民币元）：</w:t>
      </w:r>
    </w:p>
    <w:p>
      <w:pPr>
        <w:spacing w:line="240" w:lineRule="auto" w:before="10"/>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029"/>
        <w:gridCol w:w="1295"/>
        <w:gridCol w:w="1267"/>
        <w:gridCol w:w="1190"/>
        <w:gridCol w:w="1046"/>
        <w:gridCol w:w="1297"/>
      </w:tblGrid>
      <w:tr>
        <w:trPr>
          <w:trHeight w:val="427" w:hRule="exact"/>
        </w:trPr>
        <w:tc>
          <w:tcPr>
            <w:tcW w:w="3029" w:type="dxa"/>
            <w:vMerge w:val="restart"/>
            <w:tcBorders>
              <w:top w:val="single" w:sz="6" w:space="0" w:color="000000"/>
              <w:left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609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27" w:hRule="exact"/>
        </w:trPr>
        <w:tc>
          <w:tcPr>
            <w:tcW w:w="3029" w:type="dxa"/>
            <w:vMerge/>
            <w:tcBorders>
              <w:left w:val="single" w:sz="6" w:space="0" w:color="000000"/>
              <w:bottom w:val="single" w:sz="6" w:space="0" w:color="000000"/>
              <w:right w:val="single" w:sz="6" w:space="0" w:color="000000"/>
            </w:tcBorders>
          </w:tcPr>
          <w:p>
            <w:pP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一至二年以内</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二至三年以内</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54"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70"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427" w:hRule="exact"/>
        </w:trPr>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9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
        </w:tc>
        <w:tc>
          <w:tcPr>
            <w:tcW w:w="1046" w:type="dxa"/>
            <w:tcBorders>
              <w:top w:val="single" w:sz="6" w:space="0" w:color="000000"/>
              <w:left w:val="single" w:sz="6" w:space="0" w:color="000000"/>
              <w:bottom w:val="single" w:sz="6" w:space="0" w:color="000000"/>
              <w:right w:val="single" w:sz="6" w:space="0" w:color="000000"/>
            </w:tcBorders>
          </w:tcPr>
          <w:p>
            <w:pPr/>
          </w:p>
        </w:tc>
        <w:tc>
          <w:tcPr>
            <w:tcW w:w="1297"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63,720,141.81</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3,521,377.02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67,241,518.83</w:t>
            </w:r>
          </w:p>
        </w:tc>
      </w:tr>
      <w:tr>
        <w:trPr>
          <w:trHeight w:val="427" w:hRule="exact"/>
        </w:trPr>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53,043,033.07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53,043,033.07</w:t>
            </w:r>
          </w:p>
        </w:tc>
      </w:tr>
      <w:tr>
        <w:trPr>
          <w:trHeight w:val="427" w:hRule="exact"/>
        </w:trPr>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32,299,503.04</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5,199,816.05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37,499,319.09</w:t>
            </w:r>
          </w:p>
        </w:tc>
      </w:tr>
      <w:tr>
        <w:trPr>
          <w:trHeight w:val="427" w:hRule="exact"/>
        </w:trPr>
        <w:tc>
          <w:tcPr>
            <w:tcW w:w="30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金融负债和或有负债合计</w:t>
            </w:r>
          </w:p>
        </w:tc>
        <w:tc>
          <w:tcPr>
            <w:tcW w:w="12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149,062,677.92</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8,721,193.07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hAnsi="宋体" w:cs="宋体" w:eastAsia="宋体" w:hint="default"/>
                <w:sz w:val="18"/>
                <w:szCs w:val="18"/>
              </w:rPr>
              <w:t>－</w:t>
            </w:r>
          </w:p>
        </w:tc>
        <w:tc>
          <w:tcPr>
            <w:tcW w:w="12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157,783,870.99</w:t>
            </w:r>
          </w:p>
        </w:tc>
      </w:tr>
    </w:tbl>
    <w:p>
      <w:pPr>
        <w:spacing w:line="240" w:lineRule="auto" w:before="10"/>
        <w:rPr>
          <w:rFonts w:ascii="宋体" w:hAnsi="宋体" w:cs="宋体" w:eastAsia="宋体" w:hint="default"/>
          <w:sz w:val="7"/>
          <w:szCs w:val="7"/>
        </w:rPr>
      </w:pPr>
    </w:p>
    <w:p>
      <w:pPr>
        <w:pStyle w:val="BodyText"/>
        <w:spacing w:line="326" w:lineRule="auto" w:before="35"/>
        <w:ind w:left="154" w:right="97" w:firstLine="420"/>
        <w:jc w:val="left"/>
      </w:pPr>
      <w:r>
        <w:rPr>
          <w:spacing w:val="-1"/>
        </w:rPr>
        <w:t>上表中披露的金融负债金额为未经折现的合同现金流量，因而可能与资产负债表中的账面金额有所不</w:t>
      </w:r>
      <w:r>
        <w:rPr/>
        <w:t> 同。</w:t>
      </w:r>
    </w:p>
    <w:p>
      <w:pPr>
        <w:pStyle w:val="BodyText"/>
        <w:spacing w:line="408" w:lineRule="auto" w:before="144"/>
        <w:ind w:right="172"/>
        <w:jc w:val="left"/>
      </w:pPr>
      <w:r>
        <w:rPr/>
        <w:t>（</w:t>
      </w:r>
      <w:r>
        <w:rPr>
          <w:rFonts w:ascii="Times New Roman" w:hAnsi="Times New Roman" w:cs="Times New Roman" w:eastAsia="Times New Roman" w:hint="default"/>
        </w:rPr>
        <w:t>3</w:t>
      </w:r>
      <w:r>
        <w:rPr/>
        <w:t>）市场风险 金融工具的市场风险，是指金融工具的公允价值或未来现金流量因市场价格变动而发生波动的风险，</w:t>
      </w:r>
    </w:p>
    <w:p>
      <w:pPr>
        <w:pStyle w:val="BodyText"/>
        <w:spacing w:line="227" w:lineRule="exact"/>
        <w:ind w:left="154" w:right="97"/>
        <w:jc w:val="left"/>
      </w:pPr>
      <w:r>
        <w:rPr/>
        <w:t>包括利率风险、汇率风险和其他价格风险。</w:t>
      </w:r>
    </w:p>
    <w:p>
      <w:pPr>
        <w:pStyle w:val="BodyText"/>
        <w:spacing w:line="490" w:lineRule="atLeast" w:before="4"/>
        <w:ind w:right="97"/>
        <w:jc w:val="left"/>
      </w:pPr>
      <w:r>
        <w:rPr/>
        <w:t>利率风险 </w:t>
      </w:r>
      <w:r>
        <w:rPr>
          <w:spacing w:val="-1"/>
        </w:rPr>
        <w:t>利率风险，是指金融工具的公允价值或未来现金流量因市场利率变动而发生波动的风险。利率风险可</w:t>
      </w:r>
    </w:p>
    <w:p>
      <w:pPr>
        <w:pStyle w:val="BodyText"/>
        <w:spacing w:line="432" w:lineRule="auto" w:before="99"/>
        <w:ind w:right="3322" w:hanging="420"/>
        <w:jc w:val="left"/>
      </w:pPr>
      <w:r>
        <w:rPr/>
        <w:t>源于已确认的计息金融工具和未确认的金融工具（如某些贷款承诺）。 本集团的利率风险主要产生于货币资金。</w:t>
      </w:r>
    </w:p>
    <w:p>
      <w:pPr>
        <w:spacing w:after="0" w:line="432" w:lineRule="auto"/>
        <w:jc w:val="left"/>
        <w:sectPr>
          <w:pgSz w:w="11910" w:h="16840"/>
          <w:pgMar w:header="917" w:footer="1267" w:top="1140" w:bottom="1460" w:left="980" w:right="920"/>
        </w:sectPr>
      </w:pPr>
    </w:p>
    <w:p>
      <w:pPr>
        <w:spacing w:line="240" w:lineRule="auto" w:before="6"/>
        <w:rPr>
          <w:rFonts w:ascii="宋体" w:hAnsi="宋体" w:cs="宋体" w:eastAsia="宋体" w:hint="default"/>
          <w:sz w:val="21"/>
          <w:szCs w:val="21"/>
        </w:rPr>
      </w:pPr>
    </w:p>
    <w:p>
      <w:pPr>
        <w:pStyle w:val="BodyText"/>
        <w:spacing w:line="240" w:lineRule="auto" w:before="35"/>
        <w:ind w:right="0"/>
        <w:jc w:val="left"/>
      </w:pPr>
      <w:bookmarkStart w:name="2、持续和非持续第一层次公允价值计量项目市价的确定依据" w:id="413"/>
      <w:bookmarkEnd w:id="413"/>
      <w:r>
        <w:rPr/>
      </w:r>
      <w:r>
        <w:rPr/>
        <w:t>汇率风险</w:t>
      </w:r>
    </w:p>
    <w:p>
      <w:pPr>
        <w:spacing w:line="240" w:lineRule="auto" w:before="10"/>
        <w:rPr>
          <w:rFonts w:ascii="宋体" w:hAnsi="宋体" w:cs="宋体" w:eastAsia="宋体" w:hint="default"/>
          <w:sz w:val="16"/>
          <w:szCs w:val="16"/>
        </w:rPr>
      </w:pPr>
    </w:p>
    <w:p>
      <w:pPr>
        <w:pStyle w:val="BodyText"/>
        <w:spacing w:line="326" w:lineRule="auto"/>
        <w:ind w:left="154" w:right="0" w:firstLine="420"/>
        <w:jc w:val="left"/>
      </w:pPr>
      <w:r>
        <w:rPr>
          <w:spacing w:val="-1"/>
        </w:rPr>
        <w:t>汇率风险，是指金融工具的公允价值或未来现金流量因外汇汇率变动而发生波动的风险。汇率风险可</w:t>
      </w:r>
      <w:r>
        <w:rPr/>
        <w:t> 源于以记账本位币之外的外币进行计价的金融工具。</w:t>
      </w:r>
    </w:p>
    <w:p>
      <w:pPr>
        <w:pStyle w:val="BodyText"/>
        <w:spacing w:line="326" w:lineRule="auto" w:before="144"/>
        <w:ind w:left="154" w:right="0" w:firstLine="420"/>
        <w:jc w:val="left"/>
      </w:pPr>
      <w:r>
        <w:rPr>
          <w:spacing w:val="-1"/>
        </w:rPr>
        <w:t>本集团的主要经营位于中国境内，主要业务以人民币结算。因此，本集团所承担的外汇变动市场风险</w:t>
      </w:r>
      <w:r>
        <w:rPr/>
        <w:t> 不重大。</w:t>
      </w:r>
    </w:p>
    <w:p>
      <w:pPr>
        <w:pStyle w:val="BodyText"/>
        <w:spacing w:line="420" w:lineRule="auto" w:before="144"/>
        <w:ind w:left="573" w:right="0"/>
        <w:jc w:val="left"/>
      </w:pPr>
      <w:r>
        <w:rPr/>
        <w:t>本集团年末外币金融资产和外币金融负债列示见本附注项目注释其他之外币货币性项目说明。 </w:t>
      </w:r>
      <w:r>
        <w:rPr>
          <w:rFonts w:ascii="Times New Roman" w:hAnsi="Times New Roman" w:cs="Times New Roman" w:eastAsia="Times New Roman" w:hint="default"/>
        </w:rPr>
        <w:t>2</w:t>
      </w:r>
      <w:r>
        <w:rPr/>
        <w:t>、资本管理 </w:t>
      </w:r>
      <w:r>
        <w:rPr>
          <w:spacing w:val="-1"/>
        </w:rPr>
        <w:t>本集团资本管理政策的目标是为了保障本集团能够持续经营，从而为股东提供回报，并使其他利益相</w:t>
      </w:r>
    </w:p>
    <w:p>
      <w:pPr>
        <w:pStyle w:val="BodyText"/>
        <w:spacing w:line="217" w:lineRule="exact"/>
        <w:ind w:left="153" w:right="0"/>
        <w:jc w:val="left"/>
      </w:pPr>
      <w:r>
        <w:rPr/>
        <w:t>关者获益，同时维持最佳的资本结构以降低资本成本。</w:t>
      </w:r>
    </w:p>
    <w:p>
      <w:pPr>
        <w:spacing w:line="240" w:lineRule="auto" w:before="10"/>
        <w:rPr>
          <w:rFonts w:ascii="宋体" w:hAnsi="宋体" w:cs="宋体" w:eastAsia="宋体" w:hint="default"/>
          <w:sz w:val="16"/>
          <w:szCs w:val="16"/>
        </w:rPr>
      </w:pPr>
    </w:p>
    <w:p>
      <w:pPr>
        <w:pStyle w:val="BodyText"/>
        <w:spacing w:line="326" w:lineRule="auto"/>
        <w:ind w:left="153" w:right="0" w:firstLine="420"/>
        <w:jc w:val="left"/>
      </w:pPr>
      <w:r>
        <w:rPr>
          <w:spacing w:val="-1"/>
        </w:rPr>
        <w:t>为了维持或调整资本结构，本集团可能会调整支付给股东的股利金额、向股东返还资本、发行新股或</w:t>
      </w:r>
      <w:r>
        <w:rPr/>
        <w:t> 出售资产以减低债务。</w:t>
      </w:r>
    </w:p>
    <w:p>
      <w:pPr>
        <w:pStyle w:val="BodyText"/>
        <w:spacing w:line="309" w:lineRule="auto" w:before="144"/>
        <w:ind w:left="153" w:right="0" w:firstLine="420"/>
        <w:jc w:val="left"/>
      </w:pPr>
      <w:r>
        <w:rPr>
          <w:spacing w:val="-1"/>
        </w:rPr>
        <w:t>本集团以资产负债率（即总负债除以总资产）为基础对资本结构进行监控。于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w:t>
      </w:r>
      <w:r>
        <w:rPr/>
        <w:t> 团的资产负债率为</w:t>
      </w:r>
      <w:r>
        <w:rPr>
          <w:rFonts w:ascii="Times New Roman" w:hAnsi="Times New Roman" w:cs="Times New Roman" w:eastAsia="Times New Roman" w:hint="default"/>
        </w:rPr>
        <w:t>23.21%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27.12%</w:t>
      </w:r>
      <w:r>
        <w:rPr/>
        <w:t>）。</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十一、公允价值的披露" w:id="414"/>
      <w:bookmarkEnd w:id="414"/>
      <w:r>
        <w:rPr/>
      </w:r>
      <w:bookmarkStart w:name="1、以公允价值计量的资产和负债的期末公允价值" w:id="415"/>
      <w:bookmarkEnd w:id="415"/>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8"/>
        <w:gridCol w:w="1134"/>
        <w:gridCol w:w="1134"/>
        <w:gridCol w:w="1277"/>
        <w:gridCol w:w="1348"/>
      </w:tblGrid>
      <w:tr>
        <w:trPr>
          <w:trHeight w:val="402" w:hRule="exact"/>
        </w:trPr>
        <w:tc>
          <w:tcPr>
            <w:tcW w:w="4678"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92"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4678" w:type="dxa"/>
            <w:vMerge/>
            <w:tcBorders>
              <w:left w:val="single" w:sz="4" w:space="0" w:color="000000"/>
              <w:bottom w:val="single" w:sz="4" w:space="0" w:color="000000"/>
              <w:right w:val="single" w:sz="4" w:space="0" w:color="000000"/>
            </w:tcBorders>
            <w:shd w:val="clear" w:color="auto" w:fill="D4D4D4"/>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2" w:right="109"/>
              <w:jc w:val="left"/>
              <w:rPr>
                <w:rFonts w:ascii="宋体" w:hAnsi="宋体" w:cs="宋体" w:eastAsia="宋体" w:hint="default"/>
                <w:sz w:val="18"/>
                <w:szCs w:val="18"/>
              </w:rPr>
            </w:pPr>
            <w:r>
              <w:rPr>
                <w:rFonts w:ascii="宋体" w:hAnsi="宋体" w:cs="宋体" w:eastAsia="宋体" w:hint="default"/>
                <w:sz w:val="18"/>
                <w:szCs w:val="18"/>
              </w:rPr>
              <w:t>第一层次公 允价值计量</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2" w:right="109"/>
              <w:jc w:val="left"/>
              <w:rPr>
                <w:rFonts w:ascii="宋体" w:hAnsi="宋体" w:cs="宋体" w:eastAsia="宋体" w:hint="default"/>
                <w:sz w:val="18"/>
                <w:szCs w:val="18"/>
              </w:rPr>
            </w:pPr>
            <w:r>
              <w:rPr>
                <w:rFonts w:ascii="宋体" w:hAnsi="宋体" w:cs="宋体" w:eastAsia="宋体" w:hint="default"/>
                <w:sz w:val="18"/>
                <w:szCs w:val="18"/>
              </w:rPr>
              <w:t>第二层次公 允价值计量</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第三层次公允 价值计量</w:t>
            </w:r>
          </w:p>
        </w:tc>
        <w:tc>
          <w:tcPr>
            <w:tcW w:w="13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二、非持续的公允价值计量</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c>
          <w:tcPr>
            <w:tcW w:w="134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非同一控制下企业合并中取得的被购买方各项可辨认资产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77,994,626.83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77,994,626.83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非持续以公允价值计量的资产总额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77,994,626.83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77,994,626.83</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非同一控制下企业合并中取得的被购买方各项可辨认负债</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14,075,067.89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14,075,067.89</w:t>
            </w:r>
          </w:p>
        </w:tc>
      </w:tr>
      <w:tr>
        <w:trPr>
          <w:trHeight w:val="403" w:hRule="exact"/>
        </w:trPr>
        <w:tc>
          <w:tcPr>
            <w:tcW w:w="467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非持续以公允价值计量的负债总额</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14,075,067.89</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14,075,067.89</w:t>
            </w:r>
          </w:p>
        </w:tc>
      </w:tr>
    </w:tbl>
    <w:p>
      <w:pPr>
        <w:spacing w:line="240" w:lineRule="auto" w:before="2"/>
        <w:rPr>
          <w:rFonts w:ascii="宋体" w:hAnsi="宋体" w:cs="宋体" w:eastAsia="宋体" w:hint="default"/>
          <w:sz w:val="19"/>
          <w:szCs w:val="19"/>
        </w:rPr>
      </w:pPr>
    </w:p>
    <w:p>
      <w:pPr>
        <w:spacing w:line="530" w:lineRule="auto" w:before="35"/>
        <w:ind w:left="574" w:right="418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spacing w:val="1"/>
          <w:w w:val="99"/>
          <w:sz w:val="21"/>
          <w:szCs w:val="21"/>
        </w:rPr>
        <w:t> </w:t>
      </w:r>
      <w:r>
        <w:rPr>
          <w:rFonts w:ascii="宋体" w:hAnsi="宋体" w:cs="宋体" w:eastAsia="宋体" w:hint="default"/>
          <w:sz w:val="21"/>
          <w:szCs w:val="21"/>
        </w:rPr>
        <w:t>相同资产或负债在活跃市场中的报价（未经调整的）。</w:t>
      </w:r>
    </w:p>
    <w:p>
      <w:pPr>
        <w:spacing w:after="0" w:line="530" w:lineRule="auto"/>
        <w:jc w:val="left"/>
        <w:rPr>
          <w:rFonts w:ascii="宋体" w:hAnsi="宋体" w:cs="宋体" w:eastAsia="宋体" w:hint="default"/>
          <w:sz w:val="21"/>
          <w:szCs w:val="21"/>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9、其他" w:id="416"/>
      <w:bookmarkEnd w:id="416"/>
      <w:r>
        <w:rPr>
          <w:b w:val="0"/>
          <w:bCs w:val="0"/>
        </w:rPr>
      </w:r>
      <w:bookmarkStart w:name="十二、关联方及关联交易" w:id="417"/>
      <w:bookmarkEnd w:id="417"/>
      <w:r>
        <w:rPr>
          <w:b w:val="0"/>
          <w:bCs w:val="0"/>
        </w:rPr>
      </w:r>
      <w:bookmarkStart w:name="1、本企业的母公司情况" w:id="418"/>
      <w:bookmarkEnd w:id="418"/>
      <w:r>
        <w:rPr>
          <w:b w:val="0"/>
          <w:bCs w:val="0"/>
        </w:rPr>
      </w:r>
      <w:r>
        <w:rPr>
          <w:rFonts w:ascii="Times New Roman" w:hAnsi="Times New Roman" w:cs="Times New Roman" w:eastAsia="Times New Roman" w:hint="default"/>
        </w:rPr>
        <w:t>3</w:t>
      </w:r>
      <w:bookmarkStart w:name="3、持续和非持续第二层次公允价值计量项目，采用的估值技术和重要参数的定性及定量信" w:id="419"/>
      <w:bookmarkEnd w:id="419"/>
      <w:r>
        <w:rPr>
          <w:rFonts w:ascii="Times New Roman" w:hAnsi="Times New Roman" w:cs="Times New Roman" w:eastAsia="Times New Roman" w:hint="default"/>
        </w:rPr>
      </w:r>
      <w:r>
        <w:rPr/>
        <w:t>、持续和非持续第二层次公允价值计量项目，采用的估值技术和重要参数的定性及定量信息</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0" w:firstLine="420"/>
        <w:jc w:val="left"/>
      </w:pPr>
      <w:r>
        <w:rPr>
          <w:spacing w:val="-1"/>
        </w:rPr>
        <w:t>直接（即价格）或间接（即从价格推导出）地使用除第一层次中的资产或负债的市场报价之外的可观</w:t>
      </w:r>
      <w:r>
        <w:rPr/>
        <w:t> 察输入值。</w:t>
      </w:r>
    </w:p>
    <w:p>
      <w:pPr>
        <w:spacing w:line="240" w:lineRule="auto" w:before="6"/>
        <w:rPr>
          <w:rFonts w:ascii="宋体" w:hAnsi="宋体" w:cs="宋体" w:eastAsia="宋体" w:hint="default"/>
          <w:sz w:val="22"/>
          <w:szCs w:val="22"/>
        </w:rPr>
      </w:pPr>
    </w:p>
    <w:p>
      <w:pPr>
        <w:pStyle w:val="Heading4"/>
        <w:spacing w:line="530" w:lineRule="auto"/>
        <w:ind w:left="574" w:right="1373" w:hanging="420"/>
        <w:jc w:val="left"/>
        <w:rPr>
          <w:rFonts w:ascii="宋体" w:hAnsi="宋体" w:cs="宋体" w:eastAsia="宋体" w:hint="default"/>
          <w:b w:val="0"/>
          <w:bCs w:val="0"/>
        </w:rPr>
      </w:pPr>
      <w:r>
        <w:rPr>
          <w:rFonts w:ascii="Times New Roman" w:hAnsi="Times New Roman" w:cs="Times New Roman" w:eastAsia="Times New Roman" w:hint="default"/>
          <w:w w:val="95"/>
        </w:rPr>
        <w:t>4</w:t>
      </w:r>
      <w:r>
        <w:rPr>
          <w:w w:val="95"/>
        </w:rPr>
        <w:t>、持续和非持</w:t>
      </w:r>
      <w:bookmarkStart w:name="4、持续和非持续第三层次公允价值计量项目，采用的估值技术和重要参数的定性及定量信" w:id="420"/>
      <w:bookmarkEnd w:id="420"/>
      <w:r>
        <w:rPr>
          <w:w w:val="95"/>
        </w:rPr>
        <w:t>续第三层</w:t>
      </w:r>
      <w:r>
        <w:rPr>
          <w:w w:val="95"/>
        </w:rPr>
        <w:t>次公允价值计量项目，采用的估值技术和重要参数的定性及定量信息   </w:t>
      </w:r>
      <w:r>
        <w:rPr>
          <w:spacing w:val="11"/>
          <w:w w:val="95"/>
        </w:rPr>
        <w:t> </w:t>
      </w:r>
      <w:r>
        <w:rPr>
          <w:spacing w:val="11"/>
          <w:w w:val="95"/>
        </w:rPr>
      </w:r>
      <w:r>
        <w:rPr>
          <w:rFonts w:ascii="宋体" w:hAnsi="宋体" w:cs="宋体" w:eastAsia="宋体" w:hint="default"/>
          <w:b w:val="0"/>
          <w:bCs w:val="0"/>
        </w:rPr>
        <w:t>无。</w:t>
      </w:r>
    </w:p>
    <w:p>
      <w:pPr>
        <w:pStyle w:val="Heading4"/>
        <w:spacing w:line="530" w:lineRule="auto" w:before="115"/>
        <w:ind w:left="574" w:right="460" w:hanging="420"/>
        <w:jc w:val="left"/>
        <w:rPr>
          <w:rFonts w:ascii="宋体" w:hAnsi="宋体" w:cs="宋体" w:eastAsia="宋体" w:hint="default"/>
          <w:b w:val="0"/>
          <w:bCs w:val="0"/>
        </w:rPr>
      </w:pPr>
      <w:r>
        <w:rPr>
          <w:rFonts w:ascii="Times New Roman" w:hAnsi="Times New Roman" w:cs="Times New Roman" w:eastAsia="Times New Roman" w:hint="default"/>
          <w:w w:val="95"/>
        </w:rPr>
        <w:t>5</w:t>
      </w:r>
      <w:r>
        <w:rPr>
          <w:w w:val="95"/>
        </w:rPr>
        <w:t>、持续的第三层次公允价</w:t>
      </w:r>
      <w:bookmarkStart w:name="5、持续的第三层次公允价值计量项目，期初与期末账面价值间的调节信息及不可观察参数" w:id="421"/>
      <w:bookmarkEnd w:id="421"/>
      <w:r>
        <w:rPr>
          <w:w w:val="95"/>
        </w:rPr>
        <w:t>值计量项</w:t>
      </w:r>
      <w:r>
        <w:rPr>
          <w:w w:val="95"/>
        </w:rPr>
        <w:t>目，期初与期末账面价值间的调节信息及不可观察参数敏感性分析   </w:t>
      </w:r>
      <w:r>
        <w:rPr>
          <w:spacing w:val="50"/>
          <w:w w:val="95"/>
        </w:rPr>
        <w:t> </w:t>
      </w:r>
      <w:r>
        <w:rPr>
          <w:spacing w:val="50"/>
          <w:w w:val="95"/>
        </w:rPr>
      </w:r>
      <w:r>
        <w:rPr>
          <w:rFonts w:ascii="宋体" w:hAnsi="宋体" w:cs="宋体" w:eastAsia="宋体" w:hint="default"/>
          <w:b w:val="0"/>
          <w:bCs w:val="0"/>
        </w:rPr>
        <w:t>无。</w:t>
      </w:r>
    </w:p>
    <w:p>
      <w:pPr>
        <w:pStyle w:val="Heading4"/>
        <w:spacing w:line="530" w:lineRule="auto" w:before="115"/>
        <w:ind w:left="574" w:right="953" w:hanging="420"/>
        <w:jc w:val="left"/>
        <w:rPr>
          <w:rFonts w:ascii="宋体" w:hAnsi="宋体" w:cs="宋体" w:eastAsia="宋体" w:hint="default"/>
          <w:b w:val="0"/>
          <w:bCs w:val="0"/>
        </w:rPr>
      </w:pPr>
      <w:r>
        <w:rPr>
          <w:rFonts w:ascii="Times New Roman" w:hAnsi="Times New Roman" w:cs="Times New Roman" w:eastAsia="Times New Roman" w:hint="default"/>
          <w:w w:val="95"/>
        </w:rPr>
        <w:t>6</w:t>
      </w:r>
      <w:r>
        <w:rPr>
          <w:w w:val="95"/>
        </w:rPr>
        <w:t>、持续的公允价值计量项目，本期内</w:t>
      </w:r>
      <w:bookmarkStart w:name="6、持续的公允价值计量项目，本期内发生各层级之间转换的，转换的原因及确定转换时点" w:id="422"/>
      <w:bookmarkEnd w:id="422"/>
      <w:r>
        <w:rPr>
          <w:w w:val="95"/>
        </w:rPr>
        <w:t>发生各层</w:t>
      </w:r>
      <w:r>
        <w:rPr>
          <w:w w:val="95"/>
        </w:rPr>
        <w:t>级之间转换的，转换的原因及确定转换时点的政策   </w:t>
      </w:r>
      <w:r>
        <w:rPr>
          <w:spacing w:val="29"/>
          <w:w w:val="95"/>
        </w:rPr>
        <w:t> </w:t>
      </w:r>
      <w:r>
        <w:rPr>
          <w:spacing w:val="29"/>
          <w:w w:val="95"/>
        </w:rPr>
      </w:r>
      <w:r>
        <w:rPr>
          <w:rFonts w:ascii="宋体" w:hAnsi="宋体" w:cs="宋体" w:eastAsia="宋体" w:hint="default"/>
          <w:b w:val="0"/>
          <w:bCs w:val="0"/>
        </w:rPr>
        <w:t>无。</w:t>
      </w:r>
    </w:p>
    <w:p>
      <w:pPr>
        <w:pStyle w:val="Heading4"/>
        <w:spacing w:line="530" w:lineRule="auto" w:before="115"/>
        <w:ind w:left="574" w:right="5872" w:hanging="420"/>
        <w:jc w:val="left"/>
        <w:rPr>
          <w:rFonts w:ascii="宋体" w:hAnsi="宋体" w:cs="宋体" w:eastAsia="宋体" w:hint="default"/>
          <w:b w:val="0"/>
          <w:bCs w:val="0"/>
        </w:rPr>
      </w:pPr>
      <w:r>
        <w:rPr>
          <w:rFonts w:ascii="Times New Roman" w:hAnsi="Times New Roman" w:cs="Times New Roman" w:eastAsia="Times New Roman" w:hint="default"/>
        </w:rPr>
        <w:t>7</w:t>
      </w:r>
      <w:r>
        <w:rPr/>
        <w:t>、本期内发生的估值技术变更及变更原因</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0" w:firstLine="420"/>
        <w:jc w:val="left"/>
      </w:pPr>
      <w:bookmarkStart w:name="7、本期内发生的估值技术变更及变更原因" w:id="423"/>
      <w:bookmarkEnd w:id="423"/>
      <w:r>
        <w:rPr/>
      </w:r>
      <w:r>
        <w:rPr>
          <w:spacing w:val="-1"/>
        </w:rPr>
        <w:t>本集团以摊余成本计量的金融资产和金融负债主要包括：货币资金、</w:t>
      </w:r>
      <w:bookmarkStart w:name="8、不以公允价值计量的金融资产和金融负债的公允价值情况" w:id="424"/>
      <w:bookmarkEnd w:id="424"/>
      <w:r>
        <w:rPr>
          <w:spacing w:val="-1"/>
        </w:rPr>
        <w:t>应收票据</w:t>
      </w:r>
      <w:r>
        <w:rPr>
          <w:spacing w:val="-1"/>
        </w:rPr>
        <w:t>、应收账款、其他应收</w:t>
      </w:r>
      <w:r>
        <w:rPr/>
        <w:t> 款、应付账款、其他应付款等。</w:t>
      </w:r>
    </w:p>
    <w:p>
      <w:pPr>
        <w:pStyle w:val="BodyText"/>
        <w:spacing w:line="240" w:lineRule="auto" w:before="144"/>
        <w:ind w:right="0"/>
        <w:jc w:val="left"/>
      </w:pPr>
      <w:r>
        <w:rPr/>
        <w:t>本集团不以公允价值计量的金融资产和金融负债的账面价值与公允价值相差很小。</w:t>
      </w:r>
    </w:p>
    <w:p>
      <w:pPr>
        <w:spacing w:line="240" w:lineRule="auto" w:before="3"/>
        <w:rPr>
          <w:rFonts w:ascii="宋体" w:hAnsi="宋体" w:cs="宋体" w:eastAsia="宋体" w:hint="default"/>
          <w:sz w:val="28"/>
          <w:szCs w:val="28"/>
        </w:rPr>
      </w:pPr>
    </w:p>
    <w:p>
      <w:pPr>
        <w:pStyle w:val="Heading4"/>
        <w:spacing w:line="240" w:lineRule="auto"/>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0"/>
        <w:rPr>
          <w:rFonts w:ascii="宋体" w:hAnsi="宋体" w:cs="宋体" w:eastAsia="宋体" w:hint="default"/>
          <w:b/>
          <w:bCs/>
          <w:sz w:val="27"/>
          <w:szCs w:val="27"/>
        </w:rPr>
      </w:pPr>
    </w:p>
    <w:p>
      <w:pPr>
        <w:pStyle w:val="BodyText"/>
        <w:spacing w:line="240" w:lineRule="auto"/>
        <w:ind w:right="0"/>
        <w:jc w:val="left"/>
      </w:pPr>
      <w:r>
        <w:rPr/>
        <w:t>无。</w:t>
      </w:r>
    </w:p>
    <w:p>
      <w:pPr>
        <w:spacing w:line="240" w:lineRule="auto" w:before="6"/>
        <w:rPr>
          <w:rFonts w:ascii="宋体" w:hAnsi="宋体" w:cs="宋体" w:eastAsia="宋体" w:hint="default"/>
          <w:sz w:val="26"/>
          <w:szCs w:val="26"/>
        </w:rPr>
      </w:pPr>
    </w:p>
    <w:p>
      <w:pPr>
        <w:pStyle w:val="Heading2"/>
        <w:spacing w:line="240" w:lineRule="auto"/>
        <w:ind w:right="0"/>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088"/>
        <w:gridCol w:w="6193"/>
      </w:tblGrid>
      <w:tr>
        <w:trPr>
          <w:trHeight w:val="427" w:hRule="exact"/>
        </w:trPr>
        <w:tc>
          <w:tcPr>
            <w:tcW w:w="3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关联方名称</w:t>
            </w:r>
          </w:p>
        </w:tc>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与本集团关系</w:t>
            </w:r>
          </w:p>
        </w:tc>
      </w:tr>
      <w:tr>
        <w:trPr>
          <w:trHeight w:val="426" w:hRule="exact"/>
        </w:trPr>
        <w:tc>
          <w:tcPr>
            <w:tcW w:w="3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郭永芳</w:t>
            </w:r>
          </w:p>
        </w:tc>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本公司副董事长，持有本公司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27.28%</w:t>
            </w:r>
            <w:r>
              <w:rPr>
                <w:rFonts w:ascii="宋体" w:hAnsi="宋体" w:cs="宋体" w:eastAsia="宋体" w:hint="default"/>
                <w:sz w:val="18"/>
                <w:szCs w:val="18"/>
              </w:rPr>
              <w:t>股份，本公司实际控制人</w:t>
            </w:r>
          </w:p>
        </w:tc>
      </w:tr>
      <w:tr>
        <w:trPr>
          <w:trHeight w:val="427" w:hRule="exact"/>
        </w:trPr>
        <w:tc>
          <w:tcPr>
            <w:tcW w:w="3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滕达</w:t>
            </w:r>
          </w:p>
        </w:tc>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本公司董事长，郭永芳之子，本公司实际控制人</w:t>
            </w:r>
          </w:p>
        </w:tc>
      </w:tr>
      <w:tr>
        <w:trPr>
          <w:trHeight w:val="427" w:hRule="exact"/>
        </w:trPr>
        <w:tc>
          <w:tcPr>
            <w:tcW w:w="3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李国林</w:t>
            </w:r>
          </w:p>
        </w:tc>
        <w:tc>
          <w:tcPr>
            <w:tcW w:w="6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本公司董事会成员，持有本公司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13.39%</w:t>
            </w:r>
            <w:r>
              <w:rPr>
                <w:rFonts w:ascii="宋体" w:hAnsi="宋体" w:cs="宋体" w:eastAsia="宋体" w:hint="default"/>
                <w:sz w:val="18"/>
                <w:szCs w:val="18"/>
              </w:rPr>
              <w:t>股份</w:t>
            </w:r>
          </w:p>
        </w:tc>
      </w:tr>
    </w:tbl>
    <w:p>
      <w:pPr>
        <w:spacing w:line="240" w:lineRule="auto" w:before="10"/>
        <w:rPr>
          <w:rFonts w:ascii="宋体" w:hAnsi="宋体" w:cs="宋体" w:eastAsia="宋体" w:hint="default"/>
          <w:b/>
          <w:bCs/>
          <w:sz w:val="7"/>
          <w:szCs w:val="7"/>
        </w:rPr>
      </w:pPr>
    </w:p>
    <w:p>
      <w:pPr>
        <w:pStyle w:val="BodyText"/>
        <w:spacing w:line="240" w:lineRule="auto" w:before="35"/>
        <w:ind w:right="0"/>
        <w:jc w:val="left"/>
      </w:pPr>
      <w:r>
        <w:rPr/>
        <w:t>本企业最终控制方是郭永芳和滕达。</w:t>
      </w:r>
    </w:p>
    <w:p>
      <w:pPr>
        <w:spacing w:after="0" w:line="240" w:lineRule="auto"/>
        <w:jc w:val="left"/>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spacing w:line="530" w:lineRule="auto" w:before="35"/>
        <w:ind w:left="574" w:right="5887"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bookmarkStart w:name="2、本企业的子公司情况" w:id="425"/>
      <w:bookmarkEnd w:id="425"/>
      <w:r>
        <w:rPr>
          <w:rFonts w:ascii="Times New Roman" w:hAnsi="Times New Roman" w:cs="Times New Roman" w:eastAsia="Times New Roman" w:hint="default"/>
          <w:b/>
          <w:bCs/>
          <w:sz w:val="21"/>
          <w:szCs w:val="21"/>
        </w:rPr>
      </w:r>
      <w:r>
        <w:rPr>
          <w:rFonts w:ascii="宋体" w:hAnsi="宋体" w:cs="宋体" w:eastAsia="宋体" w:hint="default"/>
          <w:b/>
          <w:bCs/>
          <w:sz w:val="21"/>
          <w:szCs w:val="21"/>
        </w:rPr>
        <w:t>、本企业的子公司情况</w:t>
      </w:r>
      <w:r>
        <w:rPr>
          <w:rFonts w:ascii="宋体" w:hAnsi="宋体" w:cs="宋体" w:eastAsia="宋体" w:hint="default"/>
          <w:b/>
          <w:bCs/>
          <w:spacing w:val="1"/>
          <w:w w:val="99"/>
          <w:sz w:val="21"/>
          <w:szCs w:val="21"/>
        </w:rPr>
        <w:t> </w:t>
      </w:r>
      <w:r>
        <w:rPr>
          <w:rFonts w:ascii="宋体" w:hAnsi="宋体" w:cs="宋体" w:eastAsia="宋体" w:hint="default"/>
          <w:sz w:val="21"/>
          <w:szCs w:val="21"/>
        </w:rPr>
        <w:t>本企业子公司的情况详见附注九、</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p>
    <w:p>
      <w:pPr>
        <w:pStyle w:val="Heading4"/>
        <w:spacing w:line="240" w:lineRule="auto" w:before="72"/>
        <w:ind w:right="0"/>
        <w:jc w:val="left"/>
        <w:rPr>
          <w:b w:val="0"/>
          <w:bCs w:val="0"/>
        </w:rPr>
      </w:pPr>
      <w:r>
        <w:rPr>
          <w:rFonts w:ascii="Times New Roman" w:hAnsi="Times New Roman" w:cs="Times New Roman" w:eastAsia="Times New Roman" w:hint="default"/>
        </w:rPr>
        <w:t>3</w:t>
      </w:r>
      <w:r>
        <w:rPr/>
        <w:t>、本企业合营</w:t>
      </w:r>
      <w:bookmarkStart w:name="3、本企业合营和联营企业情况" w:id="426"/>
      <w:bookmarkEnd w:id="426"/>
      <w:r>
        <w:rPr/>
        <w:t>和联营企</w:t>
      </w:r>
      <w:r>
        <w:rPr/>
        <w:t>业情况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left="573" w:right="0"/>
        <w:jc w:val="left"/>
      </w:pPr>
      <w:r>
        <w:rPr/>
        <w:t>本企业重要的合营或联营企业详见附注九、</w:t>
      </w:r>
      <w:r>
        <w:rPr>
          <w:rFonts w:ascii="Times New Roman" w:hAnsi="Times New Roman" w:cs="Times New Roman" w:eastAsia="Times New Roman" w:hint="default"/>
        </w:rPr>
        <w:t>3</w:t>
      </w:r>
      <w:r>
        <w:rPr/>
        <w:t>。 </w:t>
      </w:r>
      <w:r>
        <w:rPr>
          <w:spacing w:val="-1"/>
        </w:rPr>
        <w:t>本期与本公司发生关联方交易，或前期与本公司发生关联方交易形成余额的其他合营或联营企业情况</w:t>
      </w:r>
    </w:p>
    <w:p>
      <w:pPr>
        <w:pStyle w:val="BodyText"/>
        <w:spacing w:line="227" w:lineRule="exact"/>
        <w:ind w:left="153" w:right="0"/>
        <w:jc w:val="left"/>
      </w:pPr>
      <w:r>
        <w:rPr/>
        <w:t>如下：</w:t>
      </w:r>
    </w:p>
    <w:p>
      <w:pPr>
        <w:spacing w:line="240" w:lineRule="auto" w:before="7"/>
        <w:rPr>
          <w:rFonts w:ascii="宋体" w:hAnsi="宋体" w:cs="宋体" w:eastAsia="宋体" w:hint="default"/>
          <w:sz w:val="15"/>
          <w:szCs w:val="1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8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20"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965"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607" w:right="0"/>
              <w:jc w:val="left"/>
              <w:rPr>
                <w:rFonts w:ascii="宋体" w:hAnsi="宋体" w:cs="宋体" w:eastAsia="宋体" w:hint="default"/>
                <w:sz w:val="18"/>
                <w:szCs w:val="18"/>
              </w:rPr>
            </w:pPr>
            <w:bookmarkStart w:name="4、其他关联方情况" w:id="427"/>
            <w:bookmarkEnd w:id="427"/>
            <w:r>
              <w:rPr/>
            </w: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香港柏科有限公司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本公司实际控制人滕达、郭永芳直系亲属控制企业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10.71%</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本公司持有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w:t>
            </w:r>
            <w:r>
              <w:rPr>
                <w:rFonts w:ascii="宋体" w:hAnsi="宋体" w:cs="宋体" w:eastAsia="宋体" w:hint="default"/>
                <w:sz w:val="18"/>
                <w:szCs w:val="18"/>
              </w:rPr>
              <w:t>股权</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厦门市锐享信息咨询合伙企业（有限合伙）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公司高管栾江霞、吴鸿伟参与设立的合伙企业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厦门市聚恩信息咨询合伙企业（有限合伙）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公司高管吴鸿伟参与设立的合伙企业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644" w:lineRule="exact" w:before="52"/>
        <w:ind w:left="574" w:right="566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spacing w:val="1"/>
          <w:w w:val="99"/>
          <w:sz w:val="21"/>
          <w:szCs w:val="21"/>
        </w:rPr>
        <w:t> </w:t>
      </w:r>
      <w:r>
        <w:rPr>
          <w:rFonts w:ascii="宋体" w:hAnsi="宋体" w:cs="宋体" w:eastAsia="宋体" w:hint="default"/>
          <w:sz w:val="21"/>
          <w:szCs w:val="21"/>
        </w:rPr>
        <w:t>采购商品</w:t>
      </w:r>
      <w:r>
        <w:rPr>
          <w:rFonts w:ascii="Times New Roman" w:hAnsi="Times New Roman" w:cs="Times New Roman" w:eastAsia="Times New Roman" w:hint="default"/>
          <w:sz w:val="21"/>
          <w:szCs w:val="21"/>
        </w:rPr>
        <w:t>/</w:t>
      </w:r>
      <w:r>
        <w:rPr>
          <w:rFonts w:ascii="宋体" w:hAnsi="宋体" w:cs="宋体" w:eastAsia="宋体" w:hint="default"/>
          <w:sz w:val="21"/>
          <w:szCs w:val="21"/>
        </w:rPr>
        <w:t>接受劳务情况表</w:t>
      </w:r>
    </w:p>
    <w:p>
      <w:pPr>
        <w:spacing w:before="115"/>
        <w:ind w:left="0" w:right="152" w:firstLine="0"/>
        <w:jc w:val="right"/>
        <w:rPr>
          <w:rFonts w:ascii="宋体" w:hAnsi="宋体" w:cs="宋体" w:eastAsia="宋体" w:hint="default"/>
          <w:sz w:val="18"/>
          <w:szCs w:val="18"/>
        </w:rPr>
      </w:pPr>
      <w:bookmarkStart w:name="5、关联交易情况" w:id="428"/>
      <w:bookmarkEnd w:id="428"/>
      <w:r>
        <w:rPr/>
      </w:r>
      <w:r>
        <w:rPr>
          <w:rFonts w:ascii="宋体" w:hAnsi="宋体" w:cs="宋体" w:eastAsia="宋体" w:hint="default"/>
          <w:sz w:val="18"/>
          <w:szCs w:val="18"/>
        </w:rPr>
        <w:t>单位： </w:t>
      </w:r>
      <w:bookmarkStart w:name="（1）购销商品、提供和接受劳务的关联交易" w:id="429"/>
      <w:bookmarkEnd w:id="429"/>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1418"/>
        <w:gridCol w:w="1276"/>
        <w:gridCol w:w="1276"/>
        <w:gridCol w:w="1134"/>
        <w:gridCol w:w="1063"/>
      </w:tblGrid>
      <w:tr>
        <w:trPr>
          <w:trHeight w:val="713" w:hRule="exact"/>
        </w:trPr>
        <w:tc>
          <w:tcPr>
            <w:tcW w:w="340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542" w:right="91" w:hanging="450"/>
              <w:jc w:val="left"/>
              <w:rPr>
                <w:rFonts w:ascii="宋体" w:hAnsi="宋体" w:cs="宋体" w:eastAsia="宋体" w:hint="default"/>
                <w:sz w:val="18"/>
                <w:szCs w:val="18"/>
              </w:rPr>
            </w:pPr>
            <w:r>
              <w:rPr>
                <w:rFonts w:ascii="宋体" w:hAnsi="宋体" w:cs="宋体" w:eastAsia="宋体" w:hint="default"/>
                <w:sz w:val="18"/>
                <w:szCs w:val="18"/>
              </w:rPr>
              <w:t>获批的交易额 度</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91" w:right="110" w:hanging="180"/>
              <w:jc w:val="left"/>
              <w:rPr>
                <w:rFonts w:ascii="宋体" w:hAnsi="宋体" w:cs="宋体" w:eastAsia="宋体" w:hint="default"/>
                <w:sz w:val="18"/>
                <w:szCs w:val="18"/>
              </w:rPr>
            </w:pPr>
            <w:r>
              <w:rPr>
                <w:rFonts w:ascii="宋体" w:hAnsi="宋体" w:cs="宋体" w:eastAsia="宋体" w:hint="default"/>
                <w:sz w:val="18"/>
                <w:szCs w:val="18"/>
              </w:rPr>
              <w:t>是否超过交 易额度</w:t>
            </w:r>
          </w:p>
        </w:tc>
        <w:tc>
          <w:tcPr>
            <w:tcW w:w="10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432,692.31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432,692.31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257,358.49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257,358.49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183,076.42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183,076.42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57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4"/>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14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2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71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117,924.53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445,206.53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4,212,478.63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1,631,764.24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5,555.56</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530" w:lineRule="auto" w:before="35"/>
        <w:ind w:left="574" w:right="5545" w:hanging="420"/>
        <w:jc w:val="left"/>
        <w:rPr>
          <w:rFonts w:ascii="宋体" w:hAnsi="宋体" w:cs="宋体" w:eastAsia="宋体" w:hint="default"/>
          <w:b w:val="0"/>
          <w:bCs w:val="0"/>
        </w:rPr>
      </w:pPr>
      <w:bookmarkStart w:name="（7）关键管理人员报酬" w:id="430"/>
      <w:bookmarkEnd w:id="430"/>
      <w:r>
        <w:rPr>
          <w:b w:val="0"/>
          <w:bCs w:val="0"/>
        </w:rPr>
      </w:r>
      <w:r>
        <w:rPr/>
        <w:t>（</w:t>
      </w:r>
      <w:r>
        <w:rPr>
          <w:rFonts w:ascii="Times New Roman" w:hAnsi="Times New Roman" w:cs="Times New Roman" w:eastAsia="Times New Roman" w:hint="default"/>
        </w:rPr>
        <w:t>2</w:t>
      </w:r>
      <w:r>
        <w:rPr/>
        <w:t>）关联受托</w:t>
      </w:r>
      <w:bookmarkStart w:name="（2）关联受托管理/承包及委托管理/出包情况" w:id="431"/>
      <w:bookmarkEnd w:id="431"/>
      <w:r>
        <w:rPr/>
        <w:t>管</w:t>
      </w:r>
      <w:r>
        <w:rPr/>
        <w:t>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2" w:firstLine="0"/>
        <w:jc w:val="right"/>
        <w:rPr>
          <w:rFonts w:ascii="宋体" w:hAnsi="宋体" w:cs="宋体" w:eastAsia="宋体" w:hint="default"/>
          <w:sz w:val="18"/>
          <w:szCs w:val="18"/>
        </w:rPr>
      </w:pPr>
      <w:bookmarkStart w:name="（3）关联租赁情况" w:id="432"/>
      <w:bookmarkEnd w:id="432"/>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180,000.00</w:t>
            </w:r>
          </w:p>
        </w:tc>
      </w:tr>
    </w:tbl>
    <w:p>
      <w:pPr>
        <w:spacing w:before="51"/>
        <w:ind w:left="57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本公司作为承租方：无。</w:t>
      </w:r>
    </w:p>
    <w:p>
      <w:pPr>
        <w:spacing w:line="240" w:lineRule="auto" w:before="11"/>
        <w:rPr>
          <w:rFonts w:ascii="宋体" w:hAnsi="宋体" w:cs="宋体" w:eastAsia="宋体" w:hint="default"/>
          <w:sz w:val="26"/>
          <w:szCs w:val="26"/>
        </w:rPr>
      </w:pPr>
    </w:p>
    <w:p>
      <w:pPr>
        <w:pStyle w:val="Heading4"/>
        <w:spacing w:line="532" w:lineRule="auto"/>
        <w:ind w:left="574" w:right="7980" w:hanging="420"/>
        <w:jc w:val="left"/>
        <w:rPr>
          <w:rFonts w:ascii="宋体" w:hAnsi="宋体" w:cs="宋体" w:eastAsia="宋体" w:hint="default"/>
          <w:b w:val="0"/>
          <w:bCs w:val="0"/>
        </w:rPr>
      </w:pPr>
      <w:r>
        <w:rPr/>
        <w:t>（</w:t>
      </w:r>
      <w:r>
        <w:rPr>
          <w:rFonts w:ascii="Times New Roman" w:hAnsi="Times New Roman" w:cs="Times New Roman" w:eastAsia="Times New Roman" w:hint="default"/>
        </w:rPr>
        <w:t>4</w:t>
      </w:r>
      <w:r>
        <w:rPr/>
        <w:t>）关联担保情况</w:t>
      </w:r>
      <w:r>
        <w:rPr>
          <w:spacing w:val="1"/>
          <w:w w:val="99"/>
        </w:rPr>
        <w:t> </w:t>
      </w:r>
      <w:r>
        <w:rPr>
          <w:rFonts w:ascii="宋体" w:hAnsi="宋体" w:cs="宋体" w:eastAsia="宋体" w:hint="default"/>
          <w:b w:val="0"/>
          <w:bCs w:val="0"/>
        </w:rPr>
        <w:t>无。</w:t>
      </w:r>
    </w:p>
    <w:p>
      <w:pPr>
        <w:pStyle w:val="Heading4"/>
        <w:spacing w:line="530" w:lineRule="auto" w:before="113"/>
        <w:ind w:left="574" w:right="7770"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）关联方资金拆借</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4）关联担保情况" w:id="433"/>
      <w:bookmarkEnd w:id="433"/>
      <w:r>
        <w:rPr/>
      </w:r>
      <w:bookmarkStart w:name="（5）关联方资金拆借" w:id="434"/>
      <w:bookmarkEnd w:id="434"/>
      <w:r>
        <w:rPr/>
      </w:r>
      <w:bookmarkStart w:name="（6）关联方资产转让、债务重组情况" w:id="435"/>
      <w:bookmarkEnd w:id="435"/>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3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416"/>
              <w:jc w:val="center"/>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3"/>
              <w:jc w:val="left"/>
              <w:rPr>
                <w:rFonts w:ascii="宋体" w:hAnsi="宋体" w:cs="宋体" w:eastAsia="宋体" w:hint="default"/>
                <w:sz w:val="18"/>
                <w:szCs w:val="18"/>
              </w:rPr>
            </w:pPr>
            <w:r>
              <w:rPr>
                <w:rFonts w:ascii="宋体" w:hAnsi="宋体" w:cs="宋体" w:eastAsia="宋体" w:hint="default"/>
                <w:sz w:val="18"/>
                <w:szCs w:val="18"/>
              </w:rPr>
              <w:t>厦门市锐享信息咨询合伙企 业（有限合伙）</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56"/>
              <w:jc w:val="center"/>
              <w:rPr>
                <w:rFonts w:ascii="宋体" w:hAnsi="宋体" w:cs="宋体" w:eastAsia="宋体" w:hint="default"/>
                <w:sz w:val="18"/>
                <w:szCs w:val="18"/>
              </w:rPr>
            </w:pPr>
            <w:r>
              <w:rPr>
                <w:rFonts w:ascii="宋体" w:hAnsi="宋体" w:cs="宋体" w:eastAsia="宋体" w:hint="default"/>
                <w:sz w:val="18"/>
                <w:szCs w:val="18"/>
              </w:rPr>
              <w:t>本公司转让服云科技股权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417,200.00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34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788.00</w:t>
            </w:r>
          </w:p>
        </w:tc>
      </w:tr>
    </w:tbl>
    <w:p>
      <w:pPr>
        <w:spacing w:after="0" w:line="240" w:lineRule="auto"/>
        <w:jc w:val="righ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100"/>
        <w:jc w:val="left"/>
        <w:rPr>
          <w:b w:val="0"/>
          <w:bCs w:val="0"/>
        </w:rPr>
      </w:pPr>
      <w:bookmarkStart w:name="7、关联方承诺" w:id="436"/>
      <w:bookmarkEnd w:id="43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2"/>
        <w:rPr>
          <w:rFonts w:ascii="宋体" w:hAnsi="宋体" w:cs="宋体" w:eastAsia="宋体" w:hint="default"/>
          <w:b/>
          <w:bCs/>
          <w:sz w:val="26"/>
          <w:szCs w:val="26"/>
        </w:rPr>
      </w:pPr>
    </w:p>
    <w:p>
      <w:pPr>
        <w:pStyle w:val="BodyText"/>
        <w:spacing w:line="314" w:lineRule="auto"/>
        <w:ind w:left="153" w:right="83" w:firstLine="420"/>
        <w:jc w:val="left"/>
      </w:pPr>
      <w:bookmarkStart w:name="（8）其他关联交易" w:id="437"/>
      <w:bookmarkEnd w:id="437"/>
      <w:r>
        <w:rPr/>
      </w:r>
      <w:r>
        <w:rPr/>
        <w:t>①本公司与厦门市聚恩信息咨询合伙企业（有限合伙）（以下简称“聚恩合伙”）共同出资设立安胜 科技，安胜科技注册资本</w:t>
      </w:r>
      <w:r>
        <w:rPr>
          <w:rFonts w:ascii="Times New Roman" w:hAnsi="Times New Roman" w:cs="Times New Roman" w:eastAsia="Times New Roman" w:hint="default"/>
        </w:rPr>
        <w:t>1,000</w:t>
      </w:r>
      <w:r>
        <w:rPr/>
        <w:t>万元，其中，本公司以自有资金出资</w:t>
      </w:r>
      <w:r>
        <w:rPr>
          <w:rFonts w:ascii="Times New Roman" w:hAnsi="Times New Roman" w:cs="Times New Roman" w:eastAsia="Times New Roman" w:hint="default"/>
        </w:rPr>
        <w:t>750</w:t>
      </w:r>
      <w:r>
        <w:rPr/>
        <w:t>万元，持股比例</w:t>
      </w:r>
      <w:r>
        <w:rPr>
          <w:rFonts w:ascii="Times New Roman" w:hAnsi="Times New Roman" w:cs="Times New Roman" w:eastAsia="Times New Roman" w:hint="default"/>
        </w:rPr>
        <w:t>75%</w:t>
      </w:r>
      <w:r>
        <w:rPr/>
        <w:t>；聚恩合伙以 货币出资</w:t>
      </w:r>
      <w:r>
        <w:rPr>
          <w:rFonts w:ascii="Times New Roman" w:hAnsi="Times New Roman" w:cs="Times New Roman" w:eastAsia="Times New Roman" w:hint="default"/>
        </w:rPr>
        <w:t>250</w:t>
      </w:r>
      <w:r>
        <w:rPr/>
        <w:t>万元，持股比例</w:t>
      </w:r>
      <w:r>
        <w:rPr>
          <w:rFonts w:ascii="Times New Roman" w:hAnsi="Times New Roman" w:cs="Times New Roman" w:eastAsia="Times New Roman" w:hint="default"/>
        </w:rPr>
        <w:t>25%</w:t>
      </w:r>
      <w:r>
        <w:rPr/>
        <w:t>。因聚恩合伙的合伙人吴鸿伟现任公司副总经理，为公司高级管理人员， 故本次设立安胜科技为与关联方的共同投资。</w:t>
      </w:r>
    </w:p>
    <w:p>
      <w:pPr>
        <w:pStyle w:val="BodyText"/>
        <w:spacing w:line="314" w:lineRule="auto" w:before="154"/>
        <w:ind w:left="153" w:right="183" w:firstLine="420"/>
        <w:jc w:val="left"/>
      </w:pPr>
      <w:r>
        <w:rPr>
          <w:spacing w:val="-3"/>
        </w:rPr>
        <w:t>②本公司与由徐江、孙玉凤、王守道、孟凡华等</w:t>
      </w:r>
      <w:r>
        <w:rPr>
          <w:rFonts w:ascii="Times New Roman" w:hAnsi="Times New Roman" w:cs="Times New Roman" w:eastAsia="Times New Roman" w:hint="default"/>
          <w:spacing w:val="-3"/>
        </w:rPr>
        <w:t>4</w:t>
      </w:r>
      <w:r>
        <w:rPr>
          <w:spacing w:val="-3"/>
        </w:rPr>
        <w:t>位自然人出资设立的嘉兴宏数信息科技合伙企业（以</w:t>
      </w:r>
      <w:r>
        <w:rPr/>
        <w:t> 下简称“嘉兴宏数”）及高峰共同出资设立美亚宏数。美亚宏数注册资本</w:t>
      </w:r>
      <w:r>
        <w:rPr>
          <w:rFonts w:ascii="Times New Roman" w:hAnsi="Times New Roman" w:cs="Times New Roman" w:eastAsia="Times New Roman" w:hint="default"/>
        </w:rPr>
        <w:t>1,000</w:t>
      </w:r>
      <w:r>
        <w:rPr/>
        <w:t>万元，截至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日各投资方尚未出资。因出资方之一高峰现任公司副总经理，为公司高级管理人员，故本次设立美亚宏数</w:t>
      </w:r>
      <w:r>
        <w:rPr>
          <w:spacing w:val="-83"/>
        </w:rPr>
        <w:t> </w:t>
      </w:r>
      <w:r>
        <w:rPr>
          <w:spacing w:val="-83"/>
        </w:rPr>
      </w:r>
      <w:r>
        <w:rPr/>
        <w:t>为与关联方的共同投资。</w:t>
      </w:r>
    </w:p>
    <w:p>
      <w:pPr>
        <w:spacing w:line="240" w:lineRule="auto" w:before="3"/>
        <w:rPr>
          <w:rFonts w:ascii="宋体" w:hAnsi="宋体" w:cs="宋体" w:eastAsia="宋体" w:hint="default"/>
          <w:sz w:val="23"/>
          <w:szCs w:val="23"/>
        </w:rPr>
      </w:pPr>
    </w:p>
    <w:p>
      <w:pPr>
        <w:pStyle w:val="Heading4"/>
        <w:spacing w:line="240" w:lineRule="auto"/>
        <w:ind w:right="10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0" w:right="192" w:firstLine="0"/>
        <w:jc w:val="right"/>
        <w:rPr>
          <w:rFonts w:ascii="宋体" w:hAnsi="宋体" w:cs="宋体" w:eastAsia="宋体" w:hint="default"/>
          <w:sz w:val="18"/>
          <w:szCs w:val="18"/>
        </w:rPr>
      </w:pPr>
      <w:bookmarkStart w:name="6、关联方应收应付款项" w:id="438"/>
      <w:bookmarkEnd w:id="438"/>
      <w:r>
        <w:rPr/>
      </w:r>
      <w:bookmarkStart w:name="（1）应收项目" w:id="439"/>
      <w:bookmarkEnd w:id="439"/>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3262"/>
        <w:gridCol w:w="1274"/>
        <w:gridCol w:w="1134"/>
        <w:gridCol w:w="1418"/>
        <w:gridCol w:w="1344"/>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262"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8"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62" w:type="dxa"/>
            <w:gridSpan w:val="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134" w:type="dxa"/>
            <w:vMerge/>
            <w:tcBorders>
              <w:left w:val="single" w:sz="4" w:space="0" w:color="000000"/>
              <w:bottom w:val="single" w:sz="4" w:space="0" w:color="000000"/>
              <w:right w:val="single" w:sz="4" w:space="0" w:color="000000"/>
            </w:tcBorders>
            <w:shd w:val="clear" w:color="auto" w:fill="D4D4D4"/>
          </w:tcPr>
          <w:p>
            <w:pPr/>
          </w:p>
        </w:tc>
        <w:tc>
          <w:tcPr>
            <w:tcW w:w="3262" w:type="dxa"/>
            <w:vMerge/>
            <w:tcBorders>
              <w:left w:val="single" w:sz="4" w:space="0" w:color="000000"/>
              <w:bottom w:val="single" w:sz="4" w:space="0" w:color="000000"/>
              <w:right w:val="single" w:sz="4" w:space="0" w:color="000000"/>
            </w:tcBorders>
            <w:shd w:val="clear" w:color="auto" w:fill="D4D4D4"/>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3,647,016.24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199,000.82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927,606.84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46,380.34</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84,042.84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4,202.14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2,438.00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121.90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厦门正信世纪信息科技有限公司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7,842.28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392.11</w:t>
            </w:r>
          </w:p>
        </w:tc>
        <w:tc>
          <w:tcPr>
            <w:tcW w:w="141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10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92" w:firstLine="0"/>
        <w:jc w:val="right"/>
        <w:rPr>
          <w:rFonts w:ascii="宋体" w:hAnsi="宋体" w:cs="宋体" w:eastAsia="宋体" w:hint="default"/>
          <w:sz w:val="18"/>
          <w:szCs w:val="18"/>
        </w:rPr>
      </w:pPr>
      <w:bookmarkStart w:name="（2）应付项目" w:id="440"/>
      <w:bookmarkEnd w:id="440"/>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76"/>
        <w:gridCol w:w="3509"/>
        <w:gridCol w:w="2392"/>
        <w:gridCol w:w="2392"/>
      </w:tblGrid>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5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杭州攀克网络技术有限公司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76,923.08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2,061.00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厦门服云信息科技有限公司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135,000.00</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厦门市巨龙信息科技有限公司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24,200.00</w:t>
            </w:r>
          </w:p>
        </w:tc>
      </w:tr>
      <w:tr>
        <w:trPr>
          <w:trHeight w:val="403"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福建宏创科技信息有限公司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331,025.65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530" w:lineRule="auto" w:before="35"/>
        <w:ind w:left="574" w:right="8442" w:hanging="420"/>
        <w:jc w:val="left"/>
        <w:rPr>
          <w:rFonts w:ascii="宋体" w:hAnsi="宋体" w:cs="宋体" w:eastAsia="宋体" w:hint="default"/>
          <w:b w:val="0"/>
          <w:bCs w:val="0"/>
        </w:rPr>
      </w:pPr>
      <w:r>
        <w:rPr>
          <w:rFonts w:ascii="Times New Roman" w:hAnsi="Times New Roman" w:cs="Times New Roman" w:eastAsia="Times New Roman" w:hint="default"/>
        </w:rPr>
        <w:t>7</w:t>
      </w:r>
      <w:r>
        <w:rPr/>
        <w:t>、关联方承诺</w:t>
      </w:r>
      <w:r>
        <w:rPr>
          <w:spacing w:val="1"/>
          <w:w w:val="99"/>
        </w:rPr>
        <w:t> </w:t>
      </w:r>
      <w:r>
        <w:rPr>
          <w:rFonts w:ascii="宋体" w:hAnsi="宋体" w:cs="宋体" w:eastAsia="宋体" w:hint="default"/>
          <w:b w:val="0"/>
          <w:bCs w:val="0"/>
        </w:rPr>
        <w:t>无。</w:t>
      </w:r>
    </w:p>
    <w:p>
      <w:pPr>
        <w:spacing w:after="0" w:line="530" w:lineRule="auto"/>
        <w:jc w:val="left"/>
        <w:rPr>
          <w:rFonts w:ascii="宋体" w:hAnsi="宋体" w:cs="宋体" w:eastAsia="宋体" w:hint="default"/>
        </w:rPr>
        <w:sectPr>
          <w:pgSz w:w="11910" w:h="16840"/>
          <w:pgMar w:header="917" w:footer="1267" w:top="1140" w:bottom="1460" w:left="980" w:right="940"/>
        </w:sectPr>
      </w:pPr>
    </w:p>
    <w:p>
      <w:pPr>
        <w:spacing w:line="240" w:lineRule="auto" w:before="2"/>
        <w:rPr>
          <w:rFonts w:ascii="宋体" w:hAnsi="宋体" w:cs="宋体" w:eastAsia="宋体" w:hint="default"/>
          <w:sz w:val="19"/>
          <w:szCs w:val="19"/>
        </w:rPr>
      </w:pPr>
    </w:p>
    <w:p>
      <w:pPr>
        <w:pStyle w:val="Heading4"/>
        <w:spacing w:line="240" w:lineRule="auto" w:before="35"/>
        <w:ind w:right="97"/>
        <w:jc w:val="left"/>
        <w:rPr>
          <w:b w:val="0"/>
          <w:bCs w:val="0"/>
        </w:rPr>
      </w:pPr>
      <w:bookmarkStart w:name="3、以现金结算的股份支付情况" w:id="441"/>
      <w:bookmarkEnd w:id="441"/>
      <w:r>
        <w:rPr>
          <w:b w:val="0"/>
          <w:bCs w:val="0"/>
        </w:rPr>
      </w:r>
      <w:bookmarkStart w:name="4、股份支付的修改、终止情况" w:id="442"/>
      <w:bookmarkEnd w:id="442"/>
      <w:r>
        <w:rPr>
          <w:b w:val="0"/>
          <w:bCs w:val="0"/>
        </w:rPr>
      </w:r>
      <w:r>
        <w:rPr>
          <w:rFonts w:ascii="Times New Roman" w:hAnsi="Times New Roman" w:cs="Times New Roman" w:eastAsia="Times New Roman" w:hint="default"/>
        </w:rPr>
        <w:t>8</w:t>
      </w:r>
      <w:bookmarkStart w:name="8、其他" w:id="443"/>
      <w:bookmarkEnd w:id="443"/>
      <w:r>
        <w:rPr>
          <w:rFonts w:ascii="Times New Roman" w:hAnsi="Times New Roman" w:cs="Times New Roman" w:eastAsia="Times New Roman" w:hint="default"/>
        </w:rPr>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t>无。</w:t>
      </w:r>
    </w:p>
    <w:p>
      <w:pPr>
        <w:spacing w:line="240" w:lineRule="auto" w:before="6"/>
        <w:rPr>
          <w:rFonts w:ascii="宋体" w:hAnsi="宋体" w:cs="宋体" w:eastAsia="宋体" w:hint="default"/>
          <w:sz w:val="26"/>
          <w:szCs w:val="26"/>
        </w:rPr>
      </w:pPr>
    </w:p>
    <w:p>
      <w:pPr>
        <w:pStyle w:val="Heading2"/>
        <w:spacing w:line="240" w:lineRule="auto"/>
        <w:ind w:right="97"/>
        <w:jc w:val="left"/>
        <w:rPr>
          <w:b w:val="0"/>
          <w:bCs w:val="0"/>
        </w:rPr>
      </w:pPr>
      <w:r>
        <w:rPr/>
        <w:t>十三、</w:t>
      </w:r>
      <w:bookmarkStart w:name="十三、股份支付" w:id="444"/>
      <w:bookmarkEnd w:id="444"/>
      <w:r>
        <w:rPr/>
        <w:t>股份</w:t>
      </w:r>
      <w:r>
        <w:rPr/>
        <w:t>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7"/>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0" w:right="212" w:firstLine="0"/>
        <w:jc w:val="right"/>
        <w:rPr>
          <w:rFonts w:ascii="宋体" w:hAnsi="宋体" w:cs="宋体" w:eastAsia="宋体" w:hint="default"/>
          <w:sz w:val="18"/>
          <w:szCs w:val="18"/>
        </w:rPr>
      </w:pPr>
      <w:bookmarkStart w:name="1、股份支付总体情况" w:id="445"/>
      <w:bookmarkEnd w:id="445"/>
      <w:r>
        <w:rPr/>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582,633.06</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18,750,139.20</w:t>
            </w:r>
          </w:p>
        </w:tc>
      </w:tr>
    </w:tbl>
    <w:p>
      <w:pPr>
        <w:spacing w:line="240" w:lineRule="auto" w:before="10"/>
        <w:rPr>
          <w:rFonts w:ascii="宋体" w:hAnsi="宋体" w:cs="宋体" w:eastAsia="宋体" w:hint="default"/>
          <w:sz w:val="7"/>
          <w:szCs w:val="7"/>
        </w:rPr>
      </w:pPr>
    </w:p>
    <w:p>
      <w:pPr>
        <w:pStyle w:val="BodyText"/>
        <w:spacing w:line="240" w:lineRule="auto" w:before="35"/>
        <w:ind w:right="97"/>
        <w:jc w:val="left"/>
      </w:pPr>
      <w:r>
        <w:rPr/>
        <w:t>其他说明：</w:t>
      </w:r>
    </w:p>
    <w:p>
      <w:pPr>
        <w:spacing w:line="240" w:lineRule="auto" w:before="10"/>
        <w:rPr>
          <w:rFonts w:ascii="宋体" w:hAnsi="宋体" w:cs="宋体" w:eastAsia="宋体" w:hint="default"/>
          <w:sz w:val="16"/>
          <w:szCs w:val="16"/>
        </w:rPr>
      </w:pPr>
    </w:p>
    <w:p>
      <w:pPr>
        <w:pStyle w:val="BodyText"/>
        <w:spacing w:line="309" w:lineRule="auto"/>
        <w:ind w:left="153" w:right="97" w:firstLine="420"/>
        <w:jc w:val="left"/>
      </w:pPr>
      <w:r>
        <w:rPr/>
        <w:t>根据本公司</w:t>
      </w:r>
      <w:r>
        <w:rPr>
          <w:rFonts w:ascii="Times New Roman" w:hAnsi="Times New Roman" w:cs="Times New Roman" w:eastAsia="Times New Roman" w:hint="default"/>
        </w:rPr>
        <w:t>2012</w:t>
      </w:r>
      <w:r>
        <w:rPr>
          <w:rFonts w:ascii="Times New Roman" w:hAnsi="Times New Roman" w:cs="Times New Roman" w:eastAsia="Times New Roman" w:hint="default"/>
          <w:spacing w:val="38"/>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日的第一次临时股东大会、</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日的第一届董事会第二十一次会议和 和修改后的章程规定，本公司以定向增发的方式向</w:t>
      </w:r>
      <w:r>
        <w:rPr>
          <w:rFonts w:ascii="Times New Roman" w:hAnsi="Times New Roman" w:cs="Times New Roman" w:eastAsia="Times New Roman" w:hint="default"/>
        </w:rPr>
        <w:t>201</w:t>
      </w:r>
      <w:r>
        <w:rPr/>
        <w:t>名激励对象授予限制性人民币普通股（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5"/>
        </w:rPr>
        <w:t> </w:t>
      </w:r>
      <w:r>
        <w:rPr>
          <w:spacing w:val="-6"/>
        </w:rPr>
        <w:t>股）</w:t>
      </w:r>
      <w:r>
        <w:rPr>
          <w:rFonts w:ascii="Times New Roman" w:hAnsi="Times New Roman" w:cs="Times New Roman" w:eastAsia="Times New Roman" w:hint="default"/>
          <w:spacing w:val="-6"/>
        </w:rPr>
        <w:t>390.66</w:t>
      </w:r>
      <w:r>
        <w:rPr>
          <w:rFonts w:ascii="Times New Roman" w:hAnsi="Times New Roman" w:cs="Times New Roman" w:eastAsia="Times New Roman" w:hint="default"/>
        </w:rPr>
        <w:t> </w:t>
      </w:r>
      <w:r>
        <w:rPr/>
        <w:t>万股（每股面值</w:t>
      </w:r>
      <w:r>
        <w:rPr>
          <w:rFonts w:ascii="Times New Roman" w:hAnsi="Times New Roman" w:cs="Times New Roman" w:eastAsia="Times New Roman" w:hint="default"/>
        </w:rPr>
        <w:t>1</w:t>
      </w:r>
      <w:r>
        <w:rPr/>
        <w:t>元），授予价格每股</w:t>
      </w:r>
      <w:r>
        <w:rPr>
          <w:rFonts w:ascii="Times New Roman" w:hAnsi="Times New Roman" w:cs="Times New Roman" w:eastAsia="Times New Roman" w:hint="default"/>
        </w:rPr>
        <w:t>8.58</w:t>
      </w:r>
      <w:r>
        <w:rPr/>
        <w:t>元，授予日</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45"/>
        </w:rPr>
        <w:t> </w:t>
      </w:r>
      <w:r>
        <w:rPr/>
        <w:t>日。限制性股票自授予日起</w:t>
      </w:r>
      <w:r>
        <w:rPr>
          <w:rFonts w:ascii="Times New Roman" w:hAnsi="Times New Roman" w:cs="Times New Roman" w:eastAsia="Times New Roman" w:hint="default"/>
        </w:rPr>
        <w:t>12</w:t>
      </w:r>
      <w:r>
        <w:rPr/>
        <w:t>个月 为禁售期，禁售期后</w:t>
      </w:r>
      <w:r>
        <w:rPr>
          <w:rFonts w:ascii="Times New Roman" w:hAnsi="Times New Roman" w:cs="Times New Roman" w:eastAsia="Times New Roman" w:hint="default"/>
        </w:rPr>
        <w:t>24</w:t>
      </w:r>
      <w:r>
        <w:rPr/>
        <w:t>个月为解锁期。在满足激励计划规定的解锁条件时，激励对象可分三期申请限制性 </w:t>
      </w:r>
      <w:r>
        <w:rPr>
          <w:spacing w:val="-8"/>
        </w:rPr>
        <w:t>股票解锁，分别自授予日起</w:t>
      </w:r>
      <w:r>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spacing w:val="-16"/>
        </w:rPr>
        <w:t>个月后、</w:t>
      </w:r>
      <w:r>
        <w:rPr>
          <w:rFonts w:ascii="Times New Roman" w:hAnsi="Times New Roman" w:cs="Times New Roman" w:eastAsia="Times New Roman" w:hint="default"/>
          <w:spacing w:val="-16"/>
        </w:rPr>
        <w:t>24</w:t>
      </w:r>
      <w:r>
        <w:rPr>
          <w:rFonts w:ascii="Times New Roman" w:hAnsi="Times New Roman" w:cs="Times New Roman" w:eastAsia="Times New Roman" w:hint="default"/>
        </w:rPr>
        <w:t> </w:t>
      </w:r>
      <w:r>
        <w:rPr>
          <w:spacing w:val="-1"/>
        </w:rPr>
        <w:t>个月后及</w:t>
      </w:r>
      <w:r>
        <w:rPr>
          <w:rFonts w:ascii="Times New Roman" w:hAnsi="Times New Roman" w:cs="Times New Roman" w:eastAsia="Times New Roman" w:hint="default"/>
          <w:spacing w:val="-1"/>
        </w:rPr>
        <w:t>36</w:t>
      </w:r>
      <w:r>
        <w:rPr>
          <w:spacing w:val="-1"/>
        </w:rPr>
        <w:t>个月后申请所授予的限制性股票总量的</w:t>
      </w:r>
      <w:r>
        <w:rPr>
          <w:spacing w:val="34"/>
        </w:rPr>
        <w:t> </w:t>
      </w:r>
      <w:r>
        <w:rPr>
          <w:rFonts w:ascii="Times New Roman" w:hAnsi="Times New Roman" w:cs="Times New Roman" w:eastAsia="Times New Roman" w:hint="default"/>
          <w:spacing w:val="-12"/>
        </w:rPr>
        <w:t>40%</w:t>
      </w:r>
      <w:r>
        <w:rPr>
          <w:spacing w:val="-12"/>
        </w:rPr>
        <w:t>、</w:t>
      </w:r>
      <w:r>
        <w:rPr>
          <w:rFonts w:ascii="Times New Roman" w:hAnsi="Times New Roman" w:cs="Times New Roman" w:eastAsia="Times New Roman" w:hint="default"/>
          <w:spacing w:val="-12"/>
        </w:rPr>
        <w:t>30%</w:t>
      </w:r>
      <w:r>
        <w:rPr>
          <w:spacing w:val="-12"/>
        </w:rPr>
        <w:t>、</w:t>
      </w:r>
      <w:r>
        <w:rPr/>
        <w:t> </w:t>
      </w:r>
      <w:r>
        <w:rPr>
          <w:rFonts w:ascii="Times New Roman" w:hAnsi="Times New Roman" w:cs="Times New Roman" w:eastAsia="Times New Roman" w:hint="default"/>
        </w:rPr>
        <w:t>30%</w:t>
      </w:r>
      <w:r>
        <w:rPr/>
        <w:t>。因公司实施</w:t>
      </w:r>
      <w:r>
        <w:rPr>
          <w:rFonts w:ascii="Times New Roman" w:hAnsi="Times New Roman" w:cs="Times New Roman" w:eastAsia="Times New Roman" w:hint="default"/>
        </w:rPr>
        <w:t>2012</w:t>
      </w:r>
      <w:r>
        <w:rPr/>
        <w:t>年度利润分配和资本公积转增股本方案、</w:t>
      </w:r>
      <w:r>
        <w:rPr>
          <w:rFonts w:ascii="Times New Roman" w:hAnsi="Times New Roman" w:cs="Times New Roman" w:eastAsia="Times New Roman" w:hint="default"/>
        </w:rPr>
        <w:t>2013</w:t>
      </w:r>
      <w:r>
        <w:rPr/>
        <w:t>年度利润分配方案、</w:t>
      </w:r>
      <w:r>
        <w:rPr>
          <w:rFonts w:ascii="Times New Roman" w:hAnsi="Times New Roman" w:cs="Times New Roman" w:eastAsia="Times New Roman" w:hint="default"/>
        </w:rPr>
        <w:t>2014</w:t>
      </w:r>
      <w:r>
        <w:rPr/>
        <w:t>年度利润分 </w:t>
      </w:r>
      <w:r>
        <w:rPr>
          <w:spacing w:val="-3"/>
        </w:rPr>
        <w:t>配和资本公积转增股本方案，限制性股票授予价格从每股</w:t>
      </w:r>
      <w:r>
        <w:rPr>
          <w:rFonts w:ascii="Times New Roman" w:hAnsi="Times New Roman" w:cs="Times New Roman" w:eastAsia="Times New Roman" w:hint="default"/>
          <w:spacing w:val="-3"/>
        </w:rPr>
        <w:t>8.58</w:t>
      </w:r>
      <w:r>
        <w:rPr>
          <w:spacing w:val="-3"/>
        </w:rPr>
        <w:t>元调整为每股</w:t>
      </w:r>
      <w:r>
        <w:rPr>
          <w:rFonts w:ascii="Times New Roman" w:hAnsi="Times New Roman" w:cs="Times New Roman" w:eastAsia="Times New Roman" w:hint="default"/>
          <w:spacing w:val="-3"/>
        </w:rPr>
        <w:t>2.07</w:t>
      </w:r>
      <w:r>
        <w:rPr>
          <w:spacing w:val="-3"/>
        </w:rPr>
        <w:t>元；</w:t>
      </w:r>
      <w:r>
        <w:rPr>
          <w:rFonts w:ascii="Times New Roman" w:hAnsi="Times New Roman" w:cs="Times New Roman" w:eastAsia="Times New Roman" w:hint="default"/>
          <w:spacing w:val="-3"/>
        </w:rPr>
        <w:t>2013</w:t>
      </w:r>
      <w:r>
        <w:rPr>
          <w:spacing w:val="-3"/>
        </w:rPr>
        <w:t>年 </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日至</w:t>
      </w:r>
      <w:r>
        <w:rPr>
          <w:spacing w:val="2"/>
        </w:rPr>
        <w:t> </w:t>
      </w:r>
      <w:r>
        <w:rPr>
          <w:rFonts w:ascii="Times New Roman" w:hAnsi="Times New Roman" w:cs="Times New Roman" w:eastAsia="Times New Roman" w:hint="default"/>
        </w:rPr>
        <w:t>2015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日为解锁期，本年限制性股票已全部解禁。</w:t>
      </w:r>
    </w:p>
    <w:p>
      <w:pPr>
        <w:spacing w:line="240" w:lineRule="auto" w:before="11"/>
        <w:rPr>
          <w:rFonts w:ascii="宋体" w:hAnsi="宋体" w:cs="宋体" w:eastAsia="宋体" w:hint="default"/>
          <w:sz w:val="21"/>
          <w:szCs w:val="21"/>
        </w:rPr>
      </w:pPr>
    </w:p>
    <w:p>
      <w:pPr>
        <w:pStyle w:val="Heading4"/>
        <w:spacing w:line="240" w:lineRule="auto"/>
        <w:ind w:right="97"/>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0" w:right="212" w:firstLine="0"/>
        <w:jc w:val="right"/>
        <w:rPr>
          <w:rFonts w:ascii="宋体" w:hAnsi="宋体" w:cs="宋体" w:eastAsia="宋体" w:hint="default"/>
          <w:sz w:val="18"/>
          <w:szCs w:val="18"/>
        </w:rPr>
      </w:pPr>
      <w:bookmarkStart w:name="2、以权益结算的股份支付情况" w:id="446"/>
      <w:bookmarkEnd w:id="446"/>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715" w:hRule="exact"/>
        </w:trPr>
        <w:tc>
          <w:tcPr>
            <w:tcW w:w="49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15"/>
                <w:sz w:val="18"/>
                <w:szCs w:val="18"/>
              </w:rPr>
              <w:t>按照授予日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 </w:t>
            </w:r>
            <w:r>
              <w:rPr>
                <w:rFonts w:ascii="Times New Roman" w:hAnsi="Times New Roman" w:cs="Times New Roman" w:eastAsia="Times New Roman" w:hint="default"/>
                <w:sz w:val="18"/>
                <w:szCs w:val="18"/>
              </w:rPr>
              <w:t>6   </w:t>
            </w:r>
            <w:r>
              <w:rPr>
                <w:rFonts w:ascii="Times New Roman" w:hAnsi="Times New Roman" w:cs="Times New Roman" w:eastAsia="Times New Roman" w:hint="default"/>
                <w:spacing w:val="32"/>
                <w:sz w:val="18"/>
                <w:szCs w:val="18"/>
              </w:rPr>
              <w:t> </w:t>
            </w:r>
            <w:r>
              <w:rPr>
                <w:rFonts w:ascii="宋体" w:hAnsi="宋体" w:cs="宋体" w:eastAsia="宋体" w:hint="default"/>
                <w:spacing w:val="17"/>
                <w:sz w:val="18"/>
                <w:szCs w:val="18"/>
              </w:rPr>
              <w:t>日的股票收盘价，根据</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期权定价模型计算限制性股票的公允价值</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资产负债表日股权激励股份实际持有数</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31,366,983.78</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582,633.06</w:t>
            </w:r>
          </w:p>
        </w:tc>
      </w:tr>
    </w:tbl>
    <w:p>
      <w:pPr>
        <w:spacing w:line="240" w:lineRule="auto" w:before="2"/>
        <w:rPr>
          <w:rFonts w:ascii="宋体" w:hAnsi="宋体" w:cs="宋体" w:eastAsia="宋体" w:hint="default"/>
          <w:sz w:val="19"/>
          <w:szCs w:val="19"/>
        </w:rPr>
      </w:pPr>
    </w:p>
    <w:p>
      <w:pPr>
        <w:spacing w:line="530" w:lineRule="auto" w:before="35"/>
        <w:ind w:left="574" w:right="6986"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4"/>
        <w:spacing w:line="530" w:lineRule="auto" w:before="115"/>
        <w:ind w:left="574" w:right="6986" w:hanging="420"/>
        <w:jc w:val="left"/>
        <w:rPr>
          <w:rFonts w:ascii="宋体" w:hAnsi="宋体" w:cs="宋体" w:eastAsia="宋体" w:hint="default"/>
          <w:b w:val="0"/>
          <w:bCs w:val="0"/>
        </w:rPr>
      </w:pPr>
      <w:r>
        <w:rPr>
          <w:rFonts w:ascii="Times New Roman" w:hAnsi="Times New Roman" w:cs="Times New Roman" w:eastAsia="Times New Roman" w:hint="default"/>
        </w:rPr>
        <w:t>4</w:t>
      </w:r>
      <w:r>
        <w:rPr/>
        <w:t>、股份支付的修改、终止情况</w:t>
      </w:r>
      <w:r>
        <w:rPr>
          <w:spacing w:val="1"/>
          <w:w w:val="99"/>
        </w:rPr>
        <w:t> </w:t>
      </w:r>
      <w:r>
        <w:rPr>
          <w:rFonts w:ascii="宋体" w:hAnsi="宋体" w:cs="宋体" w:eastAsia="宋体" w:hint="default"/>
          <w:b w:val="0"/>
          <w:bCs w:val="0"/>
        </w:rPr>
        <w:t>无。</w:t>
      </w:r>
    </w:p>
    <w:p>
      <w:pPr>
        <w:spacing w:after="0" w:line="530" w:lineRule="auto"/>
        <w:jc w:val="left"/>
        <w:rPr>
          <w:rFonts w:ascii="宋体" w:hAnsi="宋体" w:cs="宋体" w:eastAsia="宋体" w:hint="default"/>
        </w:rPr>
        <w:sectPr>
          <w:pgSz w:w="11910" w:h="16840"/>
          <w:pgMar w:header="917" w:footer="1267" w:top="1140" w:bottom="1460" w:left="980" w:right="920"/>
        </w:sectPr>
      </w:pPr>
    </w:p>
    <w:p>
      <w:pPr>
        <w:spacing w:line="240" w:lineRule="auto" w:before="2"/>
        <w:rPr>
          <w:rFonts w:ascii="宋体" w:hAnsi="宋体" w:cs="宋体" w:eastAsia="宋体" w:hint="default"/>
          <w:sz w:val="19"/>
          <w:szCs w:val="19"/>
        </w:rPr>
      </w:pPr>
    </w:p>
    <w:p>
      <w:pPr>
        <w:pStyle w:val="Heading4"/>
        <w:spacing w:line="240" w:lineRule="auto" w:before="35"/>
        <w:ind w:right="97"/>
        <w:jc w:val="left"/>
        <w:rPr>
          <w:b w:val="0"/>
          <w:bCs w:val="0"/>
        </w:rPr>
      </w:pPr>
      <w:r>
        <w:rPr>
          <w:rFonts w:ascii="Times New Roman" w:hAnsi="Times New Roman" w:cs="Times New Roman" w:eastAsia="Times New Roman" w:hint="default"/>
        </w:rPr>
        <w:t>5</w:t>
      </w:r>
      <w:bookmarkStart w:name="5、其他" w:id="447"/>
      <w:bookmarkEnd w:id="447"/>
      <w:r>
        <w:rPr>
          <w:rFonts w:ascii="Times New Roman" w:hAnsi="Times New Roman" w:cs="Times New Roman" w:eastAsia="Times New Roman" w:hint="default"/>
        </w:rPr>
      </w:r>
      <w:r>
        <w:rPr/>
        <w:t>、其他</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t>无。</w:t>
      </w:r>
    </w:p>
    <w:p>
      <w:pPr>
        <w:spacing w:line="240" w:lineRule="auto" w:before="6"/>
        <w:rPr>
          <w:rFonts w:ascii="宋体" w:hAnsi="宋体" w:cs="宋体" w:eastAsia="宋体" w:hint="default"/>
          <w:sz w:val="26"/>
          <w:szCs w:val="26"/>
        </w:rPr>
      </w:pPr>
    </w:p>
    <w:p>
      <w:pPr>
        <w:pStyle w:val="Heading2"/>
        <w:spacing w:line="240" w:lineRule="auto"/>
        <w:ind w:right="97"/>
        <w:jc w:val="left"/>
        <w:rPr>
          <w:b w:val="0"/>
          <w:bCs w:val="0"/>
        </w:rPr>
      </w:pPr>
      <w:bookmarkStart w:name="十四、承诺及或有事项" w:id="448"/>
      <w:bookmarkEnd w:id="448"/>
      <w:r>
        <w:rPr>
          <w:b w:val="0"/>
          <w:bCs w:val="0"/>
        </w:rPr>
      </w:r>
      <w:r>
        <w:rPr/>
        <w:t>十四、承诺及或有事项</w:t>
      </w:r>
      <w:r>
        <w:rPr>
          <w:b w:val="0"/>
          <w:bCs w:val="0"/>
        </w:rPr>
      </w:r>
    </w:p>
    <w:p>
      <w:pPr>
        <w:spacing w:line="644" w:lineRule="exact" w:before="52"/>
        <w:ind w:left="574" w:right="668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bookmarkStart w:name="1、重要承诺事项" w:id="449"/>
      <w:bookmarkEnd w:id="449"/>
      <w:r>
        <w:rPr>
          <w:rFonts w:ascii="宋体" w:hAnsi="宋体" w:cs="宋体" w:eastAsia="宋体" w:hint="default"/>
          <w:b/>
          <w:bCs/>
          <w:w w:val="99"/>
          <w:sz w:val="21"/>
          <w:szCs w:val="21"/>
        </w:rPr>
      </w:r>
      <w:r>
        <w:rPr>
          <w:rFonts w:ascii="宋体" w:hAnsi="宋体" w:cs="宋体" w:eastAsia="宋体" w:hint="default"/>
          <w:sz w:val="21"/>
          <w:szCs w:val="21"/>
        </w:rPr>
        <w:t>资产负债表日存在的重要承诺</w:t>
      </w:r>
    </w:p>
    <w:p>
      <w:pPr>
        <w:pStyle w:val="BodyText"/>
        <w:spacing w:line="240" w:lineRule="auto" w:before="120"/>
        <w:ind w:right="97"/>
        <w:jc w:val="left"/>
      </w:pPr>
      <w:r>
        <w:rPr/>
        <w:t>（</w:t>
      </w:r>
      <w:r>
        <w:rPr>
          <w:rFonts w:ascii="Times New Roman" w:hAnsi="Times New Roman" w:cs="Times New Roman" w:eastAsia="Times New Roman" w:hint="default"/>
        </w:rPr>
        <w:t>1</w:t>
      </w:r>
      <w:r>
        <w:rPr/>
        <w:t>）收购武汉大千</w:t>
      </w:r>
    </w:p>
    <w:p>
      <w:pPr>
        <w:spacing w:line="240" w:lineRule="auto" w:before="7"/>
        <w:rPr>
          <w:rFonts w:ascii="宋体" w:hAnsi="宋体" w:cs="宋体" w:eastAsia="宋体" w:hint="default"/>
          <w:sz w:val="15"/>
          <w:szCs w:val="15"/>
        </w:rPr>
      </w:pPr>
    </w:p>
    <w:p>
      <w:pPr>
        <w:pStyle w:val="BodyText"/>
        <w:spacing w:line="309" w:lineRule="auto"/>
        <w:ind w:left="154" w:right="213" w:firstLine="42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5"/>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日本公司第二届董事会第二十二次（临时）会议审议通过了《关于收购武汉大千信息技 </w:t>
      </w:r>
      <w:r>
        <w:rPr>
          <w:spacing w:val="-1"/>
        </w:rPr>
        <w:t>术有限公司</w:t>
      </w:r>
      <w:r>
        <w:rPr>
          <w:rFonts w:ascii="Times New Roman" w:hAnsi="Times New Roman" w:cs="Times New Roman" w:eastAsia="Times New Roman" w:hint="default"/>
          <w:spacing w:val="-1"/>
        </w:rPr>
        <w:t>51%</w:t>
      </w:r>
      <w:r>
        <w:rPr>
          <w:spacing w:val="-1"/>
        </w:rPr>
        <w:t>股权的议案》，本公司使用自有资金</w:t>
      </w:r>
      <w:r>
        <w:rPr>
          <w:rFonts w:ascii="Times New Roman" w:hAnsi="Times New Roman" w:cs="Times New Roman" w:eastAsia="Times New Roman" w:hint="default"/>
          <w:spacing w:val="-1"/>
        </w:rPr>
        <w:t>3,315</w:t>
      </w:r>
      <w:r>
        <w:rPr>
          <w:spacing w:val="-1"/>
        </w:rPr>
        <w:t>万元，以增资并受让部分股权的方式取得武汉大</w:t>
      </w:r>
      <w:r>
        <w:rPr>
          <w:spacing w:val="-103"/>
        </w:rPr>
        <w:t> </w:t>
      </w:r>
      <w:r>
        <w:rPr>
          <w:spacing w:val="-103"/>
        </w:rPr>
      </w:r>
      <w:r>
        <w:rPr/>
        <w:t>千</w:t>
      </w:r>
      <w:r>
        <w:rPr>
          <w:rFonts w:ascii="Times New Roman" w:hAnsi="Times New Roman" w:cs="Times New Roman" w:eastAsia="Times New Roman" w:hint="default"/>
        </w:rPr>
        <w:t>51%</w:t>
      </w:r>
      <w:r>
        <w:rPr/>
        <w:t>股权。本公司以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日作为收购武汉大千的收购日。</w:t>
      </w:r>
    </w:p>
    <w:p>
      <w:pPr>
        <w:pStyle w:val="BodyText"/>
        <w:spacing w:line="312" w:lineRule="auto" w:before="136"/>
        <w:ind w:left="153" w:right="173" w:firstLine="420"/>
        <w:jc w:val="left"/>
      </w:pPr>
      <w:r>
        <w:rPr/>
        <w:t>根据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日本公司与武汉大千原股东严国建、杨捷、王彬、熊子松签订的《武汉大千信息技 </w:t>
      </w:r>
      <w:r>
        <w:rPr>
          <w:spacing w:val="-1"/>
        </w:rPr>
        <w:t>术有限公司投资协议》，原股东严国建、杨捷、王彬、熊子松对武汉大千的业绩承诺如下：武汉大千经具</w:t>
      </w:r>
      <w:r>
        <w:rPr>
          <w:spacing w:val="-83"/>
        </w:rPr>
        <w:t> </w:t>
      </w:r>
      <w:r>
        <w:rPr>
          <w:spacing w:val="-83"/>
        </w:rPr>
      </w:r>
      <w:r>
        <w:rPr/>
        <w:t>有证券从业资格的审计机构审计后，</w:t>
      </w:r>
      <w:r>
        <w:rPr>
          <w:rFonts w:ascii="Times New Roman" w:hAnsi="Times New Roman" w:cs="Times New Roman" w:eastAsia="Times New Roman" w:hint="default"/>
        </w:rPr>
        <w:t>2015</w:t>
      </w:r>
      <w:r>
        <w:rPr>
          <w:rFonts w:ascii="Times New Roman" w:hAnsi="Times New Roman" w:cs="Times New Roman" w:eastAsia="Times New Roman" w:hint="default"/>
          <w:spacing w:val="30"/>
        </w:rPr>
        <w:t> </w:t>
      </w:r>
      <w:r>
        <w:rPr/>
        <w:t>年度经审计后的净利润不低于</w:t>
      </w:r>
      <w:r>
        <w:rPr>
          <w:rFonts w:ascii="Times New Roman" w:hAnsi="Times New Roman" w:cs="Times New Roman" w:eastAsia="Times New Roman" w:hint="default"/>
        </w:rPr>
        <w:t>660</w:t>
      </w:r>
      <w:r>
        <w:rPr/>
        <w:t>万元，</w:t>
      </w:r>
      <w:r>
        <w:rPr>
          <w:rFonts w:ascii="Times New Roman" w:hAnsi="Times New Roman" w:cs="Times New Roman" w:eastAsia="Times New Roman" w:hint="default"/>
        </w:rPr>
        <w:t>2016</w:t>
      </w:r>
      <w:r>
        <w:rPr/>
        <w:t>年度经审计后的净 利润不低于</w:t>
      </w:r>
      <w:r>
        <w:rPr>
          <w:rFonts w:ascii="Times New Roman" w:hAnsi="Times New Roman" w:cs="Times New Roman" w:eastAsia="Times New Roman" w:hint="default"/>
        </w:rPr>
        <w:t>792</w:t>
      </w:r>
      <w:r>
        <w:rPr/>
        <w:t>万元，</w:t>
      </w:r>
      <w:r>
        <w:rPr>
          <w:rFonts w:ascii="Times New Roman" w:hAnsi="Times New Roman" w:cs="Times New Roman" w:eastAsia="Times New Roman" w:hint="default"/>
        </w:rPr>
        <w:t>2017</w:t>
      </w:r>
      <w:r>
        <w:rPr/>
        <w:t>年度经审计后的净利润不低于</w:t>
      </w:r>
      <w:r>
        <w:rPr>
          <w:rFonts w:ascii="Times New Roman" w:hAnsi="Times New Roman" w:cs="Times New Roman" w:eastAsia="Times New Roman" w:hint="default"/>
        </w:rPr>
        <w:t>950</w:t>
      </w:r>
      <w:r>
        <w:rPr/>
        <w:t>万元。各方一致同意，对武汉大千</w:t>
      </w:r>
      <w:r>
        <w:rPr>
          <w:rFonts w:ascii="Times New Roman" w:hAnsi="Times New Roman" w:cs="Times New Roman" w:eastAsia="Times New Roman" w:hint="default"/>
        </w:rPr>
        <w:t>2015</w:t>
      </w:r>
      <w:r>
        <w:rPr/>
        <w:t>年度、</w:t>
      </w:r>
      <w:r>
        <w:rPr>
          <w:spacing w:val="1"/>
        </w:rPr>
        <w:t> </w:t>
      </w:r>
      <w:r>
        <w:rPr>
          <w:rFonts w:ascii="Times New Roman" w:hAnsi="Times New Roman" w:cs="Times New Roman" w:eastAsia="Times New Roman" w:hint="default"/>
          <w:spacing w:val="-1"/>
        </w:rPr>
        <w:t>2016</w:t>
      </w:r>
      <w:r>
        <w:rPr>
          <w:spacing w:val="-1"/>
        </w:rPr>
        <w:t>年度、</w:t>
      </w:r>
      <w:r>
        <w:rPr>
          <w:rFonts w:ascii="Times New Roman" w:hAnsi="Times New Roman" w:cs="Times New Roman" w:eastAsia="Times New Roman" w:hint="default"/>
          <w:spacing w:val="-1"/>
        </w:rPr>
        <w:t>2017</w:t>
      </w:r>
      <w:r>
        <w:rPr>
          <w:spacing w:val="-1"/>
        </w:rPr>
        <w:t>年度经审计后的净利润进行累计考核，如果三年经审计后的累计实际净利润总额未达到承</w:t>
      </w:r>
      <w:r>
        <w:rPr>
          <w:spacing w:val="-83"/>
        </w:rPr>
        <w:t> </w:t>
      </w:r>
      <w:r>
        <w:rPr>
          <w:spacing w:val="-83"/>
        </w:rPr>
      </w:r>
      <w:r>
        <w:rPr>
          <w:spacing w:val="-1"/>
        </w:rPr>
        <w:t>诺净利润总额的，严国建、杨捷、王彬、熊子松应对收购方给予现金补偿，补偿计算公式如下：现金补偿</w:t>
      </w:r>
    </w:p>
    <w:p>
      <w:pPr>
        <w:pStyle w:val="BodyText"/>
        <w:spacing w:line="408" w:lineRule="auto" w:before="36"/>
        <w:ind w:right="97" w:hanging="420"/>
        <w:jc w:val="left"/>
      </w:pPr>
      <w:r>
        <w:rPr>
          <w:rFonts w:ascii="Times New Roman" w:hAnsi="Times New Roman" w:cs="Times New Roman" w:eastAsia="Times New Roman" w:hint="default"/>
        </w:rPr>
        <w:t>=</w:t>
      </w:r>
      <w:r>
        <w:rPr/>
        <w:t>（三年累计承诺净利润总额 </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三年累计实际净利润总额）</w:t>
      </w:r>
      <w:r>
        <w:rPr>
          <w:rFonts w:ascii="Times New Roman" w:hAnsi="Times New Roman" w:cs="Times New Roman" w:eastAsia="Times New Roman" w:hint="default"/>
        </w:rPr>
        <w:t>×51%</w:t>
      </w:r>
      <w:r>
        <w:rPr/>
        <w:t>。 </w:t>
      </w:r>
      <w:r>
        <w:rPr>
          <w:spacing w:val="-1"/>
        </w:rPr>
        <w:t>本公司承诺在满足《投资协议》约定的业绩考核期满，达到收购前提条件时立即启动收购武汉大千剩</w:t>
      </w:r>
    </w:p>
    <w:p>
      <w:pPr>
        <w:pStyle w:val="BodyText"/>
        <w:spacing w:line="243" w:lineRule="exact"/>
        <w:ind w:left="154" w:right="0"/>
        <w:jc w:val="left"/>
      </w:pPr>
      <w:r>
        <w:rPr>
          <w:spacing w:val="-2"/>
        </w:rPr>
        <w:t>余</w:t>
      </w:r>
      <w:r>
        <w:rPr>
          <w:rFonts w:ascii="Times New Roman" w:hAnsi="Times New Roman" w:cs="Times New Roman" w:eastAsia="Times New Roman" w:hint="default"/>
          <w:spacing w:val="-2"/>
        </w:rPr>
        <w:t>49%</w:t>
      </w:r>
      <w:r>
        <w:rPr>
          <w:spacing w:val="-2"/>
        </w:rPr>
        <w:t>股权程序。收购价格应不低于：武汉大千前一年度经审计的扣除非经常性损益后的净利润</w:t>
      </w:r>
      <w:r>
        <w:rPr>
          <w:rFonts w:ascii="Times New Roman" w:hAnsi="Times New Roman" w:cs="Times New Roman" w:eastAsia="Times New Roman" w:hint="default"/>
          <w:spacing w:val="-2"/>
        </w:rPr>
        <w:t>×10×49%</w:t>
      </w:r>
      <w:r>
        <w:rPr>
          <w:spacing w:val="-2"/>
        </w:rPr>
        <w:t>。</w:t>
      </w:r>
    </w:p>
    <w:p>
      <w:pPr>
        <w:spacing w:line="240" w:lineRule="auto" w:before="7"/>
        <w:rPr>
          <w:rFonts w:ascii="宋体" w:hAnsi="宋体" w:cs="宋体" w:eastAsia="宋体" w:hint="default"/>
          <w:sz w:val="15"/>
          <w:szCs w:val="15"/>
        </w:rPr>
      </w:pPr>
    </w:p>
    <w:p>
      <w:pPr>
        <w:pStyle w:val="BodyText"/>
        <w:spacing w:line="240" w:lineRule="auto"/>
        <w:ind w:right="97"/>
        <w:jc w:val="left"/>
      </w:pPr>
      <w:r>
        <w:rPr/>
        <w:t>（</w:t>
      </w:r>
      <w:r>
        <w:rPr>
          <w:rFonts w:ascii="Times New Roman" w:hAnsi="Times New Roman" w:cs="Times New Roman" w:eastAsia="Times New Roman" w:hint="default"/>
        </w:rPr>
        <w:t>2</w:t>
      </w:r>
      <w:r>
        <w:rPr/>
        <w:t>）发行股份购买资产承诺</w:t>
      </w:r>
    </w:p>
    <w:p>
      <w:pPr>
        <w:spacing w:line="240" w:lineRule="auto" w:before="7"/>
        <w:rPr>
          <w:rFonts w:ascii="宋体" w:hAnsi="宋体" w:cs="宋体" w:eastAsia="宋体" w:hint="default"/>
          <w:sz w:val="15"/>
          <w:szCs w:val="15"/>
        </w:rPr>
      </w:pPr>
    </w:p>
    <w:p>
      <w:pPr>
        <w:pStyle w:val="BodyText"/>
        <w:spacing w:line="309" w:lineRule="auto"/>
        <w:ind w:left="154" w:right="212"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7</w:t>
      </w:r>
      <w:r>
        <w:rPr>
          <w:spacing w:val="-1"/>
        </w:rPr>
        <w:t>日本公司第二届董事会第二十三次会议审议通过了《关于厦门市美亚柏科信息股份有限公</w:t>
      </w:r>
      <w:r>
        <w:rPr/>
        <w:t> 司发行股份购买资产的议案》，以发行股份方式取得江苏税软</w:t>
      </w:r>
      <w:r>
        <w:rPr>
          <w:rFonts w:ascii="Times New Roman" w:hAnsi="Times New Roman" w:cs="Times New Roman" w:eastAsia="Times New Roman" w:hint="default"/>
        </w:rPr>
        <w:t>100%</w:t>
      </w:r>
      <w:r>
        <w:rPr/>
        <w:t>股权以及珠海新德汇</w:t>
      </w:r>
      <w:r>
        <w:rPr>
          <w:spacing w:val="-5"/>
        </w:rPr>
        <w:t> </w:t>
      </w:r>
      <w:r>
        <w:rPr>
          <w:rFonts w:ascii="Times New Roman" w:hAnsi="Times New Roman" w:cs="Times New Roman" w:eastAsia="Times New Roman" w:hint="default"/>
        </w:rPr>
        <w:t>49%</w:t>
      </w:r>
      <w:r>
        <w:rPr/>
        <w:t>股权。</w:t>
      </w:r>
    </w:p>
    <w:p>
      <w:pPr>
        <w:pStyle w:val="BodyText"/>
        <w:spacing w:line="240" w:lineRule="auto" w:before="136"/>
        <w:ind w:right="97"/>
        <w:jc w:val="left"/>
      </w:pPr>
      <w:r>
        <w:rPr>
          <w:rFonts w:ascii="Times New Roman" w:hAnsi="Times New Roman" w:cs="Times New Roman" w:eastAsia="Times New Roman" w:hint="default"/>
        </w:rPr>
        <w:t>1.</w:t>
      </w:r>
      <w:r>
        <w:rPr/>
        <w:t>发行股份购买江苏税软股权</w:t>
      </w:r>
    </w:p>
    <w:p>
      <w:pPr>
        <w:spacing w:line="240" w:lineRule="auto" w:before="7"/>
        <w:rPr>
          <w:rFonts w:ascii="宋体" w:hAnsi="宋体" w:cs="宋体" w:eastAsia="宋体" w:hint="default"/>
          <w:sz w:val="15"/>
          <w:szCs w:val="15"/>
        </w:rPr>
      </w:pPr>
    </w:p>
    <w:p>
      <w:pPr>
        <w:pStyle w:val="BodyText"/>
        <w:spacing w:line="309" w:lineRule="auto"/>
        <w:ind w:left="154" w:right="213" w:firstLine="42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7</w:t>
      </w:r>
      <w:r>
        <w:rPr>
          <w:spacing w:val="-1"/>
        </w:rPr>
        <w:t>日，本公司与江苏税软交易对方签署了《江苏税软发行股份购买资产协议》、《江苏税软</w:t>
      </w:r>
      <w:r>
        <w:rPr/>
        <w:t> </w:t>
      </w:r>
      <w:r>
        <w:rPr>
          <w:spacing w:val="-1"/>
        </w:rPr>
        <w:t>盈利预测补偿协议》；</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14</w:t>
      </w:r>
      <w:r>
        <w:rPr>
          <w:spacing w:val="-1"/>
        </w:rPr>
        <w:t>日，本公司与江苏税软交易对方签署了《江苏税软发行股份购买资产</w:t>
      </w:r>
      <w:r>
        <w:rPr>
          <w:spacing w:val="-85"/>
        </w:rPr>
        <w:t> </w:t>
      </w:r>
      <w:r>
        <w:rPr>
          <w:spacing w:val="-85"/>
        </w:rPr>
      </w:r>
      <w:r>
        <w:rPr/>
        <w:t>协议之补充协议》、《江苏税软盈利预测补偿协议之补充协议》。</w:t>
      </w:r>
    </w:p>
    <w:p>
      <w:pPr>
        <w:pStyle w:val="BodyText"/>
        <w:spacing w:line="319" w:lineRule="auto" w:before="158"/>
        <w:ind w:left="153" w:right="190" w:firstLine="420"/>
        <w:jc w:val="both"/>
      </w:pPr>
      <w:r>
        <w:rPr>
          <w:spacing w:val="-1"/>
        </w:rPr>
        <w:t>根据上述协议：韦玉荣、陈燕、李江、黄新、仇宏远、安林冲、郭玉智、王亚明、韩海青、李佳、任</w:t>
      </w:r>
      <w:r>
        <w:rPr/>
        <w:t> </w:t>
      </w:r>
      <w:r>
        <w:rPr>
          <w:spacing w:val="-1"/>
        </w:rPr>
        <w:t>炜、叶树军、包志翔、张红光、卢晓英及孙士玉承诺江苏税软公司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2016</w:t>
      </w:r>
      <w:r>
        <w:rPr>
          <w:spacing w:val="-1"/>
        </w:rPr>
        <w:t>年及</w:t>
      </w:r>
      <w:r>
        <w:rPr>
          <w:rFonts w:ascii="Times New Roman" w:hAnsi="Times New Roman" w:cs="Times New Roman" w:eastAsia="Times New Roman" w:hint="default"/>
          <w:spacing w:val="-1"/>
        </w:rPr>
        <w:t>2017</w:t>
      </w:r>
      <w:r>
        <w:rPr>
          <w:spacing w:val="-1"/>
        </w:rPr>
        <w:t>年当期合并报表</w:t>
      </w:r>
      <w:r>
        <w:rPr>
          <w:spacing w:val="-85"/>
        </w:rPr>
        <w:t> </w:t>
      </w:r>
      <w:r>
        <w:rPr>
          <w:spacing w:val="-85"/>
        </w:rPr>
      </w:r>
      <w:r>
        <w:rPr/>
        <w:t>中扣除非经常性损益后归属于母公司的净利润合计分别不低于</w:t>
      </w:r>
      <w:r>
        <w:rPr>
          <w:rFonts w:ascii="Times New Roman" w:hAnsi="Times New Roman" w:cs="Times New Roman" w:eastAsia="Times New Roman" w:hint="default"/>
        </w:rPr>
        <w:t>2,800</w:t>
      </w:r>
      <w:r>
        <w:rPr/>
        <w:t>万元、</w:t>
      </w:r>
      <w:r>
        <w:rPr>
          <w:rFonts w:ascii="Times New Roman" w:hAnsi="Times New Roman" w:cs="Times New Roman" w:eastAsia="Times New Roman" w:hint="default"/>
        </w:rPr>
        <w:t>3,750</w:t>
      </w:r>
      <w:r>
        <w:rPr/>
        <w:t>万元及</w:t>
      </w:r>
      <w:r>
        <w:rPr>
          <w:rFonts w:ascii="Times New Roman" w:hAnsi="Times New Roman" w:cs="Times New Roman" w:eastAsia="Times New Roman" w:hint="default"/>
        </w:rPr>
        <w:t>4,560</w:t>
      </w:r>
      <w:r>
        <w:rPr/>
        <w:t>万元。本公司 </w:t>
      </w:r>
      <w:r>
        <w:rPr>
          <w:spacing w:val="-2"/>
        </w:rPr>
        <w:t>在补偿期限内每一会计年度审计时对补偿标的当年的实际净利润数与净利润预测数的差异进行审核，补偿</w:t>
      </w:r>
      <w:r>
        <w:rPr>
          <w:spacing w:val="-79"/>
        </w:rPr>
        <w:t> </w:t>
      </w:r>
      <w:r>
        <w:rPr>
          <w:spacing w:val="-79"/>
        </w:rPr>
      </w:r>
      <w:r>
        <w:rPr>
          <w:spacing w:val="-1"/>
        </w:rPr>
        <w:t>期限内截至任一年度末的累积实际净利润数低于截至当年度末累积净利润预测数，原股东需对实际净利润</w:t>
      </w:r>
      <w:r>
        <w:rPr>
          <w:spacing w:val="-81"/>
        </w:rPr>
        <w:t> </w:t>
      </w:r>
      <w:r>
        <w:rPr>
          <w:spacing w:val="-81"/>
        </w:rPr>
      </w:r>
      <w:r>
        <w:rPr/>
        <w:t>数低于净利润预测数的差额进行补偿，原股东优先以股份向本公司进行补偿，不足部分以现金进行补偿，</w:t>
      </w:r>
    </w:p>
    <w:p>
      <w:pPr>
        <w:spacing w:after="0" w:line="319" w:lineRule="auto"/>
        <w:jc w:val="both"/>
        <w:sectPr>
          <w:pgSz w:w="11910" w:h="16840"/>
          <w:pgMar w:header="917" w:footer="1267" w:top="1140" w:bottom="1460" w:left="980" w:right="920"/>
        </w:sectPr>
      </w:pPr>
    </w:p>
    <w:p>
      <w:pPr>
        <w:spacing w:line="240" w:lineRule="auto" w:before="6"/>
        <w:rPr>
          <w:rFonts w:ascii="宋体" w:hAnsi="宋体" w:cs="宋体" w:eastAsia="宋体" w:hint="default"/>
          <w:sz w:val="21"/>
          <w:szCs w:val="21"/>
        </w:rPr>
      </w:pPr>
    </w:p>
    <w:p>
      <w:pPr>
        <w:pStyle w:val="BodyText"/>
        <w:spacing w:line="309" w:lineRule="auto" w:before="35"/>
        <w:ind w:left="154" w:right="213"/>
        <w:jc w:val="both"/>
      </w:pPr>
      <w:r>
        <w:rPr/>
        <w:t>当年应补偿股份数量</w:t>
      </w:r>
      <w:r>
        <w:rPr>
          <w:rFonts w:ascii="Times New Roman" w:hAnsi="Times New Roman" w:cs="Times New Roman" w:eastAsia="Times New Roman" w:hint="default"/>
        </w:rPr>
        <w:t>=</w:t>
      </w:r>
      <w:r>
        <w:rPr/>
        <w:t>（补偿期限内截至当期期末的累积净利润预测数－补偿期限内截至当期期末累积实 际净利润数）</w:t>
      </w:r>
      <w:r>
        <w:rPr>
          <w:rFonts w:ascii="Times New Roman" w:hAnsi="Times New Roman" w:cs="Times New Roman" w:eastAsia="Times New Roman" w:hint="default"/>
        </w:rPr>
        <w:t>÷</w:t>
      </w:r>
      <w:r>
        <w:rPr/>
        <w:t>补偿期限内各年的净利润预测数总和</w:t>
      </w:r>
      <w:r>
        <w:rPr>
          <w:rFonts w:ascii="Times New Roman" w:hAnsi="Times New Roman" w:cs="Times New Roman" w:eastAsia="Times New Roman" w:hint="default"/>
        </w:rPr>
        <w:t>×</w:t>
      </w:r>
      <w:r>
        <w:rPr/>
        <w:t>（目标资产收购对价</w:t>
      </w:r>
      <w:r>
        <w:rPr>
          <w:rFonts w:ascii="Times New Roman" w:hAnsi="Times New Roman" w:cs="Times New Roman" w:eastAsia="Times New Roman" w:hint="default"/>
        </w:rPr>
        <w:t>÷</w:t>
      </w:r>
      <w:r>
        <w:rPr/>
        <w:t>每股发行价格）</w:t>
      </w:r>
      <w:r>
        <w:rPr>
          <w:rFonts w:ascii="Times New Roman" w:hAnsi="Times New Roman" w:cs="Times New Roman" w:eastAsia="Times New Roman" w:hint="default"/>
        </w:rPr>
        <w:t>×49%–</w:t>
      </w:r>
      <w:r>
        <w:rPr/>
        <w:t>已补偿 股份数量</w:t>
      </w:r>
      <w:r>
        <w:rPr>
          <w:rFonts w:ascii="Times New Roman" w:hAnsi="Times New Roman" w:cs="Times New Roman" w:eastAsia="Times New Roman" w:hint="default"/>
        </w:rPr>
        <w:t>–</w:t>
      </w:r>
      <w:r>
        <w:rPr/>
        <w:t>（已补偿现金金额</w:t>
      </w:r>
      <w:r>
        <w:rPr>
          <w:rFonts w:ascii="Times New Roman" w:hAnsi="Times New Roman" w:cs="Times New Roman" w:eastAsia="Times New Roman" w:hint="default"/>
        </w:rPr>
        <w:t>÷</w:t>
      </w:r>
      <w:r>
        <w:rPr/>
        <w:t>每股发行价格），现金补偿</w:t>
      </w:r>
      <w:r>
        <w:rPr>
          <w:spacing w:val="-45"/>
        </w:rPr>
        <w:t> </w:t>
      </w:r>
      <w:r>
        <w:rPr>
          <w:rFonts w:ascii="Times New Roman" w:hAnsi="Times New Roman" w:cs="Times New Roman" w:eastAsia="Times New Roman" w:hint="default"/>
        </w:rPr>
        <w:t>=</w:t>
      </w:r>
      <w:r>
        <w:rPr/>
        <w:t>（该补偿义务人应补偿股份数量－该补偿义务 人届时所持股份数量）</w:t>
      </w:r>
      <w:r>
        <w:rPr>
          <w:rFonts w:ascii="Times New Roman" w:hAnsi="Times New Roman" w:cs="Times New Roman" w:eastAsia="Times New Roman" w:hint="default"/>
        </w:rPr>
        <w:t>×</w:t>
      </w:r>
      <w:r>
        <w:rPr/>
        <w:t>每股发行价格。</w:t>
      </w:r>
    </w:p>
    <w:p>
      <w:pPr>
        <w:pStyle w:val="BodyText"/>
        <w:spacing w:line="321" w:lineRule="auto" w:before="136"/>
        <w:ind w:left="154" w:right="97" w:firstLine="420"/>
        <w:jc w:val="left"/>
      </w:pPr>
      <w:r>
        <w:rPr/>
        <w:t>各方应在补偿期限内每一会计年度审计报告出具后十个工作日内按照上述规定计算该会计年度的应 补偿股份数，并且本公司在该期限内发出董事会通知，召开董事会审议本公司以</w:t>
      </w:r>
      <w:r>
        <w:rPr>
          <w:rFonts w:ascii="Times New Roman" w:hAnsi="Times New Roman" w:cs="Times New Roman" w:eastAsia="Times New Roman" w:hint="default"/>
        </w:rPr>
        <w:t>1</w:t>
      </w:r>
      <w:r>
        <w:rPr/>
        <w:t>元的总价回购并注销补 </w:t>
      </w:r>
      <w:r>
        <w:rPr>
          <w:spacing w:val="-1"/>
        </w:rPr>
        <w:t>偿义务人当年补偿的股份事宜。如按照上述公式计算的补偿期限内某一年某一江苏税软交易对方的补偿股</w:t>
      </w:r>
      <w:r>
        <w:rPr>
          <w:spacing w:val="-81"/>
        </w:rPr>
        <w:t> </w:t>
      </w:r>
      <w:r>
        <w:rPr>
          <w:spacing w:val="-81"/>
        </w:rPr>
      </w:r>
      <w:r>
        <w:rPr>
          <w:spacing w:val="-1"/>
        </w:rPr>
        <w:t>份数量，超过了该江苏税软交易对方届时所持本公司的股份总数，则差额部分应由该江苏税软交易对方用</w:t>
      </w:r>
      <w:r>
        <w:rPr>
          <w:spacing w:val="-81"/>
        </w:rPr>
        <w:t> </w:t>
      </w:r>
      <w:r>
        <w:rPr>
          <w:spacing w:val="-81"/>
        </w:rPr>
      </w:r>
      <w:r>
        <w:rPr/>
        <w:t>现金进行补偿。</w:t>
      </w:r>
    </w:p>
    <w:p>
      <w:pPr>
        <w:pStyle w:val="BodyText"/>
        <w:spacing w:line="408" w:lineRule="auto" w:before="148"/>
        <w:ind w:right="97"/>
        <w:jc w:val="left"/>
      </w:pPr>
      <w:r>
        <w:rPr>
          <w:rFonts w:ascii="Times New Roman" w:hAnsi="Times New Roman" w:cs="Times New Roman" w:eastAsia="Times New Roman" w:hint="default"/>
        </w:rPr>
        <w:t>2.</w:t>
      </w:r>
      <w:r>
        <w:rPr/>
        <w:t>发行股份购买珠海新德汇股权 </w:t>
      </w:r>
      <w:r>
        <w:rPr>
          <w:spacing w:val="-3"/>
        </w:rPr>
        <w:t>根据本公司与苏学武、水军、邓炽成签署的《盈利预测补偿协议》、《盈利预测补偿协之补充协议》，</w:t>
      </w:r>
    </w:p>
    <w:p>
      <w:pPr>
        <w:pStyle w:val="BodyText"/>
        <w:spacing w:line="243" w:lineRule="exact"/>
        <w:ind w:left="154" w:right="0"/>
        <w:jc w:val="both"/>
      </w:pPr>
      <w:r>
        <w:rPr/>
        <w:t>苏学武、水军、邓炽成承诺珠海新德汇公司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年及</w:t>
      </w:r>
      <w:r>
        <w:rPr>
          <w:rFonts w:ascii="Times New Roman" w:hAnsi="Times New Roman" w:cs="Times New Roman" w:eastAsia="Times New Roman" w:hint="default"/>
        </w:rPr>
        <w:t>2017</w:t>
      </w:r>
      <w:r>
        <w:rPr/>
        <w:t>年当期财务报表中扣除非经常性损益后</w:t>
      </w:r>
    </w:p>
    <w:p>
      <w:pPr>
        <w:pStyle w:val="BodyText"/>
        <w:spacing w:line="321" w:lineRule="auto" w:before="83"/>
        <w:ind w:left="154" w:right="211"/>
        <w:jc w:val="both"/>
      </w:pPr>
      <w:r>
        <w:rPr/>
        <w:t>归属于母公司的净利润合计分别不低于为</w:t>
      </w:r>
      <w:r>
        <w:rPr>
          <w:rFonts w:ascii="Times New Roman" w:hAnsi="Times New Roman" w:cs="Times New Roman" w:eastAsia="Times New Roman" w:hint="default"/>
        </w:rPr>
        <w:t>3,000</w:t>
      </w:r>
      <w:r>
        <w:rPr/>
        <w:t>万元、</w:t>
      </w:r>
      <w:r>
        <w:rPr>
          <w:rFonts w:ascii="Times New Roman" w:hAnsi="Times New Roman" w:cs="Times New Roman" w:eastAsia="Times New Roman" w:hint="default"/>
        </w:rPr>
        <w:t>3,900</w:t>
      </w:r>
      <w:r>
        <w:rPr/>
        <w:t>万元及</w:t>
      </w:r>
      <w:r>
        <w:rPr>
          <w:rFonts w:ascii="Times New Roman" w:hAnsi="Times New Roman" w:cs="Times New Roman" w:eastAsia="Times New Roman" w:hint="default"/>
        </w:rPr>
        <w:t>4,860</w:t>
      </w:r>
      <w:r>
        <w:rPr/>
        <w:t>万元。本公司在补偿期限内每一会 </w:t>
      </w:r>
      <w:r>
        <w:rPr>
          <w:spacing w:val="-1"/>
        </w:rPr>
        <w:t>计年度审计时对补偿标的当年的实际净利润数与净利润预测数的差异进行审核，补偿期限内截至任一年度</w:t>
      </w:r>
      <w:r>
        <w:rPr>
          <w:spacing w:val="-81"/>
        </w:rPr>
        <w:t> </w:t>
      </w:r>
      <w:r>
        <w:rPr>
          <w:spacing w:val="-81"/>
        </w:rPr>
      </w:r>
      <w:r>
        <w:rPr>
          <w:spacing w:val="-1"/>
        </w:rPr>
        <w:t>末的累积实际净利润数低于截至当年度末累积净利润预测数，原股东需对实际净利润数低于净利润预测数</w:t>
      </w:r>
      <w:r>
        <w:rPr>
          <w:spacing w:val="-81"/>
        </w:rPr>
        <w:t> </w:t>
      </w:r>
      <w:r>
        <w:rPr>
          <w:spacing w:val="-81"/>
        </w:rPr>
      </w:r>
      <w:r>
        <w:rPr>
          <w:spacing w:val="-1"/>
        </w:rPr>
        <w:t>的差额进行补偿，原股东优先以股份向本公司进行补偿，不足部分以现金进行补偿，当年应补偿股份数量</w:t>
      </w:r>
    </w:p>
    <w:p>
      <w:pPr>
        <w:pStyle w:val="BodyText"/>
        <w:spacing w:line="309" w:lineRule="auto" w:before="28"/>
        <w:ind w:left="153" w:right="92"/>
        <w:jc w:val="left"/>
      </w:pPr>
      <w:r>
        <w:rPr>
          <w:rFonts w:ascii="Times New Roman" w:hAnsi="Times New Roman" w:cs="Times New Roman" w:eastAsia="Times New Roman" w:hint="default"/>
        </w:rPr>
        <w:t>=</w:t>
      </w:r>
      <w:r>
        <w:rPr/>
        <w:t>（补偿期限内截至当期期末的累积净利润预测数－补偿期限内截至当期期末累积实际净利润数）</w:t>
      </w:r>
      <w:r>
        <w:rPr>
          <w:rFonts w:ascii="Times New Roman" w:hAnsi="Times New Roman" w:cs="Times New Roman" w:eastAsia="Times New Roman" w:hint="default"/>
        </w:rPr>
        <w:t>÷</w:t>
      </w:r>
      <w:r>
        <w:rPr/>
        <w:t>补偿期 限内各年的净利润预测数总和</w:t>
      </w:r>
      <w:r>
        <w:rPr>
          <w:rFonts w:ascii="Times New Roman" w:hAnsi="Times New Roman" w:cs="Times New Roman" w:eastAsia="Times New Roman" w:hint="default"/>
        </w:rPr>
        <w:t>×</w:t>
      </w:r>
      <w:r>
        <w:rPr/>
        <w:t>（目标资产收购对价</w:t>
      </w:r>
      <w:r>
        <w:rPr>
          <w:rFonts w:ascii="Times New Roman" w:hAnsi="Times New Roman" w:cs="Times New Roman" w:eastAsia="Times New Roman" w:hint="default"/>
        </w:rPr>
        <w:t>÷</w:t>
      </w:r>
      <w:r>
        <w:rPr/>
        <w:t>每股发行价格）</w:t>
      </w:r>
      <w:r>
        <w:rPr>
          <w:rFonts w:ascii="Times New Roman" w:hAnsi="Times New Roman" w:cs="Times New Roman" w:eastAsia="Times New Roman" w:hint="default"/>
        </w:rPr>
        <w:t>×49%–</w:t>
      </w:r>
      <w:r>
        <w:rPr/>
        <w:t>已补偿股份数量</w:t>
      </w:r>
      <w:r>
        <w:rPr>
          <w:rFonts w:ascii="Times New Roman" w:hAnsi="Times New Roman" w:cs="Times New Roman" w:eastAsia="Times New Roman" w:hint="default"/>
        </w:rPr>
        <w:t>–</w:t>
      </w:r>
      <w:r>
        <w:rPr/>
        <w:t>（已补偿现 金金额</w:t>
      </w:r>
      <w:r>
        <w:rPr>
          <w:rFonts w:ascii="Times New Roman" w:hAnsi="Times New Roman" w:cs="Times New Roman" w:eastAsia="Times New Roman" w:hint="default"/>
        </w:rPr>
        <w:t>÷</w:t>
      </w:r>
      <w:r>
        <w:rPr/>
        <w:t>每股发行价格），现金补偿</w:t>
      </w:r>
      <w:r>
        <w:rPr>
          <w:spacing w:val="-48"/>
        </w:rPr>
        <w:t> </w:t>
      </w:r>
      <w:r>
        <w:rPr>
          <w:rFonts w:ascii="Times New Roman" w:hAnsi="Times New Roman" w:cs="Times New Roman" w:eastAsia="Times New Roman" w:hint="default"/>
        </w:rPr>
        <w:t>=</w:t>
      </w:r>
      <w:r>
        <w:rPr/>
        <w:t>（该补偿义务人应补偿股份数量－该补偿义务人届时所持股份数量）</w:t>
      </w:r>
    </w:p>
    <w:p>
      <w:pPr>
        <w:pStyle w:val="BodyText"/>
        <w:spacing w:line="408" w:lineRule="auto" w:before="16"/>
        <w:ind w:right="382" w:hanging="420"/>
        <w:jc w:val="left"/>
      </w:pPr>
      <w:r>
        <w:rPr>
          <w:rFonts w:ascii="Times New Roman" w:hAnsi="Times New Roman" w:cs="Times New Roman" w:eastAsia="Times New Roman" w:hint="default"/>
        </w:rPr>
        <w:t>×</w:t>
      </w:r>
      <w:r>
        <w:rPr/>
        <w:t>每股发行价格。 各方应在补偿期限内每一会计年度审计报告出具后十个工作日内按照上述规定计算该会计年度的应</w:t>
      </w:r>
    </w:p>
    <w:p>
      <w:pPr>
        <w:pStyle w:val="BodyText"/>
        <w:spacing w:line="243" w:lineRule="exact"/>
        <w:ind w:left="154" w:right="0"/>
        <w:jc w:val="both"/>
      </w:pPr>
      <w:r>
        <w:rPr/>
        <w:t>补偿股份数，并且本公司在该期限内发出董事会通知，召开董事会审议本公司以</w:t>
      </w:r>
      <w:r>
        <w:rPr>
          <w:rFonts w:ascii="Times New Roman" w:hAnsi="Times New Roman" w:cs="Times New Roman" w:eastAsia="Times New Roman" w:hint="default"/>
        </w:rPr>
        <w:t>1</w:t>
      </w:r>
      <w:r>
        <w:rPr/>
        <w:t>元的总价回购并注销补</w:t>
      </w:r>
    </w:p>
    <w:p>
      <w:pPr>
        <w:pStyle w:val="BodyText"/>
        <w:spacing w:line="326" w:lineRule="auto" w:before="83"/>
        <w:ind w:left="154" w:right="212"/>
        <w:jc w:val="both"/>
      </w:pPr>
      <w:r>
        <w:rPr>
          <w:spacing w:val="-1"/>
        </w:rPr>
        <w:t>偿义务人当年补偿的股份事宜。如按照上述公式计算的补偿期限内某一年某一珠海新德汇交易对方的补偿</w:t>
      </w:r>
      <w:r>
        <w:rPr>
          <w:spacing w:val="-81"/>
        </w:rPr>
        <w:t> </w:t>
      </w:r>
      <w:r>
        <w:rPr>
          <w:spacing w:val="-81"/>
        </w:rPr>
      </w:r>
      <w:r>
        <w:rPr>
          <w:spacing w:val="-1"/>
        </w:rPr>
        <w:t>股份数量，超过了该珠海新德汇交易对方届时所持本公司的股份总数，则差额部分应由该珠海新德汇交易</w:t>
      </w:r>
      <w:r>
        <w:rPr>
          <w:spacing w:val="-81"/>
        </w:rPr>
        <w:t> </w:t>
      </w:r>
      <w:r>
        <w:rPr>
          <w:spacing w:val="-81"/>
        </w:rPr>
      </w:r>
      <w:r>
        <w:rPr/>
        <w:t>对方用现金进行补偿。</w:t>
      </w:r>
    </w:p>
    <w:p>
      <w:pPr>
        <w:pStyle w:val="BodyText"/>
        <w:spacing w:line="240" w:lineRule="auto" w:before="144"/>
        <w:ind w:right="97"/>
        <w:jc w:val="left"/>
      </w:pPr>
      <w:r>
        <w:rPr/>
        <w:t>（</w:t>
      </w:r>
      <w:r>
        <w:rPr>
          <w:rFonts w:ascii="Times New Roman" w:hAnsi="Times New Roman" w:cs="Times New Roman" w:eastAsia="Times New Roman" w:hint="default"/>
        </w:rPr>
        <w:t>3</w:t>
      </w:r>
      <w:r>
        <w:rPr/>
        <w:t>）前期承诺履行情况</w:t>
      </w:r>
    </w:p>
    <w:p>
      <w:pPr>
        <w:spacing w:line="240" w:lineRule="auto" w:before="7"/>
        <w:rPr>
          <w:rFonts w:ascii="宋体" w:hAnsi="宋体" w:cs="宋体" w:eastAsia="宋体" w:hint="default"/>
          <w:sz w:val="15"/>
          <w:szCs w:val="15"/>
        </w:rPr>
      </w:pPr>
    </w:p>
    <w:p>
      <w:pPr>
        <w:pStyle w:val="BodyText"/>
        <w:spacing w:line="309" w:lineRule="auto"/>
        <w:ind w:left="154" w:right="213" w:firstLine="420"/>
        <w:jc w:val="both"/>
      </w:pPr>
      <w:r>
        <w:rPr>
          <w:spacing w:val="-1"/>
        </w:rPr>
        <w:t>本公司</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9</w:t>
      </w:r>
      <w:r>
        <w:rPr>
          <w:spacing w:val="-1"/>
        </w:rPr>
        <w:t>日本公司与珠海新德汇原股东苏学武先生签订的《投资协议》承诺：在满足《投资</w:t>
      </w:r>
      <w:r>
        <w:rPr/>
        <w:t> 协议》约定的业绩考核期满，达到收购前提条件时立即启动收购珠海新德汇剩余</w:t>
      </w:r>
      <w:r>
        <w:rPr>
          <w:rFonts w:ascii="Times New Roman" w:hAnsi="Times New Roman" w:cs="Times New Roman" w:eastAsia="Times New Roman" w:hint="default"/>
        </w:rPr>
        <w:t>49%</w:t>
      </w:r>
      <w:r>
        <w:rPr/>
        <w:t>股权程序。</w:t>
      </w:r>
      <w:r>
        <w:rPr>
          <w:rFonts w:ascii="Times New Roman" w:hAnsi="Times New Roman" w:cs="Times New Roman" w:eastAsia="Times New Roman" w:hint="default"/>
        </w:rPr>
        <w:t>2013</w:t>
      </w:r>
      <w:r>
        <w:rPr/>
        <w:t>年、 </w:t>
      </w:r>
      <w:r>
        <w:rPr>
          <w:rFonts w:ascii="Times New Roman" w:hAnsi="Times New Roman" w:cs="Times New Roman" w:eastAsia="Times New Roman" w:hint="default"/>
          <w:spacing w:val="-1"/>
        </w:rPr>
        <w:t>2014</w:t>
      </w:r>
      <w:r>
        <w:rPr>
          <w:spacing w:val="-1"/>
        </w:rPr>
        <w:t>年珠海新德汇业绩达到考核要求，本公司于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7</w:t>
      </w:r>
      <w:r>
        <w:rPr>
          <w:spacing w:val="-1"/>
        </w:rPr>
        <w:t>日与苏学武、水军、邓炽成签订《发行股份购</w:t>
      </w:r>
      <w:r>
        <w:rPr>
          <w:spacing w:val="-90"/>
        </w:rPr>
        <w:t> </w:t>
      </w:r>
      <w:r>
        <w:rPr>
          <w:spacing w:val="-90"/>
        </w:rPr>
      </w:r>
      <w:r>
        <w:rPr/>
        <w:t>买资产协议》，以发行股份方式购买珠海新德汇剩余</w:t>
      </w:r>
      <w:r>
        <w:rPr>
          <w:rFonts w:ascii="Times New Roman" w:hAnsi="Times New Roman" w:cs="Times New Roman" w:eastAsia="Times New Roman" w:hint="default"/>
        </w:rPr>
        <w:t>49%</w:t>
      </w:r>
      <w:r>
        <w:rPr/>
        <w:t>股权；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日，本次重组获得中国证监 会批准，并于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日完成工商变更。以前年度承诺事项已完成。</w:t>
      </w:r>
    </w:p>
    <w:p>
      <w:pPr>
        <w:pStyle w:val="BodyText"/>
        <w:spacing w:line="240" w:lineRule="auto" w:before="136"/>
        <w:ind w:right="97"/>
        <w:jc w:val="left"/>
      </w:pPr>
      <w:r>
        <w:rPr/>
        <w:t>（</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after="0" w:line="240" w:lineRule="auto"/>
        <w:jc w:val="left"/>
        <w:sectPr>
          <w:pgSz w:w="11910" w:h="16840"/>
          <w:pgMar w:header="917" w:footer="1267" w:top="1140" w:bottom="1460" w:left="980" w:right="920"/>
        </w:sectPr>
      </w:pPr>
    </w:p>
    <w:p>
      <w:pPr>
        <w:spacing w:line="240" w:lineRule="auto" w:before="2"/>
        <w:rPr>
          <w:rFonts w:ascii="宋体" w:hAnsi="宋体" w:cs="宋体" w:eastAsia="宋体" w:hint="default"/>
          <w:sz w:val="19"/>
          <w:szCs w:val="19"/>
        </w:rPr>
      </w:pPr>
    </w:p>
    <w:p>
      <w:pPr>
        <w:pStyle w:val="Heading4"/>
        <w:spacing w:line="240" w:lineRule="auto" w:before="35"/>
        <w:ind w:right="97"/>
        <w:jc w:val="left"/>
        <w:rPr>
          <w:b w:val="0"/>
          <w:bCs w:val="0"/>
        </w:rPr>
      </w:pPr>
      <w:r>
        <w:rPr>
          <w:rFonts w:ascii="Times New Roman" w:hAnsi="Times New Roman" w:cs="Times New Roman" w:eastAsia="Times New Roman" w:hint="default"/>
        </w:rPr>
        <w:t>2</w:t>
      </w:r>
      <w:bookmarkStart w:name="2、或有事项" w:id="450"/>
      <w:bookmarkEnd w:id="450"/>
      <w:r>
        <w:rPr>
          <w:rFonts w:ascii="Times New Roman" w:hAnsi="Times New Roman" w:cs="Times New Roman" w:eastAsia="Times New Roman" w:hint="default"/>
        </w:rPr>
      </w:r>
      <w:r>
        <w:rPr/>
        <w:t>、或有事项</w:t>
      </w:r>
      <w:r>
        <w:rPr>
          <w:b w:val="0"/>
          <w:bCs w:val="0"/>
        </w:rPr>
      </w:r>
    </w:p>
    <w:p>
      <w:pPr>
        <w:spacing w:line="240" w:lineRule="auto" w:before="8"/>
        <w:rPr>
          <w:rFonts w:ascii="宋体" w:hAnsi="宋体" w:cs="宋体" w:eastAsia="宋体" w:hint="default"/>
          <w:b/>
          <w:bCs/>
          <w:sz w:val="24"/>
          <w:szCs w:val="24"/>
        </w:rPr>
      </w:pPr>
    </w:p>
    <w:p>
      <w:pPr>
        <w:spacing w:line="530" w:lineRule="auto" w:before="0"/>
        <w:ind w:left="574" w:right="206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bookmarkStart w:name="（1）资产负债表日存在的重要或有事项" w:id="451"/>
      <w:bookmarkEnd w:id="451"/>
      <w:r>
        <w:rPr>
          <w:rFonts w:ascii="Times New Roman" w:hAnsi="Times New Roman" w:cs="Times New Roman" w:eastAsia="Times New Roman" w:hint="default"/>
          <w:b/>
          <w:bCs/>
          <w:sz w:val="21"/>
          <w:szCs w:val="21"/>
        </w:rPr>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日，本集团不存在应披露的未决诉讼、对外担保等或有事项。</w:t>
      </w:r>
    </w:p>
    <w:p>
      <w:pPr>
        <w:spacing w:line="530" w:lineRule="auto" w:before="72"/>
        <w:ind w:left="574" w:right="4667"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w:t>
      </w:r>
      <w:bookmarkStart w:name="（2）公司没有需要披露的重要或有事项，也应予以说明" w:id="452"/>
      <w:bookmarkEnd w:id="452"/>
      <w:r>
        <w:rPr>
          <w:rFonts w:ascii="宋体" w:hAnsi="宋体" w:cs="宋体" w:eastAsia="宋体" w:hint="default"/>
          <w:b/>
          <w:bCs/>
          <w:sz w:val="21"/>
          <w:szCs w:val="21"/>
        </w:rPr>
        <w:t>需要披露</w:t>
      </w:r>
      <w:r>
        <w:rPr>
          <w:rFonts w:ascii="宋体" w:hAnsi="宋体" w:cs="宋体" w:eastAsia="宋体" w:hint="default"/>
          <w:b/>
          <w:bCs/>
          <w:sz w:val="21"/>
          <w:szCs w:val="21"/>
        </w:rPr>
        <w:t>的重要或有事项，也应予以说明</w:t>
      </w:r>
      <w:r>
        <w:rPr>
          <w:rFonts w:ascii="宋体" w:hAnsi="宋体" w:cs="宋体" w:eastAsia="宋体" w:hint="default"/>
          <w:b/>
          <w:bCs/>
          <w:spacing w:val="1"/>
          <w:w w:val="99"/>
          <w:sz w:val="21"/>
          <w:szCs w:val="21"/>
        </w:rPr>
        <w:t> </w:t>
      </w:r>
      <w:r>
        <w:rPr>
          <w:rFonts w:ascii="宋体" w:hAnsi="宋体" w:cs="宋体" w:eastAsia="宋体" w:hint="default"/>
          <w:sz w:val="21"/>
          <w:szCs w:val="21"/>
        </w:rPr>
        <w:t>公司不存在需要披露的重要或有事项。</w:t>
      </w:r>
    </w:p>
    <w:p>
      <w:pPr>
        <w:spacing w:line="487" w:lineRule="auto" w:before="115"/>
        <w:ind w:left="154" w:right="69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5"/>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13"/>
        <w:ind w:right="97"/>
        <w:jc w:val="left"/>
      </w:pPr>
      <w:r>
        <w:rPr/>
        <w:t>无。</w:t>
      </w:r>
    </w:p>
    <w:p>
      <w:pPr>
        <w:pStyle w:val="BodyText"/>
        <w:spacing w:line="640" w:lineRule="atLeast" w:before="20"/>
        <w:ind w:right="97" w:hanging="420"/>
        <w:jc w:val="left"/>
      </w:pPr>
      <w:r>
        <w:rPr>
          <w:rFonts w:ascii="Times New Roman" w:hAnsi="Times New Roman" w:cs="Times New Roman" w:eastAsia="Times New Roman" w:hint="default"/>
          <w:b/>
          <w:bCs/>
        </w:rPr>
        <w:t>2</w:t>
      </w:r>
      <w:r>
        <w:rPr>
          <w:rFonts w:ascii="宋体" w:hAnsi="宋体" w:cs="宋体" w:eastAsia="宋体" w:hint="default"/>
          <w:b/>
          <w:bCs/>
        </w:rPr>
        <w:t>、利润分配情况</w:t>
      </w:r>
      <w:r>
        <w:rPr>
          <w:rFonts w:ascii="宋体" w:hAnsi="宋体" w:cs="宋体" w:eastAsia="宋体" w:hint="default"/>
          <w:b/>
          <w:bCs/>
          <w:w w:val="99"/>
        </w:rPr>
        <w:t> </w:t>
      </w:r>
      <w:r>
        <w:rPr>
          <w:spacing w:val="-1"/>
        </w:rPr>
        <w:t>本公司于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w:t>
      </w:r>
      <w:bookmarkStart w:name="3、其他" w:id="453"/>
      <w:bookmarkEnd w:id="453"/>
      <w:r>
        <w:rPr>
          <w:spacing w:val="-1"/>
        </w:rPr>
      </w:r>
      <w:bookmarkStart w:name="十五、资产负债表日后事项" w:id="454"/>
      <w:bookmarkEnd w:id="454"/>
      <w:r>
        <w:rPr>
          <w:spacing w:val="-1"/>
        </w:rPr>
      </w:r>
      <w:bookmarkStart w:name="重要的非调整事项" w:id="455"/>
      <w:bookmarkEnd w:id="455"/>
      <w:r>
        <w:rPr>
          <w:spacing w:val="-1"/>
        </w:rPr>
      </w:r>
      <w:bookmarkStart w:name="2、利润分配情况" w:id="456"/>
      <w:bookmarkEnd w:id="456"/>
      <w:r>
        <w:rPr>
          <w:spacing w:val="-1"/>
        </w:rPr>
        <w:t>召开第三届董事会第九会议，审议通过本公司</w:t>
      </w:r>
      <w:r>
        <w:rPr>
          <w:rFonts w:ascii="Times New Roman" w:hAnsi="Times New Roman" w:cs="Times New Roman" w:eastAsia="Times New Roman" w:hint="default"/>
          <w:spacing w:val="-1"/>
        </w:rPr>
        <w:t>2015</w:t>
      </w:r>
      <w:r>
        <w:rPr>
          <w:spacing w:val="-1"/>
        </w:rPr>
        <w:t>年度权益分派预案列示如</w:t>
      </w:r>
    </w:p>
    <w:p>
      <w:pPr>
        <w:pStyle w:val="BodyText"/>
        <w:spacing w:line="240" w:lineRule="auto" w:before="83"/>
        <w:ind w:left="153" w:right="97"/>
        <w:jc w:val="left"/>
      </w:pPr>
      <w:r>
        <w:rPr/>
        <w:t>下：以截至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t>日公司总股本</w:t>
      </w:r>
      <w:r>
        <w:rPr>
          <w:rFonts w:ascii="Times New Roman" w:hAnsi="Times New Roman" w:cs="Times New Roman" w:eastAsia="Times New Roman" w:hint="default"/>
        </w:rPr>
        <w:t>487,254,406</w:t>
      </w:r>
      <w:r>
        <w:rPr/>
        <w:t>股为基数，向全体股东按每</w:t>
      </w:r>
      <w:r>
        <w:rPr>
          <w:rFonts w:ascii="Times New Roman" w:hAnsi="Times New Roman" w:cs="Times New Roman" w:eastAsia="Times New Roman" w:hint="default"/>
        </w:rPr>
        <w:t>10</w:t>
      </w:r>
      <w:r>
        <w:rPr/>
        <w:t>股派发现金股利人民币</w:t>
      </w:r>
    </w:p>
    <w:p>
      <w:pPr>
        <w:pStyle w:val="BodyText"/>
        <w:spacing w:line="240" w:lineRule="auto" w:before="83"/>
        <w:ind w:left="153" w:right="97"/>
        <w:jc w:val="left"/>
      </w:pPr>
      <w:r>
        <w:rPr>
          <w:rFonts w:ascii="Times New Roman" w:hAnsi="Times New Roman" w:cs="Times New Roman" w:eastAsia="Times New Roman" w:hint="default"/>
        </w:rPr>
        <w:t>0.3</w:t>
      </w:r>
      <w:r>
        <w:rPr/>
        <w:t>元（含税）。上述权益分派预案尚须经本公司股东大会审议批准后实施。</w:t>
      </w:r>
    </w:p>
    <w:p>
      <w:pPr>
        <w:spacing w:line="240" w:lineRule="auto" w:before="0"/>
        <w:rPr>
          <w:rFonts w:ascii="宋体" w:hAnsi="宋体" w:cs="宋体" w:eastAsia="宋体" w:hint="default"/>
          <w:sz w:val="27"/>
          <w:szCs w:val="27"/>
        </w:rPr>
      </w:pPr>
    </w:p>
    <w:p>
      <w:pPr>
        <w:spacing w:line="530" w:lineRule="auto" w:before="0"/>
        <w:ind w:left="574" w:right="8673"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b/>
          <w:bCs/>
          <w:w w:val="99"/>
          <w:sz w:val="21"/>
          <w:szCs w:val="21"/>
        </w:rPr>
        <w:t> </w:t>
      </w:r>
      <w:r>
        <w:rPr>
          <w:rFonts w:ascii="宋体" w:hAnsi="宋体" w:cs="宋体" w:eastAsia="宋体" w:hint="default"/>
          <w:sz w:val="21"/>
          <w:szCs w:val="21"/>
        </w:rPr>
        <w:t>无。</w:t>
      </w:r>
    </w:p>
    <w:p>
      <w:pPr>
        <w:pStyle w:val="Heading4"/>
        <w:spacing w:line="240" w:lineRule="auto" w:before="115"/>
        <w:ind w:right="97"/>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97"/>
        <w:jc w:val="left"/>
      </w:pPr>
      <w:r>
        <w:rPr/>
        <w:t>（</w:t>
      </w:r>
      <w:r>
        <w:rPr>
          <w:rFonts w:ascii="Times New Roman" w:hAnsi="Times New Roman" w:cs="Times New Roman" w:eastAsia="Times New Roman" w:hint="default"/>
        </w:rPr>
        <w:t>1</w:t>
      </w:r>
      <w:r>
        <w:rPr/>
        <w:t>）发行股份购买资产股份登记</w:t>
      </w:r>
    </w:p>
    <w:p>
      <w:pPr>
        <w:spacing w:line="240" w:lineRule="auto" w:before="7"/>
        <w:rPr>
          <w:rFonts w:ascii="宋体" w:hAnsi="宋体" w:cs="宋体" w:eastAsia="宋体" w:hint="default"/>
          <w:sz w:val="15"/>
          <w:szCs w:val="15"/>
        </w:rPr>
      </w:pPr>
    </w:p>
    <w:p>
      <w:pPr>
        <w:pStyle w:val="BodyText"/>
        <w:spacing w:line="240" w:lineRule="auto"/>
        <w:ind w:right="97"/>
        <w:jc w:val="left"/>
      </w:pPr>
      <w:r>
        <w:rPr>
          <w:rFonts w:ascii="Times New Roman" w:hAnsi="Times New Roman" w:cs="Times New Roman" w:eastAsia="Times New Roman" w:hint="default"/>
        </w:rPr>
        <w:t>2015</w:t>
      </w:r>
      <w:r>
        <w:rPr/>
        <w:t>年本公司非公开发行股份</w:t>
      </w:r>
      <w:r>
        <w:rPr>
          <w:rFonts w:ascii="Times New Roman" w:hAnsi="Times New Roman" w:cs="Times New Roman" w:eastAsia="Times New Roman" w:hint="default"/>
        </w:rPr>
        <w:t>44,091,206</w:t>
      </w:r>
      <w:r>
        <w:rPr/>
        <w:t>股购买江苏税软</w:t>
      </w:r>
      <w:r>
        <w:rPr>
          <w:rFonts w:ascii="Times New Roman" w:hAnsi="Times New Roman" w:cs="Times New Roman" w:eastAsia="Times New Roman" w:hint="default"/>
        </w:rPr>
        <w:t>100%</w:t>
      </w:r>
      <w:bookmarkStart w:name="3、销售退回" w:id="457"/>
      <w:bookmarkEnd w:id="457"/>
      <w:r>
        <w:rPr>
          <w:rFonts w:ascii="Times New Roman" w:hAnsi="Times New Roman" w:cs="Times New Roman" w:eastAsia="Times New Roman" w:hint="default"/>
        </w:rPr>
      </w:r>
      <w:r>
        <w:rPr/>
        <w:t>股权、珠海新德汇少数股东</w:t>
      </w:r>
      <w:r>
        <w:rPr>
          <w:rFonts w:ascii="Times New Roman" w:hAnsi="Times New Roman" w:cs="Times New Roman" w:eastAsia="Times New Roman" w:hint="default"/>
        </w:rPr>
        <w:t>51%</w:t>
      </w:r>
      <w:bookmarkStart w:name="4、其他资产负债表日后事项说明" w:id="458"/>
      <w:bookmarkEnd w:id="458"/>
      <w:r>
        <w:rPr>
          <w:rFonts w:ascii="Times New Roman" w:hAnsi="Times New Roman" w:cs="Times New Roman" w:eastAsia="Times New Roman" w:hint="default"/>
        </w:rPr>
      </w:r>
      <w:r>
        <w:rPr/>
        <w:t>股权，</w:t>
      </w:r>
    </w:p>
    <w:p>
      <w:pPr>
        <w:pStyle w:val="BodyText"/>
        <w:spacing w:line="309" w:lineRule="auto" w:before="83"/>
        <w:ind w:left="153" w:right="97"/>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22</w:t>
      </w:r>
      <w:r>
        <w:rPr>
          <w:spacing w:val="-1"/>
        </w:rPr>
        <w:t>日，本次非公开发行股票获得中国证监会批准，并于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5</w:t>
      </w:r>
      <w:r>
        <w:rPr>
          <w:spacing w:val="-1"/>
        </w:rPr>
        <w:t>日在中国证券登记结算有限</w:t>
      </w:r>
      <w:r>
        <w:rPr>
          <w:spacing w:val="-86"/>
        </w:rPr>
        <w:t> </w:t>
      </w:r>
      <w:r>
        <w:rPr>
          <w:spacing w:val="-86"/>
        </w:rPr>
      </w:r>
      <w:r>
        <w:rPr/>
        <w:t>责任公司深圳分公司办理完成登记手续，新增股份于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日在深圳证券交易所上市。本次非公开 发行完成后本公司股份数量为</w:t>
      </w:r>
      <w:r>
        <w:rPr>
          <w:rFonts w:ascii="Times New Roman" w:hAnsi="Times New Roman" w:cs="Times New Roman" w:eastAsia="Times New Roman" w:hint="default"/>
        </w:rPr>
        <w:t>487,254,406</w:t>
      </w:r>
      <w:r>
        <w:rPr/>
        <w:t>股，注册资本为</w:t>
      </w:r>
      <w:r>
        <w:rPr>
          <w:rFonts w:ascii="Times New Roman" w:hAnsi="Times New Roman" w:cs="Times New Roman" w:eastAsia="Times New Roman" w:hint="default"/>
        </w:rPr>
        <w:t>487,254,406.00</w:t>
      </w:r>
      <w:r>
        <w:rPr/>
        <w:t>元。</w:t>
      </w:r>
    </w:p>
    <w:p>
      <w:pPr>
        <w:pStyle w:val="BodyText"/>
        <w:spacing w:line="240" w:lineRule="auto" w:before="136"/>
        <w:ind w:right="97"/>
        <w:jc w:val="left"/>
      </w:pPr>
      <w:r>
        <w:rPr/>
        <w:t>（</w:t>
      </w:r>
      <w:r>
        <w:rPr>
          <w:rFonts w:ascii="Times New Roman" w:hAnsi="Times New Roman" w:cs="Times New Roman" w:eastAsia="Times New Roman" w:hint="default"/>
        </w:rPr>
        <w:t>2</w:t>
      </w:r>
      <w:r>
        <w:rPr/>
        <w:t>）发起设立产业并购基金</w:t>
      </w:r>
    </w:p>
    <w:p>
      <w:pPr>
        <w:spacing w:line="240" w:lineRule="auto" w:before="7"/>
        <w:rPr>
          <w:rFonts w:ascii="宋体" w:hAnsi="宋体" w:cs="宋体" w:eastAsia="宋体" w:hint="default"/>
          <w:sz w:val="15"/>
          <w:szCs w:val="15"/>
        </w:rPr>
      </w:pPr>
    </w:p>
    <w:p>
      <w:pPr>
        <w:pStyle w:val="BodyText"/>
        <w:spacing w:line="309" w:lineRule="auto"/>
        <w:ind w:left="154" w:right="97" w:firstLine="42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14</w:t>
      </w:r>
      <w:r>
        <w:rPr>
          <w:spacing w:val="-3"/>
        </w:rPr>
        <w:t>日，本公司第三届董事会第七次会议审议通过了《关于发起设立产业并购基金的议案》：</w:t>
      </w:r>
      <w:r>
        <w:rPr/>
        <w:t> 本公司与深圳市前海梧桐并购投资基金管理有限公司拟共同出资设立厦门市美亚梧桐投资管理有限公司</w:t>
      </w:r>
    </w:p>
    <w:p>
      <w:pPr>
        <w:pStyle w:val="BodyText"/>
        <w:spacing w:line="309" w:lineRule="auto" w:before="38"/>
        <w:ind w:left="154" w:right="197" w:hanging="1"/>
        <w:jc w:val="left"/>
      </w:pPr>
      <w:r>
        <w:rPr/>
        <w:t>（以下简称</w:t>
      </w:r>
      <w:r>
        <w:rPr>
          <w:rFonts w:ascii="Times New Roman" w:hAnsi="Times New Roman" w:cs="Times New Roman" w:eastAsia="Times New Roman" w:hint="default"/>
        </w:rPr>
        <w:t>“</w:t>
      </w:r>
      <w:r>
        <w:rPr/>
        <w:t>投资管理公司</w:t>
      </w:r>
      <w:r>
        <w:rPr>
          <w:rFonts w:ascii="Times New Roman" w:hAnsi="Times New Roman" w:cs="Times New Roman" w:eastAsia="Times New Roman" w:hint="default"/>
        </w:rPr>
        <w:t>”</w:t>
      </w:r>
      <w:r>
        <w:rPr/>
        <w:t>），投资管理公司成立后，以投资管理公司为普通合伙人，以投资管理公司管 </w:t>
      </w:r>
      <w:r>
        <w:rPr>
          <w:spacing w:val="-1"/>
        </w:rPr>
        <w:t>理层为有限合伙人，发起设立厦门市亚桐投资管理合伙企业（有限合伙）。随后，以厦门市亚桐投资管理</w:t>
      </w:r>
    </w:p>
    <w:p>
      <w:pPr>
        <w:spacing w:after="0" w:line="309" w:lineRule="auto"/>
        <w:jc w:val="left"/>
        <w:sectPr>
          <w:pgSz w:w="11910" w:h="16840"/>
          <w:pgMar w:header="917" w:footer="1267" w:top="1140" w:bottom="1460" w:left="980" w:right="920"/>
        </w:sectPr>
      </w:pPr>
    </w:p>
    <w:p>
      <w:pPr>
        <w:spacing w:line="240" w:lineRule="auto" w:before="6"/>
        <w:rPr>
          <w:rFonts w:ascii="宋体" w:hAnsi="宋体" w:cs="宋体" w:eastAsia="宋体" w:hint="default"/>
          <w:sz w:val="21"/>
          <w:szCs w:val="21"/>
        </w:rPr>
      </w:pPr>
    </w:p>
    <w:p>
      <w:pPr>
        <w:pStyle w:val="BodyText"/>
        <w:spacing w:line="312" w:lineRule="auto" w:before="35"/>
        <w:ind w:left="153" w:right="137"/>
        <w:jc w:val="left"/>
      </w:pPr>
      <w:bookmarkStart w:name="十六、其他重要事项" w:id="459"/>
      <w:bookmarkEnd w:id="459"/>
      <w:r>
        <w:rPr/>
      </w:r>
      <w:bookmarkStart w:name="1、前期会计差错更正" w:id="460"/>
      <w:bookmarkEnd w:id="460"/>
      <w:r>
        <w:rPr/>
      </w:r>
      <w:bookmarkStart w:name="（1）追溯重述法" w:id="461"/>
      <w:bookmarkEnd w:id="461"/>
      <w:r>
        <w:rPr/>
      </w:r>
      <w:bookmarkStart w:name="（2）未来适用法" w:id="462"/>
      <w:bookmarkEnd w:id="462"/>
      <w:r>
        <w:rPr/>
      </w:r>
      <w:bookmarkStart w:name="2、债务重组" w:id="463"/>
      <w:bookmarkEnd w:id="463"/>
      <w:r>
        <w:rPr/>
      </w:r>
      <w:bookmarkStart w:name="3、资产置换" w:id="464"/>
      <w:bookmarkEnd w:id="464"/>
      <w:r>
        <w:rPr/>
      </w:r>
      <w:bookmarkStart w:name="（1）非货币性资产交换" w:id="465"/>
      <w:bookmarkEnd w:id="465"/>
      <w:r>
        <w:rPr/>
      </w:r>
      <w:bookmarkStart w:name="（2）其他资产置换" w:id="466"/>
      <w:bookmarkEnd w:id="466"/>
      <w:r>
        <w:rPr/>
      </w:r>
      <w:r>
        <w:rPr/>
        <w:t>合伙企业（有限合伙）作为普通合伙人，发起设立</w:t>
      </w:r>
      <w:r>
        <w:rPr>
          <w:rFonts w:ascii="Times New Roman" w:hAnsi="Times New Roman" w:cs="Times New Roman" w:eastAsia="Times New Roman" w:hint="default"/>
        </w:rPr>
        <w:t>“</w:t>
      </w:r>
      <w:r>
        <w:rPr/>
        <w:t>美亚梧桐网络空间安全及大数据产业并购基金</w:t>
      </w:r>
      <w:r>
        <w:rPr>
          <w:rFonts w:ascii="Times New Roman" w:hAnsi="Times New Roman" w:cs="Times New Roman" w:eastAsia="Times New Roman" w:hint="default"/>
        </w:rPr>
        <w:t>”</w:t>
      </w:r>
      <w:r>
        <w:rPr/>
        <w:t>（名称 以工商行政管理机构注册为准）。该基金的规模为人民币</w:t>
      </w:r>
      <w:r>
        <w:rPr>
          <w:rFonts w:ascii="Times New Roman" w:hAnsi="Times New Roman" w:cs="Times New Roman" w:eastAsia="Times New Roman" w:hint="default"/>
        </w:rPr>
        <w:t>2</w:t>
      </w:r>
      <w:r>
        <w:rPr/>
        <w:t>亿元，本公司出资</w:t>
      </w:r>
      <w:r>
        <w:rPr>
          <w:rFonts w:ascii="Times New Roman" w:hAnsi="Times New Roman" w:cs="Times New Roman" w:eastAsia="Times New Roman" w:hint="default"/>
        </w:rPr>
        <w:t>3000</w:t>
      </w:r>
      <w:r>
        <w:rPr/>
        <w:t>万元人民币作为劣后资 </w:t>
      </w:r>
      <w:r>
        <w:rPr>
          <w:spacing w:val="-1"/>
        </w:rPr>
        <w:t>金，深圳市前海梧桐并购投资基金管理有限公司出资</w:t>
      </w:r>
      <w:r>
        <w:rPr>
          <w:rFonts w:ascii="Times New Roman" w:hAnsi="Times New Roman" w:cs="Times New Roman" w:eastAsia="Times New Roman" w:hint="default"/>
          <w:spacing w:val="-1"/>
        </w:rPr>
        <w:t>5000</w:t>
      </w:r>
      <w:r>
        <w:rPr>
          <w:spacing w:val="-1"/>
        </w:rPr>
        <w:t>万元，其中</w:t>
      </w:r>
      <w:r>
        <w:rPr>
          <w:rFonts w:ascii="Times New Roman" w:hAnsi="Times New Roman" w:cs="Times New Roman" w:eastAsia="Times New Roman" w:hint="default"/>
          <w:spacing w:val="-1"/>
        </w:rPr>
        <w:t>2000</w:t>
      </w:r>
      <w:r>
        <w:rPr>
          <w:spacing w:val="-1"/>
        </w:rPr>
        <w:t>万元作为劣后资金，</w:t>
      </w:r>
      <w:r>
        <w:rPr>
          <w:rFonts w:ascii="Times New Roman" w:hAnsi="Times New Roman" w:cs="Times New Roman" w:eastAsia="Times New Roman" w:hint="default"/>
          <w:spacing w:val="-1"/>
        </w:rPr>
        <w:t>3000</w:t>
      </w:r>
      <w:r>
        <w:rPr>
          <w:spacing w:val="-1"/>
        </w:rPr>
        <w:t>万元作</w:t>
      </w:r>
      <w:r>
        <w:rPr>
          <w:spacing w:val="-84"/>
        </w:rPr>
        <w:t> </w:t>
      </w:r>
      <w:r>
        <w:rPr>
          <w:spacing w:val="-84"/>
        </w:rPr>
      </w:r>
      <w:r>
        <w:rPr/>
        <w:t>为同股同权资金，剩余</w:t>
      </w:r>
      <w:r>
        <w:rPr>
          <w:rFonts w:ascii="Times New Roman" w:hAnsi="Times New Roman" w:cs="Times New Roman" w:eastAsia="Times New Roman" w:hint="default"/>
        </w:rPr>
        <w:t>1.2</w:t>
      </w:r>
      <w:r>
        <w:rPr/>
        <w:t>亿元资金优先采取结构化安排，于基金设立后</w:t>
      </w:r>
      <w:r>
        <w:rPr>
          <w:rFonts w:ascii="Times New Roman" w:hAnsi="Times New Roman" w:cs="Times New Roman" w:eastAsia="Times New Roman" w:hint="default"/>
        </w:rPr>
        <w:t>1</w:t>
      </w:r>
      <w:r>
        <w:rPr/>
        <w:t>年内向其他投资人募集。截至审 </w:t>
      </w:r>
      <w:r>
        <w:rPr>
          <w:spacing w:val="-1"/>
        </w:rPr>
        <w:t>计报告日，已先后完成了投资管理公司、厦门市亚桐投资管理合伙企业（有限合伙）的注册登记，正在办</w:t>
      </w:r>
      <w:r>
        <w:rPr>
          <w:spacing w:val="-83"/>
        </w:rPr>
        <w:t> </w:t>
      </w:r>
      <w:r>
        <w:rPr>
          <w:spacing w:val="-83"/>
        </w:rPr>
      </w:r>
      <w:r>
        <w:rPr/>
        <w:t>理美亚梧桐网络空间安全及大数据产业并购基金的注册工作。</w:t>
      </w:r>
    </w:p>
    <w:p>
      <w:pPr>
        <w:pStyle w:val="BodyText"/>
        <w:spacing w:line="240" w:lineRule="auto" w:before="156"/>
        <w:ind w:left="573" w:right="0"/>
        <w:jc w:val="left"/>
      </w:pPr>
      <w:r>
        <w:rPr/>
        <w:t>（</w:t>
      </w:r>
      <w:r>
        <w:rPr>
          <w:rFonts w:ascii="Times New Roman" w:hAnsi="Times New Roman" w:cs="Times New Roman" w:eastAsia="Times New Roman" w:hint="default"/>
        </w:rPr>
        <w:t>3</w:t>
      </w:r>
      <w:r>
        <w:rPr/>
        <w:t>）合资成立北京国信宏数科技有限责任公司</w:t>
      </w:r>
    </w:p>
    <w:p>
      <w:pPr>
        <w:spacing w:line="240" w:lineRule="auto" w:before="12"/>
        <w:rPr>
          <w:rFonts w:ascii="宋体" w:hAnsi="宋体" w:cs="宋体" w:eastAsia="宋体" w:hint="default"/>
          <w:sz w:val="22"/>
          <w:szCs w:val="22"/>
        </w:rPr>
      </w:pPr>
    </w:p>
    <w:p>
      <w:pPr>
        <w:pStyle w:val="BodyText"/>
        <w:spacing w:line="309" w:lineRule="auto"/>
        <w:ind w:left="153" w:right="0" w:firstLine="420"/>
        <w:jc w:val="left"/>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月，本公司子公司美亚宏数与国信利信大数据服务有限公司（下称“国信利信”）签订合资</w:t>
      </w:r>
      <w:r>
        <w:rPr/>
        <w:t> 协议，成立合资公司北京国信宏数科技有限责任公司（下称“国信宏数”），并于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日注册成 立，统一社会信用代码：</w:t>
      </w:r>
      <w:r>
        <w:rPr>
          <w:rFonts w:ascii="Times New Roman" w:hAnsi="Times New Roman" w:cs="Times New Roman" w:eastAsia="Times New Roman" w:hint="default"/>
        </w:rPr>
        <w:t>91110108MA0034AE2U</w:t>
      </w:r>
      <w:r>
        <w:rPr/>
        <w:t>，注册资本</w:t>
      </w:r>
      <w:r>
        <w:rPr>
          <w:rFonts w:ascii="Times New Roman" w:hAnsi="Times New Roman" w:cs="Times New Roman" w:eastAsia="Times New Roman" w:hint="default"/>
        </w:rPr>
        <w:t>1000</w:t>
      </w:r>
      <w:r>
        <w:rPr/>
        <w:t>万元，其中，美亚宏数出资</w:t>
      </w:r>
      <w:r>
        <w:rPr>
          <w:rFonts w:ascii="Times New Roman" w:hAnsi="Times New Roman" w:cs="Times New Roman" w:eastAsia="Times New Roman" w:hint="default"/>
        </w:rPr>
        <w:t>600</w:t>
      </w:r>
      <w:r>
        <w:rPr/>
        <w:t>万，持有 </w:t>
      </w:r>
      <w:r>
        <w:rPr>
          <w:rFonts w:ascii="Times New Roman" w:hAnsi="Times New Roman" w:cs="Times New Roman" w:eastAsia="Times New Roman" w:hint="default"/>
        </w:rPr>
        <w:t>60%</w:t>
      </w:r>
      <w:r>
        <w:rPr/>
        <w:t>股权，国信利信出资</w:t>
      </w:r>
      <w:r>
        <w:rPr>
          <w:rFonts w:ascii="Times New Roman" w:hAnsi="Times New Roman" w:cs="Times New Roman" w:eastAsia="Times New Roman" w:hint="default"/>
        </w:rPr>
        <w:t>400</w:t>
      </w:r>
      <w:r>
        <w:rPr/>
        <w:t>万，持有</w:t>
      </w:r>
      <w:r>
        <w:rPr>
          <w:rFonts w:ascii="Times New Roman" w:hAnsi="Times New Roman" w:cs="Times New Roman" w:eastAsia="Times New Roman" w:hint="default"/>
        </w:rPr>
        <w:t>40%</w:t>
      </w:r>
      <w:r>
        <w:rPr/>
        <w:t>股权，法定代表人滕达，注册地址：北京市海淀区丰慧中路</w:t>
      </w:r>
      <w:r>
        <w:rPr>
          <w:rFonts w:ascii="Times New Roman" w:hAnsi="Times New Roman" w:cs="Times New Roman" w:eastAsia="Times New Roman" w:hint="default"/>
        </w:rPr>
        <w:t>7</w:t>
      </w:r>
      <w:r>
        <w:rPr/>
        <w:t>号 新材料创业大厦</w:t>
      </w:r>
      <w:r>
        <w:rPr>
          <w:rFonts w:ascii="Times New Roman" w:hAnsi="Times New Roman" w:cs="Times New Roman" w:eastAsia="Times New Roman" w:hint="default"/>
        </w:rPr>
        <w:t>10</w:t>
      </w:r>
      <w:r>
        <w:rPr/>
        <w:t>层北侧办公</w:t>
      </w:r>
      <w:r>
        <w:rPr>
          <w:rFonts w:ascii="Times New Roman" w:hAnsi="Times New Roman" w:cs="Times New Roman" w:eastAsia="Times New Roman" w:hint="default"/>
        </w:rPr>
        <w:t>1018</w:t>
      </w:r>
      <w:r>
        <w:rPr/>
        <w:t>室。</w:t>
      </w:r>
    </w:p>
    <w:p>
      <w:pPr>
        <w:spacing w:line="240" w:lineRule="auto" w:before="10"/>
        <w:rPr>
          <w:rFonts w:ascii="宋体" w:hAnsi="宋体" w:cs="宋体" w:eastAsia="宋体" w:hint="default"/>
          <w:sz w:val="17"/>
          <w:szCs w:val="17"/>
        </w:rPr>
      </w:pPr>
    </w:p>
    <w:p>
      <w:pPr>
        <w:pStyle w:val="BodyText"/>
        <w:spacing w:line="240" w:lineRule="auto"/>
        <w:ind w:left="573" w:right="0"/>
        <w:jc w:val="left"/>
      </w:pP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日（董事会批准报告日），本集团不存在其他应披露的资产负债表日后事项。</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530" w:lineRule="auto"/>
        <w:ind w:left="574" w:right="8191"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）追溯重述法</w:t>
      </w:r>
      <w:r>
        <w:rPr>
          <w:w w:val="99"/>
        </w:rPr>
        <w:t> </w:t>
      </w:r>
      <w:r>
        <w:rPr>
          <w:rFonts w:ascii="宋体" w:hAnsi="宋体" w:cs="宋体" w:eastAsia="宋体" w:hint="default"/>
          <w:b w:val="0"/>
          <w:bCs w:val="0"/>
        </w:rPr>
        <w:t>无。</w:t>
      </w:r>
    </w:p>
    <w:p>
      <w:pPr>
        <w:pStyle w:val="Heading4"/>
        <w:spacing w:line="530" w:lineRule="auto" w:before="115"/>
        <w:ind w:left="574" w:right="8191"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）未来适用法</w:t>
      </w:r>
      <w:r>
        <w:rPr>
          <w:w w:val="99"/>
        </w:rPr>
        <w:t> </w:t>
      </w:r>
      <w:r>
        <w:rPr>
          <w:rFonts w:ascii="宋体" w:hAnsi="宋体" w:cs="宋体" w:eastAsia="宋体" w:hint="default"/>
          <w:b w:val="0"/>
          <w:bCs w:val="0"/>
        </w:rPr>
        <w:t>无。</w:t>
      </w:r>
    </w:p>
    <w:p>
      <w:pPr>
        <w:pStyle w:val="Heading4"/>
        <w:spacing w:line="547" w:lineRule="auto" w:before="115"/>
        <w:ind w:left="34" w:right="8511"/>
        <w:jc w:val="center"/>
        <w:rPr>
          <w:b w:val="0"/>
          <w:bCs w:val="0"/>
        </w:rPr>
      </w:pPr>
      <w:r>
        <w:rPr>
          <w:rFonts w:ascii="Times New Roman" w:hAnsi="Times New Roman" w:cs="Times New Roman" w:eastAsia="Times New Roman" w:hint="default"/>
        </w:rPr>
        <w:t>2</w:t>
      </w:r>
      <w:r>
        <w:rPr/>
        <w:t>、债务重组</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3</w:t>
      </w:r>
      <w:r>
        <w:rPr/>
        <w:t>、资产置换</w:t>
      </w:r>
      <w:r>
        <w:rPr>
          <w:b w:val="0"/>
          <w:bCs w:val="0"/>
        </w:rPr>
      </w:r>
    </w:p>
    <w:p>
      <w:pPr>
        <w:pStyle w:val="Heading4"/>
        <w:spacing w:line="530" w:lineRule="auto" w:before="25"/>
        <w:ind w:left="574" w:right="7559" w:hanging="420"/>
        <w:jc w:val="left"/>
        <w:rPr>
          <w:rFonts w:ascii="宋体" w:hAnsi="宋体" w:cs="宋体" w:eastAsia="宋体" w:hint="default"/>
          <w:b w:val="0"/>
          <w:bCs w:val="0"/>
        </w:rPr>
      </w:pPr>
      <w:r>
        <w:rPr/>
        <w:t>（</w:t>
      </w:r>
      <w:r>
        <w:rPr>
          <w:rFonts w:ascii="Times New Roman" w:hAnsi="Times New Roman" w:cs="Times New Roman" w:eastAsia="Times New Roman" w:hint="default"/>
        </w:rPr>
        <w:t>1</w:t>
      </w:r>
      <w:r>
        <w:rPr/>
        <w:t>）非货币性资产交换</w:t>
      </w:r>
      <w:r>
        <w:rPr>
          <w:spacing w:val="1"/>
          <w:w w:val="99"/>
        </w:rPr>
        <w:t> </w:t>
      </w:r>
      <w:r>
        <w:rPr>
          <w:rFonts w:ascii="宋体" w:hAnsi="宋体" w:cs="宋体" w:eastAsia="宋体" w:hint="default"/>
          <w:b w:val="0"/>
          <w:bCs w:val="0"/>
        </w:rPr>
        <w:t>无。</w:t>
      </w:r>
    </w:p>
    <w:p>
      <w:pPr>
        <w:pStyle w:val="Heading4"/>
        <w:spacing w:line="532" w:lineRule="auto" w:before="115"/>
        <w:ind w:left="574" w:right="7980"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）其他资产置换</w:t>
      </w:r>
      <w:r>
        <w:rPr>
          <w:spacing w:val="1"/>
          <w:w w:val="99"/>
        </w:rPr>
        <w:t> </w:t>
      </w:r>
      <w:r>
        <w:rPr>
          <w:rFonts w:ascii="宋体" w:hAnsi="宋体" w:cs="宋体" w:eastAsia="宋体" w:hint="default"/>
          <w:b w:val="0"/>
          <w:bCs w:val="0"/>
        </w:rPr>
        <w:t>无。</w:t>
      </w:r>
    </w:p>
    <w:p>
      <w:pPr>
        <w:spacing w:after="0" w:line="532" w:lineRule="auto"/>
        <w:jc w:val="left"/>
        <w:rPr>
          <w:rFonts w:ascii="宋体" w:hAnsi="宋体" w:cs="宋体" w:eastAsia="宋体" w:hint="default"/>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账款" w:id="467"/>
      <w:bookmarkEnd w:id="467"/>
      <w:r>
        <w:rPr>
          <w:b w:val="0"/>
          <w:bCs w:val="0"/>
        </w:rPr>
      </w:r>
      <w:bookmarkStart w:name="（1）应收账款分类披露" w:id="468"/>
      <w:bookmarkEnd w:id="468"/>
      <w:r>
        <w:rPr>
          <w:b w:val="0"/>
          <w:bCs w:val="0"/>
        </w:rPr>
      </w:r>
      <w:r>
        <w:rPr>
          <w:rFonts w:ascii="Times New Roman" w:hAnsi="Times New Roman" w:cs="Times New Roman" w:eastAsia="Times New Roman" w:hint="default"/>
        </w:rPr>
        <w:t>4</w:t>
      </w:r>
      <w:bookmarkStart w:name="4、年金计划" w:id="469"/>
      <w:bookmarkEnd w:id="469"/>
      <w:r>
        <w:rPr>
          <w:rFonts w:ascii="Times New Roman" w:hAnsi="Times New Roman" w:cs="Times New Roman" w:eastAsia="Times New Roman" w:hint="default"/>
        </w:rPr>
      </w:r>
      <w:r>
        <w:rPr/>
        <w:t>、年金计划</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0" w:firstLine="420"/>
        <w:jc w:val="left"/>
      </w:pPr>
      <w:r>
        <w:rPr>
          <w:spacing w:val="-1"/>
        </w:rPr>
        <w:t>除了社会基本养老保险之外，本公司依据国家企业年金制度的相关政策建立企业年金计划（“年金计</w:t>
      </w:r>
      <w:r>
        <w:rPr/>
        <w:t> 划”），符合年金条件的公司员工可以自愿参加该年金计划。</w:t>
      </w:r>
    </w:p>
    <w:p>
      <w:pPr>
        <w:spacing w:line="240" w:lineRule="auto" w:before="6"/>
        <w:rPr>
          <w:rFonts w:ascii="宋体" w:hAnsi="宋体" w:cs="宋体" w:eastAsia="宋体" w:hint="default"/>
          <w:sz w:val="22"/>
          <w:szCs w:val="22"/>
        </w:rPr>
      </w:pPr>
    </w:p>
    <w:p>
      <w:pPr>
        <w:pStyle w:val="Heading4"/>
        <w:spacing w:line="547" w:lineRule="auto"/>
        <w:ind w:left="34" w:right="8511"/>
        <w:jc w:val="center"/>
        <w:rPr>
          <w:b w:val="0"/>
          <w:bCs w:val="0"/>
        </w:rPr>
      </w:pPr>
      <w:r>
        <w:rPr>
          <w:rFonts w:ascii="Times New Roman" w:hAnsi="Times New Roman" w:cs="Times New Roman" w:eastAsia="Times New Roman" w:hint="default"/>
        </w:rPr>
        <w:t>5</w:t>
      </w:r>
      <w:r>
        <w:rPr/>
        <w:t>、终止经营</w:t>
      </w:r>
      <w:r>
        <w:rPr>
          <w:w w:val="99"/>
        </w:rPr>
        <w:t> </w:t>
      </w:r>
      <w:r>
        <w:rPr>
          <w:rFonts w:ascii="宋体" w:hAnsi="宋体" w:cs="宋体" w:eastAsia="宋体" w:hint="default"/>
          <w:b w:val="0"/>
          <w:bCs w:val="0"/>
        </w:rPr>
        <w:t>无。 </w:t>
      </w:r>
      <w:r>
        <w:rPr>
          <w:rFonts w:ascii="Times New Roman" w:hAnsi="Times New Roman" w:cs="Times New Roman" w:eastAsia="Times New Roman" w:hint="default"/>
        </w:rPr>
        <w:t>6</w:t>
      </w:r>
      <w:r>
        <w:rPr/>
        <w:t>、分部信息</w:t>
      </w:r>
      <w:r>
        <w:rPr>
          <w:b w:val="0"/>
          <w:bCs w:val="0"/>
        </w:rPr>
      </w:r>
    </w:p>
    <w:p>
      <w:pPr>
        <w:pStyle w:val="Heading4"/>
        <w:spacing w:line="240" w:lineRule="auto" w:before="25"/>
        <w:ind w:right="0"/>
        <w:jc w:val="left"/>
        <w:rPr>
          <w:b w:val="0"/>
          <w:bCs w:val="0"/>
        </w:rPr>
      </w:pPr>
      <w:r>
        <w:rPr/>
        <w:t>（</w:t>
      </w:r>
      <w:r>
        <w:rPr>
          <w:rFonts w:ascii="Times New Roman" w:hAnsi="Times New Roman" w:cs="Times New Roman" w:eastAsia="Times New Roman" w:hint="default"/>
        </w:rPr>
        <w:t>1</w:t>
      </w:r>
      <w:r>
        <w:rPr/>
        <w:t>）报告分部</w:t>
      </w:r>
      <w:bookmarkStart w:name="5、终止经营" w:id="470"/>
      <w:bookmarkEnd w:id="470"/>
      <w:r>
        <w:rPr/>
        <w:t>的确定依</w:t>
      </w:r>
      <w:r>
        <w:rPr/>
        <w:t>据</w:t>
      </w:r>
      <w:bookmarkStart w:name="6、分部信息" w:id="471"/>
      <w:bookmarkEnd w:id="471"/>
      <w:r>
        <w:rPr/>
        <w:t>与会计政策</w:t>
      </w:r>
      <w:r>
        <w:rPr>
          <w:b w:val="0"/>
          <w:bCs w:val="0"/>
        </w:rPr>
      </w:r>
    </w:p>
    <w:p>
      <w:pPr>
        <w:spacing w:line="240" w:lineRule="auto" w:before="8"/>
        <w:rPr>
          <w:rFonts w:ascii="宋体" w:hAnsi="宋体" w:cs="宋体" w:eastAsia="宋体" w:hint="default"/>
          <w:b/>
          <w:bCs/>
          <w:sz w:val="24"/>
          <w:szCs w:val="24"/>
        </w:rPr>
      </w:pPr>
    </w:p>
    <w:p>
      <w:pPr>
        <w:pStyle w:val="Heading4"/>
        <w:spacing w:line="530" w:lineRule="auto"/>
        <w:ind w:left="574" w:right="7348"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）报告分部的财务信息</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3</w:t>
      </w:r>
      <w:r>
        <w:rPr/>
        <w:t>）公司无报告分部的，或者不能披</w:t>
      </w:r>
      <w:bookmarkStart w:name="（1）报告分部的确定依据与会计政策" w:id="472"/>
      <w:bookmarkEnd w:id="472"/>
      <w:r>
        <w:rPr/>
      </w:r>
      <w:bookmarkStart w:name="（2）报告分部的财务信息" w:id="473"/>
      <w:bookmarkEnd w:id="473"/>
      <w:r>
        <w:rPr/>
        <w:t>露各报告</w:t>
      </w:r>
      <w:r>
        <w:rPr/>
        <w:t>分</w:t>
      </w:r>
      <w:bookmarkStart w:name="（3）公司无报告分部的，或者不能披露各报告分部的资产总额和负债总额的，应说明原因" w:id="474"/>
      <w:bookmarkEnd w:id="474"/>
      <w:r>
        <w:rPr/>
        <w:t>部的资产</w:t>
      </w:r>
      <w:r>
        <w:rPr/>
        <w:t>总额和负债总额的，应说明原因</w:t>
      </w:r>
      <w:r>
        <w:rPr>
          <w:b w:val="0"/>
          <w:bCs w:val="0"/>
        </w:rPr>
      </w:r>
    </w:p>
    <w:p>
      <w:pPr>
        <w:spacing w:line="240" w:lineRule="auto" w:before="12"/>
        <w:rPr>
          <w:rFonts w:ascii="宋体" w:hAnsi="宋体" w:cs="宋体" w:eastAsia="宋体" w:hint="default"/>
          <w:b/>
          <w:bCs/>
          <w:sz w:val="26"/>
          <w:szCs w:val="26"/>
        </w:rPr>
      </w:pPr>
    </w:p>
    <w:p>
      <w:pPr>
        <w:pStyle w:val="BodyText"/>
        <w:spacing w:line="326" w:lineRule="auto"/>
        <w:ind w:left="154" w:right="0" w:firstLine="420"/>
        <w:jc w:val="left"/>
      </w:pPr>
      <w:r>
        <w:rPr>
          <w:spacing w:val="-1"/>
        </w:rPr>
        <w:t>本集团内主要公司产品或劳务性质相似，以及生产过程、销售产品和提供劳务的方式、客户类型、行</w:t>
      </w:r>
      <w:r>
        <w:rPr/>
        <w:t> 业法规均具有相似性，同时，由于本集团收入主要来自中国境内，因此本集团无需披露分部数据。</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59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52" w:firstLine="0"/>
        <w:jc w:val="right"/>
        <w:rPr>
          <w:rFonts w:ascii="宋体" w:hAnsi="宋体" w:cs="宋体" w:eastAsia="宋体" w:hint="default"/>
          <w:sz w:val="18"/>
          <w:szCs w:val="18"/>
        </w:rPr>
      </w:pPr>
      <w:bookmarkStart w:name="（4）其他说明" w:id="475"/>
      <w:bookmarkEnd w:id="475"/>
      <w:r>
        <w:rPr/>
      </w:r>
      <w:bookmarkStart w:name="7、其他对投资者决策有影响的重要交易和事项" w:id="476"/>
      <w:bookmarkEnd w:id="476"/>
      <w:r>
        <w:rPr/>
      </w:r>
      <w:bookmarkStart w:name="8、其他" w:id="477"/>
      <w:bookmarkEnd w:id="477"/>
      <w:r>
        <w:rPr/>
      </w:r>
      <w:bookmarkStart w:name="十七、母公司财务报表主要项目注释" w:id="478"/>
      <w:bookmarkEnd w:id="478"/>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2"/>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4D4D4"/>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4D4D4"/>
          </w:tcPr>
          <w:p>
            <w:pPr/>
          </w:p>
        </w:tc>
        <w:tc>
          <w:tcPr>
            <w:tcW w:w="152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5" w:type="dxa"/>
            <w:gridSpan w:val="2"/>
            <w:vMerge/>
            <w:tcBorders>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2" w:type="dxa"/>
            <w:tcBorders>
              <w:top w:val="single" w:sz="4" w:space="0" w:color="000000"/>
              <w:left w:val="single" w:sz="4" w:space="0" w:color="000000"/>
              <w:bottom w:val="nil" w:sz="6" w:space="0" w:color="auto"/>
              <w:right w:val="single" w:sz="4" w:space="0" w:color="000000"/>
            </w:tcBorders>
            <w:shd w:val="clear" w:color="auto" w:fill="D4D4D4"/>
          </w:tcPr>
          <w:p>
            <w:pPr/>
          </w:p>
        </w:tc>
        <w:tc>
          <w:tcPr>
            <w:tcW w:w="812"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4D4D4"/>
          </w:tcPr>
          <w:p>
            <w:pP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6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200" w:hRule="exact"/>
        </w:trPr>
        <w:tc>
          <w:tcPr>
            <w:tcW w:w="1623" w:type="dxa"/>
            <w:vMerge/>
            <w:tcBorders>
              <w:left w:val="single" w:sz="4" w:space="0" w:color="000000"/>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
        </w:tc>
        <w:tc>
          <w:tcPr>
            <w:tcW w:w="654"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812" w:type="dxa"/>
            <w:vMerge/>
            <w:tcBorders>
              <w:left w:val="single" w:sz="4" w:space="0" w:color="000000"/>
              <w:bottom w:val="nil" w:sz="6" w:space="0" w:color="auto"/>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65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812"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2"/>
              <w:jc w:val="both"/>
              <w:rPr>
                <w:rFonts w:ascii="宋体" w:hAnsi="宋体" w:cs="宋体" w:eastAsia="宋体" w:hint="default"/>
                <w:sz w:val="18"/>
                <w:szCs w:val="18"/>
              </w:rPr>
            </w:pPr>
            <w:r>
              <w:rPr>
                <w:rFonts w:ascii="宋体" w:hAnsi="宋体" w:cs="宋体" w:eastAsia="宋体" w:hint="default"/>
                <w:spacing w:val="17"/>
                <w:sz w:val="18"/>
                <w:szCs w:val="18"/>
              </w:rPr>
              <w:t>按信用风险特征组</w:t>
            </w:r>
            <w:r>
              <w:rPr>
                <w:rFonts w:ascii="宋体" w:hAnsi="宋体" w:cs="宋体" w:eastAsia="宋体" w:hint="default"/>
                <w:spacing w:val="-71"/>
                <w:sz w:val="18"/>
                <w:szCs w:val="18"/>
              </w:rPr>
              <w:t> </w:t>
            </w:r>
            <w:r>
              <w:rPr>
                <w:rFonts w:ascii="宋体" w:hAnsi="宋体" w:cs="宋体" w:eastAsia="宋体" w:hint="default"/>
                <w:spacing w:val="17"/>
                <w:sz w:val="18"/>
                <w:szCs w:val="18"/>
              </w:rPr>
              <w:t>合计提坏账准备的</w:t>
            </w:r>
            <w:r>
              <w:rPr>
                <w:rFonts w:ascii="宋体" w:hAnsi="宋体" w:cs="宋体" w:eastAsia="宋体" w:hint="default"/>
                <w:spacing w:val="-71"/>
                <w:sz w:val="18"/>
                <w:szCs w:val="18"/>
              </w:rPr>
              <w:t> </w:t>
            </w:r>
            <w:r>
              <w:rPr>
                <w:rFonts w:ascii="宋体" w:hAnsi="宋体" w:cs="宋体" w:eastAsia="宋体" w:hint="default"/>
                <w:sz w:val="18"/>
                <w:szCs w:val="18"/>
              </w:rPr>
              <w:t>应收账款</w:t>
            </w:r>
          </w:p>
        </w:tc>
        <w:tc>
          <w:tcPr>
            <w:tcW w:w="76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253,791,</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934.11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27,070,6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226,721,2</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89.32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176,812</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,631.83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22,224,71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154,587,91</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6.14</w:t>
            </w:r>
          </w:p>
        </w:tc>
      </w:tr>
    </w:tbl>
    <w:p>
      <w:pPr>
        <w:spacing w:after="0" w:line="240" w:lineRule="auto"/>
        <w:jc w:val="left"/>
        <w:rPr>
          <w:rFonts w:ascii="Times New Roman" w:hAnsi="Times New Roman" w:cs="Times New Roman" w:eastAsia="Times New Roman"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253,791,</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934.11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27,070,6</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44.79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226,721,2</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89.32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176,812</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,631.83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22,224,71</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12.57%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154,587,91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6.14</w:t>
            </w:r>
          </w:p>
        </w:tc>
      </w:tr>
    </w:tbl>
    <w:p>
      <w:pPr>
        <w:spacing w:line="240" w:lineRule="auto" w:before="10"/>
        <w:rPr>
          <w:rFonts w:ascii="宋体" w:hAnsi="宋体" w:cs="宋体" w:eastAsia="宋体" w:hint="default"/>
          <w:sz w:val="7"/>
          <w:szCs w:val="7"/>
        </w:rPr>
      </w:pPr>
    </w:p>
    <w:p>
      <w:pPr>
        <w:pStyle w:val="BodyText"/>
        <w:spacing w:line="240" w:lineRule="auto" w:before="35"/>
        <w:ind w:right="0"/>
        <w:jc w:val="left"/>
      </w:pPr>
      <w:bookmarkStart w:name="（2）本期计提、收回或转回的坏账准备情况" w:id="479"/>
      <w:bookmarkEnd w:id="479"/>
      <w:r>
        <w:rPr/>
      </w:r>
      <w:r>
        <w:rPr/>
        <w:t>期末单项金额重大并单项计提坏账准备的应收账款：</w:t>
      </w:r>
    </w:p>
    <w:p>
      <w:pPr>
        <w:spacing w:line="240" w:lineRule="auto" w:before="10"/>
        <w:rPr>
          <w:rFonts w:ascii="宋体" w:hAnsi="宋体" w:cs="宋体" w:eastAsia="宋体" w:hint="default"/>
          <w:sz w:val="16"/>
          <w:szCs w:val="16"/>
        </w:rPr>
      </w:pPr>
    </w:p>
    <w:p>
      <w:pPr>
        <w:pStyle w:val="BodyText"/>
        <w:spacing w:line="408" w:lineRule="auto"/>
        <w:ind w:right="473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t>不适用</w:t>
      </w:r>
      <w:r>
        <w:rPr>
          <w:spacing w:val="-2"/>
        </w:rPr>
        <w:t> </w:t>
      </w:r>
      <w:r>
        <w:rPr/>
        <w:t>组合中，按账龄分析法计提坏账准备的应收账款：</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2"/>
        </w:rPr>
        <w:t>不适用</w:t>
      </w:r>
      <w:r>
        <w:rPr/>
      </w:r>
    </w:p>
    <w:p>
      <w:pPr>
        <w:spacing w:line="240" w:lineRule="auto" w:before="11"/>
        <w:rPr>
          <w:rFonts w:ascii="宋体" w:hAnsi="宋体" w:cs="宋体" w:eastAsia="宋体" w:hint="default"/>
          <w:sz w:val="11"/>
          <w:szCs w:val="11"/>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4D4D4"/>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142,397,942.78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7,119,897.14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142,397,942.78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7,119,897.14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40,943,994.63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4,094,399.46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11,811,640.49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3,543,492.15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15,790,953.10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7,895,476.55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4,562,974.36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3,650,379.49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767,000.00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216,274,505.36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27,070,644.79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w:t>
            </w:r>
          </w:p>
        </w:tc>
      </w:tr>
    </w:tbl>
    <w:p>
      <w:pPr>
        <w:spacing w:line="240" w:lineRule="auto" w:before="10"/>
        <w:rPr>
          <w:rFonts w:ascii="宋体" w:hAnsi="宋体" w:cs="宋体" w:eastAsia="宋体" w:hint="default"/>
          <w:sz w:val="7"/>
          <w:szCs w:val="7"/>
        </w:rPr>
      </w:pPr>
    </w:p>
    <w:p>
      <w:pPr>
        <w:pStyle w:val="BodyText"/>
        <w:spacing w:line="432" w:lineRule="auto" w:before="35"/>
        <w:ind w:right="4312"/>
        <w:jc w:val="left"/>
      </w:pPr>
      <w:r>
        <w:rPr/>
        <w:t>确定该组合依据的说明： 组合中，采用余额百分比法计提坏账准备的应收账款：</w:t>
      </w:r>
    </w:p>
    <w:p>
      <w:pPr>
        <w:pStyle w:val="BodyText"/>
        <w:spacing w:line="408" w:lineRule="auto" w:before="51"/>
        <w:ind w:right="473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t>不适用</w:t>
      </w:r>
      <w:r>
        <w:rPr>
          <w:spacing w:val="-2"/>
        </w:rPr>
        <w:t> </w:t>
      </w:r>
      <w:r>
        <w:rPr/>
        <w:t>组合中，采用其他方法计提坏账准备的应收账款：</w:t>
      </w:r>
    </w:p>
    <w:p>
      <w:pPr>
        <w:spacing w:line="240" w:lineRule="auto" w:before="4"/>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3060"/>
        <w:gridCol w:w="3254"/>
        <w:gridCol w:w="3253"/>
      </w:tblGrid>
      <w:tr>
        <w:trPr>
          <w:trHeight w:val="422"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left="1371"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3254"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left="14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3253"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2"/>
              <w:ind w:left="146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33" w:hRule="exact"/>
        </w:trPr>
        <w:tc>
          <w:tcPr>
            <w:tcW w:w="30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left="422" w:right="0"/>
              <w:jc w:val="left"/>
              <w:rPr>
                <w:rFonts w:ascii="宋体" w:hAnsi="宋体" w:cs="宋体" w:eastAsia="宋体" w:hint="default"/>
                <w:sz w:val="18"/>
                <w:szCs w:val="18"/>
              </w:rPr>
            </w:pPr>
            <w:r>
              <w:rPr>
                <w:rFonts w:ascii="宋体" w:hAnsi="宋体" w:cs="宋体" w:eastAsia="宋体" w:hint="default"/>
                <w:sz w:val="18"/>
                <w:szCs w:val="18"/>
              </w:rPr>
              <w:t>合并范围内应收款项</w:t>
            </w:r>
          </w:p>
        </w:tc>
        <w:tc>
          <w:tcPr>
            <w:tcW w:w="325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37,517,428.75</w:t>
            </w:r>
          </w:p>
        </w:tc>
        <w:tc>
          <w:tcPr>
            <w:tcW w:w="32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0.00</w:t>
            </w:r>
          </w:p>
        </w:tc>
      </w:tr>
      <w:tr>
        <w:trPr>
          <w:trHeight w:val="427" w:hRule="exact"/>
        </w:trPr>
        <w:tc>
          <w:tcPr>
            <w:tcW w:w="3060" w:type="dxa"/>
            <w:tcBorders>
              <w:top w:val="single" w:sz="6" w:space="0" w:color="000000"/>
              <w:left w:val="single" w:sz="6" w:space="0" w:color="000000"/>
              <w:bottom w:val="single" w:sz="6" w:space="0" w:color="000000"/>
              <w:right w:val="single" w:sz="6" w:space="0" w:color="000000"/>
            </w:tcBorders>
            <w:shd w:val="clear" w:color="auto" w:fill="D4D4D4"/>
          </w:tcPr>
          <w:p>
            <w:pPr>
              <w:pStyle w:val="TableParagraph"/>
              <w:spacing w:line="240" w:lineRule="auto" w:before="61"/>
              <w:ind w:left="4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37,517,428.75</w:t>
            </w:r>
          </w:p>
        </w:tc>
        <w:tc>
          <w:tcPr>
            <w:tcW w:w="3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6"/>
          <w:szCs w:val="26"/>
        </w:rPr>
      </w:pPr>
    </w:p>
    <w:p>
      <w:pPr>
        <w:pStyle w:val="BodyText"/>
        <w:spacing w:line="408" w:lineRule="auto"/>
        <w:ind w:right="2212"/>
        <w:jc w:val="left"/>
      </w:pPr>
      <w:r>
        <w:rPr/>
        <w:t>本期计提坏账准备金额</w:t>
      </w:r>
      <w:r>
        <w:rPr>
          <w:rFonts w:ascii="Times New Roman" w:hAnsi="Times New Roman" w:cs="Times New Roman" w:eastAsia="Times New Roman" w:hint="default"/>
        </w:rPr>
        <w:t>4,845,929.10</w:t>
      </w:r>
      <w:r>
        <w:rPr/>
        <w:t>元；本期收回或转回坏账准备金额</w:t>
      </w:r>
      <w:r>
        <w:rPr>
          <w:rFonts w:ascii="Times New Roman" w:hAnsi="Times New Roman" w:cs="Times New Roman" w:eastAsia="Times New Roman" w:hint="default"/>
        </w:rPr>
        <w:t>0.00</w:t>
      </w:r>
      <w:r>
        <w:rPr/>
        <w:t>元。 其中本期坏账准备收回或转回金额重要的：</w:t>
      </w:r>
    </w:p>
    <w:p>
      <w:pPr>
        <w:pStyle w:val="BodyText"/>
        <w:spacing w:line="240" w:lineRule="auto" w:before="72"/>
        <w:ind w:right="0"/>
        <w:jc w:val="left"/>
      </w:pPr>
      <w:r>
        <w:rPr/>
        <w:t>不适用</w:t>
      </w:r>
    </w:p>
    <w:p>
      <w:pPr>
        <w:spacing w:after="0" w:line="240" w:lineRule="auto"/>
        <w:jc w:val="left"/>
        <w:sectPr>
          <w:footerReference w:type="default" r:id="rId38"/>
          <w:pgSz w:w="11910" w:h="16840"/>
          <w:pgMar w:footer="1267" w:header="917" w:top="1140" w:bottom="1460" w:left="980" w:right="980"/>
        </w:sectPr>
      </w:pPr>
    </w:p>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其他应收款分类披露" w:id="480"/>
      <w:bookmarkEnd w:id="480"/>
      <w:r>
        <w:rPr>
          <w:b w:val="0"/>
          <w:bCs w:val="0"/>
        </w:rPr>
      </w:r>
      <w:r>
        <w:rPr/>
        <w:t>（</w:t>
      </w:r>
      <w:r>
        <w:rPr>
          <w:rFonts w:ascii="Times New Roman" w:hAnsi="Times New Roman" w:cs="Times New Roman" w:eastAsia="Times New Roman" w:hint="default"/>
        </w:rPr>
        <w:t>3</w:t>
      </w:r>
      <w:bookmarkStart w:name="（3）本期实际核销的应收账款情况" w:id="481"/>
      <w:bookmarkEnd w:id="481"/>
      <w:r>
        <w:rPr>
          <w:rFonts w:ascii="Times New Roman" w:hAnsi="Times New Roman" w:cs="Times New Roman" w:eastAsia="Times New Roman" w:hint="default"/>
        </w:rPr>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20"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62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42"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690,480.00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）按欠款方</w:t>
      </w:r>
      <w:bookmarkStart w:name="（4）按欠款方归集的期末余额前五名的应收账款情况" w:id="482"/>
      <w:bookmarkEnd w:id="482"/>
      <w:r>
        <w:rPr/>
        <w:t>归集的期</w:t>
      </w:r>
      <w:r>
        <w:rPr/>
        <w:t>末余额前五名的应收账款情况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21"/>
        <w:gridCol w:w="2321"/>
        <w:gridCol w:w="2320"/>
        <w:gridCol w:w="2320"/>
      </w:tblGrid>
      <w:tr>
        <w:trPr>
          <w:trHeight w:val="774"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2"/>
              <w:ind w:left="795" w:right="793"/>
              <w:jc w:val="center"/>
              <w:rPr>
                <w:rFonts w:ascii="宋体" w:hAnsi="宋体" w:cs="宋体" w:eastAsia="宋体" w:hint="default"/>
                <w:sz w:val="18"/>
                <w:szCs w:val="18"/>
              </w:rPr>
            </w:pPr>
            <w:r>
              <w:rPr>
                <w:rFonts w:ascii="宋体" w:hAnsi="宋体" w:cs="宋体" w:eastAsia="宋体" w:hint="default"/>
                <w:sz w:val="18"/>
                <w:szCs w:val="18"/>
              </w:rPr>
              <w:t>应收账款 年末余额</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2"/>
              <w:ind w:left="810" w:right="73" w:hanging="7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占应收账款年末余额合计数 的比例</w:t>
            </w:r>
            <w:r>
              <w:rPr>
                <w:rFonts w:ascii="Times New Roman" w:hAnsi="Times New Roman" w:cs="Times New Roman" w:eastAsia="Times New Roman" w:hint="default"/>
                <w:sz w:val="18"/>
                <w:szCs w:val="18"/>
              </w:rPr>
              <w:t>%</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62"/>
              <w:ind w:left="794" w:right="793"/>
              <w:jc w:val="center"/>
              <w:rPr>
                <w:rFonts w:ascii="宋体" w:hAnsi="宋体" w:cs="宋体" w:eastAsia="宋体" w:hint="default"/>
                <w:sz w:val="18"/>
                <w:szCs w:val="18"/>
              </w:rPr>
            </w:pPr>
            <w:r>
              <w:rPr>
                <w:rFonts w:ascii="宋体" w:hAnsi="宋体" w:cs="宋体" w:eastAsia="宋体" w:hint="default"/>
                <w:sz w:val="18"/>
                <w:szCs w:val="18"/>
              </w:rPr>
              <w:t>坏账准备 年末余额</w:t>
            </w:r>
          </w:p>
        </w:tc>
      </w:tr>
      <w:tr>
        <w:trPr>
          <w:trHeight w:val="4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27,098,900.00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10.68</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2,818,506.37</w:t>
            </w:r>
          </w:p>
        </w:tc>
      </w:tr>
      <w:tr>
        <w:trPr>
          <w:trHeight w:val="4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15,587,642.30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6.14</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1"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14,650,000.00</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5.77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732,500.00</w:t>
            </w:r>
          </w:p>
        </w:tc>
      </w:tr>
      <w:tr>
        <w:trPr>
          <w:trHeight w:val="4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13,985,184.61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5.51</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699,259.23</w:t>
            </w:r>
          </w:p>
        </w:tc>
      </w:tr>
      <w:tr>
        <w:trPr>
          <w:trHeight w:val="4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Times New Roman" w:hAnsi="Times New Roman" w:cs="Times New Roman" w:eastAsia="Times New Roman" w:hint="default"/>
                <w:sz w:val="18"/>
                <w:szCs w:val="18"/>
              </w:rPr>
            </w:pPr>
            <w:r>
              <w:rPr>
                <w:rFonts w:ascii="Times New Roman"/>
                <w:spacing w:val="-1"/>
                <w:sz w:val="18"/>
              </w:rPr>
              <w:t>12,768,213.26</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5.03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18"/>
                <w:szCs w:val="18"/>
              </w:rPr>
            </w:pPr>
            <w:r>
              <w:rPr>
                <w:rFonts w:ascii="宋体" w:hAnsi="宋体" w:cs="宋体" w:eastAsia="宋体" w:hint="default"/>
                <w:sz w:val="18"/>
                <w:szCs w:val="18"/>
              </w:rPr>
              <w:t>－</w:t>
            </w:r>
          </w:p>
        </w:tc>
      </w:tr>
      <w:tr>
        <w:trPr>
          <w:trHeight w:val="422" w:hRule="exact"/>
        </w:trPr>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84,089,940.17</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33.13</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4,250,265.60</w:t>
            </w:r>
          </w:p>
        </w:tc>
      </w:tr>
    </w:tbl>
    <w:p>
      <w:pPr>
        <w:spacing w:line="240" w:lineRule="auto" w:before="2"/>
        <w:rPr>
          <w:rFonts w:ascii="宋体" w:hAnsi="宋体" w:cs="宋体" w:eastAsia="宋体" w:hint="default"/>
          <w:sz w:val="19"/>
          <w:szCs w:val="19"/>
        </w:rPr>
      </w:pPr>
    </w:p>
    <w:p>
      <w:pPr>
        <w:pStyle w:val="Heading4"/>
        <w:spacing w:line="530" w:lineRule="auto" w:before="35"/>
        <w:ind w:left="574" w:right="5661" w:hanging="420"/>
        <w:jc w:val="left"/>
        <w:rPr>
          <w:rFonts w:ascii="宋体" w:hAnsi="宋体" w:cs="宋体" w:eastAsia="宋体" w:hint="default"/>
          <w:b w:val="0"/>
          <w:bCs w:val="0"/>
        </w:rPr>
      </w:pPr>
      <w:r>
        <w:rPr/>
        <w:t>（</w:t>
      </w:r>
      <w:r>
        <w:rPr>
          <w:rFonts w:ascii="Times New Roman" w:hAnsi="Times New Roman" w:cs="Times New Roman" w:eastAsia="Times New Roman" w:hint="default"/>
        </w:rPr>
        <w:t>5</w:t>
      </w:r>
      <w:r>
        <w:rPr/>
        <w:t>）因金融资产转移而终止确认的应收账款</w:t>
      </w:r>
      <w:r>
        <w:rPr>
          <w:spacing w:val="1"/>
          <w:w w:val="99"/>
        </w:rPr>
        <w:t> </w:t>
      </w:r>
      <w:r>
        <w:rPr>
          <w:rFonts w:ascii="宋体" w:hAnsi="宋体" w:cs="宋体" w:eastAsia="宋体" w:hint="default"/>
          <w:b w:val="0"/>
          <w:bCs w:val="0"/>
        </w:rPr>
        <w:t>无。</w:t>
      </w:r>
    </w:p>
    <w:p>
      <w:pPr>
        <w:pStyle w:val="Heading4"/>
        <w:spacing w:line="530" w:lineRule="auto" w:before="115"/>
        <w:ind w:left="574" w:right="4818" w:hanging="420"/>
        <w:jc w:val="left"/>
        <w:rPr>
          <w:rFonts w:ascii="宋体" w:hAnsi="宋体" w:cs="宋体" w:eastAsia="宋体" w:hint="default"/>
          <w:b w:val="0"/>
          <w:bCs w:val="0"/>
        </w:rPr>
      </w:pPr>
      <w:r>
        <w:rPr/>
        <w:t>（</w:t>
      </w:r>
      <w:r>
        <w:rPr>
          <w:rFonts w:ascii="Times New Roman" w:hAnsi="Times New Roman" w:cs="Times New Roman" w:eastAsia="Times New Roman" w:hint="default"/>
        </w:rPr>
        <w:t>6</w:t>
      </w:r>
      <w:r>
        <w:rPr/>
        <w:t>）转移应收账款且继续涉入形成的资产、负债金额</w:t>
      </w:r>
      <w:r>
        <w:rPr>
          <w:spacing w:val="1"/>
          <w:w w:val="99"/>
        </w:rPr>
        <w:t> </w:t>
      </w:r>
      <w:r>
        <w:rPr>
          <w:rFonts w:ascii="宋体" w:hAnsi="宋体" w:cs="宋体" w:eastAsia="宋体" w:hint="default"/>
          <w:b w:val="0"/>
          <w:bCs w:val="0"/>
        </w:rPr>
        <w:t>无。</w:t>
      </w:r>
    </w:p>
    <w:p>
      <w:pPr>
        <w:pStyle w:val="Heading4"/>
        <w:spacing w:line="240" w:lineRule="auto" w:before="11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5）因金融资产转移而终止确认的应收账款" w:id="483"/>
      <w:bookmarkEnd w:id="483"/>
      <w:r>
        <w:rPr/>
      </w:r>
      <w:bookmarkStart w:name="（6）转移应收账款且继续涉入形成的资产、负债金额" w:id="484"/>
      <w:bookmarkEnd w:id="484"/>
      <w:r>
        <w:rPr/>
      </w:r>
      <w:r>
        <w:rPr>
          <w:rFonts w:ascii="宋体" w:hAnsi="宋体" w:cs="宋体" w:eastAsia="宋体" w:hint="default"/>
          <w:sz w:val="18"/>
          <w:szCs w:val="18"/>
        </w:rPr>
        <w:t>单位： </w:t>
      </w:r>
      <w:bookmarkStart w:name="2、其他应收款" w:id="485"/>
      <w:bookmarkEnd w:id="485"/>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2"/>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4D4D4"/>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4D4D4"/>
          </w:tcPr>
          <w:p>
            <w:pPr/>
          </w:p>
        </w:tc>
        <w:tc>
          <w:tcPr>
            <w:tcW w:w="152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4D4D4"/>
          </w:tcPr>
          <w:p>
            <w:pPr/>
          </w:p>
        </w:tc>
        <w:tc>
          <w:tcPr>
            <w:tcW w:w="141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4D4D4"/>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4D4D4"/>
          </w:tcPr>
          <w:p>
            <w:pPr/>
          </w:p>
        </w:tc>
        <w:tc>
          <w:tcPr>
            <w:tcW w:w="1524" w:type="dxa"/>
            <w:gridSpan w:val="2"/>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1416" w:type="dxa"/>
            <w:gridSpan w:val="2"/>
            <w:vMerge/>
            <w:tcBorders>
              <w:left w:val="single" w:sz="4" w:space="0" w:color="000000"/>
              <w:bottom w:val="single" w:sz="4" w:space="0" w:color="000000"/>
              <w:right w:val="single" w:sz="4" w:space="0" w:color="000000"/>
            </w:tcBorders>
            <w:shd w:val="clear" w:color="auto" w:fill="D4D4D4"/>
          </w:tcPr>
          <w:p>
            <w:pPr/>
          </w:p>
        </w:tc>
        <w:tc>
          <w:tcPr>
            <w:tcW w:w="1745" w:type="dxa"/>
            <w:gridSpan w:val="2"/>
            <w:vMerge/>
            <w:tcBorders>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4D4D4"/>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4D4D4"/>
          </w:tcPr>
          <w:p>
            <w:pPr/>
          </w:p>
        </w:tc>
        <w:tc>
          <w:tcPr>
            <w:tcW w:w="762" w:type="dxa"/>
            <w:vMerge w:val="restart"/>
            <w:tcBorders>
              <w:top w:val="single" w:sz="4" w:space="0" w:color="000000"/>
              <w:left w:val="single" w:sz="4" w:space="0" w:color="000000"/>
              <w:right w:val="single" w:sz="4" w:space="0" w:color="000000"/>
            </w:tcBorders>
            <w:shd w:val="clear" w:color="auto" w:fill="D4D4D4"/>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4D4D4"/>
          </w:tcPr>
          <w:p>
            <w:pPr/>
          </w:p>
        </w:tc>
        <w:tc>
          <w:tcPr>
            <w:tcW w:w="762" w:type="dxa"/>
            <w:tcBorders>
              <w:top w:val="single" w:sz="4" w:space="0" w:color="000000"/>
              <w:left w:val="single" w:sz="4" w:space="0" w:color="000000"/>
              <w:bottom w:val="nil" w:sz="6" w:space="0" w:color="auto"/>
              <w:right w:val="single" w:sz="4" w:space="0" w:color="000000"/>
            </w:tcBorders>
            <w:shd w:val="clear" w:color="auto" w:fill="D4D4D4"/>
          </w:tcPr>
          <w:p>
            <w:pPr/>
          </w:p>
        </w:tc>
        <w:tc>
          <w:tcPr>
            <w:tcW w:w="812"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tcBorders>
              <w:top w:val="single" w:sz="4" w:space="0" w:color="000000"/>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4D4D4"/>
          </w:tcPr>
          <w:p>
            <w:pPr/>
          </w:p>
        </w:tc>
        <w:tc>
          <w:tcPr>
            <w:tcW w:w="763"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4D4D4"/>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4D4D4"/>
          </w:tcPr>
          <w:p>
            <w:pPr/>
          </w:p>
        </w:tc>
        <w:tc>
          <w:tcPr>
            <w:tcW w:w="790" w:type="dxa"/>
            <w:vMerge/>
            <w:tcBorders>
              <w:left w:val="single" w:sz="4" w:space="0" w:color="000000"/>
              <w:bottom w:val="nil" w:sz="6" w:space="0" w:color="auto"/>
              <w:right w:val="single" w:sz="4" w:space="0" w:color="000000"/>
            </w:tcBorders>
            <w:shd w:val="clear" w:color="auto" w:fill="D4D4D4"/>
          </w:tcPr>
          <w:p>
            <w:pPr/>
          </w:p>
        </w:tc>
        <w:tc>
          <w:tcPr>
            <w:tcW w:w="654"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4"/>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4D4D4"/>
          </w:tcPr>
          <w:p>
            <w:pPr/>
          </w:p>
        </w:tc>
      </w:tr>
      <w:tr>
        <w:trPr>
          <w:trHeight w:val="200" w:hRule="exact"/>
        </w:trPr>
        <w:tc>
          <w:tcPr>
            <w:tcW w:w="1623" w:type="dxa"/>
            <w:vMerge/>
            <w:tcBorders>
              <w:left w:val="single" w:sz="4" w:space="0" w:color="000000"/>
              <w:right w:val="single" w:sz="4" w:space="0" w:color="000000"/>
            </w:tcBorders>
            <w:shd w:val="clear" w:color="auto" w:fill="D4D4D4"/>
          </w:tcPr>
          <w:p>
            <w:pPr/>
          </w:p>
        </w:tc>
        <w:tc>
          <w:tcPr>
            <w:tcW w:w="763"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right w:val="single" w:sz="4" w:space="0" w:color="000000"/>
            </w:tcBorders>
            <w:shd w:val="clear" w:color="auto" w:fill="D4D4D4"/>
          </w:tcPr>
          <w:p>
            <w:pPr/>
          </w:p>
        </w:tc>
        <w:tc>
          <w:tcPr>
            <w:tcW w:w="790" w:type="dxa"/>
            <w:vMerge w:val="restart"/>
            <w:tcBorders>
              <w:top w:val="nil" w:sz="6" w:space="0" w:color="auto"/>
              <w:left w:val="single" w:sz="4" w:space="0" w:color="000000"/>
              <w:right w:val="single" w:sz="4" w:space="0" w:color="000000"/>
            </w:tcBorders>
            <w:shd w:val="clear" w:color="auto" w:fill="D4D4D4"/>
          </w:tcPr>
          <w:p>
            <w:pPr/>
          </w:p>
        </w:tc>
        <w:tc>
          <w:tcPr>
            <w:tcW w:w="654" w:type="dxa"/>
            <w:vMerge/>
            <w:tcBorders>
              <w:left w:val="single" w:sz="4" w:space="0" w:color="000000"/>
              <w:bottom w:val="nil" w:sz="6" w:space="0" w:color="auto"/>
              <w:right w:val="single" w:sz="4" w:space="0" w:color="000000"/>
            </w:tcBorders>
            <w:shd w:val="clear" w:color="auto" w:fill="D4D4D4"/>
          </w:tcPr>
          <w:p>
            <w:pPr/>
          </w:p>
        </w:tc>
        <w:tc>
          <w:tcPr>
            <w:tcW w:w="762" w:type="dxa"/>
            <w:vMerge/>
            <w:tcBorders>
              <w:left w:val="single" w:sz="4" w:space="0" w:color="000000"/>
              <w:bottom w:val="nil" w:sz="6" w:space="0" w:color="auto"/>
              <w:right w:val="single" w:sz="4" w:space="0" w:color="000000"/>
            </w:tcBorders>
            <w:shd w:val="clear" w:color="auto" w:fill="D4D4D4"/>
          </w:tcPr>
          <w:p>
            <w:pPr/>
          </w:p>
        </w:tc>
        <w:tc>
          <w:tcPr>
            <w:tcW w:w="812" w:type="dxa"/>
            <w:vMerge/>
            <w:tcBorders>
              <w:left w:val="single" w:sz="4" w:space="0" w:color="000000"/>
              <w:bottom w:val="nil" w:sz="6" w:space="0" w:color="auto"/>
              <w:right w:val="single" w:sz="4" w:space="0" w:color="000000"/>
            </w:tcBorders>
            <w:shd w:val="clear" w:color="auto" w:fill="D4D4D4"/>
          </w:tcPr>
          <w:p>
            <w:pPr/>
          </w:p>
        </w:tc>
        <w:tc>
          <w:tcPr>
            <w:tcW w:w="932" w:type="dxa"/>
            <w:vMerge/>
            <w:tcBorders>
              <w:left w:val="single" w:sz="4" w:space="0" w:color="000000"/>
              <w:bottom w:val="nil" w:sz="6" w:space="0" w:color="auto"/>
              <w:right w:val="single" w:sz="4" w:space="0" w:color="000000"/>
            </w:tcBorders>
            <w:shd w:val="clear" w:color="auto" w:fill="D4D4D4"/>
          </w:tcPr>
          <w:p>
            <w:pPr/>
          </w:p>
        </w:tc>
        <w:tc>
          <w:tcPr>
            <w:tcW w:w="932" w:type="dxa"/>
            <w:vMerge w:val="restart"/>
            <w:tcBorders>
              <w:top w:val="nil" w:sz="6" w:space="0" w:color="auto"/>
              <w:left w:val="single" w:sz="4" w:space="0" w:color="000000"/>
              <w:right w:val="single" w:sz="4" w:space="0" w:color="000000"/>
            </w:tcBorders>
            <w:shd w:val="clear" w:color="auto" w:fill="D4D4D4"/>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4D4D4"/>
          </w:tcPr>
          <w:p>
            <w:pPr/>
          </w:p>
        </w:tc>
        <w:tc>
          <w:tcPr>
            <w:tcW w:w="763"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vMerge/>
            <w:tcBorders>
              <w:left w:val="single" w:sz="4" w:space="0" w:color="000000"/>
              <w:bottom w:val="single" w:sz="4" w:space="0" w:color="000000"/>
              <w:right w:val="single" w:sz="4" w:space="0" w:color="000000"/>
            </w:tcBorders>
            <w:shd w:val="clear" w:color="auto" w:fill="D4D4D4"/>
          </w:tcPr>
          <w:p>
            <w:pPr/>
          </w:p>
        </w:tc>
        <w:tc>
          <w:tcPr>
            <w:tcW w:w="790" w:type="dxa"/>
            <w:vMerge/>
            <w:tcBorders>
              <w:left w:val="single" w:sz="4" w:space="0" w:color="000000"/>
              <w:bottom w:val="single" w:sz="4" w:space="0" w:color="000000"/>
              <w:right w:val="single" w:sz="4" w:space="0" w:color="000000"/>
            </w:tcBorders>
            <w:shd w:val="clear" w:color="auto" w:fill="D4D4D4"/>
          </w:tcPr>
          <w:p>
            <w:pPr/>
          </w:p>
        </w:tc>
        <w:tc>
          <w:tcPr>
            <w:tcW w:w="654" w:type="dxa"/>
            <w:tcBorders>
              <w:top w:val="nil" w:sz="6" w:space="0" w:color="auto"/>
              <w:left w:val="single" w:sz="4" w:space="0" w:color="000000"/>
              <w:bottom w:val="single" w:sz="4" w:space="0" w:color="000000"/>
              <w:right w:val="single" w:sz="4" w:space="0" w:color="000000"/>
            </w:tcBorders>
            <w:shd w:val="clear" w:color="auto" w:fill="D4D4D4"/>
          </w:tcPr>
          <w:p>
            <w:pPr/>
          </w:p>
        </w:tc>
        <w:tc>
          <w:tcPr>
            <w:tcW w:w="762" w:type="dxa"/>
            <w:tcBorders>
              <w:top w:val="nil" w:sz="6" w:space="0" w:color="auto"/>
              <w:left w:val="single" w:sz="4" w:space="0" w:color="000000"/>
              <w:bottom w:val="single" w:sz="4" w:space="0" w:color="000000"/>
              <w:right w:val="single" w:sz="4" w:space="0" w:color="000000"/>
            </w:tcBorders>
            <w:shd w:val="clear" w:color="auto" w:fill="D4D4D4"/>
          </w:tcPr>
          <w:p>
            <w:pPr/>
          </w:p>
        </w:tc>
        <w:tc>
          <w:tcPr>
            <w:tcW w:w="812"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tcBorders>
              <w:top w:val="nil" w:sz="6" w:space="0" w:color="auto"/>
              <w:left w:val="single" w:sz="4" w:space="0" w:color="000000"/>
              <w:bottom w:val="single" w:sz="4" w:space="0" w:color="000000"/>
              <w:right w:val="single" w:sz="4" w:space="0" w:color="000000"/>
            </w:tcBorders>
            <w:shd w:val="clear" w:color="auto" w:fill="D4D4D4"/>
          </w:tcPr>
          <w:p>
            <w:pPr/>
          </w:p>
        </w:tc>
        <w:tc>
          <w:tcPr>
            <w:tcW w:w="932" w:type="dxa"/>
            <w:vMerge/>
            <w:tcBorders>
              <w:left w:val="single" w:sz="4" w:space="0" w:color="000000"/>
              <w:bottom w:val="single" w:sz="4" w:space="0" w:color="000000"/>
              <w:right w:val="single" w:sz="4" w:space="0" w:color="000000"/>
            </w:tcBorders>
            <w:shd w:val="clear" w:color="auto" w:fill="D4D4D4"/>
          </w:tcPr>
          <w:p>
            <w:pP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2"/>
              <w:jc w:val="both"/>
              <w:rPr>
                <w:rFonts w:ascii="宋体" w:hAnsi="宋体" w:cs="宋体" w:eastAsia="宋体" w:hint="default"/>
                <w:sz w:val="18"/>
                <w:szCs w:val="18"/>
              </w:rPr>
            </w:pPr>
            <w:r>
              <w:rPr>
                <w:rFonts w:ascii="宋体" w:hAnsi="宋体" w:cs="宋体" w:eastAsia="宋体" w:hint="default"/>
                <w:spacing w:val="17"/>
                <w:sz w:val="18"/>
                <w:szCs w:val="18"/>
              </w:rPr>
              <w:t>按信用风险特征组</w:t>
            </w:r>
            <w:r>
              <w:rPr>
                <w:rFonts w:ascii="宋体" w:hAnsi="宋体" w:cs="宋体" w:eastAsia="宋体" w:hint="default"/>
                <w:spacing w:val="-71"/>
                <w:sz w:val="18"/>
                <w:szCs w:val="18"/>
              </w:rPr>
              <w:t> </w:t>
            </w:r>
            <w:r>
              <w:rPr>
                <w:rFonts w:ascii="宋体" w:hAnsi="宋体" w:cs="宋体" w:eastAsia="宋体" w:hint="default"/>
                <w:spacing w:val="17"/>
                <w:sz w:val="18"/>
                <w:szCs w:val="18"/>
              </w:rPr>
              <w:t>合计提坏账准备的</w:t>
            </w:r>
            <w:r>
              <w:rPr>
                <w:rFonts w:ascii="宋体" w:hAnsi="宋体" w:cs="宋体" w:eastAsia="宋体" w:hint="default"/>
                <w:spacing w:val="-71"/>
                <w:sz w:val="18"/>
                <w:szCs w:val="18"/>
              </w:rPr>
              <w:t> </w:t>
            </w:r>
            <w:r>
              <w:rPr>
                <w:rFonts w:ascii="宋体" w:hAnsi="宋体" w:cs="宋体" w:eastAsia="宋体" w:hint="default"/>
                <w:sz w:val="18"/>
                <w:szCs w:val="18"/>
              </w:rPr>
              <w:t>其他应收款</w:t>
            </w:r>
          </w:p>
        </w:tc>
        <w:tc>
          <w:tcPr>
            <w:tcW w:w="763"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39,647,5</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48.88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8,194,27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31,453,27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40,675,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115.64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5,174,141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35,500,974.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1267" w:header="917" w:top="1140" w:bottom="1460" w:left="980" w:right="980"/>
          <w:pgNumType w:start="201"/>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2"/>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39,647,5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48.88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8,194,27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20.67%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31,453,27</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7.32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40,675,</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115.64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5,174,141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35,500,974.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0"/>
        <w:rPr>
          <w:rFonts w:ascii="宋体" w:hAnsi="宋体" w:cs="宋体" w:eastAsia="宋体" w:hint="default"/>
          <w:sz w:val="7"/>
          <w:szCs w:val="7"/>
        </w:rPr>
      </w:pPr>
    </w:p>
    <w:p>
      <w:pPr>
        <w:pStyle w:val="BodyText"/>
        <w:spacing w:line="240" w:lineRule="auto" w:before="35"/>
        <w:ind w:right="4282"/>
        <w:jc w:val="left"/>
      </w:pPr>
      <w:bookmarkStart w:name="（2）本期计提、收回或转回的坏账准备情况" w:id="486"/>
      <w:bookmarkEnd w:id="486"/>
      <w:r>
        <w:rPr/>
      </w:r>
      <w:r>
        <w:rPr/>
        <w:t>期末单项金额重大并单项计提坏账准备的其他应收款：</w:t>
      </w:r>
    </w:p>
    <w:p>
      <w:pPr>
        <w:spacing w:line="240" w:lineRule="auto" w:before="10"/>
        <w:rPr>
          <w:rFonts w:ascii="宋体" w:hAnsi="宋体" w:cs="宋体" w:eastAsia="宋体" w:hint="default"/>
          <w:sz w:val="16"/>
          <w:szCs w:val="16"/>
        </w:rPr>
      </w:pPr>
    </w:p>
    <w:p>
      <w:pPr>
        <w:pStyle w:val="BodyText"/>
        <w:spacing w:line="408" w:lineRule="auto"/>
        <w:ind w:right="47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组合中，按账龄分析法计提坏账准备的其他应收款：</w:t>
      </w:r>
    </w:p>
    <w:p>
      <w:pPr>
        <w:pStyle w:val="BodyText"/>
        <w:spacing w:line="240" w:lineRule="auto" w:before="72"/>
        <w:ind w:right="4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2"/>
        </w:rPr>
        <w:t>不适用</w:t>
      </w:r>
      <w:r>
        <w:rPr/>
      </w:r>
    </w:p>
    <w:p>
      <w:pPr>
        <w:spacing w:line="240" w:lineRule="auto" w:before="11"/>
        <w:rPr>
          <w:rFonts w:ascii="宋体" w:hAnsi="宋体" w:cs="宋体" w:eastAsia="宋体" w:hint="default"/>
          <w:sz w:val="11"/>
          <w:szCs w:val="11"/>
        </w:rPr>
      </w:pPr>
    </w:p>
    <w:p>
      <w:pPr>
        <w:spacing w:before="44"/>
        <w:ind w:left="0" w:right="33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1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4D4D4"/>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1039" w:right="0"/>
              <w:jc w:val="left"/>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8,856,824.93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442,841.24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8,856,824.93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442,841.24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10,207,913.49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1,020,791.35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7,844,963.33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2,353,489.00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2,742,053.98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1,371,026.99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2,787,768.10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2,230,214.48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775,908.50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775,908.50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33,215,432.33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8,194,271.56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24.67%</w:t>
            </w:r>
          </w:p>
        </w:tc>
      </w:tr>
    </w:tbl>
    <w:p>
      <w:pPr>
        <w:spacing w:line="240" w:lineRule="auto" w:before="10"/>
        <w:rPr>
          <w:rFonts w:ascii="宋体" w:hAnsi="宋体" w:cs="宋体" w:eastAsia="宋体" w:hint="default"/>
          <w:sz w:val="7"/>
          <w:szCs w:val="7"/>
        </w:rPr>
      </w:pPr>
    </w:p>
    <w:p>
      <w:pPr>
        <w:pStyle w:val="BodyText"/>
        <w:spacing w:line="432" w:lineRule="auto" w:before="35"/>
        <w:ind w:right="4282"/>
        <w:jc w:val="left"/>
      </w:pPr>
      <w:r>
        <w:rPr/>
        <w:t>确定该组合依据的说明： 组合中，采用余额百分比法计提坏账准备的其他应收款：</w:t>
      </w:r>
    </w:p>
    <w:p>
      <w:pPr>
        <w:pStyle w:val="BodyText"/>
        <w:spacing w:line="408" w:lineRule="auto" w:before="51"/>
        <w:ind w:right="47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 </w:t>
      </w:r>
      <w:r>
        <w:rPr/>
        <w:t>组合中，采用其他方法计提坏账准备的其他应收款：</w:t>
      </w:r>
    </w:p>
    <w:p>
      <w:pPr>
        <w:pStyle w:val="BodyText"/>
        <w:spacing w:line="240" w:lineRule="auto" w:before="72"/>
        <w:ind w:right="428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2"/>
        </w:rPr>
        <w:t>不适用</w:t>
      </w:r>
      <w:r>
        <w:rPr/>
      </w:r>
    </w:p>
    <w:p>
      <w:pPr>
        <w:spacing w:line="240" w:lineRule="auto" w:before="11"/>
        <w:rPr>
          <w:rFonts w:ascii="宋体" w:hAnsi="宋体" w:cs="宋体" w:eastAsia="宋体" w:hint="default"/>
          <w:sz w:val="11"/>
          <w:szCs w:val="11"/>
        </w:rPr>
      </w:pPr>
    </w:p>
    <w:p>
      <w:pPr>
        <w:spacing w:before="44"/>
        <w:ind w:left="0" w:right="332"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60"/>
        <w:gridCol w:w="2368"/>
        <w:gridCol w:w="2532"/>
        <w:gridCol w:w="2395"/>
      </w:tblGrid>
      <w:tr>
        <w:trPr>
          <w:trHeight w:val="422" w:hRule="exact"/>
        </w:trPr>
        <w:tc>
          <w:tcPr>
            <w:tcW w:w="256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7295" w:type="dxa"/>
            <w:gridSpan w:val="3"/>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22" w:hRule="exact"/>
        </w:trPr>
        <w:tc>
          <w:tcPr>
            <w:tcW w:w="2560" w:type="dxa"/>
            <w:vMerge/>
            <w:tcBorders>
              <w:left w:val="single" w:sz="4" w:space="0" w:color="000000"/>
              <w:bottom w:val="single" w:sz="4" w:space="0" w:color="000000"/>
              <w:right w:val="single" w:sz="4" w:space="0" w:color="000000"/>
            </w:tcBorders>
            <w:shd w:val="clear" w:color="auto" w:fill="D4D4D4"/>
          </w:tcPr>
          <w:p>
            <w:pPr/>
          </w:p>
        </w:tc>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left="72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22" w:hRule="exact"/>
        </w:trPr>
        <w:tc>
          <w:tcPr>
            <w:tcW w:w="2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员工暂借款及其他</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6,432,116.55</w:t>
            </w:r>
          </w:p>
        </w:tc>
        <w:tc>
          <w:tcPr>
            <w:tcW w:w="2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z w:val="18"/>
              </w:rPr>
              <w:t>0</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
              <w:jc w:val="right"/>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6432116.55</w:t>
            </w:r>
          </w:p>
        </w:tc>
        <w:tc>
          <w:tcPr>
            <w:tcW w:w="253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0</w:t>
            </w:r>
          </w:p>
        </w:tc>
        <w:tc>
          <w:tcPr>
            <w:tcW w:w="2395"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9"/>
          <w:szCs w:val="19"/>
        </w:rPr>
      </w:pPr>
    </w:p>
    <w:p>
      <w:pPr>
        <w:spacing w:line="530" w:lineRule="auto" w:before="35"/>
        <w:ind w:left="574" w:right="239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本期计提坏账准备金额</w:t>
      </w:r>
      <w:r>
        <w:rPr>
          <w:rFonts w:ascii="Times New Roman" w:hAnsi="Times New Roman" w:cs="Times New Roman" w:eastAsia="Times New Roman" w:hint="default"/>
          <w:spacing w:val="-1"/>
          <w:sz w:val="21"/>
          <w:szCs w:val="21"/>
        </w:rPr>
        <w:t>3,020,129.92</w:t>
      </w:r>
      <w:r>
        <w:rPr>
          <w:rFonts w:ascii="宋体" w:hAnsi="宋体" w:cs="宋体" w:eastAsia="宋体" w:hint="default"/>
          <w:spacing w:val="-1"/>
          <w:sz w:val="21"/>
          <w:szCs w:val="21"/>
        </w:rPr>
        <w:t>元；本期收回或转回坏账准备金额</w:t>
      </w:r>
      <w:r>
        <w:rPr>
          <w:rFonts w:ascii="Times New Roman" w:hAnsi="Times New Roman" w:cs="Times New Roman" w:eastAsia="Times New Roman" w:hint="default"/>
          <w:spacing w:val="-1"/>
          <w:sz w:val="21"/>
          <w:szCs w:val="21"/>
        </w:rPr>
        <w:t>0</w:t>
      </w:r>
      <w:r>
        <w:rPr>
          <w:rFonts w:ascii="宋体" w:hAnsi="宋体" w:cs="宋体" w:eastAsia="宋体" w:hint="default"/>
          <w:spacing w:val="-1"/>
          <w:sz w:val="21"/>
          <w:szCs w:val="21"/>
        </w:rPr>
        <w:t>元。</w:t>
      </w:r>
      <w:r>
        <w:rPr>
          <w:rFonts w:ascii="宋体" w:hAnsi="宋体" w:cs="宋体" w:eastAsia="宋体" w:hint="default"/>
          <w:sz w:val="21"/>
          <w:szCs w:val="21"/>
        </w:rPr>
      </w:r>
    </w:p>
    <w:p>
      <w:pPr>
        <w:spacing w:after="0" w:line="530" w:lineRule="auto"/>
        <w:jc w:val="left"/>
        <w:rPr>
          <w:rFonts w:ascii="宋体" w:hAnsi="宋体" w:cs="宋体" w:eastAsia="宋体" w:hint="default"/>
          <w:sz w:val="21"/>
          <w:szCs w:val="21"/>
        </w:rPr>
        <w:sectPr>
          <w:pgSz w:w="11910" w:h="16840"/>
          <w:pgMar w:header="917" w:footer="1267" w:top="1140" w:bottom="1460" w:left="980" w:right="800"/>
        </w:sectPr>
      </w:pPr>
    </w:p>
    <w:p>
      <w:pPr>
        <w:spacing w:line="240" w:lineRule="auto" w:before="2"/>
        <w:rPr>
          <w:rFonts w:ascii="宋体" w:hAnsi="宋体" w:cs="宋体" w:eastAsia="宋体" w:hint="default"/>
          <w:sz w:val="19"/>
          <w:szCs w:val="19"/>
        </w:rPr>
      </w:pPr>
    </w:p>
    <w:p>
      <w:pPr>
        <w:pStyle w:val="Heading4"/>
        <w:spacing w:line="530" w:lineRule="auto" w:before="35"/>
        <w:ind w:left="574" w:right="6294" w:hanging="420"/>
        <w:jc w:val="left"/>
        <w:rPr>
          <w:rFonts w:ascii="宋体" w:hAnsi="宋体" w:cs="宋体" w:eastAsia="宋体" w:hint="default"/>
          <w:b w:val="0"/>
          <w:bCs w:val="0"/>
        </w:rPr>
      </w:pPr>
      <w:bookmarkStart w:name="（6）涉及政府补助的应收款项" w:id="487"/>
      <w:bookmarkEnd w:id="487"/>
      <w:r>
        <w:rPr>
          <w:b w:val="0"/>
          <w:bCs w:val="0"/>
        </w:rPr>
      </w:r>
      <w:bookmarkStart w:name="（7）因金融资产转移而终止确认的其他应收款" w:id="488"/>
      <w:bookmarkEnd w:id="488"/>
      <w:r>
        <w:rPr>
          <w:b w:val="0"/>
          <w:bCs w:val="0"/>
        </w:rPr>
      </w:r>
      <w:r>
        <w:rPr/>
        <w:t>（</w:t>
      </w:r>
      <w:r>
        <w:rPr>
          <w:rFonts w:ascii="Times New Roman" w:hAnsi="Times New Roman" w:cs="Times New Roman" w:eastAsia="Times New Roman" w:hint="default"/>
        </w:rPr>
        <w:t>3</w:t>
      </w:r>
      <w:bookmarkStart w:name="（3）本期实际核销的其他应收款情况" w:id="489"/>
      <w:bookmarkEnd w:id="489"/>
      <w:r>
        <w:rPr>
          <w:rFonts w:ascii="Times New Roman" w:hAnsi="Times New Roman" w:cs="Times New Roman" w:eastAsia="Times New Roman" w:hint="default"/>
        </w:rPr>
      </w:r>
      <w:r>
        <w:rPr/>
        <w:t>）本期实际核销的其他应收款情况</w:t>
      </w:r>
      <w:r>
        <w:rPr>
          <w:spacing w:val="1"/>
          <w:w w:val="99"/>
        </w:rPr>
        <w:t> </w:t>
      </w:r>
      <w:r>
        <w:rPr>
          <w:rFonts w:ascii="宋体" w:hAnsi="宋体" w:cs="宋体" w:eastAsia="宋体" w:hint="default"/>
          <w:b w:val="0"/>
          <w:bCs w:val="0"/>
        </w:rPr>
        <w:t>不适用。</w:t>
      </w:r>
    </w:p>
    <w:p>
      <w:pPr>
        <w:pStyle w:val="Heading4"/>
        <w:spacing w:line="240" w:lineRule="auto" w:before="115"/>
        <w:ind w:right="0"/>
        <w:jc w:val="left"/>
        <w:rPr>
          <w:b w:val="0"/>
          <w:bCs w:val="0"/>
        </w:rPr>
      </w:pPr>
      <w:r>
        <w:rPr/>
        <w:t>（</w:t>
      </w:r>
      <w:r>
        <w:rPr>
          <w:rFonts w:ascii="Times New Roman" w:hAnsi="Times New Roman" w:cs="Times New Roman" w:eastAsia="Times New Roman" w:hint="default"/>
        </w:rPr>
        <w:t>4</w:t>
      </w:r>
      <w:r>
        <w:rPr/>
        <w:t>）其他应收</w:t>
      </w:r>
      <w:bookmarkStart w:name="（4）其他应收款按款项性质分类情况" w:id="490"/>
      <w:bookmarkEnd w:id="490"/>
      <w:r>
        <w:rPr/>
        <w:t>款按款项</w:t>
      </w:r>
      <w:r>
        <w:rPr/>
        <w:t>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528"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1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1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2,985,460.79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2,116,249.52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28,880,375.36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26,124,200.15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单位与个人往来款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6,037,796.57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8,834,656.87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代收代垫款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1,743,916.16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1,057,190.11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应收软件增值税退税</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2,350,754.99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192,064.00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39,647,548.88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40,675,115.64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pict>
          <v:group style="position:absolute;margin-left:397.140015pt;margin-top:91.131729pt;width:70.4pt;height:27.95pt;mso-position-horizontal-relative:page;mso-position-vertical-relative:paragraph;z-index:-1177384" coordorigin="7943,1823" coordsize="1408,559">
            <v:group style="position:absolute;left:7943;top:1823;width:1408;height:156" coordorigin="7943,1823" coordsize="1408,156">
              <v:shape style="position:absolute;left:7943;top:1823;width:1408;height:156" coordorigin="7943,1823" coordsize="1408,156" path="m7943,1979l9350,1979,9350,1823,7943,1823,7943,1979xe" filled="true" fillcolor="#ffffff" stroked="false">
                <v:path arrowok="t"/>
                <v:fill type="solid"/>
              </v:shape>
            </v:group>
            <v:group style="position:absolute;left:7954;top:1979;width:2;height:392" coordorigin="7954,1979" coordsize="2,392">
              <v:shape style="position:absolute;left:7954;top:1979;width:2;height:392" coordorigin="7954,1979" coordsize="0,392" path="m7954,1979l7954,2370e" filled="false" stroked="true" strokeweight="1.140pt" strokecolor="#ffffff">
                <v:path arrowok="t"/>
              </v:shape>
            </v:group>
            <v:group style="position:absolute;left:7966;top:1979;width:1362;height:392" coordorigin="7966,1979" coordsize="1362,392">
              <v:shape style="position:absolute;left:7966;top:1979;width:1362;height:392" coordorigin="7966,1979" coordsize="1362,392" path="m7966,2370l9328,2370,9328,1979,7966,1979,7966,2370xe" filled="true" fillcolor="#ffffff" stroked="false">
                <v:path arrowok="t"/>
                <v:fill type="solid"/>
              </v:shape>
            </v:group>
            <w10:wrap type="none"/>
          </v:group>
        </w:pict>
      </w:r>
      <w:bookmarkStart w:name="（5）按欠款方归集的期末余额前五名的其他应收款情况" w:id="491"/>
      <w:bookmarkEnd w:id="491"/>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1274"/>
        <w:gridCol w:w="1560"/>
        <w:gridCol w:w="2976"/>
        <w:gridCol w:w="1418"/>
        <w:gridCol w:w="1346"/>
      </w:tblGrid>
      <w:tr>
        <w:trPr>
          <w:trHeight w:val="1025"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2"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6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73" w:right="73"/>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78" w:right="36"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Times New Roman"/>
                <w:spacing w:val="-1"/>
                <w:w w:val="95"/>
                <w:sz w:val="18"/>
              </w:rPr>
              <w:t>3,650,000.0</w:t>
            </w:r>
            <w:r>
              <w:rPr>
                <w:rFonts w:ascii="Arial"/>
                <w:spacing w:val="-1"/>
                <w:w w:val="95"/>
                <w:sz w:val="18"/>
              </w:rPr>
              <w:t>0</w:t>
            </w:r>
            <w:r>
              <w:rPr>
                <w:rFonts w:ascii="Arial"/>
                <w:spacing w:val="-1"/>
                <w:sz w:val="18"/>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3,650,000.00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365,000.00</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3,340,000.00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2,150,00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00.00</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1,000,000.00</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920" w:right="0"/>
              <w:jc w:val="left"/>
              <w:rPr>
                <w:rFonts w:ascii="Times New Roman" w:hAnsi="Times New Roman" w:cs="Times New Roman" w:eastAsia="Times New Roman" w:hint="default"/>
                <w:sz w:val="18"/>
                <w:szCs w:val="18"/>
              </w:rPr>
            </w:pPr>
            <w:r>
              <w:rPr>
                <w:rFonts w:ascii="Times New Roman"/>
                <w:sz w:val="18"/>
              </w:rPr>
              <w:t>8.42%</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1,540,000.00</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2,497,250.00</w:t>
            </w:r>
          </w:p>
        </w:tc>
        <w:tc>
          <w:tcPr>
            <w:tcW w:w="29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52"/>
              <w:ind w:left="22" w:right="-4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w:t>
            </w:r>
            <w:r>
              <w:rPr>
                <w:rFonts w:ascii="宋体" w:hAnsi="宋体" w:cs="宋体" w:eastAsia="宋体" w:hint="default"/>
                <w:sz w:val="18"/>
                <w:szCs w:val="18"/>
              </w:rPr>
              <w:t>；</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2,160,000.00</w:t>
            </w:r>
            <w:r>
              <w:rPr>
                <w:rFonts w:ascii="宋体" w:hAnsi="宋体" w:cs="宋体" w:eastAsia="宋体"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100,000.00</w:t>
            </w:r>
            <w:r>
              <w:rPr>
                <w:rFonts w:ascii="宋体" w:hAnsi="宋体" w:cs="宋体" w:eastAsia="宋体" w:hint="default"/>
                <w:sz w:val="18"/>
                <w:szCs w:val="18"/>
              </w:rPr>
              <w:t>；</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197,250.00</w:t>
            </w:r>
          </w:p>
        </w:tc>
        <w:tc>
          <w:tcPr>
            <w:tcW w:w="1418" w:type="dxa"/>
            <w:tcBorders>
              <w:top w:val="single" w:sz="4" w:space="0" w:color="000000"/>
              <w:left w:val="single" w:sz="9" w:space="0" w:color="FFFFFF"/>
              <w:bottom w:val="single" w:sz="4" w:space="0" w:color="000000"/>
              <w:right w:val="single" w:sz="4" w:space="0" w:color="000000"/>
            </w:tcBorders>
          </w:tcPr>
          <w:p>
            <w:pPr>
              <w:pStyle w:val="TableParagraph"/>
              <w:spacing w:line="156" w:lineRule="exact"/>
              <w:ind w:left="-7" w:right="-50"/>
              <w:jc w:val="left"/>
              <w:rPr>
                <w:rFonts w:ascii="宋体" w:hAnsi="宋体" w:cs="宋体" w:eastAsia="宋体" w:hint="default"/>
                <w:sz w:val="15"/>
                <w:szCs w:val="15"/>
              </w:rPr>
            </w:pPr>
            <w:r>
              <w:rPr>
                <w:rFonts w:ascii="宋体" w:hAnsi="宋体" w:cs="宋体" w:eastAsia="宋体" w:hint="default"/>
                <w:position w:val="-2"/>
                <w:sz w:val="15"/>
                <w:szCs w:val="15"/>
              </w:rPr>
              <w:pict>
                <v:group style="width:70.4pt;height:7.8pt;mso-position-horizontal-relative:char;mso-position-vertical-relative:line" coordorigin="0,0" coordsize="1408,156">
                  <v:group style="position:absolute;left:0;top:0;width:1408;height:156" coordorigin="0,0" coordsize="1408,156">
                    <v:shape style="position:absolute;left:0;top:0;width:1408;height:156" coordorigin="0,0" coordsize="1408,156" path="m0,156l1408,156,1408,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857,800.00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1,900,640.00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190,064.00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履约质保金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1,067,000.00</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53,350.00</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12,454,890.00</w:t>
            </w:r>
          </w:p>
        </w:tc>
        <w:tc>
          <w:tcPr>
            <w:tcW w:w="297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31.41%</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3,006,214.00</w:t>
            </w:r>
          </w:p>
        </w:tc>
      </w:tr>
    </w:tbl>
    <w:p>
      <w:pPr>
        <w:spacing w:line="240" w:lineRule="auto" w:before="2"/>
        <w:rPr>
          <w:rFonts w:ascii="宋体" w:hAnsi="宋体" w:cs="宋体" w:eastAsia="宋体" w:hint="default"/>
          <w:sz w:val="19"/>
          <w:szCs w:val="19"/>
        </w:rPr>
      </w:pPr>
    </w:p>
    <w:p>
      <w:pPr>
        <w:spacing w:line="530" w:lineRule="auto" w:before="35"/>
        <w:ind w:left="574" w:right="6926"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b/>
          <w:bCs/>
          <w:spacing w:val="1"/>
          <w:w w:val="99"/>
          <w:sz w:val="21"/>
          <w:szCs w:val="21"/>
        </w:rPr>
        <w:t> </w:t>
      </w:r>
      <w:r>
        <w:rPr>
          <w:rFonts w:ascii="宋体" w:hAnsi="宋体" w:cs="宋体" w:eastAsia="宋体" w:hint="default"/>
          <w:sz w:val="21"/>
          <w:szCs w:val="21"/>
        </w:rPr>
        <w:t>不适用。</w:t>
      </w:r>
    </w:p>
    <w:p>
      <w:pPr>
        <w:pStyle w:val="Heading4"/>
        <w:spacing w:line="530" w:lineRule="auto" w:before="115"/>
        <w:ind w:left="574" w:right="5451" w:hanging="420"/>
        <w:jc w:val="left"/>
        <w:rPr>
          <w:rFonts w:ascii="宋体" w:hAnsi="宋体" w:cs="宋体" w:eastAsia="宋体" w:hint="default"/>
          <w:b w:val="0"/>
          <w:bCs w:val="0"/>
        </w:rPr>
      </w:pPr>
      <w:r>
        <w:rPr/>
        <w:t>（</w:t>
      </w:r>
      <w:r>
        <w:rPr>
          <w:rFonts w:ascii="Times New Roman" w:hAnsi="Times New Roman" w:cs="Times New Roman" w:eastAsia="Times New Roman" w:hint="default"/>
        </w:rPr>
        <w:t>7</w:t>
      </w:r>
      <w:r>
        <w:rPr/>
        <w:t>）因金融资产转移而终止确认的其他应收款</w:t>
      </w:r>
      <w:r>
        <w:rPr>
          <w:spacing w:val="1"/>
          <w:w w:val="99"/>
        </w:rPr>
        <w:t> </w:t>
      </w:r>
      <w:r>
        <w:rPr>
          <w:rFonts w:ascii="宋体" w:hAnsi="宋体" w:cs="宋体" w:eastAsia="宋体" w:hint="default"/>
          <w:b w:val="0"/>
          <w:bCs w:val="0"/>
        </w:rPr>
        <w:t>不适用。</w:t>
      </w:r>
    </w:p>
    <w:p>
      <w:pPr>
        <w:spacing w:after="0" w:line="530" w:lineRule="auto"/>
        <w:jc w:val="left"/>
        <w:rPr>
          <w:rFonts w:ascii="宋体" w:hAnsi="宋体" w:cs="宋体" w:eastAsia="宋体" w:hint="default"/>
        </w:rPr>
        <w:sectPr>
          <w:pgSz w:w="11910" w:h="16840"/>
          <w:pgMar w:header="917" w:footer="1267" w:top="1140" w:bottom="1460" w:left="980" w:right="980"/>
        </w:sectPr>
      </w:pPr>
    </w:p>
    <w:p>
      <w:pPr>
        <w:spacing w:line="240" w:lineRule="auto" w:before="2"/>
        <w:rPr>
          <w:rFonts w:ascii="宋体" w:hAnsi="宋体" w:cs="宋体" w:eastAsia="宋体" w:hint="default"/>
          <w:sz w:val="19"/>
          <w:szCs w:val="19"/>
        </w:rPr>
      </w:pPr>
    </w:p>
    <w:p>
      <w:pPr>
        <w:pStyle w:val="Heading4"/>
        <w:spacing w:line="530" w:lineRule="auto" w:before="35"/>
        <w:ind w:left="574" w:right="4607" w:hanging="420"/>
        <w:jc w:val="left"/>
        <w:rPr>
          <w:rFonts w:ascii="宋体" w:hAnsi="宋体" w:cs="宋体" w:eastAsia="宋体" w:hint="default"/>
          <w:b w:val="0"/>
          <w:bCs w:val="0"/>
        </w:rPr>
      </w:pPr>
      <w:bookmarkStart w:name="（2）对联营、合营企业投资" w:id="492"/>
      <w:bookmarkEnd w:id="492"/>
      <w:r>
        <w:rPr>
          <w:b w:val="0"/>
          <w:bCs w:val="0"/>
        </w:rPr>
      </w:r>
      <w:r>
        <w:rPr/>
        <w:t>（</w:t>
      </w:r>
      <w:r>
        <w:rPr>
          <w:rFonts w:ascii="Times New Roman" w:hAnsi="Times New Roman" w:cs="Times New Roman" w:eastAsia="Times New Roman" w:hint="default"/>
        </w:rPr>
        <w:t>8</w:t>
      </w:r>
      <w:bookmarkStart w:name="（8）转移其他应收款且继续涉入形成的资产、负债金额" w:id="493"/>
      <w:bookmarkEnd w:id="493"/>
      <w:r>
        <w:rPr>
          <w:rFonts w:ascii="Times New Roman" w:hAnsi="Times New Roman" w:cs="Times New Roman" w:eastAsia="Times New Roman" w:hint="default"/>
        </w:rPr>
      </w:r>
      <w:r>
        <w:rPr/>
        <w:t>）转移其他应收款且继续涉入形成的资产、负债金额</w:t>
      </w:r>
      <w:r>
        <w:rPr>
          <w:spacing w:val="1"/>
          <w:w w:val="99"/>
        </w:rPr>
        <w:t> </w:t>
      </w:r>
      <w:r>
        <w:rPr>
          <w:rFonts w:ascii="宋体" w:hAnsi="宋体" w:cs="宋体" w:eastAsia="宋体" w:hint="default"/>
          <w:b w:val="0"/>
          <w:bCs w:val="0"/>
        </w:rPr>
        <w:t>不适用。</w:t>
      </w:r>
    </w:p>
    <w:p>
      <w:pPr>
        <w:pStyle w:val="Heading4"/>
        <w:spacing w:line="240" w:lineRule="auto" w:before="115"/>
        <w:ind w:right="0"/>
        <w:jc w:val="left"/>
        <w:rPr>
          <w:b w:val="0"/>
          <w:bCs w:val="0"/>
        </w:rPr>
      </w:pPr>
      <w:r>
        <w:rPr>
          <w:rFonts w:ascii="Times New Roman" w:hAnsi="Times New Roman" w:cs="Times New Roman" w:eastAsia="Times New Roman" w:hint="default"/>
        </w:rPr>
        <w:t>3</w:t>
      </w:r>
      <w:r>
        <w:rPr/>
        <w:t>、长期股权投</w:t>
      </w:r>
      <w:bookmarkStart w:name="3、长期股权投资" w:id="494"/>
      <w:bookmarkEnd w:id="494"/>
      <w:r>
        <w:rPr/>
        <w:t>资</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16"/>
        <w:gridCol w:w="1416"/>
        <w:gridCol w:w="1134"/>
        <w:gridCol w:w="1277"/>
        <w:gridCol w:w="1276"/>
        <w:gridCol w:w="974"/>
        <w:gridCol w:w="1367"/>
      </w:tblGrid>
      <w:tr>
        <w:trPr>
          <w:trHeight w:val="206" w:hRule="exact"/>
        </w:trPr>
        <w:tc>
          <w:tcPr>
            <w:tcW w:w="2116"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17" w:type="dxa"/>
            <w:gridSpan w:val="3"/>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2116"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vMerge/>
            <w:tcBorders>
              <w:left w:val="single" w:sz="4" w:space="0" w:color="000000"/>
              <w:bottom w:val="single" w:sz="4" w:space="0" w:color="000000"/>
              <w:right w:val="single" w:sz="4" w:space="0" w:color="000000"/>
            </w:tcBorders>
            <w:shd w:val="clear" w:color="auto" w:fill="D4D4D4"/>
          </w:tcPr>
          <w:p>
            <w:pPr/>
          </w:p>
        </w:tc>
        <w:tc>
          <w:tcPr>
            <w:tcW w:w="3617" w:type="dxa"/>
            <w:gridSpan w:val="3"/>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2116" w:type="dxa"/>
            <w:vMerge/>
            <w:tcBorders>
              <w:left w:val="single" w:sz="4" w:space="0" w:color="000000"/>
              <w:bottom w:val="nil" w:sz="6" w:space="0" w:color="auto"/>
              <w:right w:val="single" w:sz="4" w:space="0" w:color="000000"/>
            </w:tcBorders>
            <w:shd w:val="clear" w:color="auto" w:fill="D4D4D4"/>
          </w:tcPr>
          <w:p>
            <w:pPr/>
          </w:p>
        </w:tc>
        <w:tc>
          <w:tcPr>
            <w:tcW w:w="141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3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7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116" w:type="dxa"/>
            <w:tcBorders>
              <w:top w:val="nil" w:sz="6" w:space="0" w:color="auto"/>
              <w:left w:val="single" w:sz="4" w:space="0" w:color="000000"/>
              <w:bottom w:val="single" w:sz="4" w:space="0" w:color="000000"/>
              <w:right w:val="single" w:sz="4" w:space="0" w:color="000000"/>
            </w:tcBorders>
            <w:shd w:val="clear" w:color="auto" w:fill="D4D4D4"/>
          </w:tcPr>
          <w:p>
            <w:pPr/>
          </w:p>
        </w:tc>
        <w:tc>
          <w:tcPr>
            <w:tcW w:w="1416" w:type="dxa"/>
            <w:vMerge/>
            <w:tcBorders>
              <w:left w:val="single" w:sz="4" w:space="0" w:color="000000"/>
              <w:bottom w:val="single" w:sz="4" w:space="0" w:color="000000"/>
              <w:right w:val="single" w:sz="4" w:space="0" w:color="000000"/>
            </w:tcBorders>
            <w:shd w:val="clear" w:color="auto" w:fill="D4D4D4"/>
          </w:tcPr>
          <w:p>
            <w:pPr/>
          </w:p>
        </w:tc>
        <w:tc>
          <w:tcPr>
            <w:tcW w:w="1134" w:type="dxa"/>
            <w:vMerge/>
            <w:tcBorders>
              <w:left w:val="single" w:sz="4" w:space="0" w:color="000000"/>
              <w:bottom w:val="single" w:sz="4" w:space="0" w:color="000000"/>
              <w:right w:val="single" w:sz="4" w:space="0" w:color="000000"/>
            </w:tcBorders>
            <w:shd w:val="clear" w:color="auto" w:fill="D4D4D4"/>
          </w:tcPr>
          <w:p>
            <w:pPr/>
          </w:p>
        </w:tc>
        <w:tc>
          <w:tcPr>
            <w:tcW w:w="1277" w:type="dxa"/>
            <w:vMerge/>
            <w:tcBorders>
              <w:left w:val="single" w:sz="4" w:space="0" w:color="000000"/>
              <w:bottom w:val="single" w:sz="4" w:space="0" w:color="000000"/>
              <w:right w:val="single" w:sz="4" w:space="0" w:color="000000"/>
            </w:tcBorders>
            <w:shd w:val="clear" w:color="auto" w:fill="D4D4D4"/>
          </w:tcPr>
          <w:p>
            <w:pPr/>
          </w:p>
        </w:tc>
        <w:tc>
          <w:tcPr>
            <w:tcW w:w="1276" w:type="dxa"/>
            <w:vMerge/>
            <w:tcBorders>
              <w:left w:val="single" w:sz="4" w:space="0" w:color="000000"/>
              <w:bottom w:val="single" w:sz="4" w:space="0" w:color="000000"/>
              <w:right w:val="single" w:sz="4" w:space="0" w:color="000000"/>
            </w:tcBorders>
            <w:shd w:val="clear" w:color="auto" w:fill="D4D4D4"/>
          </w:tcPr>
          <w:p>
            <w:pPr/>
          </w:p>
        </w:tc>
        <w:tc>
          <w:tcPr>
            <w:tcW w:w="974" w:type="dxa"/>
            <w:vMerge/>
            <w:tcBorders>
              <w:left w:val="single" w:sz="4" w:space="0" w:color="000000"/>
              <w:bottom w:val="single" w:sz="4" w:space="0" w:color="000000"/>
              <w:right w:val="single" w:sz="4" w:space="0" w:color="000000"/>
            </w:tcBorders>
            <w:shd w:val="clear" w:color="auto" w:fill="D4D4D4"/>
          </w:tcPr>
          <w:p>
            <w:pPr/>
          </w:p>
        </w:tc>
        <w:tc>
          <w:tcPr>
            <w:tcW w:w="1367"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21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41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918,484,213.86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918,484,213.86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74,274,232.00</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74,274,232.00</w:t>
            </w:r>
          </w:p>
        </w:tc>
      </w:tr>
      <w:tr>
        <w:trPr>
          <w:trHeight w:val="402" w:hRule="exact"/>
        </w:trPr>
        <w:tc>
          <w:tcPr>
            <w:tcW w:w="21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41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10,494,012.21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center"/>
              <w:rPr>
                <w:rFonts w:ascii="Times New Roman" w:hAnsi="Times New Roman" w:cs="Times New Roman" w:eastAsia="Times New Roman" w:hint="default"/>
                <w:sz w:val="18"/>
                <w:szCs w:val="18"/>
              </w:rPr>
            </w:pPr>
            <w:r>
              <w:rPr>
                <w:rFonts w:ascii="Times New Roman"/>
                <w:sz w:val="18"/>
              </w:rPr>
              <w:t>10,494,012.21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3,850,530.97</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3,850,530.97</w:t>
            </w:r>
          </w:p>
        </w:tc>
      </w:tr>
      <w:tr>
        <w:trPr>
          <w:trHeight w:val="403" w:hRule="exact"/>
        </w:trPr>
        <w:tc>
          <w:tcPr>
            <w:tcW w:w="21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928,978,226.07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center"/>
              <w:rPr>
                <w:rFonts w:ascii="Times New Roman" w:hAnsi="Times New Roman" w:cs="Times New Roman" w:eastAsia="Times New Roman" w:hint="default"/>
                <w:sz w:val="18"/>
                <w:szCs w:val="18"/>
              </w:rPr>
            </w:pPr>
            <w:r>
              <w:rPr>
                <w:rFonts w:ascii="Times New Roman"/>
                <w:sz w:val="18"/>
              </w:rPr>
              <w:t>928,978,226.07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78,124,762.97</w:t>
            </w:r>
          </w:p>
        </w:tc>
        <w:tc>
          <w:tcPr>
            <w:tcW w:w="97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78,124,762.97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1）对子公司投资" w:id="495"/>
      <w:bookmarkEnd w:id="495"/>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28"/>
        <w:gridCol w:w="1416"/>
        <w:gridCol w:w="1277"/>
        <w:gridCol w:w="1134"/>
        <w:gridCol w:w="1559"/>
        <w:gridCol w:w="992"/>
        <w:gridCol w:w="1061"/>
      </w:tblGrid>
      <w:tr>
        <w:trPr>
          <w:trHeight w:val="713" w:hRule="exact"/>
        </w:trPr>
        <w:tc>
          <w:tcPr>
            <w:tcW w:w="2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1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7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3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14"/>
              <w:jc w:val="left"/>
              <w:rPr>
                <w:rFonts w:ascii="宋体" w:hAnsi="宋体" w:cs="宋体" w:eastAsia="宋体" w:hint="default"/>
                <w:sz w:val="18"/>
                <w:szCs w:val="18"/>
              </w:rPr>
            </w:pPr>
            <w:r>
              <w:rPr>
                <w:rFonts w:ascii="宋体" w:hAnsi="宋体" w:cs="宋体" w:eastAsia="宋体" w:hint="default"/>
                <w:spacing w:val="8"/>
                <w:sz w:val="18"/>
                <w:szCs w:val="18"/>
              </w:rPr>
              <w:t>本期计提减 </w:t>
            </w:r>
            <w:r>
              <w:rPr>
                <w:rFonts w:ascii="宋体" w:hAnsi="宋体" w:cs="宋体" w:eastAsia="宋体" w:hint="default"/>
                <w:sz w:val="18"/>
                <w:szCs w:val="18"/>
              </w:rPr>
              <w:t>值准备</w:t>
            </w:r>
          </w:p>
        </w:tc>
        <w:tc>
          <w:tcPr>
            <w:tcW w:w="106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22" w:right="-4"/>
              <w:jc w:val="left"/>
              <w:rPr>
                <w:rFonts w:ascii="宋体" w:hAnsi="宋体" w:cs="宋体" w:eastAsia="宋体" w:hint="default"/>
                <w:sz w:val="18"/>
                <w:szCs w:val="18"/>
              </w:rPr>
            </w:pPr>
            <w:r>
              <w:rPr>
                <w:rFonts w:ascii="宋体" w:hAnsi="宋体" w:cs="宋体" w:eastAsia="宋体" w:hint="default"/>
                <w:spacing w:val="20"/>
                <w:sz w:val="18"/>
                <w:szCs w:val="18"/>
              </w:rPr>
              <w:t>减值准备期</w:t>
            </w:r>
            <w:r>
              <w:rPr>
                <w:rFonts w:ascii="宋体" w:hAnsi="宋体" w:cs="宋体" w:eastAsia="宋体" w:hint="default"/>
                <w:spacing w:val="-86"/>
                <w:sz w:val="18"/>
                <w:szCs w:val="18"/>
              </w:rPr>
              <w:t> </w:t>
            </w:r>
            <w:r>
              <w:rPr>
                <w:rFonts w:ascii="宋体" w:hAnsi="宋体" w:cs="宋体" w:eastAsia="宋体" w:hint="default"/>
                <w:sz w:val="18"/>
                <w:szCs w:val="18"/>
              </w:rPr>
              <w:t>末余额</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美亚研究所</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美亚中敏</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4,470,000.00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珠海新德汇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58,548,000.00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264,109,994.98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322,657,994.98</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香港鼎永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1,256,232.00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1,256,232.00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安胜网络</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武汉大千</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33,150,000.00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33,150,000.00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江苏税软</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543,199,986.88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543,199,986.88</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2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74,274,232.00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844,209,981.86</w:t>
            </w:r>
          </w:p>
        </w:tc>
        <w:tc>
          <w:tcPr>
            <w:tcW w:w="113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918,484,213.86</w:t>
            </w:r>
          </w:p>
        </w:tc>
        <w:tc>
          <w:tcPr>
            <w:tcW w:w="992"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850"/>
        <w:gridCol w:w="992"/>
        <w:gridCol w:w="709"/>
        <w:gridCol w:w="851"/>
        <w:gridCol w:w="708"/>
        <w:gridCol w:w="709"/>
        <w:gridCol w:w="463"/>
        <w:gridCol w:w="955"/>
        <w:gridCol w:w="641"/>
      </w:tblGrid>
      <w:tr>
        <w:trPr>
          <w:trHeight w:val="402" w:hRule="exact"/>
        </w:trPr>
        <w:tc>
          <w:tcPr>
            <w:tcW w:w="994"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850"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133" w:type="dxa"/>
            <w:gridSpan w:val="8"/>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955"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41"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994" w:type="dxa"/>
            <w:vMerge/>
            <w:tcBorders>
              <w:left w:val="single" w:sz="4" w:space="0" w:color="000000"/>
              <w:bottom w:val="single" w:sz="4" w:space="0" w:color="000000"/>
              <w:right w:val="single" w:sz="4" w:space="0" w:color="000000"/>
            </w:tcBorders>
            <w:shd w:val="clear" w:color="auto" w:fill="D4D4D4"/>
          </w:tcPr>
          <w:p>
            <w:pPr/>
          </w:p>
        </w:tc>
        <w:tc>
          <w:tcPr>
            <w:tcW w:w="850" w:type="dxa"/>
            <w:vMerge/>
            <w:tcBorders>
              <w:left w:val="single" w:sz="4" w:space="0" w:color="000000"/>
              <w:bottom w:val="single" w:sz="4" w:space="0" w:color="000000"/>
              <w:right w:val="single" w:sz="4" w:space="0" w:color="000000"/>
            </w:tcBorders>
            <w:shd w:val="clear" w:color="auto" w:fill="D4D4D4"/>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992"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 w:right="38"/>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9" w:right="7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5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08"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77" w:right="78"/>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0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79" w:right="78"/>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463"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55" w:type="dxa"/>
            <w:vMerge/>
            <w:tcBorders>
              <w:left w:val="single" w:sz="4" w:space="0" w:color="000000"/>
              <w:bottom w:val="single" w:sz="4" w:space="0" w:color="000000"/>
              <w:right w:val="single" w:sz="4" w:space="0" w:color="000000"/>
            </w:tcBorders>
            <w:shd w:val="clear" w:color="auto" w:fill="D4D4D4"/>
          </w:tcPr>
          <w:p>
            <w:pPr/>
          </w:p>
        </w:tc>
        <w:tc>
          <w:tcPr>
            <w:tcW w:w="641"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9"/>
                <w:sz w:val="18"/>
                <w:szCs w:val="18"/>
              </w:rPr>
              <w:t>厦门服云信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2" w:right="0"/>
              <w:jc w:val="left"/>
              <w:rPr>
                <w:rFonts w:ascii="Times New Roman" w:hAnsi="Times New Roman" w:cs="Times New Roman" w:eastAsia="Times New Roman" w:hint="default"/>
                <w:sz w:val="18"/>
                <w:szCs w:val="18"/>
              </w:rPr>
            </w:pPr>
            <w:r>
              <w:rPr>
                <w:rFonts w:ascii="Times New Roman"/>
                <w:sz w:val="18"/>
              </w:rPr>
              <w:t>1,392,376.</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186,593.5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-4,788,580.8</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10,922,09</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7,339,296.1</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851"/>
        <w:gridCol w:w="850"/>
        <w:gridCol w:w="992"/>
        <w:gridCol w:w="709"/>
        <w:gridCol w:w="851"/>
        <w:gridCol w:w="708"/>
        <w:gridCol w:w="709"/>
        <w:gridCol w:w="463"/>
        <w:gridCol w:w="955"/>
        <w:gridCol w:w="641"/>
      </w:tblGrid>
      <w:tr>
        <w:trPr>
          <w:trHeight w:val="67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left"/>
              <w:rPr>
                <w:rFonts w:ascii="宋体" w:hAnsi="宋体" w:cs="宋体" w:eastAsia="宋体" w:hint="default"/>
                <w:sz w:val="18"/>
                <w:szCs w:val="18"/>
              </w:rPr>
            </w:pPr>
            <w:r>
              <w:rPr>
                <w:rFonts w:ascii="宋体" w:hAnsi="宋体" w:cs="宋体" w:eastAsia="宋体" w:hint="default"/>
                <w:spacing w:val="9"/>
                <w:sz w:val="18"/>
                <w:szCs w:val="18"/>
              </w:rPr>
              <w:t>息科技有限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41</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3" w:right="0"/>
              <w:jc w:val="left"/>
              <w:rPr>
                <w:rFonts w:ascii="Times New Roman" w:hAnsi="Times New Roman" w:cs="Times New Roman" w:eastAsia="Times New Roman" w:hint="default"/>
                <w:sz w:val="18"/>
                <w:szCs w:val="18"/>
              </w:rPr>
            </w:pPr>
            <w:r>
              <w:rPr>
                <w:rFonts w:ascii="Times New Roman"/>
                <w:sz w:val="18"/>
              </w:rPr>
              <w:t>4.13</w:t>
            </w: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pacing w:val="9"/>
                <w:sz w:val="18"/>
                <w:szCs w:val="18"/>
              </w:rPr>
              <w:t>北京万诚信 用评价有限 </w:t>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2,458,154.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-1,265,202.0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1,192,952.4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both"/>
              <w:rPr>
                <w:rFonts w:ascii="宋体" w:hAnsi="宋体" w:cs="宋体" w:eastAsia="宋体" w:hint="default"/>
                <w:sz w:val="18"/>
                <w:szCs w:val="18"/>
              </w:rPr>
            </w:pPr>
            <w:r>
              <w:rPr>
                <w:rFonts w:ascii="宋体" w:hAnsi="宋体" w:cs="宋体" w:eastAsia="宋体" w:hint="default"/>
                <w:spacing w:val="9"/>
                <w:sz w:val="18"/>
                <w:szCs w:val="18"/>
              </w:rPr>
              <w:t>厦门正信世 纪信息科技 </w:t>
            </w:r>
            <w:r>
              <w:rPr>
                <w:rFonts w:ascii="宋体" w:hAnsi="宋体" w:cs="宋体" w:eastAsia="宋体" w:hint="default"/>
                <w:sz w:val="18"/>
                <w:szCs w:val="18"/>
              </w:rPr>
              <w:t>有限公司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-38,236.43</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1,961,763.5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3,850,530.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186,593.5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-6,092,019.3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10,922,09</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4.13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10,494,012.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96"/>
      <w:bookmarkEnd w:id="496"/>
      <w:r>
        <w:rPr>
          <w:b w:val="0"/>
          <w:bCs w:val="0"/>
        </w:rPr>
      </w:r>
      <w:bookmarkStart w:name="十八、补充资料" w:id="497"/>
      <w:bookmarkEnd w:id="497"/>
      <w:r>
        <w:rPr>
          <w:b w:val="0"/>
          <w:bCs w:val="0"/>
        </w:rPr>
      </w:r>
      <w:bookmarkStart w:name="1、当期非经常性损益明细表" w:id="498"/>
      <w:bookmarkEnd w:id="49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3）其他说明" w:id="499"/>
      <w:bookmarkEnd w:id="499"/>
      <w:r>
        <w:rPr/>
      </w:r>
      <w:bookmarkStart w:name="4、营业收入和营业成本" w:id="500"/>
      <w:bookmarkEnd w:id="500"/>
      <w:r>
        <w:rPr/>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4D4D4"/>
          </w:tcPr>
          <w:p>
            <w:pPr/>
          </w:p>
        </w:tc>
        <w:tc>
          <w:tcPr>
            <w:tcW w:w="3762"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6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166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100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4D4D4"/>
          </w:tcPr>
          <w:p>
            <w:pP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4D4D4"/>
          </w:tcPr>
          <w:p>
            <w:pPr/>
          </w:p>
        </w:tc>
        <w:tc>
          <w:tcPr>
            <w:tcW w:w="1849"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95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left="98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4D4D4"/>
          </w:tcPr>
          <w:p>
            <w:pPr/>
          </w:p>
        </w:tc>
        <w:tc>
          <w:tcPr>
            <w:tcW w:w="1849"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4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637,486,230.00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255,999,694.59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554,221,931.42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229,724,626.36</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4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1,918,792.00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1,496,319.52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814,146.00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983,511.68</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9"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639,405,022.00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257,496,014.11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555,036,077.42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230,708,138.04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bookmarkStart w:name="5、投资收益" w:id="501"/>
      <w:bookmarkEnd w:id="501"/>
      <w:r>
        <w:rPr/>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28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1347"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-6,092,019.31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230,606.42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-4,297,571.35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子公司分红</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4,916,500.00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9" w:space="0" w:color="D4D4D4"/>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-944,912.89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-4,297,571.35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0" w:right="152"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79"/>
        <w:gridCol w:w="1844"/>
        <w:gridCol w:w="1346"/>
      </w:tblGrid>
      <w:tr>
        <w:trPr>
          <w:trHeight w:val="402" w:hRule="exact"/>
        </w:trPr>
        <w:tc>
          <w:tcPr>
            <w:tcW w:w="6379"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94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left"/>
        <w:rPr>
          <w:rFonts w:ascii="宋体" w:hAnsi="宋体" w:cs="宋体" w:eastAsia="宋体" w:hint="default"/>
          <w:sz w:val="18"/>
          <w:szCs w:val="18"/>
        </w:rPr>
        <w:sectPr>
          <w:pgSz w:w="11910" w:h="16840"/>
          <w:pgMar w:header="917" w:footer="1267" w:top="1140" w:bottom="1460" w:left="980" w:right="980"/>
        </w:sect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6367"/>
        <w:gridCol w:w="1855"/>
        <w:gridCol w:w="1346"/>
      </w:tblGrid>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85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93,012.60</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9" w:lineRule="auto" w:before="51"/>
              <w:ind w:left="22" w:right="8" w:firstLine="42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r>
              <w:rPr>
                <w:rFonts w:ascii="宋体" w:hAnsi="宋体" w:cs="宋体" w:eastAsia="宋体" w:hint="default"/>
                <w:sz w:val="18"/>
                <w:szCs w:val="18"/>
              </w:rPr>
              <w:t> 定量享受的政府补助除外）</w:t>
            </w:r>
          </w:p>
        </w:tc>
        <w:tc>
          <w:tcPr>
            <w:tcW w:w="185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14,803,594.48</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5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-143,304.78</w:t>
            </w:r>
            <w:r>
              <w:rPr>
                <w:rFonts w:ascii="Times New Roman"/>
                <w:sz w:val="18"/>
              </w:rPr>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5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1,648,311.91</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80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85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686,700.65</w:t>
            </w:r>
          </w:p>
        </w:tc>
        <w:tc>
          <w:tcPr>
            <w:tcW w:w="13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7"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5" w:type="dxa"/>
            <w:tcBorders>
              <w:top w:val="single" w:sz="4" w:space="0" w:color="000000"/>
              <w:left w:val="single" w:sz="10" w:space="0" w:color="D4D4D4"/>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12,418,289.74</w:t>
            </w:r>
          </w:p>
        </w:tc>
        <w:tc>
          <w:tcPr>
            <w:tcW w:w="1346"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91"/>
              <w:ind w:left="818"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宋体" w:hAnsi="宋体" w:cs="宋体" w:eastAsia="宋体" w:hint="default"/>
          <w:sz w:val="7"/>
          <w:szCs w:val="7"/>
        </w:rPr>
      </w:pPr>
    </w:p>
    <w:p>
      <w:pPr>
        <w:pStyle w:val="BodyText"/>
        <w:spacing w:line="309" w:lineRule="auto" w:before="35"/>
        <w:ind w:left="153" w:right="236" w:firstLine="420"/>
        <w:jc w:val="both"/>
      </w:pPr>
      <w:bookmarkStart w:name="（2）同时按照境外会计准则与按中国会计准则披露的财务报告中净利润和净资产差异情况" w:id="502"/>
      <w:bookmarkEnd w:id="502"/>
      <w:r>
        <w:rPr/>
      </w:r>
      <w:bookmarkStart w:name="（3）境内外会计准则下会计数据差异原因说明，对已经境外审计机构审计的数据进行差异" w:id="503"/>
      <w:bookmarkEnd w:id="503"/>
      <w:r>
        <w:rPr/>
      </w:r>
      <w:bookmarkStart w:name="4、其他" w:id="504"/>
      <w:bookmarkEnd w:id="504"/>
      <w:r>
        <w:rPr/>
      </w:r>
      <w:r>
        <w:rPr/>
        <w:t>对公司根据《公开发行证券的公司信息披露解释性公告第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非经常性损益》定义界定的非经常 性损益项目，以及把《公开发行证券的公司信息披露解释性公告第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非经常性损益》中列举的非经 常性损益项目界定为经常性损益的项目，应说明原因。</w:t>
      </w:r>
    </w:p>
    <w:p>
      <w:pPr>
        <w:pStyle w:val="BodyText"/>
        <w:spacing w:line="240" w:lineRule="auto" w:before="158"/>
        <w:ind w:left="134" w:right="7326"/>
        <w:jc w:val="cente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pStyle w:val="Heading4"/>
        <w:spacing w:line="240" w:lineRule="auto"/>
        <w:ind w:left="134" w:right="7137"/>
        <w:jc w:val="center"/>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250"/>
        <w:gridCol w:w="2480"/>
        <w:gridCol w:w="1913"/>
        <w:gridCol w:w="1913"/>
      </w:tblGrid>
      <w:tr>
        <w:trPr>
          <w:trHeight w:val="206" w:hRule="exact"/>
        </w:trPr>
        <w:tc>
          <w:tcPr>
            <w:tcW w:w="3250" w:type="dxa"/>
            <w:tcBorders>
              <w:top w:val="single" w:sz="4" w:space="0" w:color="000000"/>
              <w:left w:val="single" w:sz="4" w:space="0" w:color="000000"/>
              <w:bottom w:val="nil" w:sz="6" w:space="0" w:color="auto"/>
              <w:right w:val="single" w:sz="4" w:space="0" w:color="000000"/>
            </w:tcBorders>
            <w:shd w:val="clear" w:color="auto" w:fill="D4D4D4"/>
          </w:tcPr>
          <w:p>
            <w:pPr/>
          </w:p>
        </w:tc>
        <w:tc>
          <w:tcPr>
            <w:tcW w:w="2480" w:type="dxa"/>
            <w:tcBorders>
              <w:top w:val="single" w:sz="4" w:space="0" w:color="000000"/>
              <w:left w:val="single" w:sz="4" w:space="0" w:color="000000"/>
              <w:bottom w:val="nil" w:sz="6" w:space="0" w:color="auto"/>
              <w:right w:val="single" w:sz="4" w:space="0" w:color="000000"/>
            </w:tcBorders>
            <w:shd w:val="clear" w:color="auto" w:fill="D4D4D4"/>
          </w:tcPr>
          <w:p>
            <w:pPr/>
          </w:p>
        </w:tc>
        <w:tc>
          <w:tcPr>
            <w:tcW w:w="3826" w:type="dxa"/>
            <w:gridSpan w:val="2"/>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2"/>
              <w:ind w:right="0"/>
              <w:jc w:val="center"/>
              <w:rPr>
                <w:rFonts w:ascii="宋体" w:hAnsi="宋体" w:cs="宋体" w:eastAsia="宋体" w:hint="default"/>
                <w:sz w:val="18"/>
                <w:szCs w:val="18"/>
              </w:rPr>
            </w:pPr>
            <w:bookmarkStart w:name="2、净资产收益率及每股收益" w:id="505"/>
            <w:bookmarkEnd w:id="505"/>
            <w:r>
              <w:rPr/>
            </w:r>
            <w:r>
              <w:rPr>
                <w:rFonts w:ascii="宋体" w:hAnsi="宋体" w:cs="宋体" w:eastAsia="宋体" w:hint="default"/>
                <w:sz w:val="18"/>
                <w:szCs w:val="18"/>
              </w:rPr>
              <w:t>每股收益</w:t>
            </w:r>
          </w:p>
        </w:tc>
      </w:tr>
      <w:tr>
        <w:trPr>
          <w:trHeight w:val="191" w:hRule="exact"/>
        </w:trPr>
        <w:tc>
          <w:tcPr>
            <w:tcW w:w="325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80" w:type="dxa"/>
            <w:vMerge w:val="restart"/>
            <w:tcBorders>
              <w:top w:val="nil" w:sz="6" w:space="0" w:color="auto"/>
              <w:left w:val="single" w:sz="4" w:space="0" w:color="000000"/>
              <w:right w:val="single" w:sz="4" w:space="0" w:color="000000"/>
            </w:tcBorders>
            <w:shd w:val="clear" w:color="auto" w:fill="D4D4D4"/>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4D4D4"/>
          </w:tcPr>
          <w:p>
            <w:pPr/>
          </w:p>
        </w:tc>
      </w:tr>
      <w:tr>
        <w:trPr>
          <w:trHeight w:val="202" w:hRule="exact"/>
        </w:trPr>
        <w:tc>
          <w:tcPr>
            <w:tcW w:w="3250" w:type="dxa"/>
            <w:vMerge/>
            <w:tcBorders>
              <w:left w:val="single" w:sz="4" w:space="0" w:color="000000"/>
              <w:bottom w:val="nil" w:sz="6" w:space="0" w:color="auto"/>
              <w:right w:val="single" w:sz="4" w:space="0" w:color="000000"/>
            </w:tcBorders>
            <w:shd w:val="clear" w:color="auto" w:fill="D4D4D4"/>
          </w:tcPr>
          <w:p>
            <w:pPr/>
          </w:p>
        </w:tc>
        <w:tc>
          <w:tcPr>
            <w:tcW w:w="2480" w:type="dxa"/>
            <w:vMerge/>
            <w:tcBorders>
              <w:left w:val="single" w:sz="4" w:space="0" w:color="000000"/>
              <w:bottom w:val="nil" w:sz="6" w:space="0" w:color="auto"/>
              <w:right w:val="single" w:sz="4" w:space="0" w:color="000000"/>
            </w:tcBorders>
            <w:shd w:val="clear" w:color="auto" w:fill="D4D4D4"/>
          </w:tcPr>
          <w:p>
            <w:pP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4D4D4"/>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3250" w:type="dxa"/>
            <w:tcBorders>
              <w:top w:val="nil" w:sz="6" w:space="0" w:color="auto"/>
              <w:left w:val="single" w:sz="4" w:space="0" w:color="000000"/>
              <w:bottom w:val="single" w:sz="4" w:space="0" w:color="000000"/>
              <w:right w:val="single" w:sz="4" w:space="0" w:color="000000"/>
            </w:tcBorders>
            <w:shd w:val="clear" w:color="auto" w:fill="D4D4D4"/>
          </w:tcPr>
          <w:p>
            <w:pPr/>
          </w:p>
        </w:tc>
        <w:tc>
          <w:tcPr>
            <w:tcW w:w="2480" w:type="dxa"/>
            <w:tcBorders>
              <w:top w:val="nil" w:sz="6" w:space="0" w:color="auto"/>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c>
          <w:tcPr>
            <w:tcW w:w="1913" w:type="dxa"/>
            <w:vMerge/>
            <w:tcBorders>
              <w:left w:val="single" w:sz="4" w:space="0" w:color="000000"/>
              <w:bottom w:val="single" w:sz="4" w:space="0" w:color="000000"/>
              <w:right w:val="single" w:sz="4" w:space="0" w:color="000000"/>
            </w:tcBorders>
            <w:shd w:val="clear" w:color="auto" w:fill="D4D4D4"/>
          </w:tcPr>
          <w:p>
            <w:pPr/>
          </w:p>
        </w:tc>
      </w:tr>
      <w:tr>
        <w:trPr>
          <w:trHeight w:val="402" w:hRule="exact"/>
        </w:trPr>
        <w:tc>
          <w:tcPr>
            <w:tcW w:w="32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0.31</w:t>
            </w:r>
          </w:p>
        </w:tc>
      </w:tr>
      <w:tr>
        <w:trPr>
          <w:trHeight w:val="715" w:hRule="exact"/>
        </w:trPr>
        <w:tc>
          <w:tcPr>
            <w:tcW w:w="3250" w:type="dxa"/>
            <w:tcBorders>
              <w:top w:val="single" w:sz="4" w:space="0" w:color="000000"/>
              <w:left w:val="single" w:sz="4" w:space="0" w:color="000000"/>
              <w:bottom w:val="single" w:sz="4" w:space="0" w:color="000000"/>
              <w:right w:val="single" w:sz="4" w:space="0" w:color="000000"/>
            </w:tcBorders>
            <w:shd w:val="clear" w:color="auto" w:fill="D4D4D4"/>
          </w:tcPr>
          <w:p>
            <w:pPr>
              <w:pStyle w:val="TableParagraph"/>
              <w:spacing w:line="316" w:lineRule="auto" w:before="52"/>
              <w:ind w:left="11" w:right="107" w:firstLine="42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 通股股东的净利润</w:t>
            </w:r>
          </w:p>
        </w:tc>
        <w:tc>
          <w:tcPr>
            <w:tcW w:w="2480" w:type="dxa"/>
            <w:tcBorders>
              <w:top w:val="single" w:sz="4" w:space="0" w:color="000000"/>
              <w:left w:val="single" w:sz="13" w:space="0" w:color="D4D4D4"/>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w:t>
      </w:r>
      <w:bookmarkStart w:name="3、境内外会计准则下会计数据差异" w:id="506"/>
      <w:bookmarkEnd w:id="506"/>
      <w:r>
        <w:rPr/>
        <w:t>和净资产</w:t>
      </w:r>
      <w:r>
        <w:rPr/>
        <w:t>差异情况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spacing w:val="-2"/>
        </w:rPr>
        <w:t>不适用</w:t>
      </w:r>
      <w:r>
        <w:rPr/>
      </w:r>
    </w:p>
    <w:p>
      <w:pPr>
        <w:spacing w:line="240" w:lineRule="auto" w:before="0"/>
        <w:rPr>
          <w:rFonts w:ascii="宋体" w:hAnsi="宋体" w:cs="宋体" w:eastAsia="宋体" w:hint="default"/>
          <w:sz w:val="27"/>
          <w:szCs w:val="27"/>
        </w:rPr>
      </w:pPr>
    </w:p>
    <w:p>
      <w:pPr>
        <w:pStyle w:val="Heading4"/>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w:t>
      </w:r>
      <w:bookmarkStart w:name="（1）同时按照国际会计准则与按中国会计准则披露的财务报告中净利润和净资产差异情况" w:id="507"/>
      <w:bookmarkEnd w:id="507"/>
      <w:r>
        <w:rPr/>
        <w:t>异</w:t>
      </w:r>
      <w:r>
        <w:rPr/>
        <w:t>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17" w:footer="1267" w:top="1140" w:bottom="14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Heading1"/>
        <w:spacing w:line="240" w:lineRule="auto"/>
        <w:ind w:left="3607" w:right="0"/>
        <w:jc w:val="left"/>
        <w:rPr>
          <w:b w:val="0"/>
          <w:bCs w:val="0"/>
        </w:rPr>
      </w:pPr>
      <w:bookmarkStart w:name="第十一节 备查文件目录" w:id="508"/>
      <w:bookmarkEnd w:id="508"/>
      <w:r>
        <w:rPr>
          <w:b w:val="0"/>
          <w:bCs w:val="0"/>
        </w:rPr>
      </w:r>
      <w:r>
        <w:rPr/>
        <w:t>第十一节</w:t>
      </w:r>
      <w:r>
        <w:rPr>
          <w:spacing w:val="-2"/>
        </w:rPr>
        <w:t> </w:t>
      </w:r>
      <w:r>
        <w:rPr/>
        <w:t>备查文件目录</w:t>
      </w:r>
      <w:r>
        <w:rPr>
          <w:b w:val="0"/>
          <w:bCs w:val="0"/>
        </w:rPr>
      </w:r>
    </w:p>
    <w:p>
      <w:pPr>
        <w:spacing w:line="240" w:lineRule="auto" w:before="12"/>
        <w:rPr>
          <w:rFonts w:ascii="宋体" w:hAnsi="宋体" w:cs="宋体" w:eastAsia="宋体" w:hint="default"/>
          <w:b/>
          <w:bCs/>
          <w:sz w:val="42"/>
          <w:szCs w:val="42"/>
        </w:rPr>
      </w:pPr>
    </w:p>
    <w:p>
      <w:pPr>
        <w:pStyle w:val="BodyText"/>
        <w:spacing w:line="326" w:lineRule="auto"/>
        <w:ind w:left="154" w:right="0" w:firstLine="420"/>
        <w:jc w:val="left"/>
      </w:pPr>
      <w:r>
        <w:rPr>
          <w:spacing w:val="-1"/>
        </w:rPr>
        <w:t>一、</w:t>
      </w:r>
      <w:bookmarkStart w:name="_bookmark9" w:id="509"/>
      <w:bookmarkEnd w:id="509"/>
      <w:r>
        <w:rPr>
          <w:spacing w:val="-1"/>
        </w:rPr>
        <w:t>公司法定代表人</w:t>
      </w:r>
      <w:r>
        <w:rPr>
          <w:spacing w:val="-1"/>
        </w:rPr>
        <w:t>、主管会计工作负责人、会计机构负责人（会计主管人员）签名并盖章的财务报</w:t>
      </w:r>
      <w:r>
        <w:rPr/>
        <w:t> 表。</w:t>
      </w:r>
    </w:p>
    <w:p>
      <w:pPr>
        <w:pStyle w:val="BodyText"/>
        <w:spacing w:line="432" w:lineRule="auto" w:before="144"/>
        <w:ind w:right="952"/>
        <w:jc w:val="left"/>
      </w:pPr>
      <w:r>
        <w:rPr/>
        <w:t>二、会计师事务所盖章、注册会计师签名并盖章的审计报告原件。 三、报告期内在中国证监会指定网站上公开披露过的本公司所有文件的正本及公告的原稿。 四、公司法定代表人签名的</w:t>
      </w:r>
      <w:r>
        <w:rPr>
          <w:rFonts w:ascii="Times New Roman" w:hAnsi="Times New Roman" w:cs="Times New Roman" w:eastAsia="Times New Roman" w:hint="default"/>
        </w:rPr>
        <w:t>2015</w:t>
      </w:r>
      <w:r>
        <w:rPr/>
        <w:t>年年度报告全文及其摘要。</w:t>
      </w:r>
    </w:p>
    <w:p>
      <w:pPr>
        <w:pStyle w:val="BodyText"/>
        <w:spacing w:line="432" w:lineRule="auto" w:before="17"/>
        <w:ind w:left="573" w:right="5783"/>
        <w:jc w:val="left"/>
      </w:pPr>
      <w:r>
        <w:rPr/>
        <w:t>五、其他相关资料。 以上备查文件的备置地点：公司证券部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Heading4"/>
        <w:tabs>
          <w:tab w:pos="2423" w:val="left" w:leader="none"/>
        </w:tabs>
        <w:spacing w:line="240" w:lineRule="auto"/>
        <w:ind w:left="0" w:right="527"/>
        <w:jc w:val="right"/>
        <w:rPr>
          <w:rFonts w:ascii="Times New Roman" w:hAnsi="Times New Roman" w:cs="Times New Roman" w:eastAsia="Times New Roman" w:hint="default"/>
          <w:b w:val="0"/>
          <w:bCs w:val="0"/>
        </w:rPr>
      </w:pPr>
      <w:r>
        <w:rPr>
          <w:w w:val="95"/>
        </w:rPr>
        <w:t>法定代表人：</w:t>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r>
      <w:r>
        <w:rPr>
          <w:rFonts w:ascii="Times New Roman" w:hAnsi="Times New Roman" w:cs="Times New Roman" w:eastAsia="Times New Roman" w:hint="default"/>
        </w:rPr>
      </w:r>
      <w:r>
        <w:rPr>
          <w:rFonts w:ascii="Times New Roman" w:hAnsi="Times New Roman" w:cs="Times New Roman" w:eastAsia="Times New Roman" w:hint="default"/>
          <w:b w:val="0"/>
          <w:bCs w:val="0"/>
        </w:rPr>
      </w:r>
    </w:p>
    <w:p>
      <w:pPr>
        <w:spacing w:line="240" w:lineRule="auto" w:before="4"/>
        <w:rPr>
          <w:rFonts w:ascii="Times New Roman" w:hAnsi="Times New Roman" w:cs="Times New Roman" w:eastAsia="Times New Roman" w:hint="default"/>
          <w:b/>
          <w:bCs/>
          <w:sz w:val="27"/>
          <w:szCs w:val="27"/>
        </w:rPr>
      </w:pPr>
    </w:p>
    <w:p>
      <w:pPr>
        <w:pStyle w:val="Heading4"/>
        <w:spacing w:line="544" w:lineRule="auto" w:before="35"/>
        <w:ind w:left="6631" w:right="133" w:firstLine="2154"/>
        <w:jc w:val="left"/>
        <w:rPr>
          <w:b w:val="0"/>
          <w:bCs w:val="0"/>
        </w:rPr>
      </w:pPr>
      <w:r>
        <w:rPr/>
        <w:t>滕达</w:t>
      </w:r>
      <w:r>
        <w:rPr>
          <w:spacing w:val="1"/>
          <w:w w:val="99"/>
        </w:rPr>
        <w:t> </w:t>
      </w:r>
      <w:r>
        <w:rPr/>
        <w:t>厦门市美亚柏科信息股份有限公司</w:t>
      </w:r>
      <w:r>
        <w:rPr>
          <w:b w:val="0"/>
          <w:bCs w:val="0"/>
        </w:rPr>
      </w:r>
    </w:p>
    <w:p>
      <w:pPr>
        <w:pStyle w:val="Heading4"/>
        <w:spacing w:line="240" w:lineRule="auto" w:before="5"/>
        <w:ind w:left="0" w:right="152"/>
        <w:jc w:val="right"/>
        <w:rPr>
          <w:b w:val="0"/>
          <w:bCs w:val="0"/>
        </w:rPr>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r>
        <w:rPr>
          <w:b w:val="0"/>
          <w:bCs w:val="0"/>
        </w:rPr>
      </w:r>
    </w:p>
    <w:sectPr>
      <w:pgSz w:w="11910" w:h="16840"/>
      <w:pgMar w:header="917" w:footer="1267" w:top="1140" w:bottom="14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PGothic">
    <w:altName w:val="MS P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4.380005pt;margin-top:781.177917pt;width:6.5pt;height:11pt;mso-position-horizontal-relative:page;mso-position-vertical-relative:page;z-index:-11789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7.557922pt;width:13pt;height:11pt;mso-position-horizontal-relative:page;mso-position-vertical-relative:page;z-index:-1178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67.557922pt;width:15.5pt;height:11pt;mso-position-horizontal-relative:page;mso-position-vertical-relative:page;z-index:-11786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7.557922pt;width:17.5pt;height:11pt;mso-position-horizontal-relative:page;mso-position-vertical-relative:page;z-index:-1178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67.557922pt;width:15.5pt;height:11pt;mso-position-horizontal-relative:page;mso-position-vertical-relative:page;z-index:-11786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67.557922pt;width:17.5pt;height:11pt;mso-position-horizontal-relative:page;mso-position-vertical-relative:page;z-index:-1178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7.557922pt;width:13pt;height:11pt;mso-position-horizontal-relative:page;mso-position-vertical-relative:page;z-index:-1178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79.917908pt;width:13pt;height:11pt;mso-position-horizontal-relative:page;mso-position-vertical-relative:page;z-index:-1178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7.557922pt;width:13pt;height:11pt;mso-position-horizontal-relative:page;mso-position-vertical-relative:page;z-index:-11788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7.557922pt;width:13pt;height:11pt;mso-position-horizontal-relative:page;mso-position-vertical-relative:page;z-index:-1178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67.557922pt;width:13pt;height:11pt;mso-position-horizontal-relative:page;mso-position-vertical-relative:page;z-index:-1178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659985pt;width:484.95pt;height:.1pt;mso-position-horizontal-relative:page;mso-position-vertical-relative:page;z-index:-1178920" coordorigin="1104,1153" coordsize="9699,2">
          <v:shape style="position:absolute;left:1104;top:1153;width:9699;height:2" coordorigin="1104,1153" coordsize="9699,0" path="m1104,1153l10802,1153e" filled="false" stroked="true" strokeweight=".72pt" strokecolor="#000000">
            <v:path arrowok="t"/>
          </v:shape>
          <w10:wrap type="none"/>
        </v:group>
      </w:pict>
    </w:r>
    <w:r>
      <w:rPr/>
      <w:pict>
        <v:shape style="position:absolute;margin-left:317.119995pt;margin-top:44.905609pt;width:222.55pt;height:11.5pt;mso-position-horizontal-relative:page;mso-position-vertical-relative:page;z-index:-1178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6.639984pt;width:484.95pt;height:.1pt;mso-position-horizontal-relative:page;mso-position-vertical-relative:page;z-index:-1178752" coordorigin="1104,1133" coordsize="9699,2">
          <v:shape style="position:absolute;left:1104;top:1133;width:9699;height:2" coordorigin="1104,1133" coordsize="9699,0" path="m1104,1133l10802,1133e" filled="false" stroked="true" strokeweight=".72pt" strokecolor="#000000">
            <v:path arrowok="t"/>
          </v:shape>
          <w10:wrap type="none"/>
        </v:group>
      </w:pict>
    </w:r>
    <w:r>
      <w:rPr/>
      <w:pict>
        <v:shape style="position:absolute;margin-left:317.119995pt;margin-top:44.845608pt;width:222.55pt;height:11.5pt;mso-position-horizontal-relative:page;mso-position-vertical-relative:page;z-index:-11787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厦门市美亚柏科信息股份有限公司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636"/>
    </w:pPr>
    <w:rPr>
      <w:rFonts w:ascii="宋体" w:hAnsi="宋体" w:eastAsia="宋体"/>
      <w:b/>
      <w:bCs/>
      <w:sz w:val="24"/>
      <w:szCs w:val="24"/>
    </w:rPr>
  </w:style>
  <w:style w:styleId="BodyText" w:type="paragraph">
    <w:name w:val="Body Text"/>
    <w:basedOn w:val="Normal"/>
    <w:uiPriority w:val="1"/>
    <w:qFormat/>
    <w:pPr>
      <w:ind w:left="574"/>
    </w:pPr>
    <w:rPr>
      <w:rFonts w:ascii="宋体" w:hAnsi="宋体" w:eastAsia="宋体"/>
      <w:sz w:val="21"/>
      <w:szCs w:val="21"/>
    </w:rPr>
  </w:style>
  <w:style w:styleId="Heading1" w:type="paragraph">
    <w:name w:val="Heading 1"/>
    <w:basedOn w:val="Normal"/>
    <w:uiPriority w:val="1"/>
    <w:qFormat/>
    <w:pPr>
      <w:spacing w:before="1"/>
      <w:ind w:left="3067"/>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103"/>
      <w:ind w:left="63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300188.cn/" TargetMode="External"/><Relationship Id="rId10" Type="http://schemas.openxmlformats.org/officeDocument/2006/relationships/hyperlink" Target="mailto:tzzgx@300188.cn" TargetMode="External"/><Relationship Id="rId11" Type="http://schemas.openxmlformats.org/officeDocument/2006/relationships/hyperlink" Target="http://www.cninfo.com.cn/" TargetMode="Externa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hyperlink" Target="http://www/" TargetMode="Externa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yperlink" Target="http://www.cninfo.com.cn&#30340;&#30456;&#20851;&#20844;&#21578;/" TargetMode="External"/><Relationship Id="rId19" Type="http://schemas.openxmlformats.org/officeDocument/2006/relationships/hyperlink" Target="http://www.cninfo.com.cn&#30340;/" TargetMode="External"/><Relationship Id="rId20" Type="http://schemas.openxmlformats.org/officeDocument/2006/relationships/footer" Target="footer6.xml"/><Relationship Id="rId21" Type="http://schemas.openxmlformats.org/officeDocument/2006/relationships/image" Target="media/image4.png"/><Relationship Id="rId22" Type="http://schemas.openxmlformats.org/officeDocument/2006/relationships/header" Target="header2.xml"/><Relationship Id="rId23" Type="http://schemas.openxmlformats.org/officeDocument/2006/relationships/footer" Target="footer7.xml"/><Relationship Id="rId24" Type="http://schemas.openxmlformats.org/officeDocument/2006/relationships/header" Target="header3.xml"/><Relationship Id="rId25" Type="http://schemas.openxmlformats.org/officeDocument/2006/relationships/footer" Target="footer8.xml"/><Relationship Id="rId26" Type="http://schemas.openxmlformats.org/officeDocument/2006/relationships/header" Target="header4.xml"/><Relationship Id="rId27" Type="http://schemas.openxmlformats.org/officeDocument/2006/relationships/footer" Target="footer9.xml"/><Relationship Id="rId28" Type="http://schemas.openxmlformats.org/officeDocument/2006/relationships/header" Target="header5.xml"/><Relationship Id="rId29" Type="http://schemas.openxmlformats.org/officeDocument/2006/relationships/footer" Target="footer10.xml"/><Relationship Id="rId30" Type="http://schemas.openxmlformats.org/officeDocument/2006/relationships/header" Target="header6.xml"/><Relationship Id="rId31" Type="http://schemas.openxmlformats.org/officeDocument/2006/relationships/footer" Target="footer11.xml"/><Relationship Id="rId32" Type="http://schemas.openxmlformats.org/officeDocument/2006/relationships/header" Target="header7.xml"/><Relationship Id="rId33" Type="http://schemas.openxmlformats.org/officeDocument/2006/relationships/footer" Target="footer12.xml"/><Relationship Id="rId34" Type="http://schemas.openxmlformats.org/officeDocument/2006/relationships/header" Target="header8.xml"/><Relationship Id="rId35" Type="http://schemas.openxmlformats.org/officeDocument/2006/relationships/footer" Target="footer13.xml"/><Relationship Id="rId36" Type="http://schemas.openxmlformats.org/officeDocument/2006/relationships/footer" Target="footer14.xml"/><Relationship Id="rId37" Type="http://schemas.openxmlformats.org/officeDocument/2006/relationships/footer" Target="footer15.xml"/><Relationship Id="rId38" Type="http://schemas.openxmlformats.org/officeDocument/2006/relationships/footer" Target="footer16.xml"/><Relationship Id="rId39"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厦门市美亚柏科信息股份有限公司</dc:creator>
  <dc:title>厦门市美亚柏科信息股份有限公司2015年年度报告全文</dc:title>
  <dcterms:created xsi:type="dcterms:W3CDTF">2020-05-04T16:09:51Z</dcterms:created>
  <dcterms:modified xsi:type="dcterms:W3CDTF">2020-05-04T16:09:51Z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Creator">
    <vt:lpwstr>Acrobat PDFMaker 9.0 Word 版</vt:lpwstr>
  </property>
  <property fmtid="{D5CDD505-2E9C-101B-9397-08002B2CF9AE}" pid="4" name="LastSaved">
    <vt:filetime>2020-05-04T00:00:00Z</vt:filetime>
  </property>
</Properties>
</file>