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6"/>
          <w:szCs w:val="16"/>
        </w:rPr>
      </w:pPr>
    </w:p>
    <w:p>
      <w:pPr>
        <w:spacing w:line="2188" w:lineRule="exact"/>
        <w:ind w:left="38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17380" cy="138988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17380" cy="1389888"/>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10"/>
        <w:rPr>
          <w:rFonts w:ascii="Times New Roman" w:hAnsi="Times New Roman" w:cs="Times New Roman" w:eastAsia="Times New Roman" w:hint="default"/>
          <w:sz w:val="13"/>
          <w:szCs w:val="13"/>
        </w:rPr>
      </w:pPr>
    </w:p>
    <w:p>
      <w:pPr>
        <w:spacing w:line="460" w:lineRule="exact" w:before="0"/>
        <w:ind w:left="676" w:right="676" w:firstLine="0"/>
        <w:jc w:val="center"/>
        <w:rPr>
          <w:rFonts w:ascii="宋体" w:hAnsi="宋体" w:cs="宋体" w:eastAsia="宋体" w:hint="default"/>
          <w:sz w:val="36"/>
          <w:szCs w:val="36"/>
        </w:rPr>
      </w:pPr>
      <w:r>
        <w:rPr>
          <w:rFonts w:ascii="宋体" w:hAnsi="宋体" w:cs="宋体" w:eastAsia="宋体" w:hint="default"/>
          <w:b/>
          <w:bCs/>
          <w:sz w:val="36"/>
          <w:szCs w:val="36"/>
        </w:rPr>
        <w:t>厦门市美亚柏科信息股份有限公司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676" w:right="6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676" w:right="675" w:firstLine="0"/>
        <w:jc w:val="center"/>
        <w:rPr>
          <w:rFonts w:ascii="Times New Roman" w:hAnsi="Times New Roman" w:cs="Times New Roman" w:eastAsia="Times New Roman" w:hint="default"/>
          <w:sz w:val="22"/>
          <w:szCs w:val="22"/>
        </w:rPr>
      </w:pPr>
      <w:r>
        <w:rPr>
          <w:rFonts w:ascii="Times New Roman"/>
          <w:b/>
          <w:sz w:val="22"/>
        </w:rPr>
        <w:t>2018-13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676" w:right="67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1"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0"/>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5"/>
          <w:w w:val="95"/>
          <w:sz w:val="28"/>
          <w:szCs w:val="28"/>
        </w:rPr>
        <w:t>实、准确、完整，不存在虚假记载、误导性陈述或重大遗漏，并承担个别和连带</w:t>
      </w:r>
      <w:r>
        <w:rPr>
          <w:rFonts w:ascii="宋体" w:hAnsi="宋体" w:cs="宋体" w:eastAsia="宋体" w:hint="default"/>
          <w:b/>
          <w:bCs/>
          <w:spacing w:val="59"/>
          <w:w w:val="95"/>
          <w:sz w:val="28"/>
          <w:szCs w:val="28"/>
        </w:rPr>
        <w:t> </w:t>
      </w:r>
      <w:r>
        <w:rPr>
          <w:rFonts w:ascii="宋体" w:hAnsi="宋体" w:cs="宋体" w:eastAsia="宋体" w:hint="default"/>
          <w:b/>
          <w:bCs/>
          <w:spacing w:val="59"/>
          <w:w w:val="95"/>
          <w:sz w:val="28"/>
          <w:szCs w:val="28"/>
        </w:rPr>
      </w:r>
      <w:r>
        <w:rPr>
          <w:rFonts w:ascii="宋体" w:hAnsi="宋体" w:cs="宋体" w:eastAsia="宋体" w:hint="default"/>
          <w:b/>
          <w:bCs/>
          <w:sz w:val="28"/>
          <w:szCs w:val="28"/>
        </w:rPr>
        <w:t>的法律责任。</w:t>
      </w:r>
      <w:r>
        <w:rPr>
          <w:rFonts w:ascii="宋体" w:hAnsi="宋体" w:cs="宋体" w:eastAsia="宋体" w:hint="default"/>
          <w:sz w:val="28"/>
          <w:szCs w:val="28"/>
        </w:rPr>
      </w:r>
    </w:p>
    <w:p>
      <w:pPr>
        <w:spacing w:line="386" w:lineRule="auto" w:before="161"/>
        <w:ind w:left="153"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公司负责人滕达、主管会计工作负责人张乃军及会计机构负责人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陈志友声明：保证年度报告中财务报告的真实、准确、完整。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本报告中有关未来计划、业绩预测等方面的内容，均不构成本公司对任何</w:t>
      </w:r>
      <w:r>
        <w:rPr>
          <w:rFonts w:ascii="宋体" w:hAnsi="宋体" w:cs="宋体" w:eastAsia="宋体" w:hint="default"/>
          <w:sz w:val="28"/>
          <w:szCs w:val="28"/>
        </w:rPr>
      </w:r>
    </w:p>
    <w:p>
      <w:pPr>
        <w:spacing w:line="393" w:lineRule="auto" w:before="0"/>
        <w:ind w:left="153" w:right="148"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投资者及相关人士的实质承诺，投资者及相关人士均应当对此保持足够的风险</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1"/>
          <w:w w:val="95"/>
          <w:sz w:val="28"/>
          <w:szCs w:val="28"/>
        </w:rPr>
        <w:t>认识，并且应当理解计划、预测与承诺之间的差异。公司在本报告第四节</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经营</w:t>
      </w:r>
      <w:r>
        <w:rPr>
          <w:rFonts w:ascii="宋体" w:hAnsi="宋体" w:cs="宋体" w:eastAsia="宋体" w:hint="default"/>
          <w:b/>
          <w:bCs/>
          <w:spacing w:val="44"/>
          <w:w w:val="95"/>
          <w:sz w:val="28"/>
          <w:szCs w:val="28"/>
        </w:rPr>
        <w:t> </w:t>
      </w:r>
      <w:r>
        <w:rPr>
          <w:rFonts w:ascii="宋体" w:hAnsi="宋体" w:cs="宋体" w:eastAsia="宋体" w:hint="default"/>
          <w:b/>
          <w:bCs/>
          <w:spacing w:val="-1"/>
          <w:w w:val="95"/>
          <w:sz w:val="28"/>
          <w:szCs w:val="28"/>
        </w:rPr>
        <w:t>情况讨论与分析</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中</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九、公司未来发展的展望</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部分，详细描述了公司经营中可</w:t>
      </w:r>
      <w:r>
        <w:rPr>
          <w:rFonts w:ascii="宋体" w:hAnsi="宋体" w:cs="宋体" w:eastAsia="宋体" w:hint="default"/>
          <w:b/>
          <w:bCs/>
          <w:spacing w:val="41"/>
          <w:w w:val="95"/>
          <w:sz w:val="28"/>
          <w:szCs w:val="28"/>
        </w:rPr>
        <w:t> </w:t>
      </w:r>
      <w:r>
        <w:rPr>
          <w:rFonts w:ascii="宋体" w:hAnsi="宋体" w:cs="宋体" w:eastAsia="宋体" w:hint="default"/>
          <w:b/>
          <w:bCs/>
          <w:spacing w:val="41"/>
          <w:w w:val="95"/>
          <w:sz w:val="28"/>
          <w:szCs w:val="28"/>
        </w:rPr>
      </w:r>
      <w:r>
        <w:rPr>
          <w:rFonts w:ascii="宋体" w:hAnsi="宋体" w:cs="宋体" w:eastAsia="宋体" w:hint="default"/>
          <w:b/>
          <w:bCs/>
          <w:sz w:val="28"/>
          <w:szCs w:val="28"/>
        </w:rPr>
        <w:t>能存在的风险及应对措施，敬请投资者关注相关内容。</w:t>
      </w:r>
      <w:r>
        <w:rPr>
          <w:rFonts w:ascii="宋体" w:hAnsi="宋体" w:cs="宋体" w:eastAsia="宋体" w:hint="default"/>
          <w:sz w:val="28"/>
          <w:szCs w:val="28"/>
        </w:rPr>
      </w:r>
    </w:p>
    <w:p>
      <w:pPr>
        <w:spacing w:before="178"/>
        <w:ind w:left="715"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公司经本次董事会审议通过的利润分配及资本公积金转增股本预案为：以</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3" w:right="0" w:firstLine="0"/>
        <w:jc w:val="both"/>
        <w:rPr>
          <w:rFonts w:ascii="宋体" w:hAnsi="宋体" w:cs="宋体" w:eastAsia="宋体" w:hint="default"/>
          <w:sz w:val="28"/>
          <w:szCs w:val="28"/>
        </w:rPr>
      </w:pPr>
      <w:r>
        <w:rPr>
          <w:rFonts w:ascii="Times New Roman" w:hAnsi="Times New Roman" w:cs="Times New Roman" w:eastAsia="Times New Roman" w:hint="default"/>
          <w:b/>
          <w:bCs/>
          <w:w w:val="99"/>
          <w:sz w:val="28"/>
          <w:szCs w:val="28"/>
        </w:rPr>
        <w:t>496,803,986</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股为基数</w:t>
      </w:r>
      <w:r>
        <w:rPr>
          <w:rFonts w:ascii="宋体" w:hAnsi="宋体" w:cs="宋体" w:eastAsia="宋体" w:hint="default"/>
          <w:b/>
          <w:bCs/>
          <w:spacing w:val="-16"/>
          <w:w w:val="99"/>
          <w:sz w:val="28"/>
          <w:szCs w:val="28"/>
        </w:rPr>
        <w:t>，</w:t>
      </w:r>
      <w:r>
        <w:rPr>
          <w:rFonts w:ascii="宋体" w:hAnsi="宋体" w:cs="宋体" w:eastAsia="宋体" w:hint="default"/>
          <w:b/>
          <w:bCs/>
          <w:spacing w:val="1"/>
          <w:w w:val="99"/>
          <w:sz w:val="28"/>
          <w:szCs w:val="28"/>
        </w:rPr>
        <w:t>向全体股东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股派发现金红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2.00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6"/>
          <w:w w:val="99"/>
          <w:sz w:val="28"/>
          <w:szCs w:val="28"/>
        </w:rPr>
        <w:t>元</w:t>
      </w:r>
      <w:r>
        <w:rPr>
          <w:rFonts w:ascii="宋体" w:hAnsi="宋体" w:cs="宋体" w:eastAsia="宋体" w:hint="default"/>
          <w:b/>
          <w:bCs/>
          <w:w w:val="99"/>
          <w:sz w:val="28"/>
          <w:szCs w:val="28"/>
        </w:rPr>
        <w:t>（</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15"/>
          <w:w w:val="99"/>
          <w:sz w:val="28"/>
          <w:szCs w:val="28"/>
        </w:rPr>
        <w:t>，</w:t>
      </w:r>
      <w:r>
        <w:rPr>
          <w:rFonts w:ascii="宋体" w:hAnsi="宋体" w:cs="宋体" w:eastAsia="宋体" w:hint="default"/>
          <w:b/>
          <w:bCs/>
          <w:spacing w:val="1"/>
          <w:w w:val="99"/>
          <w:sz w:val="28"/>
          <w:szCs w:val="28"/>
        </w:rPr>
        <w:t>送</w:t>
      </w:r>
      <w:r>
        <w:rPr>
          <w:rFonts w:ascii="宋体" w:hAnsi="宋体" w:cs="宋体" w:eastAsia="宋体" w:hint="default"/>
          <w:b/>
          <w:bCs/>
          <w:w w:val="99"/>
          <w:sz w:val="28"/>
          <w:szCs w:val="28"/>
        </w:rPr>
        <w:t>红</w:t>
      </w:r>
      <w:r>
        <w:rPr>
          <w:rFonts w:ascii="宋体" w:hAnsi="宋体" w:cs="宋体" w:eastAsia="宋体" w:hint="default"/>
          <w:sz w:val="28"/>
          <w:szCs w:val="28"/>
        </w:rPr>
      </w:r>
    </w:p>
    <w:p>
      <w:pPr>
        <w:spacing w:before="237"/>
        <w:ind w:left="153" w:right="0" w:firstLine="0"/>
        <w:jc w:val="both"/>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0"/>
          <w:sz w:val="28"/>
          <w:szCs w:val="28"/>
        </w:rPr>
        <w:t> </w:t>
      </w:r>
      <w:r>
        <w:rPr>
          <w:rFonts w:ascii="宋体" w:hAnsi="宋体" w:cs="宋体" w:eastAsia="宋体" w:hint="default"/>
          <w:b/>
          <w:bCs/>
          <w:spacing w:val="1"/>
          <w:w w:val="99"/>
          <w:sz w:val="28"/>
          <w:szCs w:val="28"/>
        </w:rPr>
        <w:t>股（含税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，以资本公积金向全体股东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99"/>
          <w:sz w:val="28"/>
          <w:szCs w:val="28"/>
        </w:rPr>
        <w:t>6</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1"/>
          <w:w w:val="99"/>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676" w:right="67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8"/>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108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231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676" w:right="67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126"/>
        <w:gridCol w:w="708"/>
        <w:gridCol w:w="6734"/>
      </w:tblGrid>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美亚柏科、公司或本公司</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美亚柏科信息安全研究所</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厦门市美亚柏科信息安全研究所有限公司，公司的全资子公司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厦门服云信息科技有限公司，公司的参股公司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厦门美亚中敏科技有限公司，公司的控股子公司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香港鼎永泰克科技有限公司，公司的控股子公司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杭州攀克网络技术有限公司，公司的参股公司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巨龙信息</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厦门市巨龙信息科技有限公司，公司的参股公司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宏创科技</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福建宏创信息科技有限公司，公司的参股公司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珠海市新德汇信息技术有限公司，公司的全资子公司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万诚信用</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北京万诚信用评价有限公司，公司的参股公司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海峡国家版权交易中心有限公司，公司的参股公司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武汉大千信息技术有限公司，公司的控股子公司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中新赛克</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深圳市中新赛克科技股份有限公司，公司的参股公司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正信世纪</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厦门正信世纪信息科技有限公司，公司的参股公司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安胜网络</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厦门安胜网络科技有限公司，公司的控股子公司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江苏税软软件科技有限公司，公司的全资子公司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美亚宏数</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北京美亚宏数科技有限责任公司，公司的控股子公司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国信宏数</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北京国信宏数科技有限责任公司，美亚宏数的控股子公司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基金管理公司</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厦门市美亚梧桐投资管理有限公司，公司的参股公司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SPV</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厦门市亚桐投资管理合伙企业（有限合伙</w:t>
            </w:r>
            <w:r>
              <w:rPr>
                <w:rFonts w:ascii="宋体" w:hAnsi="宋体" w:cs="宋体" w:eastAsia="宋体" w:hint="default"/>
                <w:spacing w:val="-90"/>
                <w:sz w:val="18"/>
                <w:szCs w:val="18"/>
              </w:rPr>
              <w:t>）</w:t>
            </w:r>
            <w:r>
              <w:rPr>
                <w:rFonts w:ascii="宋体" w:hAnsi="宋体" w:cs="宋体" w:eastAsia="宋体" w:hint="default"/>
                <w:sz w:val="18"/>
                <w:szCs w:val="18"/>
              </w:rPr>
              <w:t>，由</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S</w:t>
            </w:r>
            <w:r>
              <w:rPr>
                <w:rFonts w:ascii="Times New Roman" w:hAnsi="Times New Roman" w:cs="Times New Roman" w:eastAsia="Times New Roman" w:hint="default"/>
                <w:sz w:val="18"/>
                <w:szCs w:val="18"/>
              </w:rPr>
              <w:t>PV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w:t>
            </w:r>
            <w:r>
              <w:rPr>
                <w:rFonts w:ascii="宋体" w:hAnsi="宋体" w:cs="宋体" w:eastAsia="宋体" w:hint="default"/>
                <w:spacing w:val="1"/>
                <w:sz w:val="18"/>
                <w:szCs w:val="18"/>
              </w:rPr>
              <w:t>起</w:t>
            </w:r>
            <w:r>
              <w:rPr>
                <w:rFonts w:ascii="宋体" w:hAnsi="宋体" w:cs="宋体" w:eastAsia="宋体" w:hint="default"/>
                <w:sz w:val="18"/>
                <w:szCs w:val="18"/>
              </w:rPr>
              <w:t>设立美亚梧桐产业并购基金</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美亚智讯</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北京美亚智讯信息技术有限公司，公司的控股子公司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美亚商鼎</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厦门美亚商鼎信息科技有限公司，公司的控股子公司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万方智讯</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北京万方智讯信息技术有限公司，美亚智讯的子公司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保荐机构、国信证券</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国信证券股份有限公司，公司首次公开发行股票的保荐机构</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r>
              <w:rPr>
                <w:rFonts w:ascii="宋体" w:hAnsi="宋体" w:cs="宋体" w:eastAsia="宋体" w:hint="default"/>
                <w:spacing w:val="-90"/>
                <w:sz w:val="18"/>
                <w:szCs w:val="18"/>
              </w:rPr>
              <w:t>）</w:t>
            </w:r>
            <w:r>
              <w:rPr>
                <w:rFonts w:ascii="宋体" w:hAnsi="宋体" w:cs="宋体" w:eastAsia="宋体" w:hint="default"/>
                <w:sz w:val="18"/>
                <w:szCs w:val="18"/>
              </w:rPr>
              <w:t>，公司年度审计机构</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发行人首次发行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股的行为</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厦门市美亚柏科信息股份有限公司第二期限制性股票激励计划</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美亚柏科发行股份购买江苏税软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股权及珠海新德汇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股权的交易统称</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斯坦道</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厦门斯坦道科学仪器股份有限公司，公司的参股公司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126"/>
        <w:gridCol w:w="708"/>
        <w:gridCol w:w="6734"/>
      </w:tblGrid>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股份回购</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回购注销部分离职激励对象已获授尚未解锁的限制性股票</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美桐贰期基金</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厦门市美桐贰期股权投资合伙企业（有限合伙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，公司拟参与认购基金</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美亚天信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厦门美亚天信会议服务有限公司，公司的全资子公司</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10"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518"/>
        <w:gridCol w:w="2719"/>
        <w:gridCol w:w="2155"/>
        <w:gridCol w:w="2177"/>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美亚柏科</w:t>
            </w:r>
          </w:p>
        </w:tc>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300188</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美亚柏科</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Xiamen Meiya Pico Information</w:t>
            </w:r>
            <w:r>
              <w:rPr>
                <w:rFonts w:ascii="Times New Roman"/>
                <w:spacing w:val="-3"/>
                <w:sz w:val="18"/>
              </w:rPr>
              <w:t> Co.,LTD.</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MEIYAPICO </w:t>
            </w:r>
            <w:r>
              <w:rPr>
                <w:rFonts w:ascii="Times New Roman"/>
                <w:sz w:val="18"/>
              </w:rPr>
              <w:t>INC.</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滕达</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号美亚柏科大厦</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www.300188.cn</w:t>
              </w:r>
            </w:hyperlink>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851"/>
        <w:gridCol w:w="4393"/>
        <w:gridCol w:w="4325"/>
      </w:tblGrid>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陈琼</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号美亚柏科董事会办公室</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号美亚柏科董事会办公室</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0592-3698792</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0592-3698792</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0592-2519335</w:t>
            </w:r>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0592-2519335</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c>
          <w:tcPr>
            <w:tcW w:w="4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991"/>
        <w:gridCol w:w="5576"/>
      </w:tblGrid>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《证券日报》和《上海证券报》</w:t>
            </w:r>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16"/>
                <w:sz w:val="18"/>
                <w:szCs w:val="18"/>
              </w:rPr>
              <w:t> </w:t>
            </w:r>
            <w:hyperlink r:id="rId11">
              <w:r>
                <w:rPr>
                  <w:rFonts w:ascii="Times New Roman" w:hAnsi="Times New Roman" w:cs="Times New Roman" w:eastAsia="Times New Roman" w:hint="default"/>
                  <w:sz w:val="18"/>
                  <w:szCs w:val="18"/>
                </w:rPr>
                <w:t>http://www.cninfo.com.cn</w:t>
              </w:r>
            </w:hyperlink>
          </w:p>
        </w:tc>
      </w:tr>
      <w:tr>
        <w:trPr>
          <w:trHeight w:val="402" w:hRule="exact"/>
        </w:trPr>
        <w:tc>
          <w:tcPr>
            <w:tcW w:w="3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号美亚柏科董事会办公室</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四、其他有关资料</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福建省厦门市思明区曾厝垵软件园创新大厦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12-15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周俊超、余道前</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2392"/>
        <w:gridCol w:w="2570"/>
        <w:gridCol w:w="2214"/>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5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号国贸</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胡霄俊、宁博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五、主要会计数据和财务指标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2976"/>
        <w:gridCol w:w="1702"/>
        <w:gridCol w:w="1559"/>
        <w:gridCol w:w="1843"/>
        <w:gridCol w:w="1489"/>
      </w:tblGrid>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5"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1,336,640,411.37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997,908,503.38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763,160,356.75</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271,716,271.45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182,624,041.44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133,165,026.62</w:t>
            </w:r>
          </w:p>
        </w:tc>
      </w:tr>
      <w:tr>
        <w:trPr>
          <w:trHeight w:val="714"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250,767,061.62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166,895,695.12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120,746,736.88</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199,944,188.01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344,623,649.37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181,586,163.55</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3,111,938,828.79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2,626,752,979.00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2,202,465,810.75</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2,326,621,414.02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1,866,388,433.39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1,672,859,824.77</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六、分季度主要财务指标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76"/>
        <w:gridCol w:w="1702"/>
        <w:gridCol w:w="1700"/>
        <w:gridCol w:w="1702"/>
        <w:gridCol w:w="1489"/>
      </w:tblGrid>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144,816,422.83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225,483,516.88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222,139,644.19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744,200,827.47</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3,367,384.84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29,160,548.64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33,240,960.48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205,947,377.49</w:t>
            </w:r>
          </w:p>
        </w:tc>
      </w:tr>
      <w:tr>
        <w:trPr>
          <w:trHeight w:val="714"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1,899,346.78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27,285,271.36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26,085,081.10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195,785,453.55</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-178,303,540.10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38,247,776.39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-45,510,358.07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1" w:right="0"/>
              <w:jc w:val="left"/>
              <w:rPr>
                <w:rFonts w:ascii="Times New Roman" w:hAnsi="Times New Roman" w:cs="Times New Roman" w:eastAsia="Times New Roman" w:hint="default"/>
                <w:sz w:val="18"/>
                <w:szCs w:val="18"/>
              </w:rPr>
            </w:pPr>
            <w:r>
              <w:rPr>
                <w:rFonts w:ascii="Times New Roman"/>
                <w:sz w:val="18"/>
              </w:rPr>
              <w:t>385,510,309.79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42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16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219"/>
        <w:gridCol w:w="1309"/>
        <w:gridCol w:w="1417"/>
        <w:gridCol w:w="1418"/>
        <w:gridCol w:w="1204"/>
      </w:tblGrid>
      <w:tr>
        <w:trPr>
          <w:trHeight w:val="402"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 销部分）</w:t>
            </w:r>
          </w:p>
        </w:tc>
        <w:tc>
          <w:tcPr>
            <w:tcW w:w="13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-201,165.13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-120,798.37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93,012.60</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13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24,578,433.19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19,319,081.45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14,803,594.48</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-28,833.10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-1,041,726.84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-143,304.78</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2,672,113.47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1,940,539.21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1,648,311.91</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727,111.66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487,670.71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686,700.65</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20,949,209.83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15,728,346.32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12,418,289.74</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2" w:lineRule="auto" w:before="61"/>
        <w:ind w:left="154" w:right="232"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2263"/>
        <w:gridCol w:w="1956"/>
        <w:gridCol w:w="5348"/>
      </w:tblGrid>
      <w:tr>
        <w:trPr>
          <w:trHeight w:val="402" w:hRule="exact"/>
        </w:trPr>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4"/>
              <w:jc w:val="right"/>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8"/>
              <w:jc w:val="right"/>
              <w:rPr>
                <w:rFonts w:ascii="宋体" w:hAnsi="宋体" w:cs="宋体" w:eastAsia="宋体" w:hint="default"/>
                <w:sz w:val="18"/>
                <w:szCs w:val="18"/>
              </w:rPr>
            </w:pPr>
            <w:r>
              <w:rPr>
                <w:rFonts w:ascii="宋体" w:hAnsi="宋体" w:cs="宋体" w:eastAsia="宋体" w:hint="default"/>
                <w:sz w:val="18"/>
                <w:szCs w:val="18"/>
              </w:rPr>
              <w:t>软件增值税退税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7" w:right="0"/>
              <w:jc w:val="left"/>
              <w:rPr>
                <w:rFonts w:ascii="Times New Roman" w:hAnsi="Times New Roman" w:cs="Times New Roman" w:eastAsia="Times New Roman" w:hint="default"/>
                <w:sz w:val="18"/>
                <w:szCs w:val="18"/>
              </w:rPr>
            </w:pPr>
            <w:r>
              <w:rPr>
                <w:rFonts w:ascii="Times New Roman"/>
                <w:sz w:val="18"/>
              </w:rPr>
              <w:t>47,866,970.23</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1"/>
              <w:jc w:val="center"/>
              <w:rPr>
                <w:rFonts w:ascii="宋体" w:hAnsi="宋体" w:cs="宋体" w:eastAsia="宋体" w:hint="default"/>
                <w:sz w:val="18"/>
                <w:szCs w:val="18"/>
              </w:rPr>
            </w:pPr>
            <w:r>
              <w:rPr>
                <w:rFonts w:ascii="宋体" w:hAnsi="宋体" w:cs="宋体" w:eastAsia="宋体" w:hint="default"/>
                <w:sz w:val="18"/>
                <w:szCs w:val="18"/>
              </w:rPr>
              <w:t>退税政策为长期的政策，本集团的软件退税属于经常性发生的补助</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88" w:right="3504"/>
        <w:jc w:val="center"/>
        <w:rPr>
          <w:b w:val="0"/>
          <w:bCs w:val="0"/>
        </w:rPr>
      </w:pPr>
      <w:bookmarkStart w:name="_TOC_250009" w:id="3"/>
      <w:r>
        <w:rPr/>
        <w:t>第三节</w:t>
      </w:r>
      <w:r>
        <w:rPr>
          <w:spacing w:val="-1"/>
        </w:rPr>
        <w:t> </w:t>
      </w:r>
      <w:r>
        <w:rPr/>
        <w:t>公司业务概要</w:t>
      </w:r>
      <w:bookmarkEnd w:id="3"/>
      <w:r>
        <w:rPr>
          <w:b w:val="0"/>
          <w:bCs w:val="0"/>
        </w:rPr>
      </w:r>
    </w:p>
    <w:p>
      <w:pPr>
        <w:spacing w:line="240" w:lineRule="auto" w:before="9"/>
        <w:rPr>
          <w:rFonts w:ascii="宋体" w:hAnsi="宋体" w:cs="宋体" w:eastAsia="宋体" w:hint="default"/>
          <w:b/>
          <w:bCs/>
          <w:sz w:val="38"/>
          <w:szCs w:val="38"/>
        </w:rPr>
      </w:pPr>
    </w:p>
    <w:p>
      <w:pPr>
        <w:pStyle w:val="Heading2"/>
        <w:spacing w:line="240" w:lineRule="auto"/>
        <w:ind w:left="214" w:right="0"/>
        <w:jc w:val="left"/>
        <w:rPr>
          <w:b w:val="0"/>
          <w:bCs w:val="0"/>
        </w:rPr>
      </w:pPr>
      <w:r>
        <w:rPr/>
        <w:t>一、报告期内公司从事的主要业务</w:t>
      </w:r>
      <w:r>
        <w:rPr>
          <w:b w:val="0"/>
          <w:bCs w:val="0"/>
        </w:rPr>
      </w:r>
    </w:p>
    <w:p>
      <w:pPr>
        <w:spacing w:line="240" w:lineRule="auto" w:before="9"/>
        <w:rPr>
          <w:rFonts w:ascii="宋体" w:hAnsi="宋体" w:cs="宋体" w:eastAsia="宋体" w:hint="default"/>
          <w:b/>
          <w:bCs/>
          <w:sz w:val="26"/>
          <w:szCs w:val="26"/>
        </w:rPr>
      </w:pPr>
    </w:p>
    <w:p>
      <w:pPr>
        <w:spacing w:line="357" w:lineRule="auto" w:before="0"/>
        <w:ind w:left="213" w:right="679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17" w:lineRule="auto" w:before="81"/>
        <w:ind w:left="636" w:right="0" w:hanging="1"/>
        <w:jc w:val="left"/>
      </w:pPr>
      <w:r>
        <w:rPr>
          <w:rFonts w:ascii="Times New Roman" w:hAnsi="Times New Roman" w:cs="Times New Roman" w:eastAsia="Times New Roman" w:hint="default"/>
          <w:b/>
          <w:bCs/>
        </w:rPr>
        <w:t>1</w:t>
      </w:r>
      <w:r>
        <w:rPr>
          <w:rFonts w:ascii="宋体" w:hAnsi="宋体" w:cs="宋体" w:eastAsia="宋体" w:hint="default"/>
          <w:b/>
          <w:bCs/>
        </w:rPr>
        <w:t>、公司主要业务</w:t>
      </w:r>
      <w:r>
        <w:rPr>
          <w:rFonts w:ascii="宋体" w:hAnsi="宋体" w:cs="宋体" w:eastAsia="宋体" w:hint="default"/>
          <w:b/>
          <w:bCs/>
          <w:spacing w:val="1"/>
          <w:w w:val="99"/>
        </w:rPr>
        <w:t> </w:t>
      </w:r>
      <w:r>
        <w:rPr/>
        <w:t>美亚柏科是国内电子数据取证领域龙头企业，网络空间安全及大数据信息化专家。公司自成立以来，</w:t>
      </w:r>
    </w:p>
    <w:p>
      <w:pPr>
        <w:pStyle w:val="BodyText"/>
        <w:spacing w:line="408" w:lineRule="auto" w:before="38"/>
        <w:ind w:left="214" w:right="0"/>
        <w:jc w:val="left"/>
      </w:pPr>
      <w:r>
        <w:rPr>
          <w:spacing w:val="-1"/>
        </w:rPr>
        <w:t>致力于为各级司法机关打击犯罪和行政执法部门实现社会治理，提供电子数据取证设备及网络信息安全解</w:t>
      </w:r>
      <w:r>
        <w:rPr>
          <w:spacing w:val="-81"/>
        </w:rPr>
        <w:t> </w:t>
      </w:r>
      <w:r>
        <w:rPr>
          <w:spacing w:val="-81"/>
        </w:rPr>
      </w:r>
      <w:r>
        <w:rPr/>
        <w:t>决方案。</w:t>
      </w:r>
    </w:p>
    <w:p>
      <w:pPr>
        <w:pStyle w:val="BodyText"/>
        <w:spacing w:line="403" w:lineRule="auto" w:before="46"/>
        <w:ind w:left="214" w:right="229" w:firstLine="422"/>
        <w:jc w:val="both"/>
      </w:pPr>
      <w:r>
        <w:rPr>
          <w:spacing w:val="-1"/>
        </w:rPr>
        <w:t>报告期内，围绕公司在数据采集、运算处理、汇聚融合和智能化应用等方面的技术优势，结合行业客</w:t>
      </w:r>
      <w:r>
        <w:rPr/>
        <w:t> </w:t>
      </w:r>
      <w:r>
        <w:rPr>
          <w:spacing w:val="-1"/>
        </w:rPr>
        <w:t>户需求和技术发展趋势，公司将人工智能和大数据这两大技术与公司持续钻研的电子数据取证、互联网搜</w:t>
      </w:r>
      <w:r>
        <w:rPr>
          <w:spacing w:val="-81"/>
        </w:rPr>
        <w:t> </w:t>
      </w:r>
      <w:r>
        <w:rPr>
          <w:spacing w:val="-81"/>
        </w:rPr>
      </w:r>
      <w:r>
        <w:rPr>
          <w:spacing w:val="-5"/>
        </w:rPr>
        <w:t>索、网络空间安全技术进行有效融合，进一步优化和提升了公司主营业务体系“四大产品”和“四大服务”</w:t>
      </w:r>
      <w:r>
        <w:rPr/>
        <w:t> </w:t>
      </w:r>
      <w:r>
        <w:rPr>
          <w:spacing w:val="-1"/>
        </w:rPr>
        <w:t>的竞争优势。公司“四大产品”包括：电子数据取证产品、大数据信息化产品、网络空间安全产品及专项</w:t>
      </w:r>
      <w:r>
        <w:rPr>
          <w:spacing w:val="-83"/>
        </w:rPr>
        <w:t> </w:t>
      </w:r>
      <w:r>
        <w:rPr>
          <w:spacing w:val="-83"/>
        </w:rPr>
      </w:r>
      <w:r>
        <w:rPr>
          <w:spacing w:val="-4"/>
        </w:rPr>
        <w:t>执法装备；“四大服务”包括：存证云</w:t>
      </w:r>
      <w:r>
        <w:rPr>
          <w:rFonts w:ascii="Times New Roman" w:hAnsi="Times New Roman" w:cs="Times New Roman" w:eastAsia="Times New Roman" w:hint="default"/>
          <w:spacing w:val="-4"/>
        </w:rPr>
        <w:t>+</w:t>
      </w:r>
      <w:r>
        <w:rPr>
          <w:spacing w:val="-4"/>
        </w:rPr>
        <w:t>、网络空间安全服务、数据服务和培训及技术支持增值服务。“四</w:t>
      </w:r>
      <w:r>
        <w:rPr>
          <w:spacing w:val="-60"/>
        </w:rPr>
        <w:t> </w:t>
      </w:r>
      <w:r>
        <w:rPr>
          <w:spacing w:val="-60"/>
        </w:rPr>
      </w:r>
      <w:r>
        <w:rPr/>
        <w:t>大产品”和“四大服务”主要情况如下：</w:t>
      </w:r>
    </w:p>
    <w:tbl>
      <w:tblPr>
        <w:tblW w:w="0" w:type="auto"/>
        <w:jc w:val="left"/>
        <w:tblInd w:w="100" w:type="dxa"/>
        <w:tblLayout w:type="fixed"/>
        <w:tblCellMar>
          <w:top w:w="0" w:type="dxa"/>
          <w:left w:w="0" w:type="dxa"/>
          <w:bottom w:w="0" w:type="dxa"/>
          <w:right w:w="0" w:type="dxa"/>
        </w:tblCellMar>
        <w:tblLook w:val="01E0"/>
      </w:tblPr>
      <w:tblGrid>
        <w:gridCol w:w="851"/>
        <w:gridCol w:w="984"/>
        <w:gridCol w:w="3119"/>
        <w:gridCol w:w="2836"/>
        <w:gridCol w:w="2064"/>
      </w:tblGrid>
      <w:tr>
        <w:trPr>
          <w:trHeight w:val="73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146" w:right="55" w:hanging="90"/>
              <w:jc w:val="left"/>
              <w:rPr>
                <w:rFonts w:ascii="宋体" w:hAnsi="宋体" w:cs="宋体" w:eastAsia="宋体" w:hint="default"/>
                <w:sz w:val="18"/>
                <w:szCs w:val="18"/>
              </w:rPr>
            </w:pPr>
            <w:r>
              <w:rPr>
                <w:rFonts w:ascii="宋体" w:hAnsi="宋体" w:cs="宋体" w:eastAsia="宋体" w:hint="default"/>
                <w:b/>
                <w:bCs/>
                <w:sz w:val="18"/>
                <w:szCs w:val="18"/>
              </w:rPr>
              <w:t>产品及服</w:t>
            </w:r>
            <w:r>
              <w:rPr>
                <w:rFonts w:ascii="宋体" w:hAnsi="宋体" w:cs="宋体" w:eastAsia="宋体" w:hint="default"/>
                <w:b/>
                <w:bCs/>
                <w:w w:val="99"/>
                <w:sz w:val="18"/>
                <w:szCs w:val="18"/>
              </w:rPr>
              <w:t> </w:t>
            </w:r>
            <w:r>
              <w:rPr>
                <w:rFonts w:ascii="宋体" w:hAnsi="宋体" w:cs="宋体" w:eastAsia="宋体" w:hint="default"/>
                <w:b/>
                <w:bCs/>
                <w:sz w:val="18"/>
                <w:szCs w:val="18"/>
              </w:rPr>
              <w:t>务类别</w:t>
            </w:r>
            <w:r>
              <w:rPr>
                <w:rFonts w:ascii="宋体" w:hAnsi="宋体" w:cs="宋体" w:eastAsia="宋体" w:hint="default"/>
                <w:sz w:val="18"/>
                <w:szCs w:val="18"/>
              </w:rPr>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系列产品</w:t>
            </w:r>
            <w:r>
              <w:rPr>
                <w:rFonts w:ascii="宋体" w:hAnsi="宋体" w:cs="宋体" w:eastAsia="宋体" w:hint="default"/>
                <w:sz w:val="18"/>
                <w:szCs w:val="18"/>
              </w:rPr>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产品用途</w:t>
            </w:r>
            <w:r>
              <w:rPr>
                <w:rFonts w:ascii="宋体" w:hAnsi="宋体" w:cs="宋体" w:eastAsia="宋体" w:hint="default"/>
                <w:sz w:val="18"/>
                <w:szCs w:val="18"/>
              </w:rPr>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sz w:val="18"/>
                <w:szCs w:val="18"/>
              </w:rPr>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b/>
                <w:bCs/>
                <w:sz w:val="18"/>
                <w:szCs w:val="18"/>
              </w:rPr>
              <w:t>应用行业</w:t>
            </w:r>
            <w:r>
              <w:rPr>
                <w:rFonts w:ascii="宋体" w:hAnsi="宋体" w:cs="宋体" w:eastAsia="宋体" w:hint="default"/>
                <w:sz w:val="18"/>
                <w:szCs w:val="18"/>
              </w:rPr>
            </w:r>
          </w:p>
        </w:tc>
      </w:tr>
      <w:tr>
        <w:trPr>
          <w:trHeight w:val="375" w:hRule="exact"/>
        </w:trPr>
        <w:tc>
          <w:tcPr>
            <w:tcW w:w="851" w:type="dxa"/>
            <w:tcBorders>
              <w:top w:val="single" w:sz="6" w:space="0" w:color="000000"/>
              <w:left w:val="single" w:sz="6" w:space="0" w:color="000000"/>
              <w:bottom w:val="nil" w:sz="6" w:space="0" w:color="auto"/>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
        </w:tc>
        <w:tc>
          <w:tcPr>
            <w:tcW w:w="311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针对手机、计算机、移动硬盘、</w:t>
            </w:r>
            <w:r>
              <w:rPr>
                <w:rFonts w:ascii="Times New Roman" w:hAnsi="Times New Roman" w:cs="Times New Roman" w:eastAsia="Times New Roman" w:hint="default"/>
                <w:sz w:val="18"/>
                <w:szCs w:val="18"/>
              </w:rPr>
              <w:t>U</w:t>
            </w:r>
            <w:r>
              <w:rPr>
                <w:rFonts w:ascii="宋体" w:hAnsi="宋体" w:cs="宋体" w:eastAsia="宋体" w:hint="default"/>
                <w:sz w:val="18"/>
                <w:szCs w:val="18"/>
              </w:rPr>
              <w:t>盘、</w:t>
            </w:r>
          </w:p>
        </w:tc>
        <w:tc>
          <w:tcPr>
            <w:tcW w:w="2836" w:type="dxa"/>
            <w:tcBorders>
              <w:top w:val="single" w:sz="6" w:space="0" w:color="000000"/>
              <w:left w:val="single" w:sz="6" w:space="0" w:color="000000"/>
              <w:bottom w:val="nil" w:sz="6" w:space="0" w:color="auto"/>
              <w:right w:val="single" w:sz="6" w:space="0" w:color="000000"/>
            </w:tcBorders>
          </w:tcPr>
          <w:p>
            <w:pPr/>
          </w:p>
        </w:tc>
        <w:tc>
          <w:tcPr>
            <w:tcW w:w="2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公安、检察院、监察委、</w:t>
            </w:r>
          </w:p>
        </w:tc>
      </w:tr>
      <w:tr>
        <w:trPr>
          <w:trHeight w:val="307" w:hRule="exact"/>
        </w:trPr>
        <w:tc>
          <w:tcPr>
            <w:tcW w:w="851"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2" w:right="0"/>
              <w:jc w:val="left"/>
              <w:rPr>
                <w:rFonts w:ascii="宋体" w:hAnsi="宋体" w:cs="宋体" w:eastAsia="宋体" w:hint="default"/>
                <w:sz w:val="18"/>
                <w:szCs w:val="18"/>
              </w:rPr>
            </w:pPr>
            <w:r>
              <w:rPr>
                <w:rFonts w:ascii="宋体" w:hAnsi="宋体" w:cs="宋体" w:eastAsia="宋体" w:hint="default"/>
                <w:sz w:val="18"/>
                <w:szCs w:val="18"/>
              </w:rPr>
              <w:t>电子数据取</w:t>
            </w: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存储卡、云端存储及各类电子数据存储</w:t>
            </w:r>
          </w:p>
        </w:tc>
        <w:tc>
          <w:tcPr>
            <w:tcW w:w="2836" w:type="dxa"/>
            <w:tcBorders>
              <w:top w:val="nil" w:sz="6" w:space="0" w:color="auto"/>
              <w:left w:val="single" w:sz="6" w:space="0" w:color="000000"/>
              <w:bottom w:val="nil" w:sz="6" w:space="0" w:color="auto"/>
              <w:right w:val="single" w:sz="6" w:space="0" w:color="000000"/>
            </w:tcBorders>
          </w:tcPr>
          <w:p>
            <w:pPr>
              <w:pStyle w:val="TableParagraph"/>
              <w:spacing w:line="229" w:lineRule="exact"/>
              <w:ind w:left="2" w:right="0"/>
              <w:jc w:val="left"/>
              <w:rPr>
                <w:rFonts w:ascii="宋体" w:hAnsi="宋体" w:cs="宋体" w:eastAsia="宋体" w:hint="default"/>
                <w:sz w:val="18"/>
                <w:szCs w:val="18"/>
              </w:rPr>
            </w:pPr>
            <w:r>
              <w:rPr>
                <w:rFonts w:ascii="宋体" w:hAnsi="宋体" w:cs="宋体" w:eastAsia="宋体" w:hint="default"/>
                <w:sz w:val="18"/>
                <w:szCs w:val="18"/>
              </w:rPr>
              <w:t>包括：计算机取证产品；手机取证</w:t>
            </w:r>
          </w:p>
        </w:tc>
        <w:tc>
          <w:tcPr>
            <w:tcW w:w="2064"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2" w:right="0"/>
              <w:jc w:val="left"/>
              <w:rPr>
                <w:rFonts w:ascii="宋体" w:hAnsi="宋体" w:cs="宋体" w:eastAsia="宋体" w:hint="default"/>
                <w:sz w:val="18"/>
                <w:szCs w:val="18"/>
              </w:rPr>
            </w:pPr>
            <w:r>
              <w:rPr>
                <w:rFonts w:ascii="宋体" w:hAnsi="宋体" w:cs="宋体" w:eastAsia="宋体" w:hint="default"/>
                <w:sz w:val="18"/>
                <w:szCs w:val="18"/>
              </w:rPr>
              <w:t>工商、税务、海关、证监</w:t>
            </w:r>
          </w:p>
        </w:tc>
      </w:tr>
      <w:tr>
        <w:trPr>
          <w:trHeight w:val="313" w:hRule="exact"/>
        </w:trPr>
        <w:tc>
          <w:tcPr>
            <w:tcW w:w="851"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证产品</w:t>
            </w: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设备中的电子数据进行采集、分析，形</w:t>
            </w:r>
          </w:p>
        </w:tc>
        <w:tc>
          <w:tcPr>
            <w:tcW w:w="2836" w:type="dxa"/>
            <w:tcBorders>
              <w:top w:val="nil" w:sz="6" w:space="0" w:color="auto"/>
              <w:left w:val="single" w:sz="6" w:space="0" w:color="000000"/>
              <w:bottom w:val="nil" w:sz="6" w:space="0" w:color="auto"/>
              <w:right w:val="single" w:sz="6" w:space="0" w:color="000000"/>
            </w:tcBorders>
          </w:tcPr>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产品；数据分析产品及取证平台</w:t>
            </w:r>
          </w:p>
        </w:tc>
        <w:tc>
          <w:tcPr>
            <w:tcW w:w="2064" w:type="dxa"/>
            <w:tcBorders>
              <w:top w:val="nil" w:sz="6" w:space="0" w:color="auto"/>
              <w:left w:val="single" w:sz="6" w:space="0" w:color="000000"/>
              <w:bottom w:val="nil" w:sz="6" w:space="0" w:color="auto"/>
              <w:right w:val="single" w:sz="6" w:space="0" w:color="000000"/>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和政府等司法机关及行政</w:t>
            </w:r>
          </w:p>
        </w:tc>
      </w:tr>
      <w:tr>
        <w:trPr>
          <w:trHeight w:val="368" w:hRule="exact"/>
        </w:trPr>
        <w:tc>
          <w:tcPr>
            <w:tcW w:w="851"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
        </w:tc>
        <w:tc>
          <w:tcPr>
            <w:tcW w:w="3119" w:type="dxa"/>
            <w:tcBorders>
              <w:top w:val="nil" w:sz="6" w:space="0" w:color="auto"/>
              <w:left w:val="single" w:sz="6" w:space="0" w:color="000000"/>
              <w:bottom w:val="single" w:sz="6" w:space="0" w:color="000000"/>
              <w:right w:val="single" w:sz="6" w:space="0" w:color="000000"/>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成符合司法有效性的电子证据</w:t>
            </w:r>
          </w:p>
        </w:tc>
        <w:tc>
          <w:tcPr>
            <w:tcW w:w="2836" w:type="dxa"/>
            <w:tcBorders>
              <w:top w:val="nil" w:sz="6" w:space="0" w:color="auto"/>
              <w:left w:val="single" w:sz="6" w:space="0" w:color="000000"/>
              <w:bottom w:val="single" w:sz="6" w:space="0" w:color="000000"/>
              <w:right w:val="single" w:sz="6" w:space="0" w:color="000000"/>
            </w:tcBorders>
          </w:tcPr>
          <w:p>
            <w:pPr/>
          </w:p>
        </w:tc>
        <w:tc>
          <w:tcPr>
            <w:tcW w:w="2064" w:type="dxa"/>
            <w:tcBorders>
              <w:top w:val="nil" w:sz="6" w:space="0" w:color="auto"/>
              <w:left w:val="single" w:sz="6" w:space="0" w:color="000000"/>
              <w:bottom w:val="single" w:sz="6" w:space="0" w:color="000000"/>
              <w:right w:val="single" w:sz="6" w:space="0" w:color="000000"/>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执法部门</w:t>
            </w:r>
          </w:p>
        </w:tc>
      </w:tr>
      <w:tr>
        <w:trPr>
          <w:trHeight w:val="1050" w:hRule="exact"/>
        </w:trPr>
        <w:tc>
          <w:tcPr>
            <w:tcW w:w="851" w:type="dxa"/>
            <w:tcBorders>
              <w:top w:val="nil" w:sz="6" w:space="0" w:color="auto"/>
              <w:left w:val="single" w:sz="6" w:space="0" w:color="000000"/>
              <w:bottom w:val="nil" w:sz="6" w:space="0" w:color="auto"/>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 w:right="65"/>
              <w:jc w:val="left"/>
              <w:rPr>
                <w:rFonts w:ascii="宋体" w:hAnsi="宋体" w:cs="宋体" w:eastAsia="宋体" w:hint="default"/>
                <w:sz w:val="18"/>
                <w:szCs w:val="18"/>
              </w:rPr>
            </w:pPr>
            <w:r>
              <w:rPr>
                <w:rFonts w:ascii="宋体" w:hAnsi="宋体" w:cs="宋体" w:eastAsia="宋体" w:hint="default"/>
                <w:sz w:val="18"/>
                <w:szCs w:val="18"/>
              </w:rPr>
              <w:t>大数据信息 化平台</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8"/>
              <w:ind w:left="2" w:right="41"/>
              <w:jc w:val="left"/>
              <w:rPr>
                <w:rFonts w:ascii="宋体" w:hAnsi="宋体" w:cs="宋体" w:eastAsia="宋体" w:hint="default"/>
                <w:sz w:val="18"/>
                <w:szCs w:val="18"/>
              </w:rPr>
            </w:pPr>
            <w:r>
              <w:rPr>
                <w:rFonts w:ascii="宋体" w:hAnsi="宋体" w:cs="宋体" w:eastAsia="宋体" w:hint="default"/>
                <w:sz w:val="18"/>
                <w:szCs w:val="18"/>
              </w:rPr>
              <w:t>运用大数据、云计算等技术，提供大数 据分析平台建设及数据采集、数据清 洗、数据分析和数据应用</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8"/>
              <w:ind w:left="2" w:right="116"/>
              <w:jc w:val="both"/>
              <w:rPr>
                <w:rFonts w:ascii="宋体" w:hAnsi="宋体" w:cs="宋体" w:eastAsia="宋体" w:hint="default"/>
                <w:sz w:val="18"/>
                <w:szCs w:val="18"/>
              </w:rPr>
            </w:pPr>
            <w:r>
              <w:rPr>
                <w:rFonts w:ascii="宋体" w:hAnsi="宋体" w:cs="宋体" w:eastAsia="宋体" w:hint="default"/>
                <w:sz w:val="18"/>
                <w:szCs w:val="18"/>
              </w:rPr>
              <w:t>包含：公安大数据平台；城市公共 安全管理平台；检察院、海关、税 务等大数据平台</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 w:right="65"/>
              <w:jc w:val="left"/>
              <w:rPr>
                <w:rFonts w:ascii="宋体" w:hAnsi="宋体" w:cs="宋体" w:eastAsia="宋体" w:hint="default"/>
                <w:sz w:val="18"/>
                <w:szCs w:val="18"/>
              </w:rPr>
            </w:pPr>
            <w:r>
              <w:rPr>
                <w:rFonts w:ascii="宋体" w:hAnsi="宋体" w:cs="宋体" w:eastAsia="宋体" w:hint="default"/>
                <w:sz w:val="18"/>
                <w:szCs w:val="18"/>
              </w:rPr>
              <w:t>公安、税务、检察院等司 法机关及行政执法部门</w:t>
            </w:r>
          </w:p>
        </w:tc>
      </w:tr>
      <w:tr>
        <w:trPr>
          <w:trHeight w:val="1675" w:hRule="exact"/>
        </w:trPr>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before="155"/>
              <w:ind w:left="2" w:right="0"/>
              <w:jc w:val="left"/>
              <w:rPr>
                <w:rFonts w:ascii="宋体" w:hAnsi="宋体" w:cs="宋体" w:eastAsia="宋体" w:hint="default"/>
                <w:sz w:val="18"/>
                <w:szCs w:val="18"/>
              </w:rPr>
            </w:pPr>
            <w:r>
              <w:rPr>
                <w:rFonts w:ascii="宋体" w:hAnsi="宋体" w:cs="宋体" w:eastAsia="宋体" w:hint="default"/>
                <w:sz w:val="18"/>
                <w:szCs w:val="18"/>
              </w:rPr>
              <w:t>四大产品</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 w:right="65"/>
              <w:jc w:val="left"/>
              <w:rPr>
                <w:rFonts w:ascii="宋体" w:hAnsi="宋体" w:cs="宋体" w:eastAsia="宋体" w:hint="default"/>
                <w:sz w:val="18"/>
                <w:szCs w:val="18"/>
              </w:rPr>
            </w:pPr>
            <w:r>
              <w:rPr>
                <w:rFonts w:ascii="宋体" w:hAnsi="宋体" w:cs="宋体" w:eastAsia="宋体" w:hint="default"/>
                <w:sz w:val="18"/>
                <w:szCs w:val="18"/>
              </w:rPr>
              <w:t>网络空间安 全产品</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2" w:right="41"/>
              <w:jc w:val="both"/>
              <w:rPr>
                <w:rFonts w:ascii="宋体" w:hAnsi="宋体" w:cs="宋体" w:eastAsia="宋体" w:hint="default"/>
                <w:sz w:val="18"/>
                <w:szCs w:val="18"/>
              </w:rPr>
            </w:pPr>
            <w:r>
              <w:rPr>
                <w:rFonts w:ascii="宋体" w:hAnsi="宋体" w:cs="宋体" w:eastAsia="宋体" w:hint="default"/>
                <w:sz w:val="18"/>
                <w:szCs w:val="18"/>
              </w:rPr>
              <w:t>采用大搜索、网络安全检测、网络安全 防护等技术，实现对行业信息的监测和 风险预警</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9"/>
              <w:ind w:left="2" w:right="116"/>
              <w:jc w:val="both"/>
              <w:rPr>
                <w:rFonts w:ascii="宋体" w:hAnsi="宋体" w:cs="宋体" w:eastAsia="宋体" w:hint="default"/>
                <w:sz w:val="18"/>
                <w:szCs w:val="18"/>
              </w:rPr>
            </w:pPr>
            <w:r>
              <w:rPr>
                <w:rFonts w:ascii="宋体" w:hAnsi="宋体" w:cs="宋体" w:eastAsia="宋体" w:hint="default"/>
                <w:sz w:val="18"/>
                <w:szCs w:val="18"/>
              </w:rPr>
              <w:t>包含：舆情传播态势分析系统、网 络餐饮服务监管系统、网络交易商 品质量监测分析系统、商标品牌网 络维权系统、金融风险防控预警平 台、企业信息风险管控平台等</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 w:right="65"/>
              <w:jc w:val="left"/>
              <w:rPr>
                <w:rFonts w:ascii="宋体" w:hAnsi="宋体" w:cs="宋体" w:eastAsia="宋体" w:hint="default"/>
                <w:sz w:val="18"/>
                <w:szCs w:val="18"/>
              </w:rPr>
            </w:pPr>
            <w:r>
              <w:rPr>
                <w:rFonts w:ascii="宋体" w:hAnsi="宋体" w:cs="宋体" w:eastAsia="宋体" w:hint="default"/>
                <w:sz w:val="18"/>
                <w:szCs w:val="18"/>
              </w:rPr>
              <w:t>公安、网信、工商、税 务、海关、质监、金融、 证监、旅游等行政执法部 门、社会管理和服务部门</w:t>
            </w:r>
          </w:p>
        </w:tc>
      </w:tr>
      <w:tr>
        <w:trPr>
          <w:trHeight w:val="1364" w:hRule="exact"/>
        </w:trPr>
        <w:tc>
          <w:tcPr>
            <w:tcW w:w="851" w:type="dxa"/>
            <w:tcBorders>
              <w:top w:val="nil" w:sz="6" w:space="0" w:color="auto"/>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 w:right="65"/>
              <w:jc w:val="left"/>
              <w:rPr>
                <w:rFonts w:ascii="宋体" w:hAnsi="宋体" w:cs="宋体" w:eastAsia="宋体" w:hint="default"/>
                <w:sz w:val="18"/>
                <w:szCs w:val="18"/>
              </w:rPr>
            </w:pPr>
            <w:r>
              <w:rPr>
                <w:rFonts w:ascii="宋体" w:hAnsi="宋体" w:cs="宋体" w:eastAsia="宋体" w:hint="default"/>
                <w:sz w:val="18"/>
                <w:szCs w:val="18"/>
              </w:rPr>
              <w:t>专项执法装 备</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 w:right="41"/>
              <w:jc w:val="left"/>
              <w:rPr>
                <w:rFonts w:ascii="宋体" w:hAnsi="宋体" w:cs="宋体" w:eastAsia="宋体" w:hint="default"/>
                <w:sz w:val="18"/>
                <w:szCs w:val="18"/>
              </w:rPr>
            </w:pPr>
            <w:r>
              <w:rPr>
                <w:rFonts w:ascii="宋体" w:hAnsi="宋体" w:cs="宋体" w:eastAsia="宋体" w:hint="default"/>
                <w:sz w:val="18"/>
                <w:szCs w:val="18"/>
              </w:rPr>
              <w:t>集数据采集，人脸识别，图像比对，智 能转码等多项技术为一体的装备化产品</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9"/>
              <w:ind w:left="2" w:right="116"/>
              <w:jc w:val="both"/>
              <w:rPr>
                <w:rFonts w:ascii="宋体" w:hAnsi="宋体" w:cs="宋体" w:eastAsia="宋体" w:hint="default"/>
                <w:sz w:val="18"/>
                <w:szCs w:val="18"/>
              </w:rPr>
            </w:pPr>
            <w:r>
              <w:rPr>
                <w:rFonts w:ascii="宋体" w:hAnsi="宋体" w:cs="宋体" w:eastAsia="宋体" w:hint="default"/>
                <w:sz w:val="18"/>
                <w:szCs w:val="18"/>
              </w:rPr>
              <w:t>包含：视频获取装备、无人机防控 设备与预警指挥系统、特种车辆、 巡逻机器人、出入境自助办证一体 机、驾驶证自助办证一体机等</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 w:right="65"/>
              <w:jc w:val="both"/>
              <w:rPr>
                <w:rFonts w:ascii="宋体" w:hAnsi="宋体" w:cs="宋体" w:eastAsia="宋体" w:hint="default"/>
                <w:sz w:val="18"/>
                <w:szCs w:val="18"/>
              </w:rPr>
            </w:pPr>
            <w:r>
              <w:rPr>
                <w:rFonts w:ascii="宋体" w:hAnsi="宋体" w:cs="宋体" w:eastAsia="宋体" w:hint="default"/>
                <w:sz w:val="18"/>
                <w:szCs w:val="18"/>
              </w:rPr>
              <w:t>公安、税务、工商、交管 以及各公共场所安保部门 等</w:t>
            </w:r>
          </w:p>
        </w:tc>
      </w:tr>
    </w:tbl>
    <w:p>
      <w:pPr>
        <w:spacing w:after="0" w:line="316" w:lineRule="auto"/>
        <w:jc w:val="both"/>
        <w:rPr>
          <w:rFonts w:ascii="宋体" w:hAnsi="宋体" w:cs="宋体" w:eastAsia="宋体" w:hint="default"/>
          <w:sz w:val="18"/>
          <w:szCs w:val="18"/>
        </w:rPr>
        <w:sectPr>
          <w:pgSz w:w="11910" w:h="16840"/>
          <w:pgMar w:header="747" w:footer="982" w:top="1060" w:bottom="1180" w:left="920" w:right="90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851"/>
        <w:gridCol w:w="984"/>
        <w:gridCol w:w="3119"/>
        <w:gridCol w:w="2836"/>
        <w:gridCol w:w="2064"/>
      </w:tblGrid>
      <w:tr>
        <w:trPr>
          <w:trHeight w:val="370" w:hRule="exact"/>
        </w:trPr>
        <w:tc>
          <w:tcPr>
            <w:tcW w:w="851" w:type="dxa"/>
            <w:tcBorders>
              <w:top w:val="single" w:sz="6" w:space="0" w:color="000000"/>
              <w:left w:val="single" w:sz="6" w:space="0" w:color="000000"/>
              <w:bottom w:val="nil" w:sz="6" w:space="0" w:color="auto"/>
              <w:right w:val="single" w:sz="6" w:space="0" w:color="000000"/>
            </w:tcBorders>
          </w:tcPr>
          <w:p>
            <w:pPr/>
          </w:p>
        </w:tc>
        <w:tc>
          <w:tcPr>
            <w:tcW w:w="984" w:type="dxa"/>
            <w:tcBorders>
              <w:top w:val="single" w:sz="6" w:space="0" w:color="000000"/>
              <w:left w:val="single" w:sz="6" w:space="0" w:color="000000"/>
              <w:bottom w:val="nil" w:sz="6" w:space="0" w:color="auto"/>
              <w:right w:val="single" w:sz="6" w:space="0" w:color="000000"/>
            </w:tcBorders>
          </w:tcPr>
          <w:p>
            <w:pPr/>
          </w:p>
        </w:tc>
        <w:tc>
          <w:tcPr>
            <w:tcW w:w="311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通过云平台为客户提供电子合同在线签</w:t>
            </w:r>
          </w:p>
        </w:tc>
        <w:tc>
          <w:tcPr>
            <w:tcW w:w="28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包括：存证云服务系列，如电子合</w:t>
            </w:r>
          </w:p>
        </w:tc>
        <w:tc>
          <w:tcPr>
            <w:tcW w:w="2064" w:type="dxa"/>
            <w:tcBorders>
              <w:top w:val="single" w:sz="6" w:space="0" w:color="000000"/>
              <w:left w:val="single" w:sz="6" w:space="0" w:color="000000"/>
              <w:bottom w:val="nil" w:sz="6" w:space="0" w:color="auto"/>
              <w:right w:val="single" w:sz="6" w:space="0" w:color="000000"/>
            </w:tcBorders>
          </w:tcPr>
          <w:p>
            <w:pPr/>
          </w:p>
        </w:tc>
      </w:tr>
      <w:tr>
        <w:trPr>
          <w:trHeight w:val="311" w:hRule="exact"/>
        </w:trPr>
        <w:tc>
          <w:tcPr>
            <w:tcW w:w="851"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约、业务数据、网页、拍照、录音录像</w:t>
            </w:r>
          </w:p>
        </w:tc>
        <w:tc>
          <w:tcPr>
            <w:tcW w:w="28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同在线签约存证、电子数据存证、</w:t>
            </w:r>
          </w:p>
        </w:tc>
        <w:tc>
          <w:tcPr>
            <w:tcW w:w="2064"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851"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存证云</w:t>
            </w:r>
            <w:r>
              <w:rPr>
                <w:rFonts w:ascii="Times New Roman" w:hAnsi="Times New Roman" w:cs="Times New Roman" w:eastAsia="Times New Roman" w:hint="default"/>
                <w:sz w:val="18"/>
                <w:szCs w:val="18"/>
              </w:rPr>
              <w:t>+</w:t>
            </w: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等的实时证据保全及在线司法鉴定服</w:t>
            </w:r>
          </w:p>
        </w:tc>
        <w:tc>
          <w:tcPr>
            <w:tcW w:w="28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网络远程取证与固定、执法存证装</w:t>
            </w:r>
          </w:p>
        </w:tc>
        <w:tc>
          <w:tcPr>
            <w:tcW w:w="2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企业、政府及个人用户</w:t>
            </w:r>
          </w:p>
        </w:tc>
      </w:tr>
      <w:tr>
        <w:trPr>
          <w:trHeight w:val="306" w:hRule="exact"/>
        </w:trPr>
        <w:tc>
          <w:tcPr>
            <w:tcW w:w="851"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nil" w:sz="6" w:space="0" w:color="auto"/>
              <w:right w:val="single" w:sz="6" w:space="0" w:color="000000"/>
            </w:tcBorders>
          </w:tcPr>
          <w:p>
            <w:pPr/>
          </w:p>
        </w:tc>
        <w:tc>
          <w:tcPr>
            <w:tcW w:w="3119"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务，旨在预防和解决电子数据取证难及</w:t>
            </w:r>
          </w:p>
        </w:tc>
        <w:tc>
          <w:tcPr>
            <w:tcW w:w="283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备等；知识产权保护系列；司法鉴</w:t>
            </w:r>
          </w:p>
        </w:tc>
        <w:tc>
          <w:tcPr>
            <w:tcW w:w="2064" w:type="dxa"/>
            <w:tcBorders>
              <w:top w:val="nil" w:sz="6" w:space="0" w:color="auto"/>
              <w:left w:val="single" w:sz="6" w:space="0" w:color="000000"/>
              <w:bottom w:val="nil" w:sz="6" w:space="0" w:color="auto"/>
              <w:right w:val="single" w:sz="6" w:space="0" w:color="000000"/>
            </w:tcBorders>
          </w:tcPr>
          <w:p>
            <w:pPr/>
          </w:p>
        </w:tc>
      </w:tr>
      <w:tr>
        <w:trPr>
          <w:trHeight w:val="370" w:hRule="exact"/>
        </w:trPr>
        <w:tc>
          <w:tcPr>
            <w:tcW w:w="851" w:type="dxa"/>
            <w:tcBorders>
              <w:top w:val="nil" w:sz="6" w:space="0" w:color="auto"/>
              <w:left w:val="single" w:sz="6" w:space="0" w:color="000000"/>
              <w:bottom w:val="nil" w:sz="6" w:space="0" w:color="auto"/>
              <w:right w:val="single" w:sz="6" w:space="0" w:color="000000"/>
            </w:tcBorders>
          </w:tcPr>
          <w:p>
            <w:pPr/>
          </w:p>
        </w:tc>
        <w:tc>
          <w:tcPr>
            <w:tcW w:w="984" w:type="dxa"/>
            <w:tcBorders>
              <w:top w:val="nil" w:sz="6" w:space="0" w:color="auto"/>
              <w:left w:val="single" w:sz="6" w:space="0" w:color="000000"/>
              <w:bottom w:val="single" w:sz="6" w:space="0" w:color="000000"/>
              <w:right w:val="single" w:sz="6" w:space="0" w:color="000000"/>
            </w:tcBorders>
          </w:tcPr>
          <w:p>
            <w:pPr/>
          </w:p>
        </w:tc>
        <w:tc>
          <w:tcPr>
            <w:tcW w:w="311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自证效力低的问题</w:t>
            </w:r>
          </w:p>
        </w:tc>
        <w:tc>
          <w:tcPr>
            <w:tcW w:w="283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定服务等</w:t>
            </w:r>
          </w:p>
        </w:tc>
        <w:tc>
          <w:tcPr>
            <w:tcW w:w="2064" w:type="dxa"/>
            <w:tcBorders>
              <w:top w:val="nil" w:sz="6" w:space="0" w:color="auto"/>
              <w:left w:val="single" w:sz="6" w:space="0" w:color="000000"/>
              <w:bottom w:val="single" w:sz="6" w:space="0" w:color="000000"/>
              <w:right w:val="single" w:sz="6" w:space="0" w:color="000000"/>
            </w:tcBorders>
          </w:tcPr>
          <w:p>
            <w:pPr/>
          </w:p>
        </w:tc>
      </w:tr>
      <w:tr>
        <w:trPr>
          <w:trHeight w:val="1051" w:hRule="exact"/>
        </w:trPr>
        <w:tc>
          <w:tcPr>
            <w:tcW w:w="85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 w:right="0"/>
              <w:jc w:val="left"/>
              <w:rPr>
                <w:rFonts w:ascii="宋体" w:hAnsi="宋体" w:cs="宋体" w:eastAsia="宋体" w:hint="default"/>
                <w:sz w:val="18"/>
                <w:szCs w:val="18"/>
              </w:rPr>
            </w:pPr>
            <w:r>
              <w:rPr>
                <w:rFonts w:ascii="宋体" w:hAnsi="宋体" w:cs="宋体" w:eastAsia="宋体" w:hint="default"/>
                <w:sz w:val="18"/>
                <w:szCs w:val="18"/>
              </w:rPr>
              <w:t>四大服务</w:t>
            </w: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 w:right="65"/>
              <w:jc w:val="left"/>
              <w:rPr>
                <w:rFonts w:ascii="宋体" w:hAnsi="宋体" w:cs="宋体" w:eastAsia="宋体" w:hint="default"/>
                <w:sz w:val="18"/>
                <w:szCs w:val="18"/>
              </w:rPr>
            </w:pPr>
            <w:r>
              <w:rPr>
                <w:rFonts w:ascii="宋体" w:hAnsi="宋体" w:cs="宋体" w:eastAsia="宋体" w:hint="default"/>
                <w:sz w:val="18"/>
                <w:szCs w:val="18"/>
              </w:rPr>
              <w:t>网络空间安 全服务</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41"/>
              <w:jc w:val="both"/>
              <w:rPr>
                <w:rFonts w:ascii="宋体" w:hAnsi="宋体" w:cs="宋体" w:eastAsia="宋体" w:hint="default"/>
                <w:sz w:val="18"/>
                <w:szCs w:val="18"/>
              </w:rPr>
            </w:pPr>
            <w:r>
              <w:rPr>
                <w:rFonts w:ascii="宋体" w:hAnsi="宋体" w:cs="宋体" w:eastAsia="宋体" w:hint="default"/>
                <w:sz w:val="18"/>
                <w:szCs w:val="18"/>
              </w:rPr>
              <w:t>基于公司云端搜索资源和服务器安全产 品及网络安全大数据技术，提供可实现 的网络安全事件和风险态势感知</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16"/>
              <w:jc w:val="left"/>
              <w:rPr>
                <w:rFonts w:ascii="宋体" w:hAnsi="宋体" w:cs="宋体" w:eastAsia="宋体" w:hint="default"/>
                <w:sz w:val="18"/>
                <w:szCs w:val="18"/>
              </w:rPr>
            </w:pPr>
            <w:r>
              <w:rPr>
                <w:rFonts w:ascii="宋体" w:hAnsi="宋体" w:cs="宋体" w:eastAsia="宋体" w:hint="default"/>
                <w:sz w:val="18"/>
                <w:szCs w:val="18"/>
              </w:rPr>
              <w:t>包含：搜索云服务、互联网线索服 务；舆情报告服务；等级保护服 务；攻防演练培训等</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 w:right="65"/>
              <w:jc w:val="left"/>
              <w:rPr>
                <w:rFonts w:ascii="宋体" w:hAnsi="宋体" w:cs="宋体" w:eastAsia="宋体" w:hint="default"/>
                <w:sz w:val="18"/>
                <w:szCs w:val="18"/>
              </w:rPr>
            </w:pPr>
            <w:r>
              <w:rPr>
                <w:rFonts w:ascii="宋体" w:hAnsi="宋体" w:cs="宋体" w:eastAsia="宋体" w:hint="default"/>
                <w:sz w:val="18"/>
                <w:szCs w:val="18"/>
              </w:rPr>
              <w:t>公安、网信、工商、食药 监、企事业单位</w:t>
            </w:r>
          </w:p>
        </w:tc>
      </w:tr>
      <w:tr>
        <w:trPr>
          <w:trHeight w:val="1050" w:hRule="exact"/>
        </w:trPr>
        <w:tc>
          <w:tcPr>
            <w:tcW w:w="851" w:type="dxa"/>
            <w:tcBorders>
              <w:top w:val="nil" w:sz="6" w:space="0" w:color="auto"/>
              <w:left w:val="single" w:sz="6" w:space="0" w:color="000000"/>
              <w:bottom w:val="nil" w:sz="6" w:space="0" w:color="auto"/>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数据服务</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2" w:right="41"/>
              <w:jc w:val="left"/>
              <w:rPr>
                <w:rFonts w:ascii="宋体" w:hAnsi="宋体" w:cs="宋体" w:eastAsia="宋体" w:hint="default"/>
                <w:sz w:val="18"/>
                <w:szCs w:val="18"/>
              </w:rPr>
            </w:pPr>
            <w:r>
              <w:rPr>
                <w:rFonts w:ascii="宋体" w:hAnsi="宋体" w:cs="宋体" w:eastAsia="宋体" w:hint="default"/>
                <w:sz w:val="18"/>
                <w:szCs w:val="18"/>
              </w:rPr>
              <w:t>基于数据资源，提供数据清洗，数据分 析及数据应用等服务</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16"/>
              <w:jc w:val="both"/>
              <w:rPr>
                <w:rFonts w:ascii="宋体" w:hAnsi="宋体" w:cs="宋体" w:eastAsia="宋体" w:hint="default"/>
                <w:sz w:val="18"/>
                <w:szCs w:val="18"/>
              </w:rPr>
            </w:pPr>
            <w:r>
              <w:rPr>
                <w:rFonts w:ascii="宋体" w:hAnsi="宋体" w:cs="宋体" w:eastAsia="宋体" w:hint="default"/>
                <w:sz w:val="18"/>
                <w:szCs w:val="18"/>
              </w:rPr>
              <w:t>包含：搜索云数据服务、基础数据 服务、数据清洗服务、经济与政治 态势感知服务等</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left"/>
              <w:rPr>
                <w:rFonts w:ascii="宋体" w:hAnsi="宋体" w:cs="宋体" w:eastAsia="宋体" w:hint="default"/>
                <w:sz w:val="18"/>
                <w:szCs w:val="18"/>
              </w:rPr>
            </w:pPr>
            <w:r>
              <w:rPr>
                <w:rFonts w:ascii="宋体" w:hAnsi="宋体" w:cs="宋体" w:eastAsia="宋体" w:hint="default"/>
                <w:sz w:val="18"/>
                <w:szCs w:val="18"/>
              </w:rPr>
              <w:t>公安、网信、企事业单位</w:t>
            </w:r>
          </w:p>
        </w:tc>
      </w:tr>
      <w:tr>
        <w:trPr>
          <w:trHeight w:val="1052" w:hRule="exact"/>
        </w:trPr>
        <w:tc>
          <w:tcPr>
            <w:tcW w:w="851" w:type="dxa"/>
            <w:tcBorders>
              <w:top w:val="nil" w:sz="6" w:space="0" w:color="auto"/>
              <w:left w:val="single" w:sz="6" w:space="0" w:color="000000"/>
              <w:bottom w:val="single" w:sz="6" w:space="0" w:color="000000"/>
              <w:right w:val="single" w:sz="6" w:space="0" w:color="000000"/>
            </w:tcBorders>
          </w:tcPr>
          <w:p>
            <w:pPr/>
          </w:p>
        </w:tc>
        <w:tc>
          <w:tcPr>
            <w:tcW w:w="9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65"/>
              <w:jc w:val="both"/>
              <w:rPr>
                <w:rFonts w:ascii="宋体" w:hAnsi="宋体" w:cs="宋体" w:eastAsia="宋体" w:hint="default"/>
                <w:sz w:val="18"/>
                <w:szCs w:val="18"/>
              </w:rPr>
            </w:pPr>
            <w:r>
              <w:rPr>
                <w:rFonts w:ascii="宋体" w:hAnsi="宋体" w:cs="宋体" w:eastAsia="宋体" w:hint="default"/>
                <w:sz w:val="18"/>
                <w:szCs w:val="18"/>
              </w:rPr>
              <w:t>培训及技术 支持增值服 务</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2" w:right="41"/>
              <w:jc w:val="left"/>
              <w:rPr>
                <w:rFonts w:ascii="宋体" w:hAnsi="宋体" w:cs="宋体" w:eastAsia="宋体" w:hint="default"/>
                <w:sz w:val="18"/>
                <w:szCs w:val="18"/>
              </w:rPr>
            </w:pPr>
            <w:r>
              <w:rPr>
                <w:rFonts w:ascii="宋体" w:hAnsi="宋体" w:cs="宋体" w:eastAsia="宋体" w:hint="default"/>
                <w:sz w:val="18"/>
                <w:szCs w:val="18"/>
              </w:rPr>
              <w:t>线上线下行业技术培训和行业认证、实 验室认证、技术支持等增值服务</w:t>
            </w:r>
          </w:p>
        </w:tc>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16"/>
              <w:jc w:val="both"/>
              <w:rPr>
                <w:rFonts w:ascii="宋体" w:hAnsi="宋体" w:cs="宋体" w:eastAsia="宋体" w:hint="default"/>
                <w:sz w:val="18"/>
                <w:szCs w:val="18"/>
              </w:rPr>
            </w:pPr>
            <w:r>
              <w:rPr>
                <w:rFonts w:ascii="宋体" w:hAnsi="宋体" w:cs="宋体" w:eastAsia="宋体" w:hint="default"/>
                <w:sz w:val="18"/>
                <w:szCs w:val="18"/>
              </w:rPr>
              <w:t>包含：企业调查服务、产品培训、 技术支持增值服务、实验室认证咨 询服务等</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2" w:right="245"/>
              <w:jc w:val="left"/>
              <w:rPr>
                <w:rFonts w:ascii="宋体" w:hAnsi="宋体" w:cs="宋体" w:eastAsia="宋体" w:hint="default"/>
                <w:sz w:val="18"/>
                <w:szCs w:val="18"/>
              </w:rPr>
            </w:pPr>
            <w:r>
              <w:rPr>
                <w:rFonts w:ascii="宋体" w:hAnsi="宋体" w:cs="宋体" w:eastAsia="宋体" w:hint="default"/>
                <w:sz w:val="18"/>
                <w:szCs w:val="18"/>
              </w:rPr>
              <w:t>司法机关及行政执法部 门、企事业单位</w:t>
            </w:r>
          </w:p>
        </w:tc>
      </w:tr>
    </w:tbl>
    <w:p>
      <w:pPr>
        <w:spacing w:line="240" w:lineRule="auto" w:before="3"/>
        <w:rPr>
          <w:rFonts w:ascii="宋体" w:hAnsi="宋体" w:cs="宋体" w:eastAsia="宋体" w:hint="default"/>
          <w:sz w:val="5"/>
          <w:szCs w:val="5"/>
        </w:rPr>
      </w:pPr>
    </w:p>
    <w:p>
      <w:pPr>
        <w:pStyle w:val="BodyText"/>
        <w:spacing w:line="408" w:lineRule="auto" w:before="35"/>
        <w:ind w:left="213" w:right="228" w:firstLine="422"/>
        <w:jc w:val="both"/>
      </w:pPr>
      <w:r>
        <w:rPr>
          <w:spacing w:val="-1"/>
        </w:rPr>
        <w:t>公司在加大研发投入促进内生增长的同时，也积极利用上市公司的融资平台围绕产业做外延式投资与</w:t>
      </w:r>
      <w:r>
        <w:rPr/>
        <w:t> </w:t>
      </w:r>
      <w:r>
        <w:rPr>
          <w:spacing w:val="-4"/>
        </w:rPr>
        <w:t>并购。报告期内，公司加强与子公司在研发技术和市场渠道等资源的整合，促进了1+1&gt;2整合效益的实现，</w:t>
      </w:r>
      <w:r>
        <w:rPr>
          <w:spacing w:val="-81"/>
        </w:rPr>
        <w:t> </w:t>
      </w:r>
      <w:r>
        <w:rPr>
          <w:spacing w:val="-81"/>
        </w:rPr>
      </w:r>
      <w:r>
        <w:rPr>
          <w:spacing w:val="-1"/>
        </w:rPr>
        <w:t>增强了公司的综合竞争力。公司业务范围延伸至涉税分析、便民惠民、企业调查、企业云端第三方电子合</w:t>
      </w:r>
      <w:r>
        <w:rPr>
          <w:spacing w:val="-82"/>
        </w:rPr>
        <w:t> </w:t>
      </w:r>
      <w:r>
        <w:rPr>
          <w:spacing w:val="-82"/>
        </w:rPr>
      </w:r>
      <w:r>
        <w:rPr>
          <w:spacing w:val="-5"/>
        </w:rPr>
        <w:t>同云平台和存证等业务。公司产品销售市场也由公安、检察院等司法机关逐步拓展至监察委、工商、质检、</w:t>
      </w:r>
      <w:r>
        <w:rPr>
          <w:spacing w:val="-102"/>
        </w:rPr>
        <w:t> </w:t>
      </w:r>
      <w:r>
        <w:rPr>
          <w:spacing w:val="-102"/>
        </w:rPr>
      </w:r>
      <w:r>
        <w:rPr/>
        <w:t>食药监、税务、海关、新闻、证监、检验检疫、旅游、企业等多个行业。</w:t>
      </w:r>
    </w:p>
    <w:p>
      <w:pPr>
        <w:spacing w:line="386" w:lineRule="auto" w:before="84"/>
        <w:ind w:left="636" w:right="228"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、公司经营模式</w:t>
      </w:r>
      <w:r>
        <w:rPr>
          <w:rFonts w:ascii="宋体" w:hAnsi="宋体" w:cs="宋体" w:eastAsia="宋体" w:hint="default"/>
          <w:b/>
          <w:bCs/>
          <w:spacing w:val="1"/>
          <w:w w:val="99"/>
          <w:sz w:val="21"/>
          <w:szCs w:val="21"/>
        </w:rPr>
        <w:t> </w:t>
      </w:r>
      <w:r>
        <w:rPr>
          <w:rFonts w:ascii="宋体" w:hAnsi="宋体" w:cs="宋体" w:eastAsia="宋体" w:hint="default"/>
          <w:b/>
          <w:bCs/>
          <w:spacing w:val="-1"/>
          <w:sz w:val="21"/>
          <w:szCs w:val="21"/>
        </w:rPr>
        <w:t>市场销售：</w:t>
      </w:r>
      <w:r>
        <w:rPr>
          <w:rFonts w:ascii="宋体" w:hAnsi="宋体" w:cs="宋体" w:eastAsia="宋体" w:hint="default"/>
          <w:spacing w:val="-1"/>
          <w:sz w:val="21"/>
          <w:szCs w:val="21"/>
        </w:rPr>
        <w:t>培训带动销售是美亚柏科自成立以来一直沿用的特色销售和服务模式，以培训得市场，促</w:t>
      </w:r>
    </w:p>
    <w:p>
      <w:pPr>
        <w:pStyle w:val="BodyText"/>
        <w:spacing w:line="408" w:lineRule="auto" w:before="65"/>
        <w:ind w:left="213" w:right="231"/>
        <w:jc w:val="both"/>
      </w:pPr>
      <w:r>
        <w:rPr>
          <w:spacing w:val="-1"/>
        </w:rPr>
        <w:t>服务，获需求。目前这种商业模式已逐渐推广到子公司及国际市场。为加强集团营销管理，公司设立了营</w:t>
      </w:r>
      <w:r>
        <w:rPr>
          <w:spacing w:val="-82"/>
        </w:rPr>
        <w:t> </w:t>
      </w:r>
      <w:r>
        <w:rPr>
          <w:spacing w:val="-82"/>
        </w:rPr>
      </w:r>
      <w:r>
        <w:rPr>
          <w:spacing w:val="-1"/>
        </w:rPr>
        <w:t>销管理委员会，用于加大集团间销售的交流，明确销售行业划分，建立纠纷解决机制，优化直销和代理销</w:t>
      </w:r>
      <w:r>
        <w:rPr>
          <w:spacing w:val="-82"/>
        </w:rPr>
        <w:t> </w:t>
      </w:r>
      <w:r>
        <w:rPr>
          <w:spacing w:val="-82"/>
        </w:rPr>
      </w:r>
      <w:r>
        <w:rPr/>
        <w:t>售的管理，并将市场活动、品牌管理均拓展到集团视野。</w:t>
      </w:r>
    </w:p>
    <w:p>
      <w:pPr>
        <w:pStyle w:val="BodyText"/>
        <w:spacing w:line="408" w:lineRule="auto" w:before="46"/>
        <w:ind w:left="213" w:right="230" w:firstLine="422"/>
        <w:jc w:val="both"/>
      </w:pPr>
      <w:r>
        <w:rPr>
          <w:rFonts w:ascii="宋体" w:hAnsi="宋体" w:cs="宋体" w:eastAsia="宋体" w:hint="default"/>
          <w:b/>
          <w:bCs/>
          <w:spacing w:val="-1"/>
        </w:rPr>
        <w:t>产品研发：</w:t>
      </w:r>
      <w:r>
        <w:rPr>
          <w:spacing w:val="-1"/>
        </w:rPr>
        <w:t>在产品研发方面，公司设有研究院，负责电子数据取证、大数据信息化、网络空间安全和</w:t>
      </w:r>
      <w:r>
        <w:rPr/>
        <w:t> </w:t>
      </w:r>
      <w:r>
        <w:rPr>
          <w:spacing w:val="-1"/>
        </w:rPr>
        <w:t>专项设备的相关产品和技术的研发与管理。为促进各产品技术和模块的复用及资源共享，公司设立了技术</w:t>
      </w:r>
      <w:r>
        <w:rPr>
          <w:spacing w:val="-81"/>
        </w:rPr>
        <w:t> </w:t>
      </w:r>
      <w:r>
        <w:rPr>
          <w:spacing w:val="-81"/>
        </w:rPr>
      </w:r>
      <w:r>
        <w:rPr>
          <w:spacing w:val="-1"/>
        </w:rPr>
        <w:t>管理委员会、营销管理委员会、行业管理委员会、业务支撑委员会和运营管理委员会。各委员会及团队成</w:t>
      </w:r>
      <w:r>
        <w:rPr>
          <w:spacing w:val="-82"/>
        </w:rPr>
        <w:t> </w:t>
      </w:r>
      <w:r>
        <w:rPr>
          <w:spacing w:val="-82"/>
        </w:rPr>
      </w:r>
      <w:r>
        <w:rPr>
          <w:spacing w:val="-1"/>
        </w:rPr>
        <w:t>员为母子公司核心业务带头人，相关人员定期组织主题研讨会，促进了知识、经验和研发资源的共享，提</w:t>
      </w:r>
      <w:r>
        <w:rPr>
          <w:spacing w:val="-82"/>
        </w:rPr>
        <w:t> </w:t>
      </w:r>
      <w:r>
        <w:rPr>
          <w:spacing w:val="-82"/>
        </w:rPr>
      </w:r>
      <w:r>
        <w:rPr/>
        <w:t>升了新技术的引用速度和产品研发核心竞争力。</w:t>
      </w:r>
    </w:p>
    <w:p>
      <w:pPr>
        <w:pStyle w:val="BodyText"/>
        <w:spacing w:line="386" w:lineRule="auto" w:before="46"/>
        <w:ind w:left="213" w:right="230" w:firstLine="422"/>
        <w:jc w:val="both"/>
      </w:pPr>
      <w:r>
        <w:rPr>
          <w:rFonts w:ascii="宋体" w:hAnsi="宋体" w:cs="宋体" w:eastAsia="宋体" w:hint="default"/>
          <w:b/>
          <w:bCs/>
          <w:spacing w:val="-3"/>
        </w:rPr>
        <w:t>技术服务：</w:t>
      </w:r>
      <w:r>
        <w:rPr>
          <w:spacing w:val="-3"/>
        </w:rPr>
        <w:t>“以客户为中心”是公司的服务理念。公司在全国建有</w:t>
      </w:r>
      <w:r>
        <w:rPr>
          <w:rFonts w:ascii="Times New Roman" w:hAnsi="Times New Roman" w:cs="Times New Roman" w:eastAsia="Times New Roman" w:hint="default"/>
          <w:spacing w:val="-3"/>
        </w:rPr>
        <w:t>24</w:t>
      </w:r>
      <w:r>
        <w:rPr>
          <w:spacing w:val="-3"/>
        </w:rPr>
        <w:t>个分支机构，成立了</w:t>
      </w:r>
      <w:r>
        <w:rPr>
          <w:rFonts w:ascii="Times New Roman" w:hAnsi="Times New Roman" w:cs="Times New Roman" w:eastAsia="Times New Roman" w:hint="default"/>
          <w:spacing w:val="-3"/>
        </w:rPr>
        <w:t>8</w:t>
      </w:r>
      <w:r>
        <w:rPr>
          <w:spacing w:val="-3"/>
        </w:rPr>
        <w:t>支专业化的</w:t>
      </w:r>
      <w:r>
        <w:rPr/>
        <w:t> </w:t>
      </w:r>
      <w:r>
        <w:rPr>
          <w:spacing w:val="-1"/>
        </w:rPr>
        <w:t>技术支持团队，充分利用</w:t>
      </w:r>
      <w:r>
        <w:rPr>
          <w:rFonts w:ascii="Times New Roman" w:hAnsi="Times New Roman" w:cs="Times New Roman" w:eastAsia="Times New Roman" w:hint="default"/>
          <w:spacing w:val="-1"/>
        </w:rPr>
        <w:t>400</w:t>
      </w:r>
      <w:r>
        <w:rPr>
          <w:spacing w:val="-1"/>
        </w:rPr>
        <w:t>电话</w:t>
      </w:r>
      <w:r>
        <w:rPr>
          <w:rFonts w:ascii="Times New Roman" w:hAnsi="Times New Roman" w:cs="Times New Roman" w:eastAsia="Times New Roman" w:hint="default"/>
          <w:spacing w:val="-1"/>
        </w:rPr>
        <w:t>/</w:t>
      </w:r>
      <w:r>
        <w:rPr>
          <w:spacing w:val="-1"/>
        </w:rPr>
        <w:t>论坛</w:t>
      </w:r>
      <w:r>
        <w:rPr>
          <w:rFonts w:ascii="Times New Roman" w:hAnsi="Times New Roman" w:cs="Times New Roman" w:eastAsia="Times New Roman" w:hint="default"/>
          <w:spacing w:val="-1"/>
        </w:rPr>
        <w:t>/</w:t>
      </w:r>
      <w:r>
        <w:rPr>
          <w:spacing w:val="-1"/>
        </w:rPr>
        <w:t>微信群和美亚通等移动互联网技术为全国客户提供</w:t>
      </w:r>
      <w:r>
        <w:rPr>
          <w:rFonts w:ascii="Times New Roman" w:hAnsi="Times New Roman" w:cs="Times New Roman" w:eastAsia="Times New Roman" w:hint="default"/>
          <w:spacing w:val="-1"/>
        </w:rPr>
        <w:t>7*24</w:t>
      </w:r>
      <w:r>
        <w:rPr>
          <w:spacing w:val="-1"/>
        </w:rPr>
        <w:t>小时的技术</w:t>
      </w:r>
      <w:r>
        <w:rPr>
          <w:spacing w:val="-94"/>
        </w:rPr>
        <w:t> </w:t>
      </w:r>
      <w:r>
        <w:rPr>
          <w:spacing w:val="-94"/>
        </w:rPr>
      </w:r>
      <w:r>
        <w:rPr>
          <w:spacing w:val="-1"/>
        </w:rPr>
        <w:t>支持服务。此外，公司拥有专业的信息安全培训学院，学院拥有专、兼职讲师</w:t>
      </w:r>
      <w:r>
        <w:rPr>
          <w:rFonts w:ascii="Times New Roman" w:hAnsi="Times New Roman" w:cs="Times New Roman" w:eastAsia="Times New Roman" w:hint="default"/>
          <w:spacing w:val="-1"/>
        </w:rPr>
        <w:t>60</w:t>
      </w:r>
      <w:r>
        <w:rPr>
          <w:spacing w:val="-1"/>
        </w:rPr>
        <w:t>余名，以“混合式人才培</w:t>
      </w:r>
      <w:r>
        <w:rPr>
          <w:spacing w:val="-84"/>
        </w:rPr>
        <w:t> </w:t>
      </w:r>
      <w:r>
        <w:rPr>
          <w:spacing w:val="-84"/>
        </w:rPr>
      </w:r>
      <w:r>
        <w:rPr>
          <w:spacing w:val="-1"/>
        </w:rPr>
        <w:t>养”为教学理念，不断完善多层次、多学科的课程体系，并先后与人力资源和社会保障部教育培训中心推</w:t>
      </w:r>
    </w:p>
    <w:p>
      <w:pPr>
        <w:spacing w:after="0" w:line="386" w:lineRule="auto"/>
        <w:jc w:val="both"/>
        <w:sectPr>
          <w:pgSz w:w="11910" w:h="16840"/>
          <w:pgMar w:header="747" w:footer="982" w:top="1060" w:bottom="1180" w:left="920" w:right="900"/>
        </w:sectPr>
      </w:pPr>
    </w:p>
    <w:p>
      <w:pPr>
        <w:spacing w:line="240" w:lineRule="auto" w:before="0"/>
        <w:rPr>
          <w:rFonts w:ascii="宋体" w:hAnsi="宋体" w:cs="宋体" w:eastAsia="宋体" w:hint="default"/>
          <w:sz w:val="20"/>
          <w:szCs w:val="20"/>
        </w:rPr>
      </w:pPr>
    </w:p>
    <w:p>
      <w:pPr>
        <w:pStyle w:val="BodyText"/>
        <w:spacing w:line="408" w:lineRule="auto" w:before="174"/>
        <w:ind w:left="0" w:right="208"/>
        <w:jc w:val="right"/>
      </w:pPr>
      <w:r>
        <w:rPr>
          <w:spacing w:val="-1"/>
        </w:rPr>
        <w:t>出“电子数据调查分析师”和“网络舆情分析师”两项岗位项目，该培训体系具有行业和人社部的双重权</w:t>
      </w:r>
      <w:r>
        <w:rPr>
          <w:spacing w:val="-95"/>
        </w:rPr>
        <w:t> </w:t>
      </w:r>
      <w:r>
        <w:rPr>
          <w:spacing w:val="-95"/>
        </w:rPr>
      </w:r>
      <w:r>
        <w:rPr>
          <w:spacing w:val="-5"/>
        </w:rPr>
        <w:t>威认证。培训学院为各类政法机关、高校、企业提供专业的电子数据取证及网络信息安全教学和技术服务。</w:t>
      </w:r>
      <w:r>
        <w:rPr/>
        <w:t> </w:t>
      </w:r>
      <w:r>
        <w:rPr>
          <w:rFonts w:ascii="宋体" w:hAnsi="宋体" w:cs="宋体" w:eastAsia="宋体" w:hint="default"/>
          <w:b/>
          <w:bCs/>
          <w:spacing w:val="-1"/>
        </w:rPr>
        <w:t>采购模式</w:t>
      </w:r>
      <w:r>
        <w:rPr>
          <w:spacing w:val="-1"/>
        </w:rPr>
        <w:t>：为优化集团物资采购流程，促进物资采购工作规范化，建立集团的价格监控体系，充分发</w:t>
      </w:r>
      <w:r>
        <w:rPr/>
        <w:t> </w:t>
      </w:r>
      <w:r>
        <w:rPr>
          <w:spacing w:val="-1"/>
        </w:rPr>
        <w:t>挥集中采购优势，降低采购成本，公司制定了《集团化采购管理制度》。针对采购人员培训，公司制定采</w:t>
      </w:r>
      <w:r>
        <w:rPr>
          <w:spacing w:val="-95"/>
        </w:rPr>
        <w:t> </w:t>
      </w:r>
      <w:r>
        <w:rPr>
          <w:spacing w:val="-95"/>
        </w:rPr>
      </w:r>
      <w:r>
        <w:rPr>
          <w:spacing w:val="-5"/>
        </w:rPr>
        <w:t>购人员轮换学习计划，组织参加供应商博览会，采购人员交流分享会等方式，提升集团采购人员工作规范。</w:t>
      </w:r>
    </w:p>
    <w:p>
      <w:pPr>
        <w:pStyle w:val="BodyText"/>
        <w:spacing w:line="408" w:lineRule="auto" w:before="46"/>
        <w:ind w:left="576" w:right="208" w:hanging="423"/>
        <w:jc w:val="left"/>
      </w:pPr>
      <w:r>
        <w:rPr/>
        <w:t>在信息化管理上，协助子公司引入公司各种信息化系统，实现供应商、物流商等采购资源的共享。 </w:t>
      </w:r>
      <w:r>
        <w:rPr>
          <w:rFonts w:ascii="宋体" w:hAnsi="宋体" w:cs="宋体" w:eastAsia="宋体" w:hint="default"/>
          <w:b/>
          <w:bCs/>
          <w:spacing w:val="-1"/>
        </w:rPr>
        <w:t>人力资源：</w:t>
      </w:r>
      <w:r>
        <w:rPr>
          <w:spacing w:val="-1"/>
        </w:rPr>
        <w:t>人才是公司的核心竞争力，公司坚持实施有利于公司可持续发展的人力资源政策。公司注</w:t>
      </w:r>
    </w:p>
    <w:p>
      <w:pPr>
        <w:pStyle w:val="BodyText"/>
        <w:spacing w:line="408" w:lineRule="auto" w:before="46"/>
        <w:ind w:left="153" w:right="210"/>
        <w:jc w:val="both"/>
      </w:pPr>
      <w:r>
        <w:rPr>
          <w:spacing w:val="-1"/>
        </w:rPr>
        <w:t>重人才的引进和培养，通过建设信息化招聘体系，积极与全国各重点高校进行校企合作，启动金种子培训</w:t>
      </w:r>
      <w:r>
        <w:rPr>
          <w:spacing w:val="-83"/>
        </w:rPr>
        <w:t> </w:t>
      </w:r>
      <w:r>
        <w:rPr>
          <w:spacing w:val="-83"/>
        </w:rPr>
      </w:r>
      <w:r>
        <w:rPr>
          <w:spacing w:val="-1"/>
        </w:rPr>
        <w:t>计划及翔鹰计划管理培训等，培养挖掘高潜力人才；建立《集团核心人才管理办法》，统一指导制定各分</w:t>
      </w:r>
      <w:r>
        <w:rPr>
          <w:spacing w:val="-83"/>
        </w:rPr>
        <w:t> </w:t>
      </w:r>
      <w:r>
        <w:rPr>
          <w:spacing w:val="-83"/>
        </w:rPr>
      </w:r>
      <w:r>
        <w:rPr>
          <w:spacing w:val="-1"/>
        </w:rPr>
        <w:t>子公司年度人力资源规划，建立人才标签项目，形成技能属性特征人才数据库；通过同行业薪酬调研，建</w:t>
      </w:r>
      <w:r>
        <w:rPr>
          <w:spacing w:val="-82"/>
        </w:rPr>
        <w:t> </w:t>
      </w:r>
      <w:r>
        <w:rPr>
          <w:spacing w:val="-82"/>
        </w:rPr>
      </w:r>
      <w:r>
        <w:rPr>
          <w:spacing w:val="-1"/>
        </w:rPr>
        <w:t>立有行业竞争力的薪酬体系；实施限制性股票激励计划，吸引和留住人才。同时借助政府出台的各种优惠</w:t>
      </w:r>
      <w:r>
        <w:rPr>
          <w:spacing w:val="-83"/>
        </w:rPr>
        <w:t> </w:t>
      </w:r>
      <w:r>
        <w:rPr>
          <w:spacing w:val="-83"/>
        </w:rPr>
      </w:r>
      <w:r>
        <w:rPr/>
        <w:t>政策，在个税返还，子女就学，人才住房等方面积极为骨干员工争取良好的生活工作环境。</w:t>
      </w:r>
    </w:p>
    <w:p>
      <w:pPr>
        <w:pStyle w:val="BodyText"/>
        <w:spacing w:line="408" w:lineRule="auto" w:before="46"/>
        <w:ind w:left="153" w:right="102" w:firstLine="422"/>
        <w:jc w:val="left"/>
      </w:pPr>
      <w:r>
        <w:rPr>
          <w:rFonts w:ascii="宋体" w:hAnsi="宋体" w:cs="宋体" w:eastAsia="宋体" w:hint="default"/>
          <w:b/>
          <w:bCs/>
        </w:rPr>
        <w:t>企业文化</w:t>
      </w:r>
      <w:r>
        <w:rPr/>
        <w:t>：“为客户创造价值、为社会承担责任、为员工提供平台、为股东创造利润”是公司的核心 价值观体系；“创新、高效执行力、重视细节”是公司的企业精神；“遵章、快乐、创新、开放、高效、</w:t>
      </w:r>
      <w:r>
        <w:rPr>
          <w:spacing w:val="-34"/>
        </w:rPr>
        <w:t> </w:t>
      </w:r>
      <w:r>
        <w:rPr>
          <w:spacing w:val="-34"/>
        </w:rPr>
      </w:r>
      <w:r>
        <w:rPr/>
        <w:t>专业”是公司的企业文化；“认真做好本职工作、严格遵守社会规则、充分兼顾他人利益、高度认同思想</w:t>
      </w:r>
      <w:r>
        <w:rPr/>
        <w:t> 理念与价值观念”是企业的行为准则；“正直、诚信”是企业的道德规范。</w:t>
      </w:r>
    </w:p>
    <w:p>
      <w:pPr>
        <w:spacing w:line="386" w:lineRule="auto" w:before="46"/>
        <w:ind w:left="574" w:right="584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、主要的业绩驱动因素</w:t>
      </w:r>
      <w:r>
        <w:rPr>
          <w:rFonts w:ascii="宋体" w:hAnsi="宋体" w:cs="宋体" w:eastAsia="宋体" w:hint="default"/>
          <w:b/>
          <w:bCs/>
          <w:w w:val="99"/>
          <w:sz w:val="21"/>
          <w:szCs w:val="21"/>
        </w:rPr>
        <w:t> </w:t>
      </w:r>
      <w:r>
        <w:rPr>
          <w:rFonts w:ascii="宋体" w:hAnsi="宋体" w:cs="宋体" w:eastAsia="宋体" w:hint="default"/>
          <w:sz w:val="21"/>
          <w:szCs w:val="21"/>
        </w:rPr>
        <w:t>报告期内，公司业绩主要驱动因素为：</w:t>
      </w:r>
    </w:p>
    <w:p>
      <w:pPr>
        <w:pStyle w:val="BodyText"/>
        <w:spacing w:line="408" w:lineRule="auto" w:before="65"/>
        <w:ind w:right="209" w:firstLine="420"/>
        <w:jc w:val="both"/>
      </w:pPr>
      <w:r>
        <w:rPr>
          <w:spacing w:val="-3"/>
        </w:rPr>
        <w:t>（1）“以客户需求为中心，以客户需求为导向”是公司一贯秉承的服务理念，通过不断研发创新，在</w:t>
      </w:r>
      <w:r>
        <w:rPr/>
        <w:t> </w:t>
      </w:r>
      <w:r>
        <w:rPr>
          <w:spacing w:val="-1"/>
        </w:rPr>
        <w:t>为客户创造价值的同时，也赢得了企业的发展机会。报告期内，公司发挥电子数据取证、互联网搜索、网</w:t>
      </w:r>
      <w:r>
        <w:rPr>
          <w:spacing w:val="-83"/>
        </w:rPr>
        <w:t> </w:t>
      </w:r>
      <w:r>
        <w:rPr>
          <w:spacing w:val="-83"/>
        </w:rPr>
      </w:r>
      <w:r>
        <w:rPr>
          <w:spacing w:val="-1"/>
        </w:rPr>
        <w:t>络空间安全等技术的研发优势，同时加大人工智能和大数据两大研发技术的投入，进一步提升了公司产品</w:t>
      </w:r>
      <w:r>
        <w:rPr>
          <w:spacing w:val="-81"/>
        </w:rPr>
        <w:t> </w:t>
      </w:r>
      <w:r>
        <w:rPr>
          <w:spacing w:val="-81"/>
        </w:rPr>
      </w:r>
      <w:r>
        <w:rPr>
          <w:spacing w:val="-1"/>
        </w:rPr>
        <w:t>竞争优势。公司的电子数据取证产品由早期的计算机取证发展到现在的移动设备取证、网络取证、云取证</w:t>
      </w:r>
      <w:r>
        <w:rPr>
          <w:spacing w:val="-83"/>
        </w:rPr>
        <w:t> </w:t>
      </w:r>
      <w:r>
        <w:rPr>
          <w:spacing w:val="-83"/>
        </w:rPr>
      </w:r>
      <w:r>
        <w:rPr>
          <w:spacing w:val="-1"/>
        </w:rPr>
        <w:t>和取证智能化分析等产品，主营业务也由早期的电子数据取证拓展到大数据信息化、网络空间安全、便民</w:t>
      </w:r>
      <w:r>
        <w:rPr>
          <w:spacing w:val="-83"/>
        </w:rPr>
        <w:t> </w:t>
      </w:r>
      <w:r>
        <w:rPr>
          <w:spacing w:val="-83"/>
        </w:rPr>
      </w:r>
      <w:r>
        <w:rPr/>
        <w:t>惠民设备等。</w:t>
      </w:r>
    </w:p>
    <w:p>
      <w:pPr>
        <w:pStyle w:val="BodyText"/>
        <w:spacing w:line="398" w:lineRule="auto" w:before="46"/>
        <w:ind w:right="209" w:firstLine="419"/>
        <w:jc w:val="both"/>
      </w:pPr>
      <w:r>
        <w:rPr>
          <w:spacing w:val="-8"/>
        </w:rPr>
        <w:t>（</w:t>
      </w:r>
      <w:r>
        <w:rPr>
          <w:rFonts w:ascii="Times New Roman" w:hAnsi="Times New Roman" w:cs="Times New Roman" w:eastAsia="Times New Roman" w:hint="default"/>
          <w:spacing w:val="-8"/>
        </w:rPr>
        <w:t>2</w:t>
      </w:r>
      <w:r>
        <w:rPr>
          <w:spacing w:val="-8"/>
        </w:rPr>
        <w:t>）公司注重集团化管理，随着公司子公司数量逐渐增加，为加强母子公司管理，持续优化资源配置，</w:t>
      </w:r>
      <w:r>
        <w:rPr/>
        <w:t> </w:t>
      </w:r>
      <w:r>
        <w:rPr>
          <w:spacing w:val="-1"/>
        </w:rPr>
        <w:t>公司借鉴集团化管理模式，设立了集团资源协调中心，负责协调母子公司之间的研发技术、市场渠道、数</w:t>
      </w:r>
      <w:r>
        <w:rPr>
          <w:spacing w:val="-82"/>
        </w:rPr>
        <w:t> </w:t>
      </w:r>
      <w:r>
        <w:rPr>
          <w:spacing w:val="-82"/>
        </w:rPr>
      </w:r>
      <w:r>
        <w:rPr/>
        <w:t>据资源的协同和整合，增强公司及各子公司间的协同合作，促进</w:t>
      </w:r>
      <w:r>
        <w:rPr>
          <w:rFonts w:ascii="Times New Roman" w:hAnsi="Times New Roman" w:cs="Times New Roman" w:eastAsia="Times New Roman" w:hint="default"/>
        </w:rPr>
        <w:t>1+1&gt;2</w:t>
      </w:r>
      <w:r>
        <w:rPr/>
        <w:t>整合效益的实现。</w:t>
      </w:r>
    </w:p>
    <w:p>
      <w:pPr>
        <w:pStyle w:val="BodyText"/>
        <w:spacing w:line="408" w:lineRule="auto" w:before="24"/>
        <w:ind w:right="209" w:firstLine="420"/>
        <w:jc w:val="both"/>
      </w:pPr>
      <w:r>
        <w:rPr>
          <w:spacing w:val="-3"/>
        </w:rPr>
        <w:t>（3）公司通过内生式增长和外延式发展，促进了公司横向行业覆盖、纵向技术发展和渠道下沉的战略</w:t>
      </w:r>
      <w:r>
        <w:rPr/>
        <w:t> </w:t>
      </w:r>
      <w:r>
        <w:rPr>
          <w:spacing w:val="-1"/>
        </w:rPr>
        <w:t>布局和业务成长。公司的主要行业客户由公安的网安延伸到刑侦、经侦、反恐、缉毒、出入境等其他警种</w:t>
      </w:r>
      <w:r>
        <w:rPr>
          <w:spacing w:val="-83"/>
        </w:rPr>
        <w:t> </w:t>
      </w:r>
      <w:r>
        <w:rPr>
          <w:spacing w:val="-83"/>
        </w:rPr>
      </w:r>
      <w:r>
        <w:rPr/>
        <w:t>且进入了检察院、监察委、海关、工商、税务、军队、证监和企业等行业客户。</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386" w:lineRule="auto" w:before="174"/>
        <w:ind w:left="573"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、公司行业地位及所属行业发展变化</w:t>
      </w:r>
      <w:r>
        <w:rPr>
          <w:rFonts w:ascii="宋体" w:hAnsi="宋体" w:cs="宋体" w:eastAsia="宋体" w:hint="default"/>
          <w:b/>
          <w:bCs/>
          <w:w w:val="99"/>
          <w:sz w:val="21"/>
          <w:szCs w:val="21"/>
        </w:rPr>
        <w:t> </w:t>
      </w:r>
      <w:r>
        <w:rPr>
          <w:rFonts w:ascii="宋体" w:hAnsi="宋体" w:cs="宋体" w:eastAsia="宋体" w:hint="default"/>
          <w:sz w:val="21"/>
          <w:szCs w:val="21"/>
        </w:rPr>
        <w:t>美亚柏科是国内最早进入电子数据取证领域的企业之一，也是目前国内唯一一家该领域的上市公司。</w:t>
      </w:r>
    </w:p>
    <w:p>
      <w:pPr>
        <w:pStyle w:val="BodyText"/>
        <w:spacing w:line="408" w:lineRule="auto" w:before="65"/>
        <w:ind w:left="153" w:right="211"/>
        <w:jc w:val="both"/>
      </w:pPr>
      <w:r>
        <w:rPr>
          <w:spacing w:val="-5"/>
        </w:rPr>
        <w:t>公司产品系列丰富，种类齐全，前端设备和后端分析平台互动性强，市场占有率高，资源优势明显。此外，</w:t>
      </w:r>
      <w:r>
        <w:rPr/>
        <w:t> </w:t>
      </w:r>
      <w:r>
        <w:rPr>
          <w:spacing w:val="-1"/>
        </w:rPr>
        <w:t>公司经营理念以客户需求为中心，注重研发且具备快速跟进新技术的能力，完善的技术支持和培训服务体</w:t>
      </w:r>
      <w:r>
        <w:rPr>
          <w:spacing w:val="-81"/>
        </w:rPr>
        <w:t> </w:t>
      </w:r>
      <w:r>
        <w:rPr>
          <w:spacing w:val="-81"/>
        </w:rPr>
      </w:r>
      <w:r>
        <w:rPr/>
        <w:t>系也大大增强了用户的粘性，对于巩固公司的市场地位，提升公司综合竞争力具有重要作用。</w:t>
      </w:r>
    </w:p>
    <w:p>
      <w:pPr>
        <w:pStyle w:val="BodyText"/>
        <w:spacing w:line="408" w:lineRule="auto" w:before="46"/>
        <w:ind w:left="153" w:right="102" w:firstLine="420"/>
        <w:jc w:val="left"/>
      </w:pPr>
      <w:r>
        <w:rPr/>
        <w:t>近年来公司致力于大数据技术方面的研究和数据安全运营，在大数据产业布局方面呈现出持续发力、 稳中突进、创新扩展的良好局面，整体实力不断增强，大数据生态进一步丰富。接下来将继续深化公司战 略布局，以互联网及大数据作为依托进行人工智能的研发与拓展，为客户提供更优质的服务。公司相关行 业发展变化情况如下：</w:t>
      </w:r>
    </w:p>
    <w:p>
      <w:pPr>
        <w:pStyle w:val="BodyText"/>
        <w:spacing w:line="393" w:lineRule="auto" w:before="46"/>
        <w:ind w:left="153" w:right="208" w:firstLine="420"/>
        <w:jc w:val="both"/>
      </w:pPr>
      <w:r>
        <w:rPr>
          <w:rFonts w:ascii="Times New Roman" w:hAnsi="Times New Roman" w:cs="Times New Roman" w:eastAsia="Times New Roman" w:hint="default"/>
        </w:rPr>
        <w:t>●</w:t>
      </w:r>
      <w:r>
        <w:rPr/>
        <w:t>电子数据取证行业情况：随着物联网和云计算等新一轮信息技术的变更及各执法部门信息化建设的</w:t>
      </w:r>
      <w:r>
        <w:rPr>
          <w:spacing w:val="1"/>
          <w:w w:val="99"/>
        </w:rPr>
        <w:t> </w:t>
      </w:r>
      <w:r>
        <w:rPr>
          <w:spacing w:val="-1"/>
        </w:rPr>
        <w:t>持续推进，电子数据取证已作为执法部门调查取证中一项重要的技术手段。同时手机与个人电脑概念日益</w:t>
      </w:r>
      <w:r>
        <w:rPr>
          <w:spacing w:val="-82"/>
        </w:rPr>
        <w:t> </w:t>
      </w:r>
      <w:r>
        <w:rPr>
          <w:spacing w:val="-82"/>
        </w:rPr>
      </w:r>
      <w:r>
        <w:rPr>
          <w:spacing w:val="-1"/>
        </w:rPr>
        <w:t>趋同，面向移动终端的现场取证工具也将进一步结合后端大数据平台，实现综合的案件线索情报查询及关</w:t>
      </w:r>
      <w:r>
        <w:rPr>
          <w:spacing w:val="-82"/>
        </w:rPr>
        <w:t> </w:t>
      </w:r>
      <w:r>
        <w:rPr>
          <w:spacing w:val="-82"/>
        </w:rPr>
      </w:r>
      <w:r>
        <w:rPr>
          <w:spacing w:val="-1"/>
        </w:rPr>
        <w:t>联分析。解决有关电子证据的问题也将随着科学技术的发展更加复杂化和技术化，电子数据取证相关的需</w:t>
      </w:r>
      <w:r>
        <w:rPr>
          <w:spacing w:val="-82"/>
        </w:rPr>
        <w:t> </w:t>
      </w:r>
      <w:r>
        <w:rPr>
          <w:spacing w:val="-82"/>
        </w:rPr>
      </w:r>
      <w:r>
        <w:rPr>
          <w:spacing w:val="-2"/>
        </w:rPr>
        <w:t>求还有很大的提升空间。据</w:t>
      </w:r>
      <w:r>
        <w:rPr>
          <w:rFonts w:ascii="Times New Roman" w:hAnsi="Times New Roman" w:cs="Times New Roman" w:eastAsia="Times New Roman" w:hint="default"/>
          <w:spacing w:val="-2"/>
        </w:rPr>
        <w:t>2017</w:t>
      </w:r>
      <w:r>
        <w:rPr>
          <w:spacing w:val="-2"/>
        </w:rPr>
        <w:t>年智研咨询在中国信息产业网发布的《</w:t>
      </w:r>
      <w:r>
        <w:rPr>
          <w:rFonts w:ascii="Times New Roman" w:hAnsi="Times New Roman" w:cs="Times New Roman" w:eastAsia="Times New Roman" w:hint="default"/>
          <w:spacing w:val="-2"/>
        </w:rPr>
        <w:t>2017-2023</w:t>
      </w:r>
      <w:r>
        <w:rPr>
          <w:spacing w:val="-2"/>
        </w:rPr>
        <w:t>年中国电子数据取证行业</w:t>
      </w:r>
      <w:r>
        <w:rPr>
          <w:spacing w:val="-101"/>
        </w:rPr>
        <w:t> </w:t>
      </w:r>
      <w:r>
        <w:rPr>
          <w:spacing w:val="-101"/>
        </w:rPr>
      </w:r>
      <w:r>
        <w:rPr>
          <w:spacing w:val="-2"/>
        </w:rPr>
        <w:t>市场运营态势及发展前景预测报告》预测，至</w:t>
      </w:r>
      <w:r>
        <w:rPr>
          <w:rFonts w:ascii="Times New Roman" w:hAnsi="Times New Roman" w:cs="Times New Roman" w:eastAsia="Times New Roman" w:hint="default"/>
          <w:spacing w:val="-2"/>
        </w:rPr>
        <w:t>2023</w:t>
      </w:r>
      <w:r>
        <w:rPr>
          <w:spacing w:val="-2"/>
        </w:rPr>
        <w:t>年我国电子数据取证市场规模将达到</w:t>
      </w:r>
      <w:r>
        <w:rPr>
          <w:rFonts w:ascii="Times New Roman" w:hAnsi="Times New Roman" w:cs="Times New Roman" w:eastAsia="Times New Roman" w:hint="default"/>
          <w:spacing w:val="-2"/>
        </w:rPr>
        <w:t>35.62</w:t>
      </w:r>
      <w:r>
        <w:rPr>
          <w:spacing w:val="-2"/>
        </w:rPr>
        <w:t>亿。根据美国</w:t>
      </w:r>
      <w:r>
        <w:rPr>
          <w:spacing w:val="-87"/>
        </w:rPr>
        <w:t> </w:t>
      </w:r>
      <w:r>
        <w:rPr>
          <w:spacing w:val="-87"/>
        </w:rPr>
      </w:r>
      <w:r>
        <w:rPr/>
        <w:t>纽约</w:t>
      </w:r>
      <w:r>
        <w:rPr>
          <w:rFonts w:ascii="Times New Roman" w:hAnsi="Times New Roman" w:cs="Times New Roman" w:eastAsia="Times New Roman" w:hint="default"/>
        </w:rPr>
        <w:t>TMR</w:t>
      </w:r>
      <w:r>
        <w:rPr/>
        <w:t>（</w:t>
      </w:r>
      <w:r>
        <w:rPr>
          <w:rFonts w:ascii="Times New Roman" w:hAnsi="Times New Roman" w:cs="Times New Roman" w:eastAsia="Times New Roman" w:hint="default"/>
        </w:rPr>
        <w:t>Transparency Market</w:t>
      </w:r>
      <w:r>
        <w:rPr>
          <w:rFonts w:ascii="Times New Roman" w:hAnsi="Times New Roman" w:cs="Times New Roman" w:eastAsia="Times New Roman" w:hint="default"/>
          <w:spacing w:val="38"/>
        </w:rPr>
        <w:t> </w:t>
      </w:r>
      <w:r>
        <w:rPr>
          <w:rFonts w:ascii="Times New Roman" w:hAnsi="Times New Roman" w:cs="Times New Roman" w:eastAsia="Times New Roman" w:hint="default"/>
        </w:rPr>
        <w:t>Research</w:t>
      </w:r>
      <w:r>
        <w:rPr/>
        <w:t>）研究机构的电子取证市场行业报告，全球电子数据取证</w:t>
      </w:r>
      <w:r>
        <w:rPr>
          <w:rFonts w:ascii="Times New Roman" w:hAnsi="Times New Roman" w:cs="Times New Roman" w:eastAsia="Times New Roman" w:hint="default"/>
        </w:rPr>
        <w:t>2016</w:t>
      </w:r>
      <w:r>
        <w:rPr/>
        <w:t>年</w:t>
      </w:r>
      <w:r>
        <w:rPr>
          <w:w w:val="99"/>
        </w:rPr>
        <w:t> </w:t>
      </w:r>
      <w:r>
        <w:rPr/>
        <w:t>市场规模接近</w:t>
      </w:r>
      <w:r>
        <w:rPr>
          <w:rFonts w:ascii="Times New Roman" w:hAnsi="Times New Roman" w:cs="Times New Roman" w:eastAsia="Times New Roman" w:hint="default"/>
        </w:rPr>
        <w:t>28.7</w:t>
      </w:r>
      <w:r>
        <w:rPr/>
        <w:t>亿美金（约</w:t>
      </w:r>
      <w:r>
        <w:rPr>
          <w:rFonts w:ascii="Times New Roman" w:hAnsi="Times New Roman" w:cs="Times New Roman" w:eastAsia="Times New Roman" w:hint="default"/>
        </w:rPr>
        <w:t>189</w:t>
      </w:r>
      <w:r>
        <w:rPr/>
        <w:t>亿人民币，汇率按</w:t>
      </w:r>
      <w:r>
        <w:rPr>
          <w:rFonts w:ascii="Times New Roman" w:hAnsi="Times New Roman" w:cs="Times New Roman" w:eastAsia="Times New Roman" w:hint="default"/>
        </w:rPr>
        <w:t>6.6</w:t>
      </w:r>
      <w:r>
        <w:rPr/>
        <w:t>换算），预计</w:t>
      </w:r>
      <w:r>
        <w:rPr>
          <w:rFonts w:ascii="Times New Roman" w:hAnsi="Times New Roman" w:cs="Times New Roman" w:eastAsia="Times New Roman" w:hint="default"/>
        </w:rPr>
        <w:t>2025</w:t>
      </w:r>
      <w:r>
        <w:rPr/>
        <w:t>年可达到</w:t>
      </w:r>
      <w:r>
        <w:rPr>
          <w:rFonts w:ascii="Times New Roman" w:hAnsi="Times New Roman" w:cs="Times New Roman" w:eastAsia="Times New Roman" w:hint="default"/>
        </w:rPr>
        <w:t>66.5</w:t>
      </w:r>
      <w:r>
        <w:rPr/>
        <w:t>亿美金（约</w:t>
      </w:r>
      <w:r>
        <w:rPr>
          <w:rFonts w:ascii="Times New Roman" w:hAnsi="Times New Roman" w:cs="Times New Roman" w:eastAsia="Times New Roman" w:hint="default"/>
        </w:rPr>
        <w:t>439</w:t>
      </w:r>
      <w:r>
        <w:rPr/>
        <w:t>亿人</w:t>
      </w:r>
      <w:r>
        <w:rPr>
          <w:spacing w:val="-89"/>
        </w:rPr>
        <w:t> </w:t>
      </w:r>
      <w:r>
        <w:rPr>
          <w:spacing w:val="-2"/>
        </w:rPr>
        <w:t>民币，汇率按</w:t>
      </w:r>
      <w:r>
        <w:rPr>
          <w:rFonts w:ascii="Times New Roman" w:hAnsi="Times New Roman" w:cs="Times New Roman" w:eastAsia="Times New Roman" w:hint="default"/>
          <w:spacing w:val="-2"/>
        </w:rPr>
        <w:t>6.6</w:t>
      </w:r>
      <w:r>
        <w:rPr>
          <w:spacing w:val="-2"/>
        </w:rPr>
        <w:t>换算）规模。在市场分布上，美国全球领先，欧洲紧随其后，亚太地区快速发展并将在未</w:t>
      </w:r>
      <w:r>
        <w:rPr>
          <w:spacing w:val="-86"/>
        </w:rPr>
        <w:t> </w:t>
      </w:r>
      <w:r>
        <w:rPr>
          <w:spacing w:val="-86"/>
        </w:rPr>
      </w:r>
      <w:r>
        <w:rPr/>
        <w:t>来持续贡献可观收入。</w:t>
      </w:r>
    </w:p>
    <w:p>
      <w:pPr>
        <w:spacing w:line="240" w:lineRule="auto" w:before="6"/>
        <w:rPr>
          <w:rFonts w:ascii="宋体" w:hAnsi="宋体" w:cs="宋体" w:eastAsia="宋体" w:hint="default"/>
          <w:sz w:val="9"/>
          <w:szCs w:val="9"/>
        </w:rPr>
      </w:pPr>
    </w:p>
    <w:p>
      <w:pPr>
        <w:spacing w:line="2848" w:lineRule="exact"/>
        <w:ind w:left="1771" w:right="0" w:firstLine="0"/>
        <w:rPr>
          <w:rFonts w:ascii="宋体" w:hAnsi="宋体" w:cs="宋体" w:eastAsia="宋体" w:hint="default"/>
          <w:sz w:val="20"/>
          <w:szCs w:val="20"/>
        </w:rPr>
      </w:pPr>
      <w:r>
        <w:rPr>
          <w:rFonts w:ascii="宋体" w:hAnsi="宋体" w:cs="宋体" w:eastAsia="宋体" w:hint="default"/>
          <w:position w:val="-56"/>
          <w:sz w:val="20"/>
          <w:szCs w:val="20"/>
        </w:rPr>
        <w:pict>
          <v:group style="width:340.9pt;height:142.450pt;mso-position-horizontal-relative:char;mso-position-vertical-relative:line" coordorigin="0,0" coordsize="6818,2849">
            <v:group style="position:absolute;left:6290;top:2027;width:299;height:2" coordorigin="6290,2027" coordsize="299,2">
              <v:shape style="position:absolute;left:6290;top:2027;width:299;height:2" coordorigin="6290,2027" coordsize="299,0" path="m6290,2027l6589,2027e" filled="false" stroked="true" strokeweight=".72pt" strokecolor="#d9d9d9">
                <v:path arrowok="t"/>
              </v:shape>
            </v:group>
            <v:group style="position:absolute;left:5418;top:2027;width:599;height:2" coordorigin="5418,2027" coordsize="599,2">
              <v:shape style="position:absolute;left:5418;top:2027;width:599;height:2" coordorigin="5418,2027" coordsize="599,0" path="m5418,2027l6017,2027e" filled="false" stroked="true" strokeweight=".72pt" strokecolor="#d9d9d9">
                <v:path arrowok="t"/>
              </v:shape>
            </v:group>
            <v:group style="position:absolute;left:4547;top:2027;width:598;height:2" coordorigin="4547,2027" coordsize="598,2">
              <v:shape style="position:absolute;left:4547;top:2027;width:598;height:2" coordorigin="4547,2027" coordsize="598,0" path="m4547,2027l5144,2027e" filled="false" stroked="true" strokeweight=".72pt" strokecolor="#d9d9d9">
                <v:path arrowok="t"/>
              </v:shape>
            </v:group>
            <v:group style="position:absolute;left:3674;top:2027;width:599;height:2" coordorigin="3674,2027" coordsize="599,2">
              <v:shape style="position:absolute;left:3674;top:2027;width:599;height:2" coordorigin="3674,2027" coordsize="599,0" path="m3674,2027l4273,2027e" filled="false" stroked="true" strokeweight=".72pt" strokecolor="#d9d9d9">
                <v:path arrowok="t"/>
              </v:shape>
            </v:group>
            <v:group style="position:absolute;left:2802;top:2027;width:599;height:2" coordorigin="2802,2027" coordsize="599,2">
              <v:shape style="position:absolute;left:2802;top:2027;width:599;height:2" coordorigin="2802,2027" coordsize="599,0" path="m2802,2027l3401,2027e" filled="false" stroked="true" strokeweight=".72pt" strokecolor="#d9d9d9">
                <v:path arrowok="t"/>
              </v:shape>
            </v:group>
            <v:group style="position:absolute;left:1931;top:2027;width:598;height:2" coordorigin="1931,2027" coordsize="598,2">
              <v:shape style="position:absolute;left:1931;top:2027;width:598;height:2" coordorigin="1931,2027" coordsize="598,0" path="m1931,2027l2528,2027e" filled="false" stroked="true" strokeweight=".72pt" strokecolor="#d9d9d9">
                <v:path arrowok="t"/>
              </v:shape>
            </v:group>
            <v:group style="position:absolute;left:1058;top:2027;width:599;height:2" coordorigin="1058,2027" coordsize="599,2">
              <v:shape style="position:absolute;left:1058;top:2027;width:599;height:2" coordorigin="1058,2027" coordsize="599,0" path="m1058,2027l1657,2027e" filled="false" stroked="true" strokeweight=".72pt" strokecolor="#d9d9d9">
                <v:path arrowok="t"/>
              </v:shape>
            </v:group>
            <v:group style="position:absolute;left:486;top:2027;width:299;height:2" coordorigin="486,2027" coordsize="299,2">
              <v:shape style="position:absolute;left:486;top:2027;width:299;height:2" coordorigin="486,2027" coordsize="299,0" path="m486,2027l785,2027e" filled="false" stroked="true" strokeweight=".72pt" strokecolor="#d9d9d9">
                <v:path arrowok="t"/>
              </v:shape>
            </v:group>
            <v:group style="position:absolute;left:785;top:1840;width:274;height:537" coordorigin="785,1840" coordsize="274,537">
              <v:shape style="position:absolute;left:785;top:1840;width:274;height:537" coordorigin="785,1840" coordsize="274,537" path="m1058,1840l785,1840,785,2376,1058,2376,1058,1840xe" filled="true" fillcolor="#5b9bd5" stroked="false">
                <v:path arrowok="t"/>
                <v:fill type="solid"/>
              </v:shape>
            </v:group>
            <v:group style="position:absolute;left:486;top:1678;width:2915;height:2" coordorigin="486,1678" coordsize="2915,2">
              <v:shape style="position:absolute;left:486;top:1678;width:2915;height:2" coordorigin="486,1678" coordsize="2915,0" path="m486,1678l3401,1678e" filled="false" stroked="true" strokeweight=".72pt" strokecolor="#d9d9d9">
                <v:path arrowok="t"/>
              </v:shape>
            </v:group>
            <v:group style="position:absolute;left:1657;top:1752;width:274;height:624" coordorigin="1657,1752" coordsize="274,624">
              <v:shape style="position:absolute;left:1657;top:1752;width:274;height:624" coordorigin="1657,1752" coordsize="274,624" path="m1931,1752l1657,1752,1657,2376,1931,2376,1931,1752xe" filled="true" fillcolor="#5b9bd5" stroked="false">
                <v:path arrowok="t"/>
                <v:fill type="solid"/>
              </v:shape>
            </v:group>
            <v:group style="position:absolute;left:2528;top:1674;width:274;height:702" coordorigin="2528,1674" coordsize="274,702">
              <v:shape style="position:absolute;left:2528;top:1674;width:274;height:702" coordorigin="2528,1674" coordsize="274,702" path="m2802,1674l2528,1674,2528,2376,2802,2376,2802,1674xe" filled="true" fillcolor="#5b9bd5" stroked="false">
                <v:path arrowok="t"/>
                <v:fill type="solid"/>
              </v:shape>
            </v:group>
            <v:group style="position:absolute;left:3674;top:1678;width:599;height:2" coordorigin="3674,1678" coordsize="599,2">
              <v:shape style="position:absolute;left:3674;top:1678;width:599;height:2" coordorigin="3674,1678" coordsize="599,0" path="m3674,1678l4273,1678e" filled="false" stroked="true" strokeweight=".72pt" strokecolor="#d9d9d9">
                <v:path arrowok="t"/>
              </v:shape>
            </v:group>
            <v:group style="position:absolute;left:3401;top:1573;width:274;height:803" coordorigin="3401,1573" coordsize="274,803">
              <v:shape style="position:absolute;left:3401;top:1573;width:274;height:803" coordorigin="3401,1573" coordsize="274,803" path="m3674,1573l3401,1573,3401,2376,3674,2376,3674,1573xe" filled="true" fillcolor="#5b9bd5" stroked="false">
                <v:path arrowok="t"/>
                <v:fill type="solid"/>
              </v:shape>
            </v:group>
            <v:group style="position:absolute;left:4547;top:1678;width:598;height:2" coordorigin="4547,1678" coordsize="598,2">
              <v:shape style="position:absolute;left:4547;top:1678;width:598;height:2" coordorigin="4547,1678" coordsize="598,0" path="m4547,1678l5144,1678e" filled="false" stroked="true" strokeweight=".72pt" strokecolor="#d9d9d9">
                <v:path arrowok="t"/>
              </v:shape>
            </v:group>
            <v:group style="position:absolute;left:4273;top:1447;width:274;height:929" coordorigin="4273,1447" coordsize="274,929">
              <v:shape style="position:absolute;left:4273;top:1447;width:274;height:929" coordorigin="4273,1447" coordsize="274,929" path="m4547,1447l4273,1447,4273,2376,4547,2376,4547,1447xe" filled="true" fillcolor="#5b9bd5" stroked="false">
                <v:path arrowok="t"/>
                <v:fill type="solid"/>
              </v:shape>
            </v:group>
            <v:group style="position:absolute;left:5418;top:1678;width:599;height:2" coordorigin="5418,1678" coordsize="599,2">
              <v:shape style="position:absolute;left:5418;top:1678;width:599;height:2" coordorigin="5418,1678" coordsize="599,0" path="m5418,1678l6017,1678e" filled="false" stroked="true" strokeweight=".72pt" strokecolor="#d9d9d9">
                <v:path arrowok="t"/>
              </v:shape>
            </v:group>
            <v:group style="position:absolute;left:5418;top:1328;width:599;height:2" coordorigin="5418,1328" coordsize="599,2">
              <v:shape style="position:absolute;left:5418;top:1328;width:599;height:2" coordorigin="5418,1328" coordsize="599,0" path="m5418,1328l6017,1328e" filled="false" stroked="true" strokeweight=".72pt" strokecolor="#d9d9d9">
                <v:path arrowok="t"/>
              </v:shape>
            </v:group>
            <v:group style="position:absolute;left:486;top:1328;width:4659;height:2" coordorigin="486,1328" coordsize="4659,2">
              <v:shape style="position:absolute;left:486;top:1328;width:4659;height:2" coordorigin="486,1328" coordsize="4659,0" path="m486,1328l5144,1328e" filled="false" stroked="true" strokeweight=".72pt" strokecolor="#d9d9d9">
                <v:path arrowok="t"/>
              </v:shape>
            </v:group>
            <v:group style="position:absolute;left:5144;top:1266;width:274;height:1110" coordorigin="5144,1266" coordsize="274,1110">
              <v:shape style="position:absolute;left:5144;top:1266;width:274;height:1110" coordorigin="5144,1266" coordsize="274,1110" path="m5418,1266l5144,1266,5144,2376,5418,2376,5418,1266xe" filled="true" fillcolor="#5b9bd5" stroked="false">
                <v:path arrowok="t"/>
                <v:fill type="solid"/>
              </v:shape>
            </v:group>
            <v:group style="position:absolute;left:6290;top:1678;width:299;height:2" coordorigin="6290,1678" coordsize="299,2">
              <v:shape style="position:absolute;left:6290;top:1678;width:299;height:2" coordorigin="6290,1678" coordsize="299,0" path="m6290,1678l6589,1678e" filled="false" stroked="true" strokeweight=".72pt" strokecolor="#d9d9d9">
                <v:path arrowok="t"/>
              </v:shape>
            </v:group>
            <v:group style="position:absolute;left:6290;top:1328;width:299;height:2" coordorigin="6290,1328" coordsize="299,2">
              <v:shape style="position:absolute;left:6290;top:1328;width:299;height:2" coordorigin="6290,1328" coordsize="299,0" path="m6290,1328l6589,1328e" filled="false" stroked="true" strokeweight=".72pt" strokecolor="#d9d9d9">
                <v:path arrowok="t"/>
              </v:shape>
            </v:group>
            <v:group style="position:absolute;left:6017;top:1132;width:274;height:1245" coordorigin="6017,1132" coordsize="274,1245">
              <v:shape style="position:absolute;left:6017;top:1132;width:274;height:1245" coordorigin="6017,1132" coordsize="274,1245" path="m6290,1132l6017,1132,6017,2376,6290,2376,6290,1132xe" filled="true" fillcolor="#5b9bd5" stroked="false">
                <v:path arrowok="t"/>
                <v:fill type="solid"/>
              </v:shape>
            </v:group>
            <v:group style="position:absolute;left:486;top:2376;width:6104;height:2" coordorigin="486,2376" coordsize="6104,2">
              <v:shape style="position:absolute;left:486;top:2376;width:6104;height:2" coordorigin="486,2376" coordsize="6104,0" path="m486,2376l6589,2376e" filled="false" stroked="true" strokeweight=".72pt" strokecolor="#d9d9d9">
                <v:path arrowok="t"/>
              </v:shape>
            </v:group>
            <v:group style="position:absolute;left:0;top:0;width:6818;height:2849" coordorigin="0,0" coordsize="6818,2849">
              <v:shape style="position:absolute;left:0;top:0;width:6818;height:2849" coordorigin="0,0" coordsize="6818,2849" path="m6814,0l2,0,0,2,0,2845,2,2849,6814,2849,6817,2845,6817,2842,14,2842,7,2833,14,2833,14,14,7,14,14,7,6817,7,6817,2,6814,0xe" filled="true" fillcolor="#d9d9d9" stroked="false">
                <v:path arrowok="t"/>
                <v:fill type="solid"/>
              </v:shape>
              <v:shape style="position:absolute;left:0;top:0;width:6818;height:2849" coordorigin="0,0" coordsize="6818,2849" path="m14,2833l7,2833,14,2842,14,2833xe" filled="true" fillcolor="#d9d9d9" stroked="false">
                <v:path arrowok="t"/>
                <v:fill type="solid"/>
              </v:shape>
              <v:shape style="position:absolute;left:0;top:0;width:6818;height:2849" coordorigin="0,0" coordsize="6818,2849" path="m6803,2833l14,2833,14,2842,6803,2842,6803,2833xe" filled="true" fillcolor="#d9d9d9" stroked="false">
                <v:path arrowok="t"/>
                <v:fill type="solid"/>
              </v:shape>
              <v:shape style="position:absolute;left:0;top:0;width:6818;height:2849" coordorigin="0,0" coordsize="6818,2849" path="m6803,7l6803,2842,6810,2833,6817,2833,6817,14,6810,14,6803,7xe" filled="true" fillcolor="#d9d9d9" stroked="false">
                <v:path arrowok="t"/>
                <v:fill type="solid"/>
              </v:shape>
              <v:shape style="position:absolute;left:0;top:0;width:6818;height:2849" coordorigin="0,0" coordsize="6818,2849" path="m6817,2833l6810,2833,6803,2842,6817,2842,6817,2833xe" filled="true" fillcolor="#d9d9d9" stroked="false">
                <v:path arrowok="t"/>
                <v:fill type="solid"/>
              </v:shape>
              <v:shape style="position:absolute;left:0;top:0;width:6818;height:2849" coordorigin="0,0" coordsize="6818,2849" path="m14,7l7,14,14,14,14,7xe" filled="true" fillcolor="#d9d9d9" stroked="false">
                <v:path arrowok="t"/>
                <v:fill type="solid"/>
              </v:shape>
              <v:shape style="position:absolute;left:0;top:0;width:6818;height:2849" coordorigin="0,0" coordsize="6818,2849" path="m6803,7l14,7,14,14,6803,14,6803,7xe" filled="true" fillcolor="#d9d9d9" stroked="false">
                <v:path arrowok="t"/>
                <v:fill type="solid"/>
              </v:shape>
              <v:shape style="position:absolute;left:0;top:0;width:6818;height:2849" coordorigin="0,0" coordsize="6818,2849" path="m6817,7l6803,7,6810,14,6817,14,6817,7xe" filled="true" fillcolor="#d9d9d9" stroked="false">
                <v:path arrowok="t"/>
                <v:fill type="solid"/>
              </v:shape>
              <v:shape style="position:absolute;left:2531;top:148;width:2650;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b/>
                          <w:bCs/>
                          <w:color w:val="585858"/>
                          <w:w w:val="95"/>
                          <w:sz w:val="22"/>
                          <w:szCs w:val="22"/>
                        </w:rPr>
                        <w:t>我国电子数据取证市场规模</w:t>
                      </w:r>
                      <w:r>
                        <w:rPr>
                          <w:rFonts w:ascii="宋体" w:hAnsi="宋体" w:cs="宋体" w:eastAsia="宋体" w:hint="default"/>
                          <w:sz w:val="22"/>
                          <w:szCs w:val="22"/>
                        </w:rPr>
                      </w:r>
                    </w:p>
                  </w:txbxContent>
                </v:textbox>
                <w10:wrap type="none"/>
              </v:shape>
              <v:shape style="position:absolute;left:5455;top:451;width:1008;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b/>
                          <w:bCs/>
                          <w:color w:val="585858"/>
                          <w:sz w:val="20"/>
                          <w:szCs w:val="20"/>
                        </w:rPr>
                        <w:t>单位：亿元</w:t>
                      </w:r>
                      <w:r>
                        <w:rPr>
                          <w:rFonts w:ascii="宋体" w:hAnsi="宋体" w:cs="宋体" w:eastAsia="宋体" w:hint="default"/>
                          <w:sz w:val="20"/>
                          <w:szCs w:val="20"/>
                        </w:rPr>
                      </w:r>
                    </w:p>
                  </w:txbxContent>
                </v:textbox>
                <w10:wrap type="none"/>
              </v:shape>
              <v:shape style="position:absolute;left:137;top:896;width:183;height:1578" type="#_x0000_t202" filled="false" stroked="false">
                <v:textbox inset="0,0,0,0">
                  <w:txbxContent>
                    <w:p>
                      <w:pPr>
                        <w:spacing w:line="183" w:lineRule="exact" w:before="0"/>
                        <w:ind w:left="0" w:right="0" w:firstLine="0"/>
                        <w:jc w:val="left"/>
                        <w:rPr>
                          <w:rFonts w:ascii="Calibri" w:hAnsi="Calibri" w:cs="Calibri" w:eastAsia="Calibri" w:hint="default"/>
                          <w:sz w:val="18"/>
                          <w:szCs w:val="18"/>
                        </w:rPr>
                      </w:pPr>
                      <w:r>
                        <w:rPr>
                          <w:rFonts w:ascii="Calibri"/>
                          <w:color w:val="585858"/>
                          <w:sz w:val="18"/>
                        </w:rPr>
                        <w:t>40</w:t>
                      </w:r>
                      <w:r>
                        <w:rPr>
                          <w:rFonts w:ascii="Calibri"/>
                          <w:sz w:val="18"/>
                        </w:rPr>
                      </w:r>
                    </w:p>
                    <w:p>
                      <w:pPr>
                        <w:spacing w:before="129"/>
                        <w:ind w:left="0" w:right="0" w:firstLine="0"/>
                        <w:jc w:val="left"/>
                        <w:rPr>
                          <w:rFonts w:ascii="Calibri" w:hAnsi="Calibri" w:cs="Calibri" w:eastAsia="Calibri" w:hint="default"/>
                          <w:sz w:val="18"/>
                          <w:szCs w:val="18"/>
                        </w:rPr>
                      </w:pPr>
                      <w:r>
                        <w:rPr>
                          <w:rFonts w:ascii="Calibri"/>
                          <w:color w:val="585858"/>
                          <w:sz w:val="18"/>
                        </w:rPr>
                        <w:t>30</w:t>
                      </w:r>
                      <w:r>
                        <w:rPr>
                          <w:rFonts w:ascii="Calibri"/>
                          <w:sz w:val="18"/>
                        </w:rPr>
                      </w:r>
                    </w:p>
                    <w:p>
                      <w:pPr>
                        <w:spacing w:before="129"/>
                        <w:ind w:left="0" w:right="0" w:firstLine="0"/>
                        <w:jc w:val="left"/>
                        <w:rPr>
                          <w:rFonts w:ascii="Calibri" w:hAnsi="Calibri" w:cs="Calibri" w:eastAsia="Calibri" w:hint="default"/>
                          <w:sz w:val="18"/>
                          <w:szCs w:val="18"/>
                        </w:rPr>
                      </w:pPr>
                      <w:r>
                        <w:rPr>
                          <w:rFonts w:ascii="Calibri"/>
                          <w:color w:val="585858"/>
                          <w:sz w:val="18"/>
                        </w:rPr>
                        <w:t>20</w:t>
                      </w:r>
                      <w:r>
                        <w:rPr>
                          <w:rFonts w:ascii="Calibri"/>
                          <w:sz w:val="18"/>
                        </w:rPr>
                      </w:r>
                    </w:p>
                    <w:p>
                      <w:pPr>
                        <w:spacing w:before="129"/>
                        <w:ind w:left="0" w:right="0" w:firstLine="0"/>
                        <w:jc w:val="left"/>
                        <w:rPr>
                          <w:rFonts w:ascii="Calibri" w:hAnsi="Calibri" w:cs="Calibri" w:eastAsia="Calibri" w:hint="default"/>
                          <w:sz w:val="18"/>
                          <w:szCs w:val="18"/>
                        </w:rPr>
                      </w:pPr>
                      <w:r>
                        <w:rPr>
                          <w:rFonts w:ascii="Calibri"/>
                          <w:color w:val="585858"/>
                          <w:sz w:val="18"/>
                        </w:rPr>
                        <w:t>10</w:t>
                      </w:r>
                      <w:r>
                        <w:rPr>
                          <w:rFonts w:ascii="Calibri"/>
                          <w:sz w:val="18"/>
                        </w:rPr>
                      </w:r>
                    </w:p>
                    <w:p>
                      <w:pPr>
                        <w:spacing w:line="216" w:lineRule="exact" w:before="130"/>
                        <w:ind w:left="91" w:right="0" w:firstLine="0"/>
                        <w:jc w:val="left"/>
                        <w:rPr>
                          <w:rFonts w:ascii="Calibri" w:hAnsi="Calibri" w:cs="Calibri" w:eastAsia="Calibri" w:hint="default"/>
                          <w:sz w:val="18"/>
                          <w:szCs w:val="18"/>
                        </w:rPr>
                      </w:pPr>
                      <w:r>
                        <w:rPr>
                          <w:rFonts w:ascii="Calibri"/>
                          <w:color w:val="585858"/>
                          <w:sz w:val="18"/>
                        </w:rPr>
                        <w:t>0</w:t>
                      </w:r>
                      <w:r>
                        <w:rPr>
                          <w:rFonts w:ascii="Calibri"/>
                          <w:sz w:val="18"/>
                        </w:rPr>
                      </w:r>
                    </w:p>
                  </w:txbxContent>
                </v:textbox>
                <w10:wrap type="none"/>
              </v:shape>
              <v:shape style="position:absolute;left:486;top:849;width:6104;height:325" type="#_x0000_t202" filled="false" stroked="false">
                <v:textbox inset="0,0,0,0">
                  <w:txbxContent>
                    <w:p>
                      <w:pPr>
                        <w:tabs>
                          <w:tab w:pos="5462" w:val="left" w:leader="none"/>
                          <w:tab w:pos="6103" w:val="left" w:leader="none"/>
                        </w:tabs>
                        <w:spacing w:line="151" w:lineRule="exact" w:before="0"/>
                        <w:ind w:left="0" w:right="0" w:firstLine="0"/>
                        <w:jc w:val="left"/>
                        <w:rPr>
                          <w:rFonts w:ascii="Calibri" w:hAnsi="Calibri" w:cs="Calibri" w:eastAsia="Calibri" w:hint="default"/>
                          <w:sz w:val="18"/>
                          <w:szCs w:val="18"/>
                        </w:rPr>
                      </w:pPr>
                      <w:r>
                        <w:rPr>
                          <w:rFonts w:ascii="Times New Roman"/>
                          <w:color w:val="3F3F3F"/>
                          <w:sz w:val="18"/>
                        </w:rPr>
                      </w:r>
                      <w:r>
                        <w:rPr>
                          <w:rFonts w:ascii="Times New Roman"/>
                          <w:color w:val="3F3F3F"/>
                          <w:sz w:val="18"/>
                          <w:u w:val="single" w:color="D9D9D9"/>
                        </w:rPr>
                        <w:t> </w:t>
                        <w:tab/>
                      </w:r>
                      <w:r>
                        <w:rPr>
                          <w:rFonts w:ascii="Calibri"/>
                          <w:color w:val="3F3F3F"/>
                          <w:sz w:val="18"/>
                          <w:u w:val="single" w:color="D9D9D9"/>
                        </w:rPr>
                        <w:t>35.62</w:t>
                        <w:tab/>
                      </w:r>
                      <w:r>
                        <w:rPr>
                          <w:rFonts w:ascii="Calibri"/>
                          <w:color w:val="3F3F3F"/>
                          <w:sz w:val="18"/>
                        </w:rPr>
                      </w:r>
                      <w:r>
                        <w:rPr>
                          <w:rFonts w:ascii="Calibri"/>
                          <w:sz w:val="18"/>
                        </w:rPr>
                      </w:r>
                    </w:p>
                    <w:p>
                      <w:pPr>
                        <w:spacing w:line="174" w:lineRule="exact" w:before="0"/>
                        <w:ind w:left="0" w:right="1100" w:firstLine="0"/>
                        <w:jc w:val="right"/>
                        <w:rPr>
                          <w:rFonts w:ascii="Calibri" w:hAnsi="Calibri" w:cs="Calibri" w:eastAsia="Calibri" w:hint="default"/>
                          <w:sz w:val="18"/>
                          <w:szCs w:val="18"/>
                        </w:rPr>
                      </w:pPr>
                      <w:r>
                        <w:rPr>
                          <w:rFonts w:ascii="Calibri"/>
                          <w:color w:val="3F3F3F"/>
                          <w:sz w:val="18"/>
                        </w:rPr>
                        <w:t>31.78</w:t>
                      </w:r>
                      <w:r>
                        <w:rPr>
                          <w:rFonts w:ascii="Calibri"/>
                          <w:sz w:val="18"/>
                        </w:rPr>
                      </w:r>
                    </w:p>
                  </w:txbxContent>
                </v:textbox>
                <w10:wrap type="none"/>
              </v:shape>
              <v:shape style="position:absolute;left:3332;top:1300;width:411;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3F3F3F"/>
                          <w:sz w:val="18"/>
                        </w:rPr>
                        <w:t>22.99</w:t>
                      </w:r>
                      <w:r>
                        <w:rPr>
                          <w:rFonts w:ascii="Calibri"/>
                          <w:sz w:val="18"/>
                        </w:rPr>
                      </w:r>
                    </w:p>
                  </w:txbxContent>
                </v:textbox>
                <w10:wrap type="none"/>
              </v:shape>
              <v:shape style="position:absolute;left:4205;top:1174;width:411;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3F3F3F"/>
                          <w:sz w:val="18"/>
                        </w:rPr>
                        <w:t>26.58</w:t>
                      </w:r>
                      <w:r>
                        <w:rPr>
                          <w:rFonts w:ascii="Calibri"/>
                          <w:sz w:val="18"/>
                        </w:rPr>
                      </w:r>
                    </w:p>
                  </w:txbxContent>
                </v:textbox>
                <w10:wrap type="none"/>
              </v:shape>
              <v:shape style="position:absolute;left:716;top:1567;width:411;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3F3F3F"/>
                          <w:sz w:val="18"/>
                        </w:rPr>
                        <w:t>15.36</w:t>
                      </w:r>
                      <w:r>
                        <w:rPr>
                          <w:rFonts w:ascii="Calibri"/>
                          <w:sz w:val="18"/>
                        </w:rPr>
                      </w:r>
                    </w:p>
                  </w:txbxContent>
                </v:textbox>
                <w10:wrap type="none"/>
              </v:shape>
              <v:shape style="position:absolute;left:1589;top:1479;width:411;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3F3F3F"/>
                          <w:sz w:val="18"/>
                        </w:rPr>
                        <w:t>17.88</w:t>
                      </w:r>
                      <w:r>
                        <w:rPr>
                          <w:rFonts w:ascii="Calibri"/>
                          <w:sz w:val="18"/>
                        </w:rPr>
                      </w:r>
                    </w:p>
                  </w:txbxContent>
                </v:textbox>
                <w10:wrap type="none"/>
              </v:shape>
              <v:shape style="position:absolute;left:2506;top:1401;width:320;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r>
                        <w:rPr>
                          <w:rFonts w:ascii="Calibri"/>
                          <w:color w:val="3F3F3F"/>
                          <w:sz w:val="18"/>
                        </w:rPr>
                        <w:t>20.1</w:t>
                      </w:r>
                      <w:r>
                        <w:rPr>
                          <w:rFonts w:ascii="Calibri"/>
                          <w:sz w:val="18"/>
                        </w:rPr>
                      </w:r>
                    </w:p>
                  </w:txbxContent>
                </v:textbox>
                <w10:wrap type="none"/>
              </v:shape>
              <v:shape style="position:absolute;left:739;top:2528;width:5598;height:180" type="#_x0000_t202" filled="false" stroked="false">
                <v:textbox inset="0,0,0,0">
                  <w:txbxContent>
                    <w:p>
                      <w:pPr>
                        <w:tabs>
                          <w:tab w:pos="872" w:val="left" w:leader="none"/>
                          <w:tab w:pos="1743" w:val="left" w:leader="none"/>
                          <w:tab w:pos="2616" w:val="left" w:leader="none"/>
                          <w:tab w:pos="3488" w:val="left" w:leader="none"/>
                          <w:tab w:pos="4360" w:val="left" w:leader="none"/>
                          <w:tab w:pos="5232" w:val="left" w:leader="none"/>
                        </w:tabs>
                        <w:spacing w:line="180" w:lineRule="exact" w:before="0"/>
                        <w:ind w:left="0" w:right="0" w:firstLine="0"/>
                        <w:jc w:val="left"/>
                        <w:rPr>
                          <w:rFonts w:ascii="Calibri" w:hAnsi="Calibri" w:cs="Calibri" w:eastAsia="Calibri" w:hint="default"/>
                          <w:sz w:val="18"/>
                          <w:szCs w:val="18"/>
                        </w:rPr>
                      </w:pPr>
                      <w:r>
                        <w:rPr>
                          <w:rFonts w:ascii="Calibri"/>
                          <w:color w:val="585858"/>
                          <w:sz w:val="18"/>
                        </w:rPr>
                        <w:t>2017</w:t>
                        <w:tab/>
                        <w:t>2018</w:t>
                        <w:tab/>
                        <w:t>2019</w:t>
                        <w:tab/>
                        <w:t>2020</w:t>
                        <w:tab/>
                        <w:t>2021</w:t>
                        <w:tab/>
                        <w:t>2022</w:t>
                        <w:tab/>
                        <w:t>2023</w:t>
                      </w:r>
                      <w:r>
                        <w:rPr>
                          <w:rFonts w:ascii="Calibri"/>
                          <w:sz w:val="18"/>
                        </w:rPr>
                      </w:r>
                    </w:p>
                  </w:txbxContent>
                </v:textbox>
                <w10:wrap type="none"/>
              </v:shape>
            </v:group>
          </v:group>
        </w:pict>
      </w:r>
      <w:r>
        <w:rPr>
          <w:rFonts w:ascii="宋体" w:hAnsi="宋体" w:cs="宋体" w:eastAsia="宋体" w:hint="default"/>
          <w:position w:val="-56"/>
          <w:sz w:val="20"/>
          <w:szCs w:val="20"/>
        </w:rPr>
      </w:r>
    </w:p>
    <w:p>
      <w:pPr>
        <w:spacing w:line="240" w:lineRule="auto" w:before="11"/>
        <w:rPr>
          <w:rFonts w:ascii="宋体" w:hAnsi="宋体" w:cs="宋体" w:eastAsia="宋体" w:hint="default"/>
          <w:sz w:val="15"/>
          <w:szCs w:val="15"/>
        </w:rPr>
      </w:pPr>
    </w:p>
    <w:p>
      <w:pPr>
        <w:pStyle w:val="BodyText"/>
        <w:spacing w:line="240" w:lineRule="auto"/>
        <w:ind w:left="4007" w:right="3647"/>
        <w:jc w:val="center"/>
      </w:pPr>
      <w:r>
        <w:rPr/>
        <w:t>资料来源：智研咨询整理</w:t>
      </w:r>
    </w:p>
    <w:p>
      <w:pPr>
        <w:spacing w:after="0" w:line="240" w:lineRule="auto"/>
        <w:jc w:val="center"/>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2944" w:lineRule="exact"/>
        <w:ind w:left="1778"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320556" cy="186985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4320556" cy="1869852"/>
                    </a:xfrm>
                    <a:prstGeom prst="rect">
                      <a:avLst/>
                    </a:prstGeom>
                  </pic:spPr>
                </pic:pic>
              </a:graphicData>
            </a:graphic>
          </wp:inline>
        </w:drawing>
      </w:r>
      <w:r>
        <w:rPr>
          <w:rFonts w:ascii="宋体" w:hAnsi="宋体" w:cs="宋体" w:eastAsia="宋体" w:hint="default"/>
          <w:position w:val="-58"/>
          <w:sz w:val="20"/>
          <w:szCs w:val="20"/>
        </w:rPr>
      </w:r>
    </w:p>
    <w:p>
      <w:pPr>
        <w:spacing w:line="240" w:lineRule="auto" w:before="10"/>
        <w:rPr>
          <w:rFonts w:ascii="宋体" w:hAnsi="宋体" w:cs="宋体" w:eastAsia="宋体" w:hint="default"/>
          <w:sz w:val="8"/>
          <w:szCs w:val="8"/>
        </w:rPr>
      </w:pPr>
    </w:p>
    <w:p>
      <w:pPr>
        <w:pStyle w:val="BodyText"/>
        <w:spacing w:line="240" w:lineRule="auto" w:before="35"/>
        <w:ind w:left="3754" w:right="0"/>
        <w:jc w:val="left"/>
      </w:pPr>
      <w:r>
        <w:rPr/>
        <w:t>数据来源：美国纽约TMR研究机构</w:t>
      </w:r>
    </w:p>
    <w:p>
      <w:pPr>
        <w:spacing w:line="240" w:lineRule="auto" w:before="10"/>
        <w:rPr>
          <w:rFonts w:ascii="宋体" w:hAnsi="宋体" w:cs="宋体" w:eastAsia="宋体" w:hint="default"/>
          <w:sz w:val="14"/>
          <w:szCs w:val="14"/>
        </w:rPr>
      </w:pPr>
    </w:p>
    <w:p>
      <w:pPr>
        <w:pStyle w:val="BodyText"/>
        <w:spacing w:line="386" w:lineRule="auto"/>
        <w:ind w:left="153" w:right="147" w:firstLine="422"/>
        <w:jc w:val="both"/>
      </w:pPr>
      <w:r>
        <w:rPr>
          <w:rFonts w:ascii="Times New Roman" w:hAnsi="Times New Roman" w:cs="Times New Roman" w:eastAsia="Times New Roman" w:hint="default"/>
        </w:rPr>
        <w:t>●</w:t>
      </w:r>
      <w:r>
        <w:rPr/>
        <w:t>大数据行业情况：随着国家政策激励以及大数据应用模式的逐步成熟，未来几年中国大数据市场仍</w:t>
      </w:r>
      <w:r>
        <w:rPr>
          <w:spacing w:val="1"/>
          <w:w w:val="99"/>
        </w:rPr>
        <w:t> </w:t>
      </w:r>
      <w:r>
        <w:rPr>
          <w:spacing w:val="-1"/>
        </w:rPr>
        <w:t>将保持快速增长。中国信息通信研究院结合对大数据相关企业的调研测算，预计到</w:t>
      </w:r>
      <w:r>
        <w:rPr>
          <w:rFonts w:ascii="Times New Roman" w:hAnsi="Times New Roman" w:cs="Times New Roman" w:eastAsia="Times New Roman" w:hint="default"/>
          <w:spacing w:val="-1"/>
        </w:rPr>
        <w:t>2020</w:t>
      </w:r>
      <w:r>
        <w:rPr>
          <w:spacing w:val="-1"/>
        </w:rPr>
        <w:t>年中国大数据市场</w:t>
      </w:r>
      <w:r>
        <w:rPr>
          <w:spacing w:val="-86"/>
        </w:rPr>
        <w:t> </w:t>
      </w:r>
      <w:r>
        <w:rPr>
          <w:spacing w:val="-86"/>
        </w:rPr>
      </w:r>
      <w:r>
        <w:rPr>
          <w:spacing w:val="-3"/>
        </w:rPr>
        <w:t>规模将达到</w:t>
      </w:r>
      <w:r>
        <w:rPr>
          <w:rFonts w:ascii="Times New Roman" w:hAnsi="Times New Roman" w:cs="Times New Roman" w:eastAsia="Times New Roman" w:hint="default"/>
          <w:spacing w:val="-3"/>
        </w:rPr>
        <w:t>578</w:t>
      </w:r>
      <w:r>
        <w:rPr>
          <w:spacing w:val="-3"/>
        </w:rPr>
        <w:t>亿元。数据已成为国家基础性战略资源和商业创新源泉。深化大数据应用，成为世界各国和</w:t>
      </w:r>
      <w:r>
        <w:rPr>
          <w:spacing w:val="-94"/>
        </w:rPr>
        <w:t> </w:t>
      </w:r>
      <w:r>
        <w:rPr>
          <w:spacing w:val="-94"/>
        </w:rPr>
      </w:r>
      <w:r>
        <w:rPr/>
        <w:t>产业界的一致选择。</w:t>
      </w:r>
    </w:p>
    <w:p>
      <w:pPr>
        <w:spacing w:line="240" w:lineRule="auto" w:before="4"/>
        <w:rPr>
          <w:rFonts w:ascii="宋体" w:hAnsi="宋体" w:cs="宋体" w:eastAsia="宋体" w:hint="default"/>
          <w:sz w:val="11"/>
          <w:szCs w:val="11"/>
        </w:rPr>
      </w:pPr>
    </w:p>
    <w:p>
      <w:pPr>
        <w:spacing w:line="2812" w:lineRule="exact"/>
        <w:ind w:left="1789"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4303776" cy="178612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4303776" cy="1786127"/>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2"/>
        <w:rPr>
          <w:rFonts w:ascii="宋体" w:hAnsi="宋体" w:cs="宋体" w:eastAsia="宋体" w:hint="default"/>
          <w:sz w:val="17"/>
          <w:szCs w:val="17"/>
        </w:rPr>
      </w:pPr>
    </w:p>
    <w:p>
      <w:pPr>
        <w:pStyle w:val="BodyText"/>
        <w:spacing w:line="240" w:lineRule="auto"/>
        <w:ind w:left="676" w:right="674"/>
        <w:jc w:val="center"/>
      </w:pPr>
      <w:r>
        <w:rPr/>
        <w:t>数据来源：中国信息通信研究院</w:t>
      </w:r>
    </w:p>
    <w:p>
      <w:pPr>
        <w:spacing w:line="240" w:lineRule="auto" w:before="10"/>
        <w:rPr>
          <w:rFonts w:ascii="宋体" w:hAnsi="宋体" w:cs="宋体" w:eastAsia="宋体" w:hint="default"/>
          <w:sz w:val="14"/>
          <w:szCs w:val="14"/>
        </w:rPr>
      </w:pPr>
    </w:p>
    <w:p>
      <w:pPr>
        <w:pStyle w:val="BodyText"/>
        <w:spacing w:line="400" w:lineRule="auto"/>
        <w:ind w:right="147" w:firstLine="422"/>
        <w:jc w:val="both"/>
      </w:pPr>
      <w:r>
        <w:rPr>
          <w:rFonts w:ascii="Times New Roman" w:hAnsi="Times New Roman" w:cs="Times New Roman" w:eastAsia="Times New Roman" w:hint="default"/>
        </w:rPr>
        <w:t>●</w:t>
      </w:r>
      <w:r>
        <w:rPr/>
        <w:t>人工智能行业情况：人工智能是引领未来的战略性技术，已发展进入新阶段。十九大报告中明确提</w:t>
      </w:r>
      <w:r>
        <w:rPr>
          <w:spacing w:val="1"/>
          <w:w w:val="99"/>
        </w:rPr>
        <w:t> </w:t>
      </w:r>
      <w:r>
        <w:rPr>
          <w:spacing w:val="-1"/>
        </w:rPr>
        <w:t>出“推动互联网、大数据、人工智能和实体经济深度融合”，以人工智能为核心的新一轮科技和产业革命</w:t>
      </w:r>
      <w:r>
        <w:rPr>
          <w:spacing w:val="-86"/>
        </w:rPr>
        <w:t> </w:t>
      </w:r>
      <w:r>
        <w:rPr>
          <w:spacing w:val="-86"/>
        </w:rPr>
      </w:r>
      <w:r>
        <w:rPr>
          <w:spacing w:val="-1"/>
        </w:rPr>
        <w:t>蓄势待发。公司作为创新型企业，研究先进的人工智能技术，保持研发创新，才能更好的为司法机关及行</w:t>
      </w:r>
      <w:r>
        <w:rPr>
          <w:spacing w:val="-86"/>
        </w:rPr>
        <w:t> </w:t>
      </w:r>
      <w:r>
        <w:rPr>
          <w:spacing w:val="-86"/>
        </w:rPr>
      </w:r>
      <w:r>
        <w:rPr/>
        <w:t>政执法机构提供技术支撑。</w:t>
      </w:r>
    </w:p>
    <w:p>
      <w:pPr>
        <w:pStyle w:val="BodyText"/>
        <w:spacing w:line="400" w:lineRule="auto" w:before="52"/>
        <w:ind w:right="149" w:firstLine="420"/>
        <w:jc w:val="both"/>
      </w:pPr>
      <w:r>
        <w:rPr>
          <w:rFonts w:ascii="Times New Roman" w:hAnsi="Times New Roman" w:cs="Times New Roman" w:eastAsia="Times New Roman" w:hint="default"/>
          <w:spacing w:val="-2"/>
        </w:rPr>
        <w:t>●</w:t>
      </w:r>
      <w:r>
        <w:rPr>
          <w:spacing w:val="-2"/>
        </w:rPr>
        <w:t>网络空间安全行业情况：“互联网</w:t>
      </w:r>
      <w:r>
        <w:rPr>
          <w:rFonts w:ascii="Times New Roman" w:hAnsi="Times New Roman" w:cs="Times New Roman" w:eastAsia="Times New Roman" w:hint="default"/>
          <w:spacing w:val="-2"/>
        </w:rPr>
        <w:t>+</w:t>
      </w:r>
      <w:r>
        <w:rPr>
          <w:spacing w:val="-2"/>
        </w:rPr>
        <w:t>”的持续演进、广泛渗透、跨界融合，不仅带来经济社会创新发</w:t>
      </w:r>
      <w:r>
        <w:rPr>
          <w:w w:val="99"/>
        </w:rPr>
        <w:t> </w:t>
      </w:r>
      <w:r>
        <w:rPr>
          <w:spacing w:val="-1"/>
        </w:rPr>
        <w:t>展的动力，也带来更多的信息安全问题，网络空间安全形势日益严峻。对网络平台治理、数据流动与数据</w:t>
      </w:r>
      <w:r>
        <w:rPr>
          <w:spacing w:val="-86"/>
        </w:rPr>
        <w:t> </w:t>
      </w:r>
      <w:r>
        <w:rPr>
          <w:spacing w:val="-86"/>
        </w:rPr>
      </w:r>
      <w:r>
        <w:rPr>
          <w:spacing w:val="-1"/>
        </w:rPr>
        <w:t>监管、个人信息保护、网络安全等方面的市场需求增强。“十三五”规划明确提出，要完善国家网络安全</w:t>
      </w:r>
      <w:r>
        <w:rPr>
          <w:spacing w:val="-87"/>
        </w:rPr>
        <w:t> </w:t>
      </w:r>
      <w:r>
        <w:rPr>
          <w:spacing w:val="-87"/>
        </w:rPr>
      </w:r>
      <w:r>
        <w:rPr/>
        <w:t>保障体系，保障国家信息安全，信息化和网络信息安全已列入了国家发展的战略方向之一。</w:t>
      </w:r>
    </w:p>
    <w:p>
      <w:pPr>
        <w:pStyle w:val="BodyText"/>
        <w:spacing w:line="386" w:lineRule="auto" w:before="52"/>
        <w:ind w:right="151" w:firstLine="334"/>
        <w:jc w:val="both"/>
      </w:pPr>
      <w:r>
        <w:rPr>
          <w:rFonts w:ascii="Times New Roman" w:hAnsi="Times New Roman" w:cs="Times New Roman" w:eastAsia="Times New Roman" w:hint="default"/>
          <w:spacing w:val="-2"/>
        </w:rPr>
        <w:t>●</w:t>
      </w:r>
      <w:r>
        <w:rPr>
          <w:spacing w:val="-2"/>
        </w:rPr>
        <w:t>政策层面：</w:t>
      </w:r>
      <w:r>
        <w:rPr>
          <w:rFonts w:ascii="Times New Roman" w:hAnsi="Times New Roman" w:cs="Times New Roman" w:eastAsia="Times New Roman" w:hint="default"/>
          <w:spacing w:val="-2"/>
        </w:rPr>
        <w:t>2017</w:t>
      </w:r>
      <w:r>
        <w:rPr>
          <w:spacing w:val="-2"/>
        </w:rPr>
        <w:t>年公安部、最高检察院、国家税务总局等主管机关陆续出台涉及电子数据取证、大数</w:t>
      </w:r>
      <w:r>
        <w:rPr>
          <w:w w:val="99"/>
        </w:rPr>
        <w:t> </w:t>
      </w:r>
      <w:r>
        <w:rPr>
          <w:spacing w:val="-1"/>
        </w:rPr>
        <w:t>据平台、税务稽查信息化、网络空间安全等业务领域的行业标准及政策，这些政策的持续推出，为未来相</w:t>
      </w:r>
    </w:p>
    <w:p>
      <w:pPr>
        <w:spacing w:after="0" w:line="38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关行业发展提供了有力支撑。相关的主要产业政策文件如下：</w:t>
      </w:r>
    </w:p>
    <w:p>
      <w:pPr>
        <w:spacing w:line="240" w:lineRule="auto" w:before="12"/>
        <w:rPr>
          <w:rFonts w:ascii="宋体" w:hAnsi="宋体" w:cs="宋体" w:eastAsia="宋体" w:hint="default"/>
          <w:sz w:val="9"/>
          <w:szCs w:val="9"/>
        </w:rPr>
      </w:pPr>
    </w:p>
    <w:tbl>
      <w:tblPr>
        <w:tblW w:w="0" w:type="auto"/>
        <w:jc w:val="left"/>
        <w:tblInd w:w="217" w:type="dxa"/>
        <w:tblLayout w:type="fixed"/>
        <w:tblCellMar>
          <w:top w:w="0" w:type="dxa"/>
          <w:left w:w="0" w:type="dxa"/>
          <w:bottom w:w="0" w:type="dxa"/>
          <w:right w:w="0" w:type="dxa"/>
        </w:tblCellMar>
        <w:tblLook w:val="01E0"/>
      </w:tblPr>
      <w:tblGrid>
        <w:gridCol w:w="817"/>
        <w:gridCol w:w="1276"/>
        <w:gridCol w:w="1168"/>
        <w:gridCol w:w="1702"/>
        <w:gridCol w:w="4536"/>
      </w:tblGrid>
      <w:tr>
        <w:trPr>
          <w:trHeight w:val="427"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8"/>
              <w:jc w:val="right"/>
              <w:rPr>
                <w:rFonts w:ascii="宋体" w:hAnsi="宋体" w:cs="宋体" w:eastAsia="宋体" w:hint="default"/>
                <w:sz w:val="18"/>
                <w:szCs w:val="18"/>
              </w:rPr>
            </w:pPr>
            <w:r>
              <w:rPr>
                <w:rFonts w:ascii="宋体" w:hAnsi="宋体" w:cs="宋体" w:eastAsia="宋体" w:hint="default"/>
                <w:b/>
                <w:bCs/>
                <w:sz w:val="18"/>
                <w:szCs w:val="18"/>
              </w:rPr>
              <w:t>时间</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行业</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市场</w:t>
            </w:r>
            <w:r>
              <w:rPr>
                <w:rFonts w:ascii="宋体" w:hAnsi="宋体" w:cs="宋体" w:eastAsia="宋体" w:hint="default"/>
                <w:sz w:val="18"/>
                <w:szCs w:val="18"/>
              </w:rPr>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发布单位</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7" w:right="0"/>
              <w:jc w:val="left"/>
              <w:rPr>
                <w:rFonts w:ascii="宋体" w:hAnsi="宋体" w:cs="宋体" w:eastAsia="宋体" w:hint="default"/>
                <w:sz w:val="18"/>
                <w:szCs w:val="18"/>
              </w:rPr>
            </w:pPr>
            <w:r>
              <w:rPr>
                <w:rFonts w:ascii="宋体" w:hAnsi="宋体" w:cs="宋体" w:eastAsia="宋体" w:hint="default"/>
                <w:b/>
                <w:bCs/>
                <w:sz w:val="18"/>
                <w:szCs w:val="18"/>
              </w:rPr>
              <w:t>政策</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会议名称</w:t>
            </w:r>
            <w:r>
              <w:rPr>
                <w:rFonts w:ascii="宋体" w:hAnsi="宋体" w:cs="宋体" w:eastAsia="宋体" w:hint="default"/>
                <w:sz w:val="18"/>
                <w:szCs w:val="18"/>
              </w:rPr>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与公司相关的内容</w:t>
            </w:r>
            <w:r>
              <w:rPr>
                <w:rFonts w:ascii="宋体" w:hAnsi="宋体" w:cs="宋体" w:eastAsia="宋体" w:hint="default"/>
                <w:sz w:val="18"/>
                <w:szCs w:val="18"/>
              </w:rPr>
            </w:r>
          </w:p>
        </w:tc>
      </w:tr>
      <w:tr>
        <w:trPr>
          <w:trHeight w:val="739"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2017.01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大数据</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486" w:right="35" w:hanging="450"/>
              <w:jc w:val="left"/>
              <w:rPr>
                <w:rFonts w:ascii="宋体" w:hAnsi="宋体" w:cs="宋体" w:eastAsia="宋体" w:hint="default"/>
                <w:sz w:val="18"/>
                <w:szCs w:val="18"/>
              </w:rPr>
            </w:pPr>
            <w:r>
              <w:rPr>
                <w:rFonts w:ascii="宋体" w:hAnsi="宋体" w:cs="宋体" w:eastAsia="宋体" w:hint="default"/>
                <w:sz w:val="18"/>
                <w:szCs w:val="18"/>
              </w:rPr>
              <w:t>工业和信息化 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大数据产业发展规划</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2016-2020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97"/>
              <w:jc w:val="left"/>
              <w:rPr>
                <w:rFonts w:ascii="宋体" w:hAnsi="宋体" w:cs="宋体" w:eastAsia="宋体" w:hint="default"/>
                <w:sz w:val="18"/>
                <w:szCs w:val="18"/>
              </w:rPr>
            </w:pPr>
            <w:r>
              <w:rPr>
                <w:rFonts w:ascii="宋体" w:hAnsi="宋体" w:cs="宋体" w:eastAsia="宋体" w:hint="default"/>
                <w:sz w:val="18"/>
                <w:szCs w:val="18"/>
              </w:rPr>
              <w:t>加快实施国家大数据战略，推动大数据产业健康快速发 展。</w:t>
            </w:r>
          </w:p>
        </w:tc>
      </w:tr>
      <w:tr>
        <w:trPr>
          <w:trHeight w:val="738"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2017.01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税务大数据</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国家税务总局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全国税务稽查规范</w:t>
            </w:r>
          </w:p>
          <w:p>
            <w:pPr>
              <w:pStyle w:val="TableParagraph"/>
              <w:spacing w:line="240" w:lineRule="auto" w:before="77"/>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版）</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7"/>
              <w:jc w:val="left"/>
              <w:rPr>
                <w:rFonts w:ascii="宋体" w:hAnsi="宋体" w:cs="宋体" w:eastAsia="宋体" w:hint="default"/>
                <w:sz w:val="18"/>
                <w:szCs w:val="18"/>
              </w:rPr>
            </w:pPr>
            <w:r>
              <w:rPr>
                <w:rFonts w:ascii="宋体" w:hAnsi="宋体" w:cs="宋体" w:eastAsia="宋体" w:hint="default"/>
                <w:sz w:val="18"/>
                <w:szCs w:val="18"/>
              </w:rPr>
              <w:t>从税收违法案件查处、税收违法案件管理、税务稽查综合 管理等方面进一步规范税务稽查工作。</w:t>
            </w:r>
          </w:p>
        </w:tc>
      </w:tr>
      <w:tr>
        <w:trPr>
          <w:trHeight w:val="739"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2017.03</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网络空间安全</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486" w:right="35" w:hanging="450"/>
              <w:jc w:val="left"/>
              <w:rPr>
                <w:rFonts w:ascii="宋体" w:hAnsi="宋体" w:cs="宋体" w:eastAsia="宋体" w:hint="default"/>
                <w:sz w:val="18"/>
                <w:szCs w:val="18"/>
              </w:rPr>
            </w:pPr>
            <w:r>
              <w:rPr>
                <w:rFonts w:ascii="宋体" w:hAnsi="宋体" w:cs="宋体" w:eastAsia="宋体" w:hint="default"/>
                <w:sz w:val="18"/>
                <w:szCs w:val="18"/>
              </w:rPr>
              <w:t>工业和信息化 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1"/>
              <w:jc w:val="left"/>
              <w:rPr>
                <w:rFonts w:ascii="宋体" w:hAnsi="宋体" w:cs="宋体" w:eastAsia="宋体" w:hint="default"/>
                <w:sz w:val="18"/>
                <w:szCs w:val="18"/>
              </w:rPr>
            </w:pPr>
            <w:r>
              <w:rPr>
                <w:rFonts w:ascii="宋体" w:hAnsi="宋体" w:cs="宋体" w:eastAsia="宋体" w:hint="default"/>
                <w:sz w:val="18"/>
                <w:szCs w:val="18"/>
              </w:rPr>
              <w:t>云计算发展三年行动 计划（</w:t>
            </w:r>
            <w:r>
              <w:rPr>
                <w:rFonts w:ascii="Times New Roman" w:hAnsi="Times New Roman" w:cs="Times New Roman" w:eastAsia="Times New Roman" w:hint="default"/>
                <w:sz w:val="18"/>
                <w:szCs w:val="18"/>
              </w:rPr>
              <w:t>2017-2019</w:t>
            </w:r>
            <w:r>
              <w:rPr>
                <w:rFonts w:ascii="宋体" w:hAnsi="宋体" w:cs="宋体" w:eastAsia="宋体" w:hint="default"/>
                <w:sz w:val="18"/>
                <w:szCs w:val="18"/>
              </w:rPr>
              <w:t>年）</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提出完善云计算网络安全保障制度、推动云计算网络安全 技术发展、推动云计算安全服务产业发展等重点任务。</w:t>
            </w:r>
          </w:p>
        </w:tc>
      </w:tr>
      <w:tr>
        <w:trPr>
          <w:trHeight w:val="1051"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2017.04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90" w:right="89"/>
              <w:jc w:val="center"/>
              <w:rPr>
                <w:rFonts w:ascii="宋体" w:hAnsi="宋体" w:cs="宋体" w:eastAsia="宋体" w:hint="default"/>
                <w:sz w:val="18"/>
                <w:szCs w:val="18"/>
              </w:rPr>
            </w:pPr>
            <w:r>
              <w:rPr>
                <w:rFonts w:ascii="宋体" w:hAnsi="宋体" w:cs="宋体" w:eastAsia="宋体" w:hint="default"/>
                <w:sz w:val="18"/>
                <w:szCs w:val="18"/>
              </w:rPr>
              <w:t>公安大数据、 电子数据取 证、专项设备</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公安部</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00" w:lineRule="auto"/>
              <w:ind w:left="3" w:right="161"/>
              <w:jc w:val="left"/>
              <w:rPr>
                <w:rFonts w:ascii="宋体" w:hAnsi="宋体" w:cs="宋体" w:eastAsia="宋体" w:hint="default"/>
                <w:sz w:val="18"/>
                <w:szCs w:val="18"/>
              </w:rPr>
            </w:pPr>
            <w:r>
              <w:rPr>
                <w:rFonts w:ascii="宋体" w:hAnsi="宋体" w:cs="宋体" w:eastAsia="宋体" w:hint="default"/>
                <w:sz w:val="18"/>
                <w:szCs w:val="18"/>
              </w:rPr>
              <w:t>公安科技创新</w:t>
            </w:r>
            <w:r>
              <w:rPr>
                <w:rFonts w:ascii="Times New Roman" w:hAnsi="Times New Roman" w:cs="Times New Roman" w:eastAsia="Times New Roman" w:hint="default"/>
                <w:sz w:val="18"/>
                <w:szCs w:val="18"/>
              </w:rPr>
              <w:t>“</w:t>
            </w:r>
            <w:r>
              <w:rPr>
                <w:rFonts w:ascii="宋体" w:hAnsi="宋体" w:cs="宋体" w:eastAsia="宋体" w:hint="default"/>
                <w:sz w:val="18"/>
                <w:szCs w:val="18"/>
              </w:rPr>
              <w:t>十三 五</w:t>
            </w:r>
            <w:r>
              <w:rPr>
                <w:rFonts w:ascii="Times New Roman" w:hAnsi="Times New Roman" w:cs="Times New Roman" w:eastAsia="Times New Roman" w:hint="default"/>
                <w:sz w:val="18"/>
                <w:szCs w:val="18"/>
              </w:rPr>
              <w:t>”</w:t>
            </w:r>
            <w:r>
              <w:rPr>
                <w:rFonts w:ascii="宋体" w:hAnsi="宋体" w:cs="宋体" w:eastAsia="宋体" w:hint="default"/>
                <w:sz w:val="18"/>
                <w:szCs w:val="18"/>
              </w:rPr>
              <w:t>专项规划</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both"/>
              <w:rPr>
                <w:rFonts w:ascii="宋体" w:hAnsi="宋体" w:cs="宋体" w:eastAsia="宋体" w:hint="default"/>
                <w:sz w:val="18"/>
                <w:szCs w:val="18"/>
              </w:rPr>
            </w:pPr>
            <w:r>
              <w:rPr>
                <w:rFonts w:ascii="宋体" w:hAnsi="宋体" w:cs="宋体" w:eastAsia="宋体" w:hint="default"/>
                <w:sz w:val="18"/>
                <w:szCs w:val="18"/>
              </w:rPr>
              <w:t>指出要促进技术与装备应用的智能化、数据化、网络化、 集成化、移动化；提升公安工作职能感知、立体防控、快 速处置与精准服务能力。</w:t>
            </w:r>
          </w:p>
        </w:tc>
      </w:tr>
      <w:tr>
        <w:trPr>
          <w:trHeight w:val="375" w:hRule="exact"/>
        </w:trPr>
        <w:tc>
          <w:tcPr>
            <w:tcW w:w="817"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1168"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关于加强税务稽查信</w:t>
            </w:r>
          </w:p>
        </w:tc>
        <w:tc>
          <w:tcPr>
            <w:tcW w:w="45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树立大数据和</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理念，推广应用电子数据取证软</w:t>
            </w:r>
          </w:p>
        </w:tc>
      </w:tr>
      <w:tr>
        <w:trPr>
          <w:trHeight w:val="311"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0" w:lineRule="auto" w:before="46"/>
              <w:ind w:right="212"/>
              <w:jc w:val="right"/>
              <w:rPr>
                <w:rFonts w:ascii="Times New Roman" w:hAnsi="Times New Roman" w:cs="Times New Roman" w:eastAsia="Times New Roman" w:hint="default"/>
                <w:sz w:val="18"/>
                <w:szCs w:val="18"/>
              </w:rPr>
            </w:pPr>
            <w:r>
              <w:rPr>
                <w:rFonts w:ascii="Times New Roman"/>
                <w:sz w:val="18"/>
              </w:rPr>
              <w:t>2017.05</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税务大数据</w:t>
            </w: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税务局</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息化应用管理的指导</w:t>
            </w:r>
          </w:p>
        </w:tc>
        <w:tc>
          <w:tcPr>
            <w:tcW w:w="453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件和工具，持续优化金税三期工程稽查模块，着力深化稽</w:t>
            </w:r>
          </w:p>
        </w:tc>
      </w:tr>
      <w:tr>
        <w:trPr>
          <w:trHeight w:val="365" w:hRule="exact"/>
        </w:trPr>
        <w:tc>
          <w:tcPr>
            <w:tcW w:w="817"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1168"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3" w:right="0"/>
              <w:jc w:val="left"/>
              <w:rPr>
                <w:rFonts w:ascii="宋体" w:hAnsi="宋体" w:cs="宋体" w:eastAsia="宋体" w:hint="default"/>
                <w:sz w:val="18"/>
                <w:szCs w:val="18"/>
              </w:rPr>
            </w:pPr>
            <w:r>
              <w:rPr>
                <w:rFonts w:ascii="宋体" w:hAnsi="宋体" w:cs="宋体" w:eastAsia="宋体" w:hint="default"/>
                <w:sz w:val="18"/>
                <w:szCs w:val="18"/>
              </w:rPr>
              <w:t>意见</w:t>
            </w:r>
          </w:p>
        </w:tc>
        <w:tc>
          <w:tcPr>
            <w:tcW w:w="453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查大数据，规范和推广稽查应用软件。</w:t>
            </w:r>
          </w:p>
        </w:tc>
      </w:tr>
      <w:tr>
        <w:trPr>
          <w:trHeight w:val="1051"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2017.06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检察院大数据</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最高人民检察 院</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检察大数据行动指南</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2017-2020</w:t>
            </w:r>
            <w:r>
              <w:rPr>
                <w:rFonts w:ascii="宋体" w:hAnsi="宋体" w:cs="宋体" w:eastAsia="宋体" w:hint="default"/>
                <w:sz w:val="18"/>
                <w:szCs w:val="18"/>
              </w:rPr>
              <w:t>）</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both"/>
              <w:rPr>
                <w:rFonts w:ascii="宋体" w:hAnsi="宋体" w:cs="宋体" w:eastAsia="宋体" w:hint="default"/>
                <w:sz w:val="18"/>
                <w:szCs w:val="18"/>
              </w:rPr>
            </w:pPr>
            <w:r>
              <w:rPr>
                <w:rFonts w:ascii="宋体" w:hAnsi="宋体" w:cs="宋体" w:eastAsia="宋体" w:hint="default"/>
                <w:sz w:val="18"/>
                <w:szCs w:val="18"/>
              </w:rPr>
              <w:t>全国检察监管将依托大数据及智能语音等前沿科技，统筹 利用以司法办案数据为核心的检察数据资源，建立检察大 数据总体架构。</w:t>
            </w:r>
          </w:p>
        </w:tc>
      </w:tr>
      <w:tr>
        <w:trPr>
          <w:trHeight w:val="1051"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2017.06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网络空间安全</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6" w:right="35"/>
              <w:jc w:val="center"/>
              <w:rPr>
                <w:rFonts w:ascii="宋体" w:hAnsi="宋体" w:cs="宋体" w:eastAsia="宋体" w:hint="default"/>
                <w:sz w:val="18"/>
                <w:szCs w:val="18"/>
              </w:rPr>
            </w:pPr>
            <w:r>
              <w:rPr>
                <w:rFonts w:ascii="宋体" w:hAnsi="宋体" w:cs="宋体" w:eastAsia="宋体" w:hint="default"/>
                <w:sz w:val="18"/>
                <w:szCs w:val="18"/>
              </w:rPr>
              <w:t>全国人民代表 大会常务委员 会</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3" w:right="61"/>
              <w:jc w:val="left"/>
              <w:rPr>
                <w:rFonts w:ascii="宋体" w:hAnsi="宋体" w:cs="宋体" w:eastAsia="宋体" w:hint="default"/>
                <w:sz w:val="18"/>
                <w:szCs w:val="18"/>
              </w:rPr>
            </w:pPr>
            <w:r>
              <w:rPr>
                <w:rFonts w:ascii="宋体" w:hAnsi="宋体" w:cs="宋体" w:eastAsia="宋体" w:hint="default"/>
                <w:sz w:val="18"/>
                <w:szCs w:val="18"/>
              </w:rPr>
              <w:t>中华人民共和国网络 安全法</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2" w:right="17"/>
              <w:jc w:val="left"/>
              <w:rPr>
                <w:rFonts w:ascii="宋体" w:hAnsi="宋体" w:cs="宋体" w:eastAsia="宋体" w:hint="default"/>
                <w:sz w:val="18"/>
                <w:szCs w:val="18"/>
              </w:rPr>
            </w:pPr>
            <w:r>
              <w:rPr>
                <w:rFonts w:ascii="宋体" w:hAnsi="宋体" w:cs="宋体" w:eastAsia="宋体" w:hint="default"/>
                <w:sz w:val="18"/>
                <w:szCs w:val="18"/>
              </w:rPr>
              <w:t>标志着网络空间治理，网络信息传播秩序规范等方面计量 翻开崭新一页。</w:t>
            </w:r>
          </w:p>
        </w:tc>
      </w:tr>
      <w:tr>
        <w:trPr>
          <w:trHeight w:val="370" w:hRule="exact"/>
        </w:trPr>
        <w:tc>
          <w:tcPr>
            <w:tcW w:w="817"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1168"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45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公安部召开的全国公安科技信息化工作会议，郭声琨在讲</w:t>
            </w:r>
          </w:p>
        </w:tc>
      </w:tr>
      <w:tr>
        <w:trPr>
          <w:trHeight w:val="937"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2"/>
              <w:jc w:val="right"/>
              <w:rPr>
                <w:rFonts w:ascii="Times New Roman" w:hAnsi="Times New Roman" w:cs="Times New Roman" w:eastAsia="Times New Roman" w:hint="default"/>
                <w:sz w:val="18"/>
                <w:szCs w:val="18"/>
              </w:rPr>
            </w:pPr>
            <w:r>
              <w:rPr>
                <w:rFonts w:ascii="Times New Roman"/>
                <w:sz w:val="18"/>
              </w:rPr>
              <w:t>2017.06</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公安大数据</w:t>
            </w: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公安部</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3" w:right="61"/>
              <w:jc w:val="left"/>
              <w:rPr>
                <w:rFonts w:ascii="宋体" w:hAnsi="宋体" w:cs="宋体" w:eastAsia="宋体" w:hint="default"/>
                <w:sz w:val="18"/>
                <w:szCs w:val="18"/>
              </w:rPr>
            </w:pPr>
            <w:r>
              <w:rPr>
                <w:rFonts w:ascii="宋体" w:hAnsi="宋体" w:cs="宋体" w:eastAsia="宋体" w:hint="default"/>
                <w:sz w:val="18"/>
                <w:szCs w:val="18"/>
              </w:rPr>
              <w:t>全国公安科技信息化 工作会议</w:t>
            </w:r>
          </w:p>
        </w:tc>
        <w:tc>
          <w:tcPr>
            <w:tcW w:w="4536" w:type="dxa"/>
            <w:tcBorders>
              <w:top w:val="nil" w:sz="6" w:space="0" w:color="auto"/>
              <w:left w:val="single" w:sz="6" w:space="0" w:color="000000"/>
              <w:bottom w:val="nil" w:sz="6" w:space="0" w:color="auto"/>
              <w:right w:val="single" w:sz="6" w:space="0" w:color="000000"/>
            </w:tcBorders>
          </w:tcPr>
          <w:p>
            <w:pPr>
              <w:pStyle w:val="TableParagraph"/>
              <w:spacing w:line="309" w:lineRule="auto" w:before="10"/>
              <w:ind w:left="2" w:right="17"/>
              <w:jc w:val="both"/>
              <w:rPr>
                <w:rFonts w:ascii="宋体" w:hAnsi="宋体" w:cs="宋体" w:eastAsia="宋体" w:hint="default"/>
                <w:sz w:val="18"/>
                <w:szCs w:val="18"/>
              </w:rPr>
            </w:pPr>
            <w:r>
              <w:rPr>
                <w:rFonts w:ascii="宋体" w:hAnsi="宋体" w:cs="宋体" w:eastAsia="宋体" w:hint="default"/>
                <w:sz w:val="18"/>
                <w:szCs w:val="18"/>
              </w:rPr>
              <w:t>话时强调，各级公安机关要以大数据建设和应用为重点， 紧密结合</w:t>
            </w:r>
            <w:r>
              <w:rPr>
                <w:rFonts w:ascii="Times New Roman" w:hAnsi="Times New Roman" w:cs="Times New Roman" w:eastAsia="Times New Roman" w:hint="default"/>
                <w:sz w:val="18"/>
                <w:szCs w:val="18"/>
              </w:rPr>
              <w:t>“</w:t>
            </w:r>
            <w:r>
              <w:rPr>
                <w:rFonts w:ascii="宋体" w:hAnsi="宋体" w:cs="宋体" w:eastAsia="宋体" w:hint="default"/>
                <w:sz w:val="18"/>
                <w:szCs w:val="18"/>
              </w:rPr>
              <w:t>四项建设</w:t>
            </w:r>
            <w:r>
              <w:rPr>
                <w:rFonts w:ascii="Times New Roman" w:hAnsi="Times New Roman" w:cs="Times New Roman" w:eastAsia="Times New Roman" w:hint="default"/>
                <w:sz w:val="18"/>
                <w:szCs w:val="18"/>
              </w:rPr>
              <w:t>”</w:t>
            </w:r>
            <w:r>
              <w:rPr>
                <w:rFonts w:ascii="宋体" w:hAnsi="宋体" w:cs="宋体" w:eastAsia="宋体" w:hint="default"/>
                <w:sz w:val="18"/>
                <w:szCs w:val="18"/>
              </w:rPr>
              <w:t>任务，把大数据理念贯穿于基础信息 化建设全过程，各环节，不断推动公安科技信息化建设提</w:t>
            </w:r>
          </w:p>
        </w:tc>
      </w:tr>
      <w:tr>
        <w:trPr>
          <w:trHeight w:val="368" w:hRule="exact"/>
        </w:trPr>
        <w:tc>
          <w:tcPr>
            <w:tcW w:w="817"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1168"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453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档升级。</w:t>
            </w:r>
          </w:p>
        </w:tc>
      </w:tr>
      <w:tr>
        <w:trPr>
          <w:trHeight w:val="1051"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2017.07</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人工智能</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国务院</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3" w:right="61"/>
              <w:jc w:val="left"/>
              <w:rPr>
                <w:rFonts w:ascii="宋体" w:hAnsi="宋体" w:cs="宋体" w:eastAsia="宋体" w:hint="default"/>
                <w:sz w:val="18"/>
                <w:szCs w:val="18"/>
              </w:rPr>
            </w:pPr>
            <w:r>
              <w:rPr>
                <w:rFonts w:ascii="宋体" w:hAnsi="宋体" w:cs="宋体" w:eastAsia="宋体" w:hint="default"/>
                <w:sz w:val="18"/>
                <w:szCs w:val="18"/>
              </w:rPr>
              <w:t>新一代人工智能发展 规划</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7"/>
              <w:jc w:val="both"/>
              <w:rPr>
                <w:rFonts w:ascii="宋体" w:hAnsi="宋体" w:cs="宋体" w:eastAsia="宋体" w:hint="default"/>
                <w:sz w:val="18"/>
                <w:szCs w:val="18"/>
              </w:rPr>
            </w:pPr>
            <w:r>
              <w:rPr>
                <w:rFonts w:ascii="宋体" w:hAnsi="宋体" w:cs="宋体" w:eastAsia="宋体" w:hint="default"/>
                <w:sz w:val="18"/>
                <w:szCs w:val="18"/>
              </w:rPr>
              <w:t>提出将人工智能发展放在国家战略层面系统布局，主动谋 划，牢牢把握人工智能发展现阶段国际竞争的战略主动， 打造竞争新优势，开拓发展新空间，有效保障国家安全。</w:t>
            </w:r>
          </w:p>
        </w:tc>
      </w:tr>
      <w:tr>
        <w:trPr>
          <w:trHeight w:val="375" w:hRule="exact"/>
        </w:trPr>
        <w:tc>
          <w:tcPr>
            <w:tcW w:w="817"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1168"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45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北京举行的国际刑警组织第</w:t>
            </w:r>
            <w:r>
              <w:rPr>
                <w:rFonts w:ascii="Times New Roman" w:hAnsi="Times New Roman" w:cs="Times New Roman" w:eastAsia="Times New Roman" w:hint="default"/>
                <w:sz w:val="18"/>
                <w:szCs w:val="18"/>
              </w:rPr>
              <w:t>86</w:t>
            </w:r>
            <w:r>
              <w:rPr>
                <w:rFonts w:ascii="宋体" w:hAnsi="宋体" w:cs="宋体" w:eastAsia="宋体" w:hint="default"/>
                <w:sz w:val="18"/>
                <w:szCs w:val="18"/>
              </w:rPr>
              <w:t>届全体大会上，国家主席习</w:t>
            </w:r>
          </w:p>
        </w:tc>
      </w:tr>
      <w:tr>
        <w:trPr>
          <w:trHeight w:val="311" w:hRule="exact"/>
        </w:trPr>
        <w:tc>
          <w:tcPr>
            <w:tcW w:w="817"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168"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453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总书记宣布</w:t>
            </w:r>
            <w:r>
              <w:rPr>
                <w:rFonts w:ascii="Times New Roman" w:hAnsi="Times New Roman" w:cs="Times New Roman" w:eastAsia="Times New Roman" w:hint="default"/>
                <w:sz w:val="18"/>
                <w:szCs w:val="18"/>
              </w:rPr>
              <w:t>“</w:t>
            </w:r>
            <w:r>
              <w:rPr>
                <w:rFonts w:ascii="宋体" w:hAnsi="宋体" w:cs="宋体" w:eastAsia="宋体" w:hint="default"/>
                <w:sz w:val="18"/>
                <w:szCs w:val="18"/>
              </w:rPr>
              <w:t>在未来五年内，中国政府将采取实际行动支</w:t>
            </w:r>
          </w:p>
        </w:tc>
      </w:tr>
      <w:tr>
        <w:trPr>
          <w:trHeight w:val="931"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12"/>
              <w:jc w:val="right"/>
              <w:rPr>
                <w:rFonts w:ascii="Times New Roman" w:hAnsi="Times New Roman" w:cs="Times New Roman" w:eastAsia="Times New Roman" w:hint="default"/>
                <w:sz w:val="18"/>
                <w:szCs w:val="18"/>
              </w:rPr>
            </w:pPr>
            <w:r>
              <w:rPr>
                <w:rFonts w:ascii="Times New Roman"/>
                <w:sz w:val="18"/>
              </w:rPr>
              <w:t>2017.09</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国际市场</w:t>
            </w: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国际刑警组织</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00" w:lineRule="auto"/>
              <w:ind w:left="3" w:right="61"/>
              <w:jc w:val="left"/>
              <w:rPr>
                <w:rFonts w:ascii="宋体" w:hAnsi="宋体" w:cs="宋体" w:eastAsia="宋体" w:hint="default"/>
                <w:sz w:val="18"/>
                <w:szCs w:val="18"/>
              </w:rPr>
            </w:pPr>
            <w:r>
              <w:rPr>
                <w:rFonts w:ascii="宋体" w:hAnsi="宋体" w:cs="宋体" w:eastAsia="宋体" w:hint="default"/>
                <w:sz w:val="18"/>
                <w:szCs w:val="18"/>
              </w:rPr>
              <w:t>国际刑警组织第</w:t>
            </w:r>
            <w:r>
              <w:rPr>
                <w:rFonts w:ascii="Times New Roman" w:hAnsi="Times New Roman" w:cs="Times New Roman" w:eastAsia="Times New Roman" w:hint="default"/>
                <w:sz w:val="18"/>
                <w:szCs w:val="18"/>
              </w:rPr>
              <w:t>86</w:t>
            </w:r>
            <w:r>
              <w:rPr>
                <w:rFonts w:ascii="宋体" w:hAnsi="宋体" w:cs="宋体" w:eastAsia="宋体" w:hint="default"/>
                <w:sz w:val="18"/>
                <w:szCs w:val="18"/>
              </w:rPr>
              <w:t>届 全体大会</w:t>
            </w:r>
          </w:p>
        </w:tc>
        <w:tc>
          <w:tcPr>
            <w:tcW w:w="4536" w:type="dxa"/>
            <w:tcBorders>
              <w:top w:val="nil" w:sz="6" w:space="0" w:color="auto"/>
              <w:left w:val="single" w:sz="6" w:space="0" w:color="000000"/>
              <w:bottom w:val="nil" w:sz="6" w:space="0" w:color="auto"/>
              <w:right w:val="single" w:sz="6" w:space="0" w:color="000000"/>
            </w:tcBorders>
          </w:tcPr>
          <w:p>
            <w:pPr>
              <w:pStyle w:val="TableParagraph"/>
              <w:spacing w:line="309" w:lineRule="auto" w:before="5"/>
              <w:ind w:left="2" w:right="17"/>
              <w:jc w:val="left"/>
              <w:rPr>
                <w:rFonts w:ascii="宋体" w:hAnsi="宋体" w:cs="宋体" w:eastAsia="宋体" w:hint="default"/>
                <w:sz w:val="18"/>
                <w:szCs w:val="18"/>
              </w:rPr>
            </w:pPr>
            <w:r>
              <w:rPr>
                <w:rFonts w:ascii="宋体" w:hAnsi="宋体" w:cs="宋体" w:eastAsia="宋体" w:hint="default"/>
                <w:sz w:val="18"/>
                <w:szCs w:val="18"/>
              </w:rPr>
              <w:t>持国际刑警组织，包括支持国际刑警组织在反恐、打击网 络犯罪，打击新型有组织犯罪领域每年开展</w:t>
            </w:r>
            <w:r>
              <w:rPr>
                <w:rFonts w:ascii="Times New Roman" w:hAnsi="Times New Roman" w:cs="Times New Roman" w:eastAsia="Times New Roman" w:hint="default"/>
                <w:sz w:val="18"/>
                <w:szCs w:val="18"/>
              </w:rPr>
              <w:t>3</w:t>
            </w:r>
            <w:r>
              <w:rPr>
                <w:rFonts w:ascii="宋体" w:hAnsi="宋体" w:cs="宋体" w:eastAsia="宋体" w:hint="default"/>
                <w:sz w:val="18"/>
                <w:szCs w:val="18"/>
              </w:rPr>
              <w:t>次全球联合 行动；中国政府将成立公安部国际执法学院，为发展中国</w:t>
            </w:r>
          </w:p>
        </w:tc>
      </w:tr>
      <w:tr>
        <w:trPr>
          <w:trHeight w:val="318" w:hRule="exact"/>
        </w:trPr>
        <w:tc>
          <w:tcPr>
            <w:tcW w:w="817"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168"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
        </w:tc>
        <w:tc>
          <w:tcPr>
            <w:tcW w:w="45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家要培训</w:t>
            </w:r>
            <w:r>
              <w:rPr>
                <w:rFonts w:ascii="Times New Roman" w:hAnsi="Times New Roman" w:cs="Times New Roman" w:eastAsia="Times New Roman" w:hint="default"/>
                <w:sz w:val="18"/>
                <w:szCs w:val="18"/>
              </w:rPr>
              <w:t>2</w:t>
            </w:r>
            <w:r>
              <w:rPr>
                <w:rFonts w:ascii="宋体" w:hAnsi="宋体" w:cs="宋体" w:eastAsia="宋体" w:hint="default"/>
                <w:sz w:val="18"/>
                <w:szCs w:val="18"/>
              </w:rPr>
              <w:t>万名的执法人员；为</w:t>
            </w:r>
            <w:r>
              <w:rPr>
                <w:rFonts w:ascii="Times New Roman" w:hAnsi="Times New Roman" w:cs="Times New Roman" w:eastAsia="Times New Roman" w:hint="default"/>
                <w:sz w:val="18"/>
                <w:szCs w:val="18"/>
              </w:rPr>
              <w:t>100</w:t>
            </w:r>
            <w:r>
              <w:rPr>
                <w:rFonts w:ascii="宋体" w:hAnsi="宋体" w:cs="宋体" w:eastAsia="宋体" w:hint="default"/>
                <w:sz w:val="18"/>
                <w:szCs w:val="18"/>
              </w:rPr>
              <w:t>个发展中国家援建升级</w:t>
            </w:r>
          </w:p>
        </w:tc>
      </w:tr>
      <w:tr>
        <w:trPr>
          <w:trHeight w:val="364" w:hRule="exact"/>
        </w:trPr>
        <w:tc>
          <w:tcPr>
            <w:tcW w:w="817"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1168"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453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国际刑警组织通信系统和刑事调查实验室等。</w:t>
            </w:r>
          </w:p>
        </w:tc>
      </w:tr>
      <w:tr>
        <w:trPr>
          <w:trHeight w:val="739"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2017.11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电子数据取证</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中国人大网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61"/>
              <w:jc w:val="left"/>
              <w:rPr>
                <w:rFonts w:ascii="宋体" w:hAnsi="宋体" w:cs="宋体" w:eastAsia="宋体" w:hint="default"/>
                <w:sz w:val="18"/>
                <w:szCs w:val="18"/>
              </w:rPr>
            </w:pPr>
            <w:r>
              <w:rPr>
                <w:rFonts w:ascii="宋体" w:hAnsi="宋体" w:cs="宋体" w:eastAsia="宋体" w:hint="default"/>
                <w:sz w:val="18"/>
                <w:szCs w:val="18"/>
              </w:rPr>
              <w:t>中华人民共和国监察 法（草案）</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监察机关在监察工作中依法收集的物证、书证、电子数据 等证据材料，在刑事诉讼中可以作为证据使用。</w:t>
            </w:r>
          </w:p>
        </w:tc>
      </w:tr>
      <w:tr>
        <w:trPr>
          <w:trHeight w:val="700"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2"/>
              <w:jc w:val="right"/>
              <w:rPr>
                <w:rFonts w:ascii="Times New Roman" w:hAnsi="Times New Roman" w:cs="Times New Roman" w:eastAsia="Times New Roman" w:hint="default"/>
                <w:sz w:val="18"/>
                <w:szCs w:val="18"/>
              </w:rPr>
            </w:pPr>
            <w:r>
              <w:rPr>
                <w:rFonts w:ascii="Times New Roman"/>
                <w:sz w:val="18"/>
              </w:rPr>
              <w:t>2017.12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大数据</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新华网</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61"/>
              <w:jc w:val="left"/>
              <w:rPr>
                <w:rFonts w:ascii="宋体" w:hAnsi="宋体" w:cs="宋体" w:eastAsia="宋体" w:hint="default"/>
                <w:sz w:val="18"/>
                <w:szCs w:val="18"/>
              </w:rPr>
            </w:pPr>
            <w:r>
              <w:rPr>
                <w:rFonts w:ascii="宋体" w:hAnsi="宋体" w:cs="宋体" w:eastAsia="宋体" w:hint="default"/>
                <w:sz w:val="18"/>
                <w:szCs w:val="18"/>
              </w:rPr>
              <w:t>中共中央政治局就实 施国家大数据战略进</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left"/>
              <w:rPr>
                <w:rFonts w:ascii="宋体" w:hAnsi="宋体" w:cs="宋体" w:eastAsia="宋体" w:hint="default"/>
                <w:sz w:val="18"/>
                <w:szCs w:val="18"/>
              </w:rPr>
            </w:pPr>
            <w:r>
              <w:rPr>
                <w:rFonts w:ascii="宋体" w:hAnsi="宋体" w:cs="宋体" w:eastAsia="宋体" w:hint="default"/>
                <w:sz w:val="18"/>
                <w:szCs w:val="18"/>
              </w:rPr>
              <w:t>深入了解大数据发展现状和趋势及其对经济社会发展的影 响，分析我国大数据取得成绩和存在的问题，推动实施国</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217" w:type="dxa"/>
        <w:tblLayout w:type="fixed"/>
        <w:tblCellMar>
          <w:top w:w="0" w:type="dxa"/>
          <w:left w:w="0" w:type="dxa"/>
          <w:bottom w:w="0" w:type="dxa"/>
          <w:right w:w="0" w:type="dxa"/>
        </w:tblCellMar>
        <w:tblLook w:val="01E0"/>
      </w:tblPr>
      <w:tblGrid>
        <w:gridCol w:w="817"/>
        <w:gridCol w:w="1276"/>
        <w:gridCol w:w="1168"/>
        <w:gridCol w:w="1702"/>
        <w:gridCol w:w="4536"/>
      </w:tblGrid>
      <w:tr>
        <w:trPr>
          <w:trHeight w:val="1010" w:hRule="exact"/>
        </w:trPr>
        <w:tc>
          <w:tcPr>
            <w:tcW w:w="81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行第二次集体学习</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7"/>
              <w:jc w:val="both"/>
              <w:rPr>
                <w:rFonts w:ascii="宋体" w:hAnsi="宋体" w:cs="宋体" w:eastAsia="宋体" w:hint="default"/>
                <w:sz w:val="18"/>
                <w:szCs w:val="18"/>
              </w:rPr>
            </w:pPr>
            <w:r>
              <w:rPr>
                <w:rFonts w:ascii="宋体" w:hAnsi="宋体" w:cs="宋体" w:eastAsia="宋体" w:hint="default"/>
                <w:sz w:val="18"/>
                <w:szCs w:val="18"/>
              </w:rPr>
              <w:t>家大数据战略，加快完善数字基础设施，推进数据资源整 合和开放共享，保障数据安全，加快建设数字中国，更好 服务我国经济社会发展和人民生活改善。</w:t>
            </w:r>
          </w:p>
        </w:tc>
      </w:tr>
      <w:tr>
        <w:trPr>
          <w:trHeight w:val="371" w:hRule="exact"/>
        </w:trPr>
        <w:tc>
          <w:tcPr>
            <w:tcW w:w="817" w:type="dxa"/>
            <w:tcBorders>
              <w:top w:val="single" w:sz="6" w:space="0" w:color="000000"/>
              <w:left w:val="single" w:sz="6" w:space="0" w:color="000000"/>
              <w:bottom w:val="nil" w:sz="6" w:space="0" w:color="auto"/>
              <w:right w:val="single" w:sz="6" w:space="0" w:color="000000"/>
            </w:tcBorders>
          </w:tcPr>
          <w:p>
            <w:pPr/>
          </w:p>
        </w:tc>
        <w:tc>
          <w:tcPr>
            <w:tcW w:w="1276" w:type="dxa"/>
            <w:tcBorders>
              <w:top w:val="single" w:sz="6" w:space="0" w:color="000000"/>
              <w:left w:val="single" w:sz="6" w:space="0" w:color="000000"/>
              <w:bottom w:val="nil" w:sz="6" w:space="0" w:color="auto"/>
              <w:right w:val="single" w:sz="6" w:space="0" w:color="000000"/>
            </w:tcBorders>
          </w:tcPr>
          <w:p>
            <w:pPr/>
          </w:p>
        </w:tc>
        <w:tc>
          <w:tcPr>
            <w:tcW w:w="1168" w:type="dxa"/>
            <w:tcBorders>
              <w:top w:val="single" w:sz="6" w:space="0" w:color="000000"/>
              <w:left w:val="single" w:sz="6" w:space="0" w:color="000000"/>
              <w:bottom w:val="nil" w:sz="6" w:space="0" w:color="auto"/>
              <w:right w:val="single" w:sz="6" w:space="0" w:color="000000"/>
            </w:tcBorders>
          </w:tcPr>
          <w:p>
            <w:pPr/>
          </w:p>
        </w:tc>
        <w:tc>
          <w:tcPr>
            <w:tcW w:w="1702" w:type="dxa"/>
            <w:tcBorders>
              <w:top w:val="single" w:sz="6" w:space="0" w:color="000000"/>
              <w:left w:val="single" w:sz="6" w:space="0" w:color="000000"/>
              <w:bottom w:val="nil" w:sz="6" w:space="0" w:color="auto"/>
              <w:right w:val="single" w:sz="6" w:space="0" w:color="000000"/>
            </w:tcBorders>
          </w:tcPr>
          <w:p>
            <w:pPr/>
          </w:p>
        </w:tc>
        <w:tc>
          <w:tcPr>
            <w:tcW w:w="45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以三年为期限明确了多项任务的具体目标，提出了四方面</w:t>
            </w:r>
          </w:p>
        </w:tc>
      </w:tr>
      <w:tr>
        <w:trPr>
          <w:trHeight w:val="317" w:hRule="exact"/>
        </w:trPr>
        <w:tc>
          <w:tcPr>
            <w:tcW w:w="817"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168"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促进新一代人工智能</w:t>
            </w:r>
          </w:p>
        </w:tc>
        <w:tc>
          <w:tcPr>
            <w:tcW w:w="453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主要任务、</w:t>
            </w:r>
            <w:r>
              <w:rPr>
                <w:rFonts w:ascii="Times New Roman" w:hAnsi="Times New Roman" w:cs="Times New Roman" w:eastAsia="Times New Roman" w:hint="default"/>
                <w:sz w:val="18"/>
                <w:szCs w:val="18"/>
              </w:rPr>
              <w:t>17</w:t>
            </w:r>
            <w:r>
              <w:rPr>
                <w:rFonts w:ascii="宋体" w:hAnsi="宋体" w:cs="宋体" w:eastAsia="宋体" w:hint="default"/>
                <w:sz w:val="18"/>
                <w:szCs w:val="18"/>
              </w:rPr>
              <w:t>个产品和领域，包括重点培育和发展智能网</w:t>
            </w:r>
          </w:p>
        </w:tc>
      </w:tr>
      <w:tr>
        <w:trPr>
          <w:trHeight w:val="311" w:hRule="exact"/>
        </w:trPr>
        <w:tc>
          <w:tcPr>
            <w:tcW w:w="817" w:type="dxa"/>
            <w:tcBorders>
              <w:top w:val="nil" w:sz="6" w:space="0" w:color="auto"/>
              <w:left w:val="single" w:sz="6" w:space="0" w:color="000000"/>
              <w:bottom w:val="nil" w:sz="6" w:space="0" w:color="auto"/>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18"/>
                <w:szCs w:val="18"/>
              </w:rPr>
            </w:pPr>
            <w:r>
              <w:rPr>
                <w:rFonts w:ascii="Times New Roman"/>
                <w:sz w:val="18"/>
              </w:rPr>
              <w:t>2017.12</w:t>
            </w:r>
          </w:p>
        </w:tc>
        <w:tc>
          <w:tcPr>
            <w:tcW w:w="127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人工智能</w:t>
            </w:r>
          </w:p>
        </w:tc>
        <w:tc>
          <w:tcPr>
            <w:tcW w:w="116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工信部</w:t>
            </w: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3" w:right="0"/>
              <w:jc w:val="left"/>
              <w:rPr>
                <w:rFonts w:ascii="宋体" w:hAnsi="宋体" w:cs="宋体" w:eastAsia="宋体" w:hint="default"/>
                <w:sz w:val="18"/>
                <w:szCs w:val="18"/>
              </w:rPr>
            </w:pPr>
            <w:r>
              <w:rPr>
                <w:rFonts w:ascii="宋体" w:hAnsi="宋体" w:cs="宋体" w:eastAsia="宋体" w:hint="default"/>
                <w:sz w:val="18"/>
                <w:szCs w:val="18"/>
              </w:rPr>
              <w:t>产业发展三年行动计</w:t>
            </w:r>
          </w:p>
        </w:tc>
        <w:tc>
          <w:tcPr>
            <w:tcW w:w="453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联汽车、智能服务机器人、智能无人机、医疗影像辅助诊</w:t>
            </w:r>
          </w:p>
        </w:tc>
      </w:tr>
      <w:tr>
        <w:trPr>
          <w:trHeight w:val="314" w:hRule="exact"/>
        </w:trPr>
        <w:tc>
          <w:tcPr>
            <w:tcW w:w="817"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168" w:type="dxa"/>
            <w:tcBorders>
              <w:top w:val="nil" w:sz="6" w:space="0" w:color="auto"/>
              <w:left w:val="single" w:sz="6" w:space="0" w:color="000000"/>
              <w:bottom w:val="nil" w:sz="6" w:space="0" w:color="auto"/>
              <w:right w:val="single" w:sz="6" w:space="0" w:color="000000"/>
            </w:tcBorders>
          </w:tcPr>
          <w:p>
            <w:pPr/>
          </w:p>
        </w:tc>
        <w:tc>
          <w:tcPr>
            <w:tcW w:w="170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2018-2020</w:t>
            </w:r>
            <w:r>
              <w:rPr>
                <w:rFonts w:ascii="宋体" w:hAnsi="宋体" w:cs="宋体" w:eastAsia="宋体" w:hint="default"/>
                <w:sz w:val="18"/>
                <w:szCs w:val="18"/>
              </w:rPr>
              <w:t>）</w:t>
            </w:r>
          </w:p>
        </w:tc>
        <w:tc>
          <w:tcPr>
            <w:tcW w:w="453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断系统、智能翻译系统、智能家居产品等智能化产品，推</w:t>
            </w:r>
          </w:p>
        </w:tc>
      </w:tr>
      <w:tr>
        <w:trPr>
          <w:trHeight w:val="362" w:hRule="exact"/>
        </w:trPr>
        <w:tc>
          <w:tcPr>
            <w:tcW w:w="817" w:type="dxa"/>
            <w:tcBorders>
              <w:top w:val="nil" w:sz="6" w:space="0" w:color="auto"/>
              <w:left w:val="single" w:sz="6" w:space="0" w:color="000000"/>
              <w:bottom w:val="single" w:sz="6" w:space="0" w:color="000000"/>
              <w:right w:val="single" w:sz="6" w:space="0" w:color="000000"/>
            </w:tcBorders>
          </w:tcPr>
          <w:p>
            <w:pPr/>
          </w:p>
        </w:tc>
        <w:tc>
          <w:tcPr>
            <w:tcW w:w="1276" w:type="dxa"/>
            <w:tcBorders>
              <w:top w:val="nil" w:sz="6" w:space="0" w:color="auto"/>
              <w:left w:val="single" w:sz="6" w:space="0" w:color="000000"/>
              <w:bottom w:val="single" w:sz="6" w:space="0" w:color="000000"/>
              <w:right w:val="single" w:sz="6" w:space="0" w:color="000000"/>
            </w:tcBorders>
          </w:tcPr>
          <w:p>
            <w:pPr/>
          </w:p>
        </w:tc>
        <w:tc>
          <w:tcPr>
            <w:tcW w:w="1168" w:type="dxa"/>
            <w:tcBorders>
              <w:top w:val="nil" w:sz="6" w:space="0" w:color="auto"/>
              <w:left w:val="single" w:sz="6" w:space="0" w:color="000000"/>
              <w:bottom w:val="single" w:sz="6" w:space="0" w:color="000000"/>
              <w:right w:val="single" w:sz="6" w:space="0" w:color="000000"/>
            </w:tcBorders>
          </w:tcPr>
          <w:p>
            <w:pPr/>
          </w:p>
        </w:tc>
        <w:tc>
          <w:tcPr>
            <w:tcW w:w="1702" w:type="dxa"/>
            <w:tcBorders>
              <w:top w:val="nil" w:sz="6" w:space="0" w:color="auto"/>
              <w:left w:val="single" w:sz="6" w:space="0" w:color="000000"/>
              <w:bottom w:val="single" w:sz="6" w:space="0" w:color="000000"/>
              <w:right w:val="single" w:sz="6" w:space="0" w:color="000000"/>
            </w:tcBorders>
          </w:tcPr>
          <w:p>
            <w:pPr/>
          </w:p>
        </w:tc>
        <w:tc>
          <w:tcPr>
            <w:tcW w:w="453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动智能产品在经济社会的集成应用。</w:t>
            </w:r>
          </w:p>
        </w:tc>
      </w:tr>
      <w:tr>
        <w:trPr>
          <w:trHeight w:val="1052" w:hRule="exact"/>
        </w:trPr>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2018.1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城市公共安全</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国务院办公厅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3" w:right="61"/>
              <w:jc w:val="left"/>
              <w:rPr>
                <w:rFonts w:ascii="宋体" w:hAnsi="宋体" w:cs="宋体" w:eastAsia="宋体" w:hint="default"/>
                <w:sz w:val="18"/>
                <w:szCs w:val="18"/>
              </w:rPr>
            </w:pPr>
            <w:r>
              <w:rPr>
                <w:rFonts w:ascii="宋体" w:hAnsi="宋体" w:cs="宋体" w:eastAsia="宋体" w:hint="default"/>
                <w:sz w:val="18"/>
                <w:szCs w:val="18"/>
              </w:rPr>
              <w:t>关于推进城市安全发 展的意见</w:t>
            </w:r>
          </w:p>
        </w:tc>
        <w:tc>
          <w:tcPr>
            <w:tcW w:w="45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7"/>
              <w:jc w:val="both"/>
              <w:rPr>
                <w:rFonts w:ascii="宋体" w:hAnsi="宋体" w:cs="宋体" w:eastAsia="宋体" w:hint="default"/>
                <w:sz w:val="18"/>
                <w:szCs w:val="18"/>
              </w:rPr>
            </w:pPr>
            <w:r>
              <w:rPr>
                <w:rFonts w:ascii="宋体" w:hAnsi="宋体" w:cs="宋体" w:eastAsia="宋体" w:hint="default"/>
                <w:sz w:val="18"/>
                <w:szCs w:val="18"/>
              </w:rPr>
              <w:t>《意见》要求促进建立以安全生产为基础的综合性、全方 位、系统化的城市安全发展体系，全面提高城市安全保障 水平。</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526"/>
        <w:gridCol w:w="8041"/>
      </w:tblGrid>
      <w:tr>
        <w:trPr>
          <w:trHeight w:val="186" w:hRule="exact"/>
        </w:trPr>
        <w:tc>
          <w:tcPr>
            <w:tcW w:w="15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4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1526" w:type="dxa"/>
            <w:vMerge/>
            <w:tcBorders>
              <w:left w:val="single" w:sz="4" w:space="0" w:color="000000"/>
              <w:right w:val="single" w:sz="4" w:space="0" w:color="000000"/>
            </w:tcBorders>
            <w:shd w:val="clear" w:color="auto" w:fill="D3D3D3"/>
          </w:tcPr>
          <w:p>
            <w:pPr/>
          </w:p>
        </w:tc>
        <w:tc>
          <w:tcPr>
            <w:tcW w:w="80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1526" w:type="dxa"/>
            <w:vMerge/>
            <w:tcBorders>
              <w:left w:val="single" w:sz="4" w:space="0" w:color="000000"/>
              <w:bottom w:val="single" w:sz="4" w:space="0" w:color="000000"/>
              <w:right w:val="single" w:sz="4" w:space="0" w:color="000000"/>
            </w:tcBorders>
            <w:shd w:val="clear" w:color="auto" w:fill="D3D3D3"/>
          </w:tcPr>
          <w:p>
            <w:pPr/>
          </w:p>
        </w:tc>
        <w:tc>
          <w:tcPr>
            <w:tcW w:w="804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固定资产净值较年初增长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w:t>
            </w:r>
            <w:r>
              <w:rPr>
                <w:rFonts w:ascii="宋体" w:hAnsi="宋体" w:cs="宋体" w:eastAsia="宋体" w:hint="default"/>
                <w:sz w:val="18"/>
                <w:szCs w:val="18"/>
              </w:rPr>
              <w:t>，主要是由于本报告期在建完工转入及购置电子及办公设备所致。</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无形资产净值较年初增长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13.81%</w:t>
            </w:r>
            <w:r>
              <w:rPr>
                <w:rFonts w:ascii="宋体" w:hAnsi="宋体" w:cs="宋体" w:eastAsia="宋体" w:hint="default"/>
                <w:sz w:val="18"/>
                <w:szCs w:val="18"/>
              </w:rPr>
              <w:t>，主要是由于本报告期公司开发支出达到预定可使用转入所致。</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万，主要是由于本报告期在建工程完工所致。</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12.01%,</w:t>
            </w:r>
            <w:r>
              <w:rPr>
                <w:rFonts w:ascii="宋体" w:hAnsi="宋体" w:cs="宋体" w:eastAsia="宋体" w:hint="default"/>
                <w:sz w:val="18"/>
                <w:szCs w:val="18"/>
              </w:rPr>
              <w:t>主要是由于本报告期公司销售收入增加所致。</w:t>
            </w:r>
          </w:p>
        </w:tc>
      </w:tr>
      <w:tr>
        <w:trPr>
          <w:trHeight w:val="40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应收利息较年初增加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90.44%</w:t>
            </w:r>
            <w:r>
              <w:rPr>
                <w:rFonts w:ascii="宋体" w:hAnsi="宋体" w:cs="宋体" w:eastAsia="宋体" w:hint="default"/>
                <w:sz w:val="18"/>
                <w:szCs w:val="18"/>
              </w:rPr>
              <w:t>，主要是由于本报告期定期存款利息收入增加所致。</w:t>
            </w: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0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可供出售金融资产较年初增加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216.03%</w:t>
            </w:r>
            <w:r>
              <w:rPr>
                <w:rFonts w:ascii="宋体" w:hAnsi="宋体" w:cs="宋体" w:eastAsia="宋体" w:hint="default"/>
                <w:sz w:val="18"/>
                <w:szCs w:val="18"/>
              </w:rPr>
              <w:t>，主要是由于本报告期公司参股公司中新赛克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上市，公司 持有股权按公允价值计量所致。</w:t>
            </w:r>
          </w:p>
        </w:tc>
      </w:tr>
      <w:tr>
        <w:trPr>
          <w:trHeight w:val="71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0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6"/>
              <w:jc w:val="left"/>
              <w:rPr>
                <w:rFonts w:ascii="宋体" w:hAnsi="宋体" w:cs="宋体" w:eastAsia="宋体" w:hint="default"/>
                <w:sz w:val="18"/>
                <w:szCs w:val="18"/>
              </w:rPr>
            </w:pPr>
            <w:r>
              <w:rPr>
                <w:rFonts w:ascii="宋体" w:hAnsi="宋体" w:cs="宋体" w:eastAsia="宋体" w:hint="default"/>
                <w:sz w:val="18"/>
                <w:szCs w:val="18"/>
              </w:rPr>
              <w:t>长期股权投资较年初增长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41.16%</w:t>
            </w:r>
            <w:r>
              <w:rPr>
                <w:rFonts w:ascii="宋体" w:hAnsi="宋体" w:cs="宋体" w:eastAsia="宋体" w:hint="default"/>
                <w:sz w:val="18"/>
                <w:szCs w:val="18"/>
              </w:rPr>
              <w:t>，主要是由于本期公司控股子公司美亚智讯参股投资万方智讯和沈阳 城市公共安全公司所致。</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开发支出较年初增长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67.42%,</w:t>
            </w:r>
            <w:r>
              <w:rPr>
                <w:rFonts w:ascii="宋体" w:hAnsi="宋体" w:cs="宋体" w:eastAsia="宋体" w:hint="default"/>
                <w:sz w:val="18"/>
                <w:szCs w:val="18"/>
              </w:rPr>
              <w:t>主要是由于报告期公司处于开发阶段的研发项目开发支出增加所致。</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671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79"/>
        <w:ind w:right="0" w:firstLine="420"/>
        <w:jc w:val="left"/>
      </w:pPr>
      <w:r>
        <w:rPr>
          <w:spacing w:val="-1"/>
        </w:rPr>
        <w:t>公司是国内电子数据取证领域的龙头企业，网络空间安全及大数据信息化专家。与国内同行业主要竞</w:t>
      </w:r>
      <w:r>
        <w:rPr/>
        <w:t> </w:t>
      </w:r>
      <w:r>
        <w:rPr>
          <w:spacing w:val="-1"/>
        </w:rPr>
        <w:t>争对手相比，美亚柏科具有起步早、技术积累深厚、市场占有率高，培训和服务体系完善等特点。公司核</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心竞争力主要表现在以下几个方面：</w:t>
      </w:r>
    </w:p>
    <w:p>
      <w:pPr>
        <w:spacing w:line="240" w:lineRule="auto" w:before="10"/>
        <w:rPr>
          <w:rFonts w:ascii="宋体" w:hAnsi="宋体" w:cs="宋体" w:eastAsia="宋体" w:hint="default"/>
          <w:sz w:val="14"/>
          <w:szCs w:val="14"/>
        </w:rPr>
      </w:pPr>
    </w:p>
    <w:p>
      <w:pPr>
        <w:pStyle w:val="BodyText"/>
        <w:spacing w:line="386" w:lineRule="auto"/>
        <w:ind w:left="574" w:right="208"/>
        <w:jc w:val="left"/>
      </w:pPr>
      <w:r>
        <w:rPr>
          <w:rFonts w:ascii="Times New Roman" w:hAnsi="Times New Roman" w:cs="Times New Roman" w:eastAsia="Times New Roman" w:hint="default"/>
          <w:b/>
          <w:bCs/>
        </w:rPr>
        <w:t>1</w:t>
      </w:r>
      <w:r>
        <w:rPr>
          <w:rFonts w:ascii="宋体" w:hAnsi="宋体" w:cs="宋体" w:eastAsia="宋体" w:hint="default"/>
          <w:b/>
          <w:bCs/>
        </w:rPr>
        <w:t>、技术领先</w:t>
      </w:r>
      <w:r>
        <w:rPr>
          <w:rFonts w:ascii="宋体" w:hAnsi="宋体" w:cs="宋体" w:eastAsia="宋体" w:hint="default"/>
          <w:b/>
          <w:bCs/>
          <w:spacing w:val="1"/>
          <w:w w:val="99"/>
        </w:rPr>
        <w:t> </w:t>
      </w:r>
      <w:r>
        <w:rPr>
          <w:spacing w:val="-1"/>
        </w:rPr>
        <w:t>公司是“国家高新技术企业”、“国家规划布局内重点软件企业”、“中国软件和信息技术服务综合</w:t>
      </w:r>
    </w:p>
    <w:p>
      <w:pPr>
        <w:pStyle w:val="BodyText"/>
        <w:spacing w:line="403" w:lineRule="auto" w:before="65"/>
        <w:ind w:left="153" w:right="102"/>
        <w:jc w:val="left"/>
      </w:pPr>
      <w:r>
        <w:rPr>
          <w:spacing w:val="-7"/>
        </w:rPr>
        <w:t>竞争力百强企业”、“国家创新型试点企业”、“国家知识产权优势企业”、“知识产权运用标杆企业 </w:t>
      </w:r>
      <w:r>
        <w:rPr>
          <w:spacing w:val="-34"/>
        </w:rPr>
        <w:t>”。</w:t>
      </w:r>
      <w:r>
        <w:rPr>
          <w:spacing w:val="-89"/>
        </w:rPr>
        <w:t> </w:t>
      </w:r>
      <w:r>
        <w:rPr>
          <w:spacing w:val="-89"/>
        </w:rPr>
      </w:r>
      <w:r>
        <w:rPr/>
        <w:t>公司始终坚持技术创新，不断加大研发投入，近三年每年研发投入占公司当年度营业收入</w:t>
      </w:r>
      <w:r>
        <w:rPr>
          <w:rFonts w:ascii="Times New Roman" w:hAnsi="Times New Roman" w:cs="Times New Roman" w:eastAsia="Times New Roman" w:hint="default"/>
        </w:rPr>
        <w:t>15%</w:t>
      </w:r>
      <w:r>
        <w:rPr/>
        <w:t>左右。公司</w:t>
      </w:r>
      <w:r>
        <w:rPr>
          <w:spacing w:val="-98"/>
        </w:rPr>
        <w:t> </w:t>
      </w:r>
      <w:r>
        <w:rPr>
          <w:spacing w:val="-98"/>
        </w:rPr>
      </w:r>
      <w:r>
        <w:rPr/>
        <w:t>通过对前沿技术研究，并将研究成果进行分享、转化和复用，促进相关技术与不同部门和子公司间共享，</w:t>
      </w:r>
      <w:r>
        <w:rPr>
          <w:spacing w:val="-34"/>
        </w:rPr>
        <w:t> </w:t>
      </w:r>
      <w:r>
        <w:rPr>
          <w:spacing w:val="-34"/>
        </w:rPr>
      </w:r>
      <w:r>
        <w:rPr/>
        <w:t>提高公司整体技术实力和核心竞争力。公司拥有“</w:t>
      </w:r>
      <w:r>
        <w:rPr>
          <w:rFonts w:ascii="宋体" w:hAnsi="宋体" w:cs="宋体" w:eastAsia="宋体" w:hint="default"/>
          <w:b/>
          <w:bCs/>
        </w:rPr>
        <w:t>国家企业技术中心</w:t>
      </w:r>
      <w:r>
        <w:rPr/>
        <w:t>”（现处于公示阶段）、“博士后科 研工作站”和“院士专家工作站”，其中院士专家工作站聘请被誉为“中国密码学第一人”的中国工程院 院士沈昌祥担任首席专家。报告期内，公司“基于机器学习的互联网内容评估系统”项目列入工信部网络 安全试点示范项目；“城市公共安全管理平台”项目获得厦门市科技进步二等奖；“物联网人脸、图像识 别关键技术研发”项目列入</w:t>
      </w:r>
      <w:r>
        <w:rPr>
          <w:rFonts w:ascii="Times New Roman" w:hAnsi="Times New Roman" w:cs="Times New Roman" w:eastAsia="Times New Roman" w:hint="default"/>
        </w:rPr>
        <w:t>2017</w:t>
      </w:r>
      <w:r>
        <w:rPr/>
        <w:t>年厦门市产业转型升级专项资金（物联网）项目。公司还取得中国电子信 息行业联合会颁发的《信息系统集成及服务资质一级证书》，全资子公司新德汇取得《甲级涉密信息系统 集成资质》，全资子公司信息安全研究所取得《乙级涉密信息系统集成资质》，进一步提升了公司在涉密 信息系统集成领域的市场竞争力。</w:t>
      </w:r>
    </w:p>
    <w:p>
      <w:pPr>
        <w:pStyle w:val="BodyText"/>
        <w:spacing w:line="408" w:lineRule="auto" w:before="50"/>
        <w:ind w:right="209" w:firstLine="420"/>
        <w:jc w:val="both"/>
      </w:pPr>
      <w:r>
        <w:rPr>
          <w:spacing w:val="-1"/>
        </w:rPr>
        <w:t>截至2017年12月31日，公司共取得授权专利186项，其中发明专利121项，实用新型专利38项，外观专</w:t>
      </w:r>
      <w:r>
        <w:rPr/>
        <w:t> </w:t>
      </w:r>
      <w:r>
        <w:rPr>
          <w:spacing w:val="-3"/>
        </w:rPr>
        <w:t>利27项，有效注册商标34项，软件著作权333项。报告期内，公司新增授权专利36项，其中发明专利24项，</w:t>
      </w:r>
      <w:r>
        <w:rPr>
          <w:spacing w:val="-86"/>
        </w:rPr>
        <w:t> </w:t>
      </w:r>
      <w:r>
        <w:rPr>
          <w:spacing w:val="-86"/>
        </w:rPr>
      </w:r>
      <w:r>
        <w:rPr/>
        <w:t>实用新型专利2项，外观专利10项。新增软件著作权94项。</w:t>
      </w:r>
    </w:p>
    <w:p>
      <w:pPr>
        <w:spacing w:line="386" w:lineRule="auto" w:before="46"/>
        <w:ind w:left="574" w:right="208"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、产品质量及品牌效应</w:t>
      </w:r>
      <w:r>
        <w:rPr>
          <w:rFonts w:ascii="宋体" w:hAnsi="宋体" w:cs="宋体" w:eastAsia="宋体" w:hint="default"/>
          <w:b/>
          <w:bCs/>
          <w:w w:val="99"/>
          <w:sz w:val="21"/>
          <w:szCs w:val="21"/>
        </w:rPr>
        <w:t> </w:t>
      </w:r>
      <w:r>
        <w:rPr>
          <w:rFonts w:ascii="宋体" w:hAnsi="宋体" w:cs="宋体" w:eastAsia="宋体" w:hint="default"/>
          <w:spacing w:val="-1"/>
          <w:sz w:val="21"/>
          <w:szCs w:val="21"/>
        </w:rPr>
        <w:t>公司长期以来坚持以客户为中心，将产品质量作为企业的生命线，不断强化员工对产品和服务的质量</w:t>
      </w:r>
    </w:p>
    <w:p>
      <w:pPr>
        <w:pStyle w:val="BodyText"/>
        <w:spacing w:line="393" w:lineRule="auto" w:before="65"/>
        <w:ind w:left="153" w:right="211"/>
        <w:jc w:val="both"/>
      </w:pPr>
      <w:r>
        <w:rPr>
          <w:spacing w:val="-1"/>
        </w:rPr>
        <w:t>意识。</w:t>
      </w:r>
      <w:r>
        <w:rPr>
          <w:rFonts w:ascii="Times New Roman" w:hAnsi="Times New Roman" w:cs="Times New Roman" w:eastAsia="Times New Roman" w:hint="default"/>
          <w:spacing w:val="-1"/>
        </w:rPr>
        <w:t>2014</w:t>
      </w:r>
      <w:r>
        <w:rPr>
          <w:spacing w:val="-1"/>
        </w:rPr>
        <w:t>年底公司导入卓越绩效管理模式，用最优的产品和服务质量，不断增强“美亚质量”、“美亚</w:t>
      </w:r>
      <w:r>
        <w:rPr>
          <w:spacing w:val="-85"/>
        </w:rPr>
        <w:t> </w:t>
      </w:r>
      <w:r>
        <w:rPr>
          <w:spacing w:val="-85"/>
        </w:rPr>
      </w:r>
      <w:r>
        <w:rPr>
          <w:spacing w:val="-1"/>
        </w:rPr>
        <w:t>品牌”的创造力，赢得客户的认可。</w:t>
      </w:r>
      <w:r>
        <w:rPr>
          <w:rFonts w:ascii="Times New Roman" w:hAnsi="Times New Roman" w:cs="Times New Roman" w:eastAsia="Times New Roman" w:hint="default"/>
          <w:spacing w:val="-1"/>
        </w:rPr>
        <w:t>2017</w:t>
      </w:r>
      <w:r>
        <w:rPr>
          <w:spacing w:val="-1"/>
        </w:rPr>
        <w:t>年公司获评厦门市人民政府颁发的“</w:t>
      </w:r>
      <w:r>
        <w:rPr>
          <w:rFonts w:ascii="宋体" w:hAnsi="宋体" w:cs="宋体" w:eastAsia="宋体" w:hint="default"/>
          <w:b/>
          <w:bCs/>
          <w:spacing w:val="-1"/>
        </w:rPr>
        <w:t>第四届厦门市质量奖”</w:t>
      </w:r>
      <w:r>
        <w:rPr>
          <w:spacing w:val="-1"/>
        </w:rPr>
        <w:t>。公</w:t>
      </w:r>
      <w:r>
        <w:rPr>
          <w:spacing w:val="-100"/>
        </w:rPr>
        <w:t> </w:t>
      </w:r>
      <w:r>
        <w:rPr>
          <w:spacing w:val="-1"/>
        </w:rPr>
        <w:t>司将继续发挥卓越绩效示范企业的带头作用，将卓越绩效影响到公司子公司及参股公司，并通过建立实训</w:t>
      </w:r>
      <w:r>
        <w:rPr>
          <w:spacing w:val="-81"/>
        </w:rPr>
        <w:t> </w:t>
      </w:r>
      <w:r>
        <w:rPr>
          <w:spacing w:val="-81"/>
        </w:rPr>
      </w:r>
      <w:r>
        <w:rPr/>
        <w:t>和推广基地向社会展示质量管理对企业发展的益处。</w:t>
      </w:r>
    </w:p>
    <w:p>
      <w:pPr>
        <w:pStyle w:val="BodyText"/>
        <w:spacing w:line="386" w:lineRule="auto" w:before="59"/>
        <w:ind w:left="574" w:right="195"/>
        <w:jc w:val="left"/>
      </w:pPr>
      <w:r>
        <w:rPr>
          <w:rFonts w:ascii="Times New Roman" w:hAnsi="Times New Roman" w:cs="Times New Roman" w:eastAsia="Times New Roman" w:hint="default"/>
          <w:b/>
          <w:bCs/>
        </w:rPr>
        <w:t>3</w:t>
      </w:r>
      <w:r>
        <w:rPr>
          <w:rFonts w:ascii="宋体" w:hAnsi="宋体" w:cs="宋体" w:eastAsia="宋体" w:hint="default"/>
          <w:b/>
          <w:bCs/>
        </w:rPr>
        <w:t>、营销优势</w:t>
      </w:r>
      <w:r>
        <w:rPr>
          <w:rFonts w:ascii="宋体" w:hAnsi="宋体" w:cs="宋体" w:eastAsia="宋体" w:hint="default"/>
          <w:b/>
          <w:bCs/>
          <w:spacing w:val="1"/>
          <w:w w:val="99"/>
        </w:rPr>
        <w:t> </w:t>
      </w:r>
      <w:r>
        <w:rPr>
          <w:spacing w:val="-5"/>
        </w:rPr>
        <w:t>培训带动销售，快速实现行业覆盖，是公司独特的营销模式。公司</w:t>
      </w:r>
      <w:r>
        <w:rPr>
          <w:rFonts w:ascii="Times New Roman" w:hAnsi="Times New Roman" w:cs="Times New Roman" w:eastAsia="Times New Roman" w:hint="default"/>
          <w:spacing w:val="-5"/>
        </w:rPr>
        <w:t>2002</w:t>
      </w:r>
      <w:r>
        <w:rPr>
          <w:spacing w:val="-5"/>
        </w:rPr>
        <w:t>年成立美亚柏科信息安全学院，</w:t>
      </w:r>
    </w:p>
    <w:p>
      <w:pPr>
        <w:pStyle w:val="BodyText"/>
        <w:spacing w:line="408" w:lineRule="auto" w:before="35"/>
        <w:ind w:left="153" w:right="211"/>
        <w:jc w:val="both"/>
      </w:pPr>
      <w:r>
        <w:rPr>
          <w:spacing w:val="-1"/>
        </w:rPr>
        <w:t>为各类政法机关、高校、企业提供电子数据取证及网络信息安全教学和技术服务，并与人力资源和社会保</w:t>
      </w:r>
      <w:r>
        <w:rPr>
          <w:spacing w:val="-83"/>
        </w:rPr>
        <w:t> </w:t>
      </w:r>
      <w:r>
        <w:rPr>
          <w:spacing w:val="-83"/>
        </w:rPr>
      </w:r>
      <w:r>
        <w:rPr>
          <w:spacing w:val="-1"/>
        </w:rPr>
        <w:t>障部教育培训中心联合开展“电子数据调查分析师”和“网络舆情分析师”两项岗位培训项目，参加培训</w:t>
      </w:r>
      <w:r>
        <w:rPr>
          <w:spacing w:val="-83"/>
        </w:rPr>
        <w:t> </w:t>
      </w:r>
      <w:r>
        <w:rPr>
          <w:spacing w:val="-83"/>
        </w:rPr>
      </w:r>
      <w:r>
        <w:rPr>
          <w:spacing w:val="-1"/>
        </w:rPr>
        <w:t>并通过考核者将获得由人社部教育培训中心颁发的岗位能力证书。采用线上线下结合授课，技术大比武等</w:t>
      </w:r>
      <w:r>
        <w:rPr>
          <w:spacing w:val="-81"/>
        </w:rPr>
        <w:t> </w:t>
      </w:r>
      <w:r>
        <w:rPr>
          <w:spacing w:val="-81"/>
        </w:rPr>
      </w:r>
      <w:r>
        <w:rPr>
          <w:spacing w:val="-1"/>
        </w:rPr>
        <w:t>灵活多样的培训模式，增加学员对培训的兴趣。目前公司已累计培养学员数万人次。公司已将培训带动销</w:t>
      </w:r>
      <w:r>
        <w:rPr>
          <w:spacing w:val="-83"/>
        </w:rPr>
        <w:t> </w:t>
      </w:r>
      <w:r>
        <w:rPr>
          <w:spacing w:val="-83"/>
        </w:rPr>
      </w:r>
      <w:r>
        <w:rPr/>
        <w:t>售的营销模式，覆盖到了子公司及国家一带一路市场，累计举办外警培训数十期，培训学员上千人次。</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86" w:lineRule="auto" w:before="174"/>
        <w:ind w:left="574" w:right="0" w:hanging="1"/>
        <w:jc w:val="left"/>
      </w:pPr>
      <w:r>
        <w:rPr>
          <w:rFonts w:ascii="Times New Roman" w:hAnsi="Times New Roman" w:cs="Times New Roman" w:eastAsia="Times New Roman" w:hint="default"/>
          <w:b/>
          <w:bCs/>
        </w:rPr>
        <w:t>4</w:t>
      </w:r>
      <w:r>
        <w:rPr>
          <w:rFonts w:ascii="宋体" w:hAnsi="宋体" w:cs="宋体" w:eastAsia="宋体" w:hint="default"/>
          <w:b/>
          <w:bCs/>
        </w:rPr>
        <w:t>、人才培育优势</w:t>
      </w:r>
      <w:r>
        <w:rPr>
          <w:rFonts w:ascii="宋体" w:hAnsi="宋体" w:cs="宋体" w:eastAsia="宋体" w:hint="default"/>
          <w:b/>
          <w:bCs/>
          <w:spacing w:val="1"/>
          <w:w w:val="99"/>
        </w:rPr>
        <w:t> </w:t>
      </w:r>
      <w:r>
        <w:rPr>
          <w:spacing w:val="-1"/>
        </w:rPr>
        <w:t>公司具有良好的人才激励机制，通过制定合理的薪酬方案和绩效考核制度，营造良好的企业文化，建</w:t>
      </w:r>
    </w:p>
    <w:p>
      <w:pPr>
        <w:pStyle w:val="BodyText"/>
        <w:spacing w:line="400" w:lineRule="auto" w:before="65"/>
        <w:ind w:right="149"/>
        <w:jc w:val="both"/>
      </w:pPr>
      <w:r>
        <w:rPr>
          <w:spacing w:val="-1"/>
        </w:rPr>
        <w:t>立科学的人力资源体系，增强企业持续发展能力；发挥资本市场优势，通过实施限制性股票激励计划，对</w:t>
      </w:r>
      <w:r>
        <w:rPr>
          <w:spacing w:val="-82"/>
        </w:rPr>
        <w:t> </w:t>
      </w:r>
      <w:r>
        <w:rPr>
          <w:spacing w:val="-82"/>
        </w:rPr>
      </w:r>
      <w:r>
        <w:rPr>
          <w:spacing w:val="-1"/>
        </w:rPr>
        <w:t>公司吸引和稳定高素质人才，增强团队凝聚力，起到了积极作用。在人员培训方面，采用在线学习互动平</w:t>
      </w:r>
      <w:r>
        <w:rPr>
          <w:spacing w:val="-82"/>
        </w:rPr>
        <w:t> </w:t>
      </w:r>
      <w:r>
        <w:rPr>
          <w:spacing w:val="-82"/>
        </w:rPr>
      </w:r>
      <w:r>
        <w:rPr/>
        <w:t>台“美课”，培养员工各类专业技能；与厦门大学联合举办</w:t>
      </w:r>
      <w:r>
        <w:rPr>
          <w:rFonts w:ascii="Times New Roman" w:hAnsi="Times New Roman" w:cs="Times New Roman" w:eastAsia="Times New Roman" w:hint="default"/>
        </w:rPr>
        <w:t>EDP</w:t>
      </w:r>
      <w:r>
        <w:rPr/>
        <w:t>美亚柏科定制研修班，提高公司中高层管 </w:t>
      </w:r>
      <w:r>
        <w:rPr>
          <w:spacing w:val="-1"/>
        </w:rPr>
        <w:t>理人员管理水平；通过“刘祥南创新创业基金”进行校企合作，鼓励高校学子创新创业，培养适合公司发</w:t>
      </w:r>
      <w:r>
        <w:rPr>
          <w:spacing w:val="-83"/>
        </w:rPr>
        <w:t> </w:t>
      </w:r>
      <w:r>
        <w:rPr>
          <w:spacing w:val="-83"/>
        </w:rPr>
      </w:r>
      <w:r>
        <w:rPr>
          <w:spacing w:val="-1"/>
        </w:rPr>
        <w:t>展的人才。此外，公司的创业空间“美亚青果创客汇”，为内外部创业项目提供技术和平台资源，扶持创</w:t>
      </w:r>
      <w:r>
        <w:rPr>
          <w:spacing w:val="-83"/>
        </w:rPr>
        <w:t> </w:t>
      </w:r>
      <w:r>
        <w:rPr>
          <w:spacing w:val="-83"/>
        </w:rPr>
      </w:r>
      <w:r>
        <w:rPr>
          <w:spacing w:val="-1"/>
        </w:rPr>
        <w:t>新创业项目和团队，培育创业型人才。“美亚青果创客汇”被科技部评选为“</w:t>
      </w:r>
      <w:r>
        <w:rPr>
          <w:rFonts w:ascii="Times New Roman" w:hAnsi="Times New Roman" w:cs="Times New Roman" w:eastAsia="Times New Roman" w:hint="default"/>
          <w:spacing w:val="-1"/>
        </w:rPr>
        <w:t>2017</w:t>
      </w:r>
      <w:r>
        <w:rPr>
          <w:spacing w:val="-1"/>
        </w:rPr>
        <w:t>年国家专业化众创空间</w:t>
      </w:r>
      <w:r>
        <w:rPr>
          <w:spacing w:val="-84"/>
        </w:rPr>
        <w:t> </w:t>
      </w:r>
      <w:r>
        <w:rPr>
          <w:spacing w:val="-84"/>
        </w:rPr>
      </w:r>
      <w:r>
        <w:rPr/>
        <w:t>示范单位”。</w:t>
      </w:r>
    </w:p>
    <w:p>
      <w:pPr>
        <w:spacing w:after="0" w:line="400"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5" w:right="0"/>
        <w:jc w:val="left"/>
        <w:rPr>
          <w:b w:val="0"/>
          <w:bCs w:val="0"/>
        </w:rPr>
      </w:pPr>
      <w:bookmarkStart w:name="_TOC_250008" w:id="4"/>
      <w:r>
        <w:rPr/>
        <w:t>第四节</w:t>
      </w:r>
      <w:r>
        <w:rPr>
          <w:spacing w:val="-10"/>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574" w:right="0"/>
        <w:jc w:val="left"/>
      </w:pPr>
      <w:r>
        <w:rPr>
          <w:spacing w:val="-3"/>
        </w:rPr>
        <w:t>报告期内，公司实现销售收入</w:t>
      </w:r>
      <w:r>
        <w:rPr>
          <w:rFonts w:ascii="Times New Roman" w:hAnsi="Times New Roman" w:cs="Times New Roman" w:eastAsia="Times New Roman" w:hint="default"/>
          <w:spacing w:val="-3"/>
        </w:rPr>
        <w:t>133,664.04</w:t>
      </w:r>
      <w:r>
        <w:rPr>
          <w:spacing w:val="-3"/>
        </w:rPr>
        <w:t>万元，利润总额</w:t>
      </w:r>
      <w:r>
        <w:rPr>
          <w:rFonts w:ascii="Times New Roman" w:hAnsi="Times New Roman" w:cs="Times New Roman" w:eastAsia="Times New Roman" w:hint="default"/>
          <w:spacing w:val="-3"/>
        </w:rPr>
        <w:t>29,683.47</w:t>
      </w:r>
      <w:r>
        <w:rPr>
          <w:spacing w:val="-3"/>
        </w:rPr>
        <w:t>万元，归属于上市公司股东的净利润</w:t>
      </w:r>
    </w:p>
    <w:p>
      <w:pPr>
        <w:pStyle w:val="BodyText"/>
        <w:spacing w:line="386" w:lineRule="auto" w:before="177"/>
        <w:ind w:left="574" w:right="0" w:hanging="420"/>
        <w:jc w:val="left"/>
      </w:pPr>
      <w:r>
        <w:rPr>
          <w:rFonts w:ascii="Times New Roman" w:hAnsi="Times New Roman" w:cs="Times New Roman" w:eastAsia="Times New Roman" w:hint="default"/>
        </w:rPr>
        <w:t>27,171.63</w:t>
      </w:r>
      <w:r>
        <w:rPr/>
        <w:t>万元，较去年同期分别增加</w:t>
      </w:r>
      <w:r>
        <w:rPr>
          <w:rFonts w:ascii="Times New Roman" w:hAnsi="Times New Roman" w:cs="Times New Roman" w:eastAsia="Times New Roman" w:hint="default"/>
        </w:rPr>
        <w:t>33.94%</w:t>
      </w:r>
      <w:r>
        <w:rPr/>
        <w:t>、</w:t>
      </w:r>
      <w:r>
        <w:rPr>
          <w:rFonts w:ascii="Times New Roman" w:hAnsi="Times New Roman" w:cs="Times New Roman" w:eastAsia="Times New Roman" w:hint="default"/>
        </w:rPr>
        <w:t>47.27%</w:t>
      </w:r>
      <w:r>
        <w:rPr/>
        <w:t>和</w:t>
      </w:r>
      <w:r>
        <w:rPr>
          <w:rFonts w:ascii="Times New Roman" w:hAnsi="Times New Roman" w:cs="Times New Roman" w:eastAsia="Times New Roman" w:hint="default"/>
        </w:rPr>
        <w:t>48.78%</w:t>
      </w:r>
      <w:r>
        <w:rPr/>
        <w:t>。</w:t>
      </w:r>
      <w:r>
        <w:rPr>
          <w:rFonts w:ascii="Times New Roman" w:hAnsi="Times New Roman" w:cs="Times New Roman" w:eastAsia="Times New Roman" w:hint="default"/>
        </w:rPr>
        <w:t>2017</w:t>
      </w:r>
      <w:r>
        <w:rPr/>
        <w:t>年公司重点工作报告如下： </w:t>
      </w:r>
      <w:r>
        <w:rPr>
          <w:spacing w:val="-1"/>
        </w:rPr>
        <w:t>结合当前移动互联网和物联网的快速发展趋势及大数据和人工智能技术的应用，公司进行了新产品的</w:t>
      </w:r>
    </w:p>
    <w:p>
      <w:pPr>
        <w:pStyle w:val="BodyText"/>
        <w:spacing w:line="408" w:lineRule="auto" w:before="65"/>
        <w:ind w:right="0"/>
        <w:jc w:val="left"/>
      </w:pPr>
      <w:r>
        <w:rPr>
          <w:spacing w:val="-1"/>
        </w:rPr>
        <w:t>研究和原有产品的升级换代。大数据和人工智能技术与公司原有的电子数据取证、网络空间安全及互联网</w:t>
      </w:r>
      <w:r>
        <w:rPr>
          <w:spacing w:val="-81"/>
        </w:rPr>
        <w:t> </w:t>
      </w:r>
      <w:r>
        <w:rPr>
          <w:spacing w:val="-81"/>
        </w:rPr>
      </w:r>
      <w:r>
        <w:rPr/>
        <w:t>搜索三大技术在技术产品融合及产业推广应用层面均取得较大成效。</w:t>
      </w:r>
    </w:p>
    <w:p>
      <w:pPr>
        <w:pStyle w:val="Heading3"/>
        <w:spacing w:line="240" w:lineRule="auto" w:before="46"/>
        <w:ind w:left="512" w:right="0"/>
        <w:jc w:val="left"/>
        <w:rPr>
          <w:b w:val="0"/>
          <w:bCs w:val="0"/>
        </w:rPr>
      </w:pPr>
      <w:r>
        <w:rPr>
          <w:rFonts w:ascii="Times New Roman" w:hAnsi="Times New Roman" w:cs="Times New Roman" w:eastAsia="Times New Roman" w:hint="default"/>
        </w:rPr>
        <w:t>1</w:t>
      </w:r>
      <w:r>
        <w:rPr/>
        <w:t>、技术研究</w:t>
      </w:r>
      <w:r>
        <w:rPr>
          <w:b w:val="0"/>
          <w:bCs w:val="0"/>
        </w:rPr>
      </w:r>
    </w:p>
    <w:p>
      <w:pPr>
        <w:pStyle w:val="BodyText"/>
        <w:spacing w:line="398" w:lineRule="auto" w:before="177"/>
        <w:ind w:right="149" w:firstLine="315"/>
        <w:jc w:val="both"/>
      </w:pPr>
      <w:r>
        <w:rPr>
          <w:spacing w:val="-3"/>
        </w:rPr>
        <w:t>（</w:t>
      </w:r>
      <w:r>
        <w:rPr>
          <w:rFonts w:ascii="Times New Roman" w:hAnsi="Times New Roman" w:cs="Times New Roman" w:eastAsia="Times New Roman" w:hint="default"/>
          <w:spacing w:val="-3"/>
        </w:rPr>
        <w:t>1</w:t>
      </w:r>
      <w:r>
        <w:rPr>
          <w:spacing w:val="-3"/>
        </w:rPr>
        <w:t>）人工智能技术：</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月，李克强在《政府工作报告》首次提到人工智能，表示要加快培育人工</w:t>
      </w:r>
      <w:r>
        <w:rPr/>
        <w:t> </w:t>
      </w:r>
      <w:r>
        <w:rPr>
          <w:spacing w:val="-1"/>
        </w:rPr>
        <w:t>智能等新兴产业，应用大数据、云计算、物联网等新技术加快改造提升传统产业，把发展智能制造作为主</w:t>
      </w:r>
      <w:r>
        <w:rPr>
          <w:spacing w:val="-82"/>
        </w:rPr>
        <w:t> </w:t>
      </w:r>
      <w:r>
        <w:rPr>
          <w:spacing w:val="-82"/>
        </w:rPr>
      </w:r>
      <w:r>
        <w:rPr>
          <w:spacing w:val="-3"/>
        </w:rPr>
        <w:t>攻方向。紧跟国家步伐，</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月，美亚柏科人工智能研究团队正式成立，以互联网及大数据作为依托进</w:t>
      </w:r>
      <w:r>
        <w:rPr>
          <w:spacing w:val="-93"/>
        </w:rPr>
        <w:t> </w:t>
      </w:r>
      <w:r>
        <w:rPr>
          <w:spacing w:val="-93"/>
        </w:rPr>
      </w:r>
      <w:r>
        <w:rPr>
          <w:spacing w:val="-1"/>
        </w:rPr>
        <w:t>行人工智能的研发与拓展。报告期内，公司人工智能研究团队在人工智能技术研发和产业推广应用层面取</w:t>
      </w:r>
      <w:r>
        <w:rPr>
          <w:spacing w:val="-81"/>
        </w:rPr>
        <w:t> </w:t>
      </w:r>
      <w:r>
        <w:rPr>
          <w:spacing w:val="-81"/>
        </w:rPr>
      </w:r>
      <w:r>
        <w:rPr/>
        <w:t>得突出成果：</w:t>
      </w:r>
    </w:p>
    <w:p>
      <w:pPr>
        <w:pStyle w:val="BodyText"/>
        <w:spacing w:line="400" w:lineRule="auto" w:before="54"/>
        <w:ind w:right="148" w:firstLine="420"/>
        <w:jc w:val="both"/>
      </w:pPr>
      <w:r>
        <w:rPr/>
        <w:t>①</w:t>
      </w:r>
      <w:r>
        <w:rPr>
          <w:spacing w:val="16"/>
        </w:rPr>
        <w:t> </w:t>
      </w:r>
      <w:r>
        <w:rPr/>
        <w:t>图像识别：包括人脸识别、场景识别、车型</w:t>
      </w:r>
      <w:r>
        <w:rPr>
          <w:rFonts w:ascii="Times New Roman" w:hAnsi="Times New Roman" w:cs="Times New Roman" w:eastAsia="Times New Roman" w:hint="default"/>
        </w:rPr>
        <w:t>/</w:t>
      </w:r>
      <w:r>
        <w:rPr/>
        <w:t>车牌识别等方面。公司将相关研究成果融入到大数据</w:t>
      </w:r>
      <w:r>
        <w:rPr>
          <w:spacing w:val="1"/>
        </w:rPr>
        <w:t> </w:t>
      </w:r>
      <w:r>
        <w:rPr>
          <w:spacing w:val="-5"/>
        </w:rPr>
        <w:t>分析系统里，协助相关部门在打击犯罪、城市治理等领域开始发挥重要作用。基于对面部识别技术的研究，</w:t>
      </w:r>
      <w:r>
        <w:rPr>
          <w:spacing w:val="-101"/>
        </w:rPr>
        <w:t> </w:t>
      </w:r>
      <w:r>
        <w:rPr>
          <w:spacing w:val="-101"/>
        </w:rPr>
      </w:r>
      <w:r>
        <w:rPr>
          <w:spacing w:val="-1"/>
        </w:rPr>
        <w:t>美亚柏科于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w:t>
      </w:r>
      <w:r>
        <w:rPr>
          <w:spacing w:val="-1"/>
        </w:rPr>
        <w:t>日推出人脸识别开发包，人脸识别开发包集摄像头实时数据采集、人脸检测和人脸</w:t>
      </w:r>
      <w:r>
        <w:rPr>
          <w:spacing w:val="-84"/>
        </w:rPr>
        <w:t> </w:t>
      </w:r>
      <w:r>
        <w:rPr>
          <w:spacing w:val="-84"/>
        </w:rPr>
      </w:r>
      <w:r>
        <w:rPr>
          <w:spacing w:val="-1"/>
        </w:rPr>
        <w:t>识别等功能，用户可根据需要调用开发包中的接口，实现人脸检测和人脸识别功能，应用于人证比对、人</w:t>
      </w:r>
      <w:r>
        <w:rPr>
          <w:spacing w:val="-82"/>
        </w:rPr>
        <w:t> </w:t>
      </w:r>
      <w:r>
        <w:rPr>
          <w:spacing w:val="-82"/>
        </w:rPr>
      </w:r>
      <w:r>
        <w:rPr>
          <w:spacing w:val="-1"/>
        </w:rPr>
        <w:t>脸布控场景，如：机场、地铁、火车站及酒店等，可为公安各警种的应用提供基础服务，为社会公共安全</w:t>
      </w:r>
      <w:r>
        <w:rPr>
          <w:spacing w:val="-83"/>
        </w:rPr>
        <w:t> </w:t>
      </w:r>
      <w:r>
        <w:rPr>
          <w:spacing w:val="-83"/>
        </w:rPr>
      </w:r>
      <w:r>
        <w:rPr>
          <w:spacing w:val="-1"/>
        </w:rPr>
        <w:t>防范提供强有力的支持。在数字知识产权保护上，利用人工智能识别技术进行图像比对可提高专利、商标</w:t>
      </w:r>
      <w:r>
        <w:rPr>
          <w:spacing w:val="-83"/>
        </w:rPr>
        <w:t> </w:t>
      </w:r>
      <w:r>
        <w:rPr>
          <w:spacing w:val="-83"/>
        </w:rPr>
      </w:r>
      <w:r>
        <w:rPr/>
        <w:t>以及版权的信息监测能力及知识产权大数据分析能力。</w:t>
      </w:r>
    </w:p>
    <w:p>
      <w:pPr>
        <w:pStyle w:val="BodyText"/>
        <w:spacing w:line="405" w:lineRule="auto" w:before="52"/>
        <w:ind w:right="149" w:firstLine="420"/>
        <w:jc w:val="both"/>
      </w:pPr>
      <w:r>
        <w:rPr/>
        <w:t>②</w:t>
      </w:r>
      <w:r>
        <w:rPr>
          <w:spacing w:val="33"/>
        </w:rPr>
        <w:t> </w:t>
      </w:r>
      <w:r>
        <w:rPr>
          <w:spacing w:val="-4"/>
        </w:rPr>
        <w:t>文本语义：即利用知识图谱、深度学习等人工智能相关技术，实现文本语义的识别。目前研究成果</w:t>
      </w:r>
      <w:r>
        <w:rPr/>
        <w:t> </w:t>
      </w:r>
      <w:r>
        <w:rPr>
          <w:spacing w:val="-1"/>
        </w:rPr>
        <w:t>已应用到电子数据取证、网络舆情、工商执法、金融风险防控等多个领域。</w:t>
      </w:r>
      <w:r>
        <w:rPr>
          <w:rFonts w:ascii="Times New Roman" w:hAnsi="Times New Roman" w:cs="Times New Roman" w:eastAsia="Times New Roman" w:hint="default"/>
          <w:spacing w:val="-1"/>
        </w:rPr>
        <w:t>2017</w:t>
      </w:r>
      <w:r>
        <w:rPr>
          <w:spacing w:val="-1"/>
        </w:rPr>
        <w:t>年下半年，美亚柏科手机</w:t>
      </w:r>
      <w:r>
        <w:rPr>
          <w:spacing w:val="-83"/>
        </w:rPr>
        <w:t> </w:t>
      </w:r>
      <w:r>
        <w:rPr>
          <w:spacing w:val="-83"/>
        </w:rPr>
      </w:r>
      <w:r>
        <w:rPr>
          <w:spacing w:val="-1"/>
        </w:rPr>
        <w:t>取证团队率先将人工智能技术应用在手机取证产品中，实现了语音识别和语义分析两大功能，解决人工听</w:t>
      </w:r>
      <w:r>
        <w:rPr>
          <w:spacing w:val="-81"/>
        </w:rPr>
        <w:t> </w:t>
      </w:r>
      <w:r>
        <w:rPr>
          <w:spacing w:val="-81"/>
        </w:rPr>
      </w:r>
      <w:r>
        <w:rPr>
          <w:spacing w:val="-1"/>
        </w:rPr>
        <w:t>取语音耗时长的问题，解放其他需要人力来处理的取证工作。这是将人工智能运用在手机取证领域的有效</w:t>
      </w:r>
      <w:r>
        <w:rPr>
          <w:spacing w:val="-81"/>
        </w:rPr>
        <w:t> </w:t>
      </w:r>
      <w:r>
        <w:rPr>
          <w:spacing w:val="-81"/>
        </w:rPr>
      </w:r>
      <w:r>
        <w:rPr>
          <w:spacing w:val="-1"/>
        </w:rPr>
        <w:t>尝试。同时，公司控股子公司美亚商鼎依托市场监管行业多年的专项服务经验，积极挖掘人工智能技术在</w:t>
      </w:r>
      <w:r>
        <w:rPr>
          <w:spacing w:val="-83"/>
        </w:rPr>
        <w:t> </w:t>
      </w:r>
      <w:r>
        <w:rPr>
          <w:spacing w:val="-83"/>
        </w:rPr>
      </w:r>
      <w:r>
        <w:rPr>
          <w:spacing w:val="-1"/>
        </w:rPr>
        <w:t>市场监管服务中的应用，目前已实现利用人工智能技术，从海量的互联网数据中梳理出“四品一械”（食</w:t>
      </w:r>
      <w:r>
        <w:rPr>
          <w:spacing w:val="-83"/>
        </w:rPr>
        <w:t> </w:t>
      </w:r>
      <w:r>
        <w:rPr>
          <w:spacing w:val="-83"/>
        </w:rPr>
      </w:r>
      <w:r>
        <w:rPr>
          <w:spacing w:val="-1"/>
        </w:rPr>
        <w:t>品、药品、化妆品、保健品、医疗器械等）相关经营主体及违法行为，从而进一步为行政执法办案提供相</w:t>
      </w:r>
    </w:p>
    <w:p>
      <w:pPr>
        <w:spacing w:after="0" w:line="405"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208"/>
        <w:jc w:val="left"/>
      </w:pPr>
      <w:r>
        <w:rPr/>
        <w:t>关案件关键信息，提高办案效率。</w:t>
      </w:r>
    </w:p>
    <w:p>
      <w:pPr>
        <w:spacing w:line="240" w:lineRule="auto" w:before="10"/>
        <w:rPr>
          <w:rFonts w:ascii="宋体" w:hAnsi="宋体" w:cs="宋体" w:eastAsia="宋体" w:hint="default"/>
          <w:sz w:val="14"/>
          <w:szCs w:val="14"/>
        </w:rPr>
      </w:pPr>
    </w:p>
    <w:p>
      <w:pPr>
        <w:pStyle w:val="BodyText"/>
        <w:spacing w:line="400" w:lineRule="auto"/>
        <w:ind w:left="153" w:right="102" w:firstLine="420"/>
        <w:jc w:val="left"/>
      </w:pPr>
      <w:r>
        <w:rPr/>
        <w:t>（</w:t>
      </w:r>
      <w:r>
        <w:rPr>
          <w:rFonts w:ascii="Times New Roman" w:hAnsi="Times New Roman" w:cs="Times New Roman" w:eastAsia="Times New Roman" w:hint="default"/>
        </w:rPr>
        <w:t>2</w:t>
      </w:r>
      <w:r>
        <w:rPr/>
        <w:t>）大数据技术：公司成立了大数据技术研究委员会，致力于大数据技术方面的研究和数据安全运</w:t>
      </w:r>
      <w:r>
        <w:rPr>
          <w:spacing w:val="2"/>
        </w:rPr>
        <w:t> </w:t>
      </w:r>
      <w:r>
        <w:rPr/>
        <w:t>营。公司从多源异构数据采集、大数据分析、可视化监测等方面展开研究，攻克相同相似事件汇聚技术、</w:t>
      </w:r>
      <w:r>
        <w:rPr>
          <w:spacing w:val="-34"/>
        </w:rPr>
        <w:t> </w:t>
      </w:r>
      <w:r>
        <w:rPr>
          <w:spacing w:val="-34"/>
        </w:rPr>
      </w:r>
      <w:r>
        <w:rPr/>
        <w:t>异源异构数据清洗技术、数据挖掘模型维度的验证技术等多项技术难题。同时通过构建多个部门之间的网</w:t>
      </w:r>
      <w:r>
        <w:rPr/>
        <w:t> 络互联、系统互通、数据互动以及综合应用系统，搭建大数据平台，实现数据挖掘、综合研判、辅助决策 及指挥调度等功能。公司在加强大数据技术研究的同时，加强人才培养。</w:t>
      </w:r>
      <w:r>
        <w:rPr>
          <w:rFonts w:ascii="Times New Roman" w:hAnsi="Times New Roman" w:cs="Times New Roman" w:eastAsia="Times New Roman" w:hint="default"/>
        </w:rPr>
        <w:t>2017</w:t>
      </w:r>
      <w:r>
        <w:rPr/>
        <w:t>年公司与厦门大学数据库实 验室达成“大数据人才培养基地”战略合作，双方将共建大数据人才培养基地，教学内容合作开发，联合 打造大数据创新实验室，开展大数据技术认证项目，带动和促进双方在产、学、研的深度融合。</w:t>
      </w:r>
    </w:p>
    <w:p>
      <w:pPr>
        <w:pStyle w:val="Heading3"/>
        <w:spacing w:line="240" w:lineRule="auto" w:before="52"/>
        <w:ind w:left="576" w:right="208"/>
        <w:jc w:val="left"/>
        <w:rPr>
          <w:b w:val="0"/>
          <w:bCs w:val="0"/>
        </w:rPr>
      </w:pPr>
      <w:r>
        <w:rPr>
          <w:rFonts w:ascii="Times New Roman" w:hAnsi="Times New Roman" w:cs="Times New Roman" w:eastAsia="Times New Roman" w:hint="default"/>
        </w:rPr>
        <w:t>2</w:t>
      </w:r>
      <w:r>
        <w:rPr/>
        <w:t>、产品研发</w:t>
      </w:r>
      <w:r>
        <w:rPr>
          <w:b w:val="0"/>
          <w:bCs w:val="0"/>
        </w:rPr>
      </w:r>
    </w:p>
    <w:p>
      <w:pPr>
        <w:pStyle w:val="BodyText"/>
        <w:spacing w:line="403" w:lineRule="auto" w:before="177"/>
        <w:ind w:left="153" w:right="208" w:firstLine="420"/>
        <w:jc w:val="both"/>
      </w:pPr>
      <w:r>
        <w:rPr>
          <w:spacing w:val="-3"/>
        </w:rPr>
        <w:t>（</w:t>
      </w:r>
      <w:r>
        <w:rPr>
          <w:rFonts w:ascii="Times New Roman" w:hAnsi="Times New Roman" w:cs="Times New Roman" w:eastAsia="Times New Roman" w:hint="default"/>
          <w:spacing w:val="-3"/>
        </w:rPr>
        <w:t>1</w:t>
      </w:r>
      <w:r>
        <w:rPr>
          <w:spacing w:val="-3"/>
        </w:rPr>
        <w:t>）电子数据取证产品：围绕计算机取证产品，手机取证产品，数据分析产品及取证平台四大产品线</w:t>
      </w:r>
      <w:r>
        <w:rPr/>
        <w:t> </w:t>
      </w:r>
      <w:r>
        <w:rPr>
          <w:spacing w:val="-1"/>
        </w:rPr>
        <w:t>进行新产品的创新突破及更新换代。报告期内，基于语音识别、语义分析及图片分类、自动分析的人工智</w:t>
      </w:r>
      <w:r>
        <w:rPr>
          <w:spacing w:val="-82"/>
        </w:rPr>
        <w:t> </w:t>
      </w:r>
      <w:r>
        <w:rPr>
          <w:spacing w:val="-82"/>
        </w:rPr>
      </w:r>
      <w:r>
        <w:rPr>
          <w:spacing w:val="-1"/>
        </w:rPr>
        <w:t>能取证产品：高性能一体化取证综合平台“取证航母”、智能化高速取证分析系统“取证金刚”、支持各</w:t>
      </w:r>
      <w:r>
        <w:rPr>
          <w:spacing w:val="-85"/>
        </w:rPr>
        <w:t> </w:t>
      </w:r>
      <w:r>
        <w:rPr>
          <w:spacing w:val="-85"/>
        </w:rPr>
      </w:r>
      <w:r>
        <w:rPr>
          <w:spacing w:val="-1"/>
        </w:rPr>
        <w:t>种移动互联网智能终端的新型“智能终端取证设备”和“智能终端画像系统”、移动式和手持式的“智能</w:t>
      </w:r>
      <w:r>
        <w:rPr>
          <w:spacing w:val="-83"/>
        </w:rPr>
        <w:t> </w:t>
      </w:r>
      <w:r>
        <w:rPr>
          <w:spacing w:val="-83"/>
        </w:rPr>
      </w:r>
      <w:r>
        <w:rPr>
          <w:spacing w:val="-1"/>
        </w:rPr>
        <w:t>取证设备”、专注于数据恢复的“恢复大师”等陆续量产供货，其中公司手机取证产品全线更新换代，取</w:t>
      </w:r>
      <w:r>
        <w:rPr>
          <w:spacing w:val="-83"/>
        </w:rPr>
        <w:t> </w:t>
      </w:r>
      <w:r>
        <w:rPr>
          <w:spacing w:val="-83"/>
        </w:rPr>
      </w:r>
      <w:r>
        <w:rPr>
          <w:spacing w:val="-3"/>
        </w:rPr>
        <w:t>证和分析效率提升</w:t>
      </w:r>
      <w:r>
        <w:rPr>
          <w:rFonts w:ascii="Times New Roman" w:hAnsi="Times New Roman" w:cs="Times New Roman" w:eastAsia="Times New Roman" w:hint="default"/>
          <w:spacing w:val="-3"/>
        </w:rPr>
        <w:t>2~9</w:t>
      </w:r>
      <w:r>
        <w:rPr>
          <w:spacing w:val="-3"/>
        </w:rPr>
        <w:t>倍；在经侦行业，公司推出“资金查控平台”，辅助执法人员完成对资金，发票以及</w:t>
      </w:r>
      <w:r>
        <w:rPr>
          <w:spacing w:val="-101"/>
        </w:rPr>
        <w:t> </w:t>
      </w:r>
      <w:r>
        <w:rPr>
          <w:spacing w:val="-101"/>
        </w:rPr>
      </w:r>
      <w:r>
        <w:rPr>
          <w:spacing w:val="-5"/>
        </w:rPr>
        <w:t>人员结构的侦查，提供智能一体化的解决方案；为实现企业风险管控，公司推出“企业信息风险管控平台”</w:t>
      </w:r>
      <w:r>
        <w:rPr>
          <w:spacing w:val="-102"/>
        </w:rPr>
        <w:t> </w:t>
      </w:r>
      <w:r>
        <w:rPr>
          <w:spacing w:val="-102"/>
        </w:rPr>
      </w:r>
      <w:r>
        <w:rPr/>
        <w:t>和 </w:t>
      </w:r>
      <w:r>
        <w:rPr>
          <w:spacing w:val="-3"/>
        </w:rPr>
        <w:t>“审查大师”等产品；在税务及工商行业，公司研发了手持式智能稽查设备“税证宝”和智能信息核查</w:t>
      </w:r>
      <w:r>
        <w:rPr>
          <w:spacing w:val="-100"/>
        </w:rPr>
        <w:t> </w:t>
      </w:r>
      <w:r>
        <w:rPr>
          <w:spacing w:val="-100"/>
        </w:rPr>
      </w:r>
      <w:r>
        <w:rPr/>
        <w:t>设备“抽查宝”。</w:t>
      </w:r>
    </w:p>
    <w:p>
      <w:pPr>
        <w:pStyle w:val="BodyText"/>
        <w:spacing w:line="391" w:lineRule="auto" w:before="50"/>
        <w:ind w:left="153" w:right="210" w:firstLine="420"/>
        <w:jc w:val="both"/>
      </w:pPr>
      <w:r>
        <w:rPr>
          <w:spacing w:val="-3"/>
        </w:rPr>
        <w:t>（</w:t>
      </w:r>
      <w:r>
        <w:rPr>
          <w:rFonts w:ascii="Times New Roman" w:hAnsi="Times New Roman" w:cs="Times New Roman" w:eastAsia="Times New Roman" w:hint="default"/>
          <w:spacing w:val="-3"/>
        </w:rPr>
        <w:t>2</w:t>
      </w:r>
      <w:r>
        <w:rPr>
          <w:spacing w:val="-3"/>
        </w:rPr>
        <w:t>）大数据信息化产品：报告期内，公司推进人工智能、大数据和互联网搜索技术的融合，除了持续</w:t>
      </w:r>
      <w:r>
        <w:rPr/>
        <w:t> </w:t>
      </w:r>
      <w:r>
        <w:rPr>
          <w:spacing w:val="-4"/>
        </w:rPr>
        <w:t>推动“公安大数据平台”建设外，依托自身在“互联网</w:t>
      </w:r>
      <w:r>
        <w:rPr>
          <w:rFonts w:ascii="Times New Roman" w:hAnsi="Times New Roman" w:cs="Times New Roman" w:eastAsia="Times New Roman" w:hint="default"/>
          <w:spacing w:val="-4"/>
        </w:rPr>
        <w:t>+</w:t>
      </w:r>
      <w:r>
        <w:rPr>
          <w:spacing w:val="-4"/>
        </w:rPr>
        <w:t>”和大数据、舆情分析等技术的优势基础上，完成</w:t>
      </w:r>
      <w:r>
        <w:rPr>
          <w:spacing w:val="-64"/>
        </w:rPr>
        <w:t> </w:t>
      </w:r>
      <w:r>
        <w:rPr>
          <w:spacing w:val="-64"/>
        </w:rPr>
      </w:r>
      <w:r>
        <w:rPr>
          <w:spacing w:val="-1"/>
        </w:rPr>
        <w:t>厦门“城市公共安全平台”二期建设，并逐渐将平台建设拓展至沈阳及其他省市。公司大数据业务已拓展</w:t>
      </w:r>
      <w:r>
        <w:rPr>
          <w:spacing w:val="-82"/>
        </w:rPr>
        <w:t> </w:t>
      </w:r>
      <w:r>
        <w:rPr>
          <w:spacing w:val="-82"/>
        </w:rPr>
      </w:r>
      <w:r>
        <w:rPr>
          <w:spacing w:val="-3"/>
        </w:rPr>
        <w:t>至市场监督管理、税务稽查、海关缉私等领域，并形成了大数据</w:t>
      </w:r>
      <w:r>
        <w:rPr>
          <w:rFonts w:ascii="Times New Roman" w:hAnsi="Times New Roman" w:cs="Times New Roman" w:eastAsia="Times New Roman" w:hint="default"/>
          <w:spacing w:val="-3"/>
        </w:rPr>
        <w:t>+</w:t>
      </w:r>
      <w:r>
        <w:rPr>
          <w:spacing w:val="-3"/>
        </w:rPr>
        <w:t>打击犯罪、大数据</w:t>
      </w:r>
      <w:r>
        <w:rPr>
          <w:rFonts w:ascii="Times New Roman" w:hAnsi="Times New Roman" w:cs="Times New Roman" w:eastAsia="Times New Roman" w:hint="default"/>
          <w:spacing w:val="-3"/>
        </w:rPr>
        <w:t>+</w:t>
      </w:r>
      <w:r>
        <w:rPr>
          <w:spacing w:val="-3"/>
        </w:rPr>
        <w:t>社会安全</w:t>
      </w:r>
      <w:r>
        <w:rPr>
          <w:rFonts w:ascii="Times New Roman" w:hAnsi="Times New Roman" w:cs="Times New Roman" w:eastAsia="Times New Roman" w:hint="default"/>
          <w:spacing w:val="-3"/>
        </w:rPr>
        <w:t>/</w:t>
      </w:r>
      <w:r>
        <w:rPr>
          <w:spacing w:val="-3"/>
        </w:rPr>
        <w:t>治理、大数</w:t>
      </w:r>
      <w:r>
        <w:rPr>
          <w:spacing w:val="-72"/>
        </w:rPr>
        <w:t> </w:t>
      </w:r>
      <w:r>
        <w:rPr>
          <w:spacing w:val="-72"/>
        </w:rPr>
      </w:r>
      <w:r>
        <w:rPr/>
        <w:t>据</w:t>
      </w:r>
      <w:r>
        <w:rPr>
          <w:rFonts w:ascii="Times New Roman" w:hAnsi="Times New Roman" w:cs="Times New Roman" w:eastAsia="Times New Roman" w:hint="default"/>
        </w:rPr>
        <w:t>+</w:t>
      </w:r>
      <w:r>
        <w:rPr/>
        <w:t>铁路、大数据</w:t>
      </w:r>
      <w:r>
        <w:rPr>
          <w:rFonts w:ascii="Times New Roman" w:hAnsi="Times New Roman" w:cs="Times New Roman" w:eastAsia="Times New Roman" w:hint="default"/>
        </w:rPr>
        <w:t>+</w:t>
      </w:r>
      <w:r>
        <w:rPr/>
        <w:t>税务、大数据</w:t>
      </w:r>
      <w:r>
        <w:rPr>
          <w:rFonts w:ascii="Times New Roman" w:hAnsi="Times New Roman" w:cs="Times New Roman" w:eastAsia="Times New Roman" w:hint="default"/>
        </w:rPr>
        <w:t>+</w:t>
      </w:r>
      <w:r>
        <w:rPr/>
        <w:t>市场监管、大数据</w:t>
      </w:r>
      <w:r>
        <w:rPr>
          <w:rFonts w:ascii="Times New Roman" w:hAnsi="Times New Roman" w:cs="Times New Roman" w:eastAsia="Times New Roman" w:hint="default"/>
        </w:rPr>
        <w:t>+</w:t>
      </w:r>
      <w:r>
        <w:rPr/>
        <w:t>质检、大数据</w:t>
      </w:r>
      <w:r>
        <w:rPr>
          <w:rFonts w:ascii="Times New Roman" w:hAnsi="Times New Roman" w:cs="Times New Roman" w:eastAsia="Times New Roman" w:hint="default"/>
        </w:rPr>
        <w:t>+</w:t>
      </w:r>
      <w:r>
        <w:rPr/>
        <w:t>海关等行业解决方案。</w:t>
      </w:r>
    </w:p>
    <w:p>
      <w:pPr>
        <w:pStyle w:val="BodyText"/>
        <w:spacing w:line="400" w:lineRule="auto" w:before="30"/>
        <w:ind w:left="153" w:right="210" w:firstLine="420"/>
        <w:jc w:val="both"/>
      </w:pPr>
      <w:r>
        <w:rPr>
          <w:spacing w:val="-3"/>
        </w:rPr>
        <w:t>（</w:t>
      </w:r>
      <w:r>
        <w:rPr>
          <w:rFonts w:ascii="Times New Roman" w:hAnsi="Times New Roman" w:cs="Times New Roman" w:eastAsia="Times New Roman" w:hint="default"/>
          <w:spacing w:val="-3"/>
        </w:rPr>
        <w:t>3</w:t>
      </w:r>
      <w:r>
        <w:rPr>
          <w:spacing w:val="-3"/>
        </w:rPr>
        <w:t>）网络空间安全产品：报告期内，公司充分利用互联网和大数据技术，为政府部门及企事业单位提</w:t>
      </w:r>
      <w:r>
        <w:rPr/>
        <w:t> </w:t>
      </w:r>
      <w:r>
        <w:rPr>
          <w:spacing w:val="-1"/>
        </w:rPr>
        <w:t>供互联网信息监测和风险预警，提升行政执法部门基于大数据的网络空间安全治理能力；升级“信使云服</w:t>
      </w:r>
      <w:r>
        <w:rPr>
          <w:spacing w:val="-83"/>
        </w:rPr>
        <w:t> </w:t>
      </w:r>
      <w:r>
        <w:rPr>
          <w:spacing w:val="-83"/>
        </w:rPr>
      </w:r>
      <w:r>
        <w:rPr>
          <w:spacing w:val="-1"/>
        </w:rPr>
        <w:t>务平台”和“网络线索分析导图系统”，提升报送研判速度；开发“互联网信息应急指挥系统”，在金砖</w:t>
      </w:r>
      <w:r>
        <w:rPr>
          <w:spacing w:val="-89"/>
        </w:rPr>
        <w:t> </w:t>
      </w:r>
      <w:r>
        <w:rPr>
          <w:spacing w:val="-89"/>
        </w:rPr>
      </w:r>
      <w:r>
        <w:rPr/>
        <w:t>会晤期间为政府部门的舆情管理工作起到重要支撑作用。</w:t>
      </w:r>
    </w:p>
    <w:p>
      <w:pPr>
        <w:pStyle w:val="BodyText"/>
        <w:spacing w:line="398" w:lineRule="auto" w:before="52"/>
        <w:ind w:left="153" w:right="210" w:firstLine="420"/>
        <w:jc w:val="both"/>
      </w:pPr>
      <w:r>
        <w:rPr>
          <w:spacing w:val="-3"/>
        </w:rPr>
        <w:t>（</w:t>
      </w:r>
      <w:r>
        <w:rPr>
          <w:rFonts w:ascii="Times New Roman" w:hAnsi="Times New Roman" w:cs="Times New Roman" w:eastAsia="Times New Roman" w:hint="default"/>
          <w:spacing w:val="-3"/>
        </w:rPr>
        <w:t>4</w:t>
      </w:r>
      <w:r>
        <w:rPr>
          <w:spacing w:val="-3"/>
        </w:rPr>
        <w:t>）专项执法装备：报告期内，利用人工智能技术升级“出入境办证一体机”，研究出“驾驶证自助</w:t>
      </w:r>
      <w:r>
        <w:rPr/>
        <w:t> </w:t>
      </w:r>
      <w:r>
        <w:rPr>
          <w:spacing w:val="-1"/>
        </w:rPr>
        <w:t>办证一体机”和“安保智能机器人”。推出集无人机发现、识别、预警及处置等功能于一体的车载式无人</w:t>
      </w:r>
      <w:r>
        <w:rPr>
          <w:spacing w:val="-83"/>
        </w:rPr>
        <w:t> </w:t>
      </w:r>
      <w:r>
        <w:rPr>
          <w:spacing w:val="-83"/>
        </w:rPr>
      </w:r>
      <w:r>
        <w:rPr/>
        <w:t>机管控产品“电子鹰无人机预警指挥车”。</w:t>
      </w:r>
    </w:p>
    <w:p>
      <w:pPr>
        <w:spacing w:after="0" w:line="39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Heading3"/>
        <w:spacing w:line="240" w:lineRule="auto" w:before="174"/>
        <w:ind w:left="576" w:right="0"/>
        <w:jc w:val="left"/>
        <w:rPr>
          <w:b w:val="0"/>
          <w:bCs w:val="0"/>
        </w:rPr>
      </w:pPr>
      <w:r>
        <w:rPr>
          <w:rFonts w:ascii="Times New Roman" w:hAnsi="Times New Roman" w:cs="Times New Roman" w:eastAsia="Times New Roman" w:hint="default"/>
        </w:rPr>
        <w:t>3</w:t>
      </w:r>
      <w:r>
        <w:rPr/>
        <w:t>、服务拓展</w:t>
      </w:r>
      <w:r>
        <w:rPr>
          <w:b w:val="0"/>
          <w:bCs w:val="0"/>
        </w:rPr>
      </w:r>
    </w:p>
    <w:p>
      <w:pPr>
        <w:spacing w:line="240" w:lineRule="auto" w:before="9"/>
        <w:rPr>
          <w:rFonts w:ascii="宋体" w:hAnsi="宋体" w:cs="宋体" w:eastAsia="宋体" w:hint="default"/>
          <w:b/>
          <w:bCs/>
          <w:sz w:val="16"/>
          <w:szCs w:val="16"/>
        </w:rPr>
      </w:pPr>
    </w:p>
    <w:p>
      <w:pPr>
        <w:pStyle w:val="BodyText"/>
        <w:spacing w:line="405" w:lineRule="auto"/>
        <w:ind w:right="0" w:firstLine="420"/>
        <w:jc w:val="left"/>
      </w:pPr>
      <w:r>
        <w:rPr>
          <w:spacing w:val="-3"/>
        </w:rPr>
        <w:t>（</w:t>
      </w:r>
      <w:r>
        <w:rPr>
          <w:rFonts w:ascii="Times New Roman" w:hAnsi="Times New Roman" w:cs="Times New Roman" w:eastAsia="Times New Roman" w:hint="default"/>
          <w:spacing w:val="-3"/>
        </w:rPr>
        <w:t>1</w:t>
      </w:r>
      <w:r>
        <w:rPr>
          <w:spacing w:val="-3"/>
        </w:rPr>
        <w:t>）存证云</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19</w:t>
      </w:r>
      <w:r>
        <w:rPr>
          <w:spacing w:val="-3"/>
        </w:rPr>
        <w:t>日，国务院办公厅发布的《推行行政执法公示制度执法全过程记录制度重</w:t>
      </w:r>
      <w:r>
        <w:rPr/>
        <w:t> 大执法决定法制审核制度试点工作方案》，进一步推动了行政执法机关对电子数据存证装备的需求。报告 期内，存证云通过与仲裁和法院逐步实现对接，助力客户快速化解纠纷。存证云服务范围包括：电子数据 存证业务，可以为用户提供电子数据取证、存证及出证的一条龙服务；存证云电子合同服务，为客户提供 全程第三方鉴证的在线签约服务，并配备完备实名认证和电子签章技术；“网智星”知识产权维权服务，</w:t>
      </w:r>
      <w:r>
        <w:rPr>
          <w:spacing w:val="-34"/>
        </w:rPr>
        <w:t> </w:t>
      </w:r>
      <w:r>
        <w:rPr>
          <w:spacing w:val="-34"/>
        </w:rPr>
      </w:r>
      <w:r>
        <w:rPr/>
        <w:t>为权利人提供全程在线注册审核、创建任务、实时监测任务进度和状态、跟踪结果、查看报告的一站式服</w:t>
      </w:r>
      <w:r>
        <w:rPr/>
        <w:t> 务，提高了用户的易用性和交互性。</w:t>
      </w:r>
    </w:p>
    <w:p>
      <w:pPr>
        <w:pStyle w:val="BodyText"/>
        <w:spacing w:line="398" w:lineRule="auto" w:before="88"/>
        <w:ind w:right="311" w:firstLine="420"/>
        <w:jc w:val="both"/>
      </w:pPr>
      <w:r>
        <w:rPr>
          <w:spacing w:val="-3"/>
        </w:rPr>
        <w:t>（</w:t>
      </w:r>
      <w:r>
        <w:rPr>
          <w:rFonts w:ascii="Times New Roman" w:hAnsi="Times New Roman" w:cs="Times New Roman" w:eastAsia="Times New Roman" w:hint="default"/>
          <w:spacing w:val="-3"/>
        </w:rPr>
        <w:t>2</w:t>
      </w:r>
      <w:r>
        <w:rPr>
          <w:spacing w:val="-3"/>
        </w:rPr>
        <w:t>）网络空间安全服务：报告期内，基于公司云计算架构大数据基础，从海量数据中挖掘相关数据并</w:t>
      </w:r>
      <w:r>
        <w:rPr/>
        <w:t> </w:t>
      </w:r>
      <w:r>
        <w:rPr>
          <w:spacing w:val="-1"/>
        </w:rPr>
        <w:t>深度分析，为客户提供舆情信息实时推送，大数据分析报告、专题分析报告及舆情分析报告服务；针对互</w:t>
      </w:r>
      <w:r>
        <w:rPr>
          <w:spacing w:val="-82"/>
        </w:rPr>
        <w:t> </w:t>
      </w:r>
      <w:r>
        <w:rPr>
          <w:spacing w:val="-82"/>
        </w:rPr>
      </w:r>
      <w:r>
        <w:rPr>
          <w:spacing w:val="-1"/>
        </w:rPr>
        <w:t>联网时事政策热点的深度分析，提供线上线下的舆情大数据分析报告期刊产品“美亚智库”，为各级党政</w:t>
      </w:r>
      <w:r>
        <w:rPr>
          <w:spacing w:val="-82"/>
        </w:rPr>
        <w:t> </w:t>
      </w:r>
      <w:r>
        <w:rPr>
          <w:spacing w:val="-82"/>
        </w:rPr>
      </w:r>
      <w:r>
        <w:rPr>
          <w:spacing w:val="-5"/>
        </w:rPr>
        <w:t>机关提供决策数据和分析依据；面对“永恒之蓝”勒索病毒，公司及时为客户提供对应解决方案；参与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年“一带一路”峰会网络安全保障工作。</w:t>
      </w:r>
    </w:p>
    <w:p>
      <w:pPr>
        <w:pStyle w:val="BodyText"/>
        <w:spacing w:line="400" w:lineRule="auto" w:before="93"/>
        <w:ind w:right="0" w:firstLine="420"/>
        <w:jc w:val="left"/>
      </w:pPr>
      <w:r>
        <w:rPr>
          <w:spacing w:val="-3"/>
        </w:rPr>
        <w:t>（</w:t>
      </w:r>
      <w:r>
        <w:rPr>
          <w:rFonts w:ascii="Times New Roman" w:hAnsi="Times New Roman" w:cs="Times New Roman" w:eastAsia="Times New Roman" w:hint="default"/>
          <w:spacing w:val="-3"/>
        </w:rPr>
        <w:t>3</w:t>
      </w:r>
      <w:r>
        <w:rPr>
          <w:spacing w:val="-3"/>
        </w:rPr>
        <w:t>）数据服务：报告期内，为国家发改委、国家信息中心、工商总局等提供互联网大数据分析报告服</w:t>
      </w:r>
      <w:r>
        <w:rPr/>
        <w:t> 务，包括形势分析、政策评价和经济监测；利用互联网全网数据，结合政府核心业务数据源为政府部门提 </w:t>
      </w:r>
      <w:r>
        <w:rPr>
          <w:spacing w:val="-1"/>
        </w:rPr>
        <w:t>供及时有效的基础数据服务；与工商总局合作开展基于互联网大数据的市场主体服务和监管形势分析服务；</w:t>
      </w:r>
      <w:r>
        <w:rPr>
          <w:spacing w:val="-80"/>
        </w:rPr>
        <w:t> </w:t>
      </w:r>
      <w:r>
        <w:rPr>
          <w:spacing w:val="-80"/>
        </w:rPr>
      </w:r>
      <w:r>
        <w:rPr/>
        <w:t>为国务院办公厅信息公开办提供互联网大数据分析常态化服务。</w:t>
      </w:r>
    </w:p>
    <w:p>
      <w:pPr>
        <w:pStyle w:val="BodyText"/>
        <w:spacing w:line="398" w:lineRule="auto" w:before="52"/>
        <w:ind w:right="311" w:firstLine="420"/>
        <w:jc w:val="both"/>
      </w:pPr>
      <w:r>
        <w:rPr>
          <w:spacing w:val="-3"/>
        </w:rPr>
        <w:t>（</w:t>
      </w:r>
      <w:r>
        <w:rPr>
          <w:rFonts w:ascii="Times New Roman" w:hAnsi="Times New Roman" w:cs="Times New Roman" w:eastAsia="Times New Roman" w:hint="default"/>
          <w:spacing w:val="-3"/>
        </w:rPr>
        <w:t>4</w:t>
      </w:r>
      <w:r>
        <w:rPr>
          <w:spacing w:val="-3"/>
        </w:rPr>
        <w:t>）培训及技术增值服务：公司的培训业务已由传统的线下培训，逐渐转为线上线下行业技术培训及</w:t>
      </w:r>
      <w:r>
        <w:rPr/>
        <w:t> </w:t>
      </w:r>
      <w:r>
        <w:rPr>
          <w:spacing w:val="-1"/>
        </w:rPr>
        <w:t>认证服务相结合的模式，并以开展技术大比武方式，提升培训质量。同时依托中证司法鉴定中心，对已落</w:t>
      </w:r>
      <w:r>
        <w:rPr>
          <w:spacing w:val="-82"/>
        </w:rPr>
        <w:t> </w:t>
      </w:r>
      <w:r>
        <w:rPr>
          <w:spacing w:val="-82"/>
        </w:rPr>
      </w:r>
      <w:r>
        <w:rPr/>
        <w:t>地的实验室建设项目开展实验室认证培训、实验室体系管理建设、实验室认可咨询等增值服务。</w:t>
      </w:r>
    </w:p>
    <w:p>
      <w:pPr>
        <w:pStyle w:val="Heading3"/>
        <w:spacing w:line="240" w:lineRule="auto" w:before="54"/>
        <w:ind w:left="576" w:right="0"/>
        <w:jc w:val="left"/>
        <w:rPr>
          <w:b w:val="0"/>
          <w:bCs w:val="0"/>
        </w:rPr>
      </w:pPr>
      <w:r>
        <w:rPr>
          <w:rFonts w:ascii="Times New Roman" w:hAnsi="Times New Roman" w:cs="Times New Roman" w:eastAsia="Times New Roman" w:hint="default"/>
        </w:rPr>
        <w:t>4</w:t>
      </w:r>
      <w:r>
        <w:rPr/>
        <w:t>、市场拓展</w:t>
      </w:r>
      <w:r>
        <w:rPr>
          <w:b w:val="0"/>
          <w:bCs w:val="0"/>
        </w:rPr>
      </w:r>
    </w:p>
    <w:p>
      <w:pPr>
        <w:pStyle w:val="BodyText"/>
        <w:spacing w:line="403" w:lineRule="auto" w:before="177"/>
        <w:ind w:right="309" w:firstLine="422"/>
        <w:jc w:val="both"/>
      </w:pPr>
      <w:r>
        <w:rPr>
          <w:spacing w:val="-3"/>
        </w:rPr>
        <w:t>（</w:t>
      </w:r>
      <w:r>
        <w:rPr>
          <w:rFonts w:ascii="Times New Roman" w:hAnsi="Times New Roman" w:cs="Times New Roman" w:eastAsia="Times New Roman" w:hint="default"/>
          <w:spacing w:val="-3"/>
        </w:rPr>
        <w:t>1</w:t>
      </w:r>
      <w:r>
        <w:rPr>
          <w:spacing w:val="-3"/>
        </w:rPr>
        <w:t>）国内市场：公司继续推行区县战略，并加大重点行业拓展和重点产品销售，持续以培训营销模式</w:t>
      </w:r>
      <w:r>
        <w:rPr/>
        <w:t> </w:t>
      </w:r>
      <w:r>
        <w:rPr>
          <w:spacing w:val="-1"/>
        </w:rPr>
        <w:t>快速推进国内行业覆盖。截至报告期末，公司业务领域由传统电子数据取证拓展至大数据、人工智能、智</w:t>
      </w:r>
      <w:r>
        <w:rPr>
          <w:spacing w:val="-82"/>
        </w:rPr>
        <w:t> </w:t>
      </w:r>
      <w:r>
        <w:rPr>
          <w:spacing w:val="-82"/>
        </w:rPr>
      </w:r>
      <w:r>
        <w:rPr>
          <w:spacing w:val="-5"/>
        </w:rPr>
        <w:t>慧城市、便民服务等其他方面。市场也朝着多方位方向发展，公安市场已由网安拓展至刑侦、经侦、反恐、</w:t>
      </w:r>
      <w:r>
        <w:rPr/>
        <w:t> </w:t>
      </w:r>
      <w:r>
        <w:rPr>
          <w:spacing w:val="-1"/>
        </w:rPr>
        <w:t>缉毒、出入境等其他新警种，行业领域已由公安、检察院延伸到监察委、工商、食药监、海关、税务、军</w:t>
      </w:r>
      <w:r>
        <w:rPr>
          <w:spacing w:val="-85"/>
        </w:rPr>
        <w:t> </w:t>
      </w:r>
      <w:r>
        <w:rPr>
          <w:spacing w:val="-85"/>
        </w:rPr>
      </w:r>
      <w:r>
        <w:rPr/>
        <w:t>队、证监等行业。</w:t>
      </w:r>
    </w:p>
    <w:p>
      <w:pPr>
        <w:pStyle w:val="BodyText"/>
        <w:spacing w:line="398" w:lineRule="auto" w:before="50"/>
        <w:ind w:right="310" w:firstLine="422"/>
        <w:jc w:val="both"/>
      </w:pPr>
      <w:r>
        <w:rPr>
          <w:spacing w:val="-1"/>
        </w:rPr>
        <w:t>报告期内订单增量贡献比较大的客户行业为公安、海关、税务、工商等。报告期内，检察院行业未能</w:t>
      </w:r>
      <w:r>
        <w:rPr/>
        <w:t> </w:t>
      </w:r>
      <w:r>
        <w:rPr>
          <w:spacing w:val="-1"/>
        </w:rPr>
        <w:t>实现收入增长，主要是由于检察院部分职能调整到监察委，但随着</w:t>
      </w:r>
      <w:r>
        <w:rPr>
          <w:rFonts w:ascii="Times New Roman" w:hAnsi="Times New Roman" w:cs="Times New Roman" w:eastAsia="Times New Roman" w:hint="default"/>
          <w:spacing w:val="-1"/>
        </w:rPr>
        <w:t>2018</w:t>
      </w:r>
      <w:r>
        <w:rPr>
          <w:spacing w:val="-1"/>
        </w:rPr>
        <w:t>年监察委组织机构调整到位，该细</w:t>
      </w:r>
      <w:r>
        <w:rPr>
          <w:spacing w:val="-85"/>
        </w:rPr>
        <w:t> </w:t>
      </w:r>
      <w:r>
        <w:rPr>
          <w:spacing w:val="-85"/>
        </w:rPr>
      </w:r>
      <w:r>
        <w:rPr/>
        <w:t>分行业将逐步恢复采购。</w:t>
      </w:r>
    </w:p>
    <w:p>
      <w:pPr>
        <w:spacing w:after="0" w:line="398" w:lineRule="auto"/>
        <w:jc w:val="both"/>
        <w:sectPr>
          <w:pgSz w:w="11910" w:h="16840"/>
          <w:pgMar w:header="747" w:footer="982" w:top="1060" w:bottom="1180" w:left="980" w:right="820"/>
        </w:sectPr>
      </w:pPr>
    </w:p>
    <w:p>
      <w:pPr>
        <w:spacing w:line="240" w:lineRule="auto" w:before="0"/>
        <w:rPr>
          <w:rFonts w:ascii="宋体" w:hAnsi="宋体" w:cs="宋体" w:eastAsia="宋体" w:hint="default"/>
          <w:sz w:val="20"/>
          <w:szCs w:val="20"/>
        </w:rPr>
      </w:pPr>
    </w:p>
    <w:p>
      <w:pPr>
        <w:pStyle w:val="BodyText"/>
        <w:spacing w:line="408" w:lineRule="auto" w:before="174"/>
        <w:ind w:right="211" w:firstLine="422"/>
        <w:jc w:val="both"/>
      </w:pPr>
      <w:r>
        <w:rPr>
          <w:spacing w:val="-1"/>
        </w:rPr>
        <w:t>报告期内，为进一步促进军民融合，推动军队信息化建设工作，公司成立了特种行业部，负责军民融</w:t>
      </w:r>
      <w:r>
        <w:rPr/>
        <w:t> </w:t>
      </w:r>
      <w:r>
        <w:rPr>
          <w:spacing w:val="-1"/>
        </w:rPr>
        <w:t>合领域市场的拓展及业务。此外，公司作为论坛支持单位，参与了2017年12月28日在厦门举办的第12期钱</w:t>
      </w:r>
      <w:r>
        <w:rPr>
          <w:spacing w:val="-80"/>
        </w:rPr>
        <w:t> </w:t>
      </w:r>
      <w:r>
        <w:rPr>
          <w:spacing w:val="-80"/>
        </w:rPr>
      </w:r>
      <w:r>
        <w:rPr>
          <w:spacing w:val="-1"/>
        </w:rPr>
        <w:t>学森论坛深度研讨会暨首届网信军民融合高峰论坛；公司也将用专业能力及技术优势，着力提升军队信息</w:t>
      </w:r>
      <w:r>
        <w:rPr>
          <w:spacing w:val="-81"/>
        </w:rPr>
        <w:t> </w:t>
      </w:r>
      <w:r>
        <w:rPr>
          <w:spacing w:val="-81"/>
        </w:rPr>
      </w:r>
      <w:r>
        <w:rPr/>
        <w:t>化建设进度和水平，大力发展民营企业服务军队。</w:t>
      </w:r>
    </w:p>
    <w:p>
      <w:pPr>
        <w:pStyle w:val="BodyText"/>
        <w:spacing w:line="398" w:lineRule="auto" w:before="46"/>
        <w:ind w:right="102" w:firstLine="422"/>
        <w:jc w:val="left"/>
      </w:pPr>
      <w:r>
        <w:rPr>
          <w:spacing w:val="-6"/>
        </w:rPr>
        <w:t>在深耕行业市场的同时，公司业务也逐步向企事业单位和民用市场拓展。公司基于互联网云服务的“存</w:t>
      </w:r>
      <w:r>
        <w:rPr/>
        <w:t> 证云”业务，经过这几年的培育，已实现一定增长。截至</w:t>
      </w:r>
      <w:r>
        <w:rPr>
          <w:rFonts w:ascii="Times New Roman" w:hAnsi="Times New Roman" w:cs="Times New Roman" w:eastAsia="Times New Roman" w:hint="default"/>
        </w:rPr>
        <w:t>2017</w:t>
      </w:r>
      <w:r>
        <w:rPr/>
        <w:t>年底电子合同签约存证和电子数据存证平台 业务的政企用户数量相比</w:t>
      </w:r>
      <w:r>
        <w:rPr>
          <w:rFonts w:ascii="Times New Roman" w:hAnsi="Times New Roman" w:cs="Times New Roman" w:eastAsia="Times New Roman" w:hint="default"/>
        </w:rPr>
        <w:t>2016</w:t>
      </w:r>
      <w:r>
        <w:rPr/>
        <w:t>年实现数倍增长，已达到上百家，涉及到的行业有政府、金融、知识产权、</w:t>
      </w:r>
      <w:r>
        <w:rPr>
          <w:spacing w:val="-38"/>
        </w:rPr>
        <w:t> </w:t>
      </w:r>
      <w:r>
        <w:rPr>
          <w:spacing w:val="-38"/>
        </w:rPr>
      </w:r>
      <w:r>
        <w:rPr/>
        <w:t>物流、家政、租赁、教育、电商等行业客户。公司的“企业信息风险管控平台”和“审查大师”等产品也</w:t>
      </w:r>
      <w:r>
        <w:rPr/>
        <w:t> 在企业中得到应用。</w:t>
      </w:r>
    </w:p>
    <w:p>
      <w:pPr>
        <w:pStyle w:val="BodyText"/>
        <w:spacing w:line="408" w:lineRule="auto" w:before="54"/>
        <w:ind w:right="208" w:firstLine="422"/>
        <w:jc w:val="both"/>
      </w:pPr>
      <w:r>
        <w:rPr>
          <w:spacing w:val="-3"/>
        </w:rPr>
        <w:t>（2）国际市场：公司践行国家“走出去”和“一带一路”发展战略，通过开展外警培训、技术交流与</w:t>
      </w:r>
      <w:r>
        <w:rPr/>
        <w:t> </w:t>
      </w:r>
      <w:r>
        <w:rPr>
          <w:spacing w:val="-1"/>
        </w:rPr>
        <w:t>服务和海外技术研发，逐步拓展国际市场。目前公司在国家“一带一路”战略的号召下，配合公安部在涉</w:t>
      </w:r>
      <w:r>
        <w:rPr>
          <w:spacing w:val="-83"/>
        </w:rPr>
        <w:t> </w:t>
      </w:r>
      <w:r>
        <w:rPr>
          <w:spacing w:val="-83"/>
        </w:rPr>
      </w:r>
      <w:r>
        <w:rPr>
          <w:spacing w:val="-1"/>
        </w:rPr>
        <w:t>外培训、技术交流与服务、产品销售、援建取证实验室等方面已开展相关工作，并且与国家信息中心签订</w:t>
      </w:r>
      <w:r>
        <w:rPr>
          <w:spacing w:val="-82"/>
        </w:rPr>
        <w:t> </w:t>
      </w:r>
      <w:r>
        <w:rPr>
          <w:spacing w:val="-82"/>
        </w:rPr>
      </w:r>
      <w:r>
        <w:rPr>
          <w:spacing w:val="-1"/>
        </w:rPr>
        <w:t>了《关于联合拓展互联网政务大数据业务的框架协议》，将配合国家和地方政府开展互联网大数据分析业</w:t>
      </w:r>
      <w:r>
        <w:rPr>
          <w:spacing w:val="-83"/>
        </w:rPr>
        <w:t> </w:t>
      </w:r>
      <w:r>
        <w:rPr>
          <w:spacing w:val="-83"/>
        </w:rPr>
      </w:r>
      <w:r>
        <w:rPr>
          <w:spacing w:val="-1"/>
        </w:rPr>
        <w:t>务，支撑国家“一带一路”互联网数据库建设和税务大数据业务建设等工作。公司积极参与对外交流，主</w:t>
      </w:r>
      <w:r>
        <w:rPr>
          <w:spacing w:val="-83"/>
        </w:rPr>
        <w:t> </w:t>
      </w:r>
      <w:r>
        <w:rPr>
          <w:spacing w:val="-83"/>
        </w:rPr>
      </w:r>
      <w:r>
        <w:rPr>
          <w:spacing w:val="-3"/>
        </w:rPr>
        <w:t>动“走出去”，提升公司在国际市场的知名度。2017年7月12日，董事长滕达先生作为中国企业代表受邀参</w:t>
      </w:r>
      <w:r>
        <w:rPr>
          <w:spacing w:val="-87"/>
        </w:rPr>
        <w:t> </w:t>
      </w:r>
      <w:r>
        <w:rPr>
          <w:spacing w:val="-87"/>
        </w:rPr>
      </w:r>
      <w:r>
        <w:rPr/>
        <w:t>加国际刑警组织于7月12日在法国举办的“打击网络与金融犯罪高级别对话会议”。2017年10月17日至20</w:t>
      </w:r>
      <w:r>
        <w:rPr>
          <w:spacing w:val="-38"/>
        </w:rPr>
        <w:t> </w:t>
      </w:r>
      <w:r>
        <w:rPr>
          <w:spacing w:val="-38"/>
        </w:rPr>
      </w:r>
      <w:r>
        <w:rPr>
          <w:spacing w:val="-1"/>
        </w:rPr>
        <w:t>日，公司首次与俄罗斯合作伙伴联合参加了在莫斯科举办的2017第21届俄罗斯（莫斯科）国际国防与军警</w:t>
      </w:r>
      <w:r>
        <w:rPr>
          <w:spacing w:val="-82"/>
        </w:rPr>
        <w:t> </w:t>
      </w:r>
      <w:r>
        <w:rPr>
          <w:spacing w:val="-82"/>
        </w:rPr>
      </w:r>
      <w:r>
        <w:rPr/>
        <w:t>设备展。</w:t>
      </w:r>
    </w:p>
    <w:p>
      <w:pPr>
        <w:pStyle w:val="BodyText"/>
        <w:spacing w:line="393" w:lineRule="auto" w:before="46"/>
        <w:ind w:right="207" w:firstLine="422"/>
        <w:jc w:val="both"/>
      </w:pPr>
      <w:r>
        <w:rPr/>
        <w:t>习总书记</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日在国际刑警组织第</w:t>
      </w:r>
      <w:r>
        <w:rPr>
          <w:rFonts w:ascii="Times New Roman" w:hAnsi="Times New Roman" w:cs="Times New Roman" w:eastAsia="Times New Roman" w:hint="default"/>
        </w:rPr>
        <w:t>86</w:t>
      </w:r>
      <w:r>
        <w:rPr/>
        <w:t>届全会演讲上强调要“加大对国际刑警组织执法能力建</w:t>
      </w:r>
      <w:r>
        <w:rPr>
          <w:spacing w:val="2"/>
        </w:rPr>
        <w:t> </w:t>
      </w:r>
      <w:r>
        <w:rPr>
          <w:spacing w:val="-3"/>
        </w:rPr>
        <w:t>设支持力度，支持建立全球培训体系，为发展中国家培训</w:t>
      </w:r>
      <w:r>
        <w:rPr>
          <w:rFonts w:ascii="Times New Roman" w:hAnsi="Times New Roman" w:cs="Times New Roman" w:eastAsia="Times New Roman" w:hint="default"/>
          <w:spacing w:val="-3"/>
        </w:rPr>
        <w:t>5000</w:t>
      </w:r>
      <w:r>
        <w:rPr>
          <w:spacing w:val="-3"/>
        </w:rPr>
        <w:t>名执法人员；为</w:t>
      </w:r>
      <w:r>
        <w:rPr>
          <w:rFonts w:ascii="Times New Roman" w:hAnsi="Times New Roman" w:cs="Times New Roman" w:eastAsia="Times New Roman" w:hint="default"/>
          <w:spacing w:val="-3"/>
        </w:rPr>
        <w:t>100</w:t>
      </w:r>
      <w:r>
        <w:rPr>
          <w:spacing w:val="-3"/>
        </w:rPr>
        <w:t>个发展中国家援建升级国</w:t>
      </w:r>
      <w:r>
        <w:rPr>
          <w:spacing w:val="-86"/>
        </w:rPr>
        <w:t> </w:t>
      </w:r>
      <w:r>
        <w:rPr>
          <w:spacing w:val="-86"/>
        </w:rPr>
      </w:r>
      <w:r>
        <w:rPr>
          <w:spacing w:val="-1"/>
        </w:rPr>
        <w:t>际刑警组织通信系统和刑事调查实验室，促进全球经费执法能力均衡发展。中国政府将成立公安部国际执</w:t>
      </w:r>
      <w:r>
        <w:rPr>
          <w:spacing w:val="-81"/>
        </w:rPr>
        <w:t> </w:t>
      </w:r>
      <w:r>
        <w:rPr>
          <w:spacing w:val="-81"/>
        </w:rPr>
      </w:r>
      <w:r>
        <w:rPr/>
        <w:t>法学院，为发展中国家培训</w:t>
      </w:r>
      <w:r>
        <w:rPr>
          <w:rFonts w:ascii="Times New Roman" w:hAnsi="Times New Roman" w:cs="Times New Roman" w:eastAsia="Times New Roman" w:hint="default"/>
        </w:rPr>
        <w:t>2</w:t>
      </w:r>
      <w:r>
        <w:rPr/>
        <w:t>万名执法人员。”未来国际市场发展空间将更为广阔。</w:t>
      </w:r>
    </w:p>
    <w:p>
      <w:pPr>
        <w:spacing w:line="386" w:lineRule="auto" w:before="28"/>
        <w:ind w:left="576" w:right="37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、重大活动信息安全保障及技术支持</w:t>
      </w:r>
      <w:r>
        <w:rPr>
          <w:rFonts w:ascii="宋体" w:hAnsi="宋体" w:cs="宋体" w:eastAsia="宋体" w:hint="default"/>
          <w:b/>
          <w:bCs/>
          <w:w w:val="99"/>
          <w:sz w:val="21"/>
          <w:szCs w:val="21"/>
        </w:rPr>
        <w:t> </w:t>
      </w:r>
      <w:r>
        <w:rPr>
          <w:rFonts w:ascii="宋体" w:hAnsi="宋体" w:cs="宋体" w:eastAsia="宋体" w:hint="default"/>
          <w:sz w:val="21"/>
          <w:szCs w:val="21"/>
        </w:rPr>
        <w:t>报告期内，公司参与的重大信息安全保障和技术支持工作有：</w:t>
      </w:r>
    </w:p>
    <w:p>
      <w:pPr>
        <w:pStyle w:val="BodyText"/>
        <w:spacing w:line="408" w:lineRule="auto" w:before="65"/>
        <w:ind w:right="208" w:firstLine="422"/>
        <w:jc w:val="right"/>
      </w:pPr>
      <w:r>
        <w:rPr>
          <w:spacing w:val="-3"/>
        </w:rPr>
        <w:t>金砖国家领导人第九次会晤技术支持保障：9月3日至5日，金砖国家领导人第九次会晤在厦门召开。技</w:t>
      </w:r>
      <w:r>
        <w:rPr/>
        <w:t> </w:t>
      </w:r>
      <w:r>
        <w:rPr>
          <w:spacing w:val="-3"/>
        </w:rPr>
        <w:t>术保障期间，公司总计成立了20多个专项小组，投入800余员工到相关工作中。协助相关部门完成：无人机</w:t>
      </w:r>
      <w:r>
        <w:rPr/>
        <w:t> </w:t>
      </w:r>
      <w:r>
        <w:rPr>
          <w:spacing w:val="-1"/>
        </w:rPr>
        <w:t>反制工作；负责“厦门会晤”官方网站、注册系统等的建设、防护和运维工作；利用大数据打造厦门安保</w:t>
      </w:r>
      <w:r>
        <w:rPr>
          <w:spacing w:val="-95"/>
        </w:rPr>
        <w:t> </w:t>
      </w:r>
      <w:r>
        <w:rPr>
          <w:spacing w:val="-95"/>
        </w:rPr>
      </w:r>
      <w:r>
        <w:rPr>
          <w:spacing w:val="-1"/>
        </w:rPr>
        <w:t>新方案，建设城市公共安全管理平台，实现数据资源的共建共享，打破了各部门间的信息壁垒；依托大数</w:t>
      </w:r>
      <w:r>
        <w:rPr>
          <w:spacing w:val="-93"/>
        </w:rPr>
        <w:t> </w:t>
      </w:r>
      <w:r>
        <w:rPr>
          <w:spacing w:val="-93"/>
        </w:rPr>
      </w:r>
      <w:r>
        <w:rPr>
          <w:spacing w:val="-6"/>
        </w:rPr>
        <w:t>据、智能语音和人脸识别等技术打造的智能机器人，为客户实现释放部分安保力量、提升安保能力的效果。</w:t>
      </w:r>
      <w:r>
        <w:rPr>
          <w:spacing w:val="-83"/>
        </w:rPr>
        <w:t> </w:t>
      </w:r>
      <w:r>
        <w:rPr>
          <w:spacing w:val="-83"/>
        </w:rPr>
      </w:r>
      <w:r>
        <w:rPr>
          <w:spacing w:val="-1"/>
        </w:rPr>
        <w:t>“勒索病毒”防御：在病毒爆发后，公司推出数据恢复的专用工具“恢复大师永恒之蓝专修版”，提</w:t>
      </w:r>
    </w:p>
    <w:p>
      <w:pPr>
        <w:spacing w:after="0" w:line="408" w:lineRule="auto"/>
        <w:jc w:val="righ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576" w:right="0" w:hanging="423"/>
        <w:jc w:val="left"/>
      </w:pPr>
      <w:r>
        <w:rPr/>
        <w:t>供全球用户免费下载，协助用户恢复被病毒删除的原始数据，挽回了诸多用户数据。 </w:t>
      </w:r>
      <w:r>
        <w:rPr>
          <w:spacing w:val="-6"/>
        </w:rPr>
        <w:t>其他大型会议及论坛信息安全保障工作：参与“一带一路国际合作高峰论坛”、“世界互联网大会”、</w:t>
      </w:r>
    </w:p>
    <w:p>
      <w:pPr>
        <w:pStyle w:val="BodyText"/>
        <w:spacing w:line="408" w:lineRule="auto" w:before="46"/>
        <w:ind w:left="153" w:right="391"/>
        <w:jc w:val="both"/>
      </w:pPr>
      <w:r>
        <w:rPr>
          <w:spacing w:val="-1"/>
        </w:rPr>
        <w:t>“第十九次全国代表大会”等大型会议及论坛信息安全保障工作。公司“电子鹰反无人机设备”首次参与</w:t>
      </w:r>
      <w:r>
        <w:rPr>
          <w:spacing w:val="-82"/>
        </w:rPr>
        <w:t> </w:t>
      </w:r>
      <w:r>
        <w:rPr>
          <w:spacing w:val="-82"/>
        </w:rPr>
      </w:r>
      <w:r>
        <w:rPr/>
        <w:t>国家大型安保，护航厦门国际马拉松。</w:t>
      </w:r>
    </w:p>
    <w:p>
      <w:pPr>
        <w:pStyle w:val="BodyText"/>
        <w:spacing w:line="420" w:lineRule="auto" w:before="46"/>
        <w:ind w:left="576" w:right="0"/>
        <w:jc w:val="left"/>
      </w:pPr>
      <w:r>
        <w:rPr>
          <w:rFonts w:ascii="Times New Roman" w:hAnsi="Times New Roman" w:cs="Times New Roman" w:eastAsia="Times New Roman" w:hint="default"/>
          <w:b/>
          <w:bCs/>
        </w:rPr>
        <w:t>6</w:t>
      </w:r>
      <w:r>
        <w:rPr>
          <w:rFonts w:ascii="宋体" w:hAnsi="宋体" w:cs="宋体" w:eastAsia="宋体" w:hint="default"/>
          <w:b/>
          <w:bCs/>
        </w:rPr>
        <w:t>、投资并购</w:t>
      </w:r>
      <w:r>
        <w:rPr>
          <w:rFonts w:ascii="宋体" w:hAnsi="宋体" w:cs="宋体" w:eastAsia="宋体" w:hint="default"/>
          <w:b/>
          <w:bCs/>
          <w:spacing w:val="1"/>
          <w:w w:val="99"/>
        </w:rPr>
        <w:t> </w:t>
      </w:r>
      <w:r>
        <w:rPr>
          <w:spacing w:val="-1"/>
        </w:rPr>
        <w:t>公司始终将外延式发展和内生性增长放在同等重要的地位。公司设立的投资中心，负责沿着公司网络</w:t>
      </w:r>
    </w:p>
    <w:p>
      <w:pPr>
        <w:pStyle w:val="BodyText"/>
        <w:spacing w:line="408" w:lineRule="auto" w:before="34"/>
        <w:ind w:left="153" w:right="284"/>
        <w:jc w:val="both"/>
      </w:pPr>
      <w:r>
        <w:rPr/>
        <w:t>空间安全和大数据信息化的战略发展方向挖掘标的，并选择了一些具有创新性，在科技前沿领域有前瞻性 的企业进行投资并购，深化产业布局。报告期内，公司发起设立的公司美亚梧桐产业并购基金，已围绕公 </w:t>
      </w:r>
      <w:r>
        <w:rPr>
          <w:spacing w:val="-6"/>
        </w:rPr>
        <w:t>司产业链进行外延发展投资，先后在公安/金融大数据分析、移动应用安全、大数据采集/分析、人工智能、</w:t>
      </w:r>
      <w:r>
        <w:rPr>
          <w:spacing w:val="-59"/>
        </w:rPr>
        <w:t> </w:t>
      </w:r>
      <w:r>
        <w:rPr>
          <w:spacing w:val="-59"/>
        </w:rPr>
      </w:r>
      <w:r>
        <w:rPr/>
        <w:t>边界网络安全等子行业进行了拓展；公司使用自有资金1,680万元持股厦门斯坦道科学仪器股份有限公司</w:t>
      </w:r>
      <w:r>
        <w:rPr>
          <w:spacing w:val="-37"/>
        </w:rPr>
        <w:t> </w:t>
      </w:r>
      <w:r>
        <w:rPr>
          <w:spacing w:val="-37"/>
        </w:rPr>
      </w:r>
      <w:r>
        <w:rPr>
          <w:spacing w:val="-3"/>
        </w:rPr>
        <w:t>10%股权，在市监行业（工商、质监和食药监行业）斯坦道与美亚商鼎在产品解决方案上形成有效补充，在</w:t>
      </w:r>
      <w:r>
        <w:rPr>
          <w:spacing w:val="-93"/>
        </w:rPr>
        <w:t> </w:t>
      </w:r>
      <w:r>
        <w:rPr>
          <w:spacing w:val="-93"/>
        </w:rPr>
      </w:r>
      <w:r>
        <w:rPr/>
        <w:t>市场渠道上具有高度协同性；参股公司深圳市中新赛克科技股份有限公司2017年11月21日在深交所上市。</w:t>
      </w:r>
    </w:p>
    <w:p>
      <w:pPr>
        <w:spacing w:line="386" w:lineRule="auto" w:before="85"/>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、人力资源及公司荣誉</w:t>
      </w:r>
      <w:r>
        <w:rPr>
          <w:rFonts w:ascii="宋体" w:hAnsi="宋体" w:cs="宋体" w:eastAsia="宋体" w:hint="default"/>
          <w:b/>
          <w:bCs/>
          <w:w w:val="99"/>
          <w:sz w:val="21"/>
          <w:szCs w:val="21"/>
        </w:rPr>
        <w:t> </w:t>
      </w:r>
      <w:r>
        <w:rPr>
          <w:rFonts w:ascii="宋体" w:hAnsi="宋体" w:cs="宋体" w:eastAsia="宋体" w:hint="default"/>
          <w:spacing w:val="-1"/>
          <w:sz w:val="21"/>
          <w:szCs w:val="21"/>
        </w:rPr>
        <w:t>报告期内，公司通过“刘祥南创新创业基金”资助项目，致力于鼓励高校学子创新创业，并通过校企</w:t>
      </w:r>
    </w:p>
    <w:p>
      <w:pPr>
        <w:pStyle w:val="BodyText"/>
        <w:spacing w:line="398" w:lineRule="auto" w:before="65"/>
        <w:ind w:right="390"/>
        <w:jc w:val="both"/>
      </w:pPr>
      <w:r>
        <w:rPr/>
        <w:t>合作的模式，培养适合公司发展的人才。对于公司内部员工培养，重点开展与厦门大学联合举办</w:t>
      </w:r>
      <w:r>
        <w:rPr>
          <w:rFonts w:ascii="Times New Roman" w:hAnsi="Times New Roman" w:cs="Times New Roman" w:eastAsia="Times New Roman" w:hint="default"/>
        </w:rPr>
        <w:t>EDP</w:t>
      </w:r>
      <w:r>
        <w:rPr/>
        <w:t>美亚</w:t>
      </w:r>
      <w:r>
        <w:rPr>
          <w:spacing w:val="1"/>
        </w:rPr>
        <w:t> </w:t>
      </w:r>
      <w:r>
        <w:rPr>
          <w:spacing w:val="-1"/>
        </w:rPr>
        <w:t>柏科定制研修班，每个节假日邀请公司高管或聘请知名讲师开设“智慧大讲堂”讲座，对不同岗位不定期</w:t>
      </w:r>
      <w:r>
        <w:rPr>
          <w:spacing w:val="-82"/>
        </w:rPr>
        <w:t> </w:t>
      </w:r>
      <w:r>
        <w:rPr>
          <w:spacing w:val="-82"/>
        </w:rPr>
      </w:r>
      <w:r>
        <w:rPr>
          <w:spacing w:val="-1"/>
        </w:rPr>
        <w:t>召开各种技能培训，为新员工开展入职培训及新生拓展活动等。公司重视产业拓展和员工创新创业，公司</w:t>
      </w:r>
      <w:r>
        <w:rPr>
          <w:spacing w:val="-83"/>
        </w:rPr>
        <w:t> </w:t>
      </w:r>
      <w:r>
        <w:rPr>
          <w:spacing w:val="-83"/>
        </w:rPr>
      </w:r>
      <w:r>
        <w:rPr>
          <w:spacing w:val="-1"/>
        </w:rPr>
        <w:t>的创客空间“美亚青果创客汇”为内外部创业者提供了全产业链创业支持与服务，</w:t>
      </w:r>
      <w:r>
        <w:rPr>
          <w:rFonts w:ascii="Times New Roman" w:hAnsi="Times New Roman" w:cs="Times New Roman" w:eastAsia="Times New Roman" w:hint="default"/>
          <w:spacing w:val="-1"/>
        </w:rPr>
        <w:t>2017</w:t>
      </w:r>
      <w:r>
        <w:rPr>
          <w:spacing w:val="-1"/>
        </w:rPr>
        <w:t>年获评“国家备案</w:t>
      </w:r>
      <w:r>
        <w:rPr>
          <w:spacing w:val="-83"/>
        </w:rPr>
        <w:t> </w:t>
      </w:r>
      <w:r>
        <w:rPr>
          <w:spacing w:val="-83"/>
        </w:rPr>
      </w:r>
      <w:r>
        <w:rPr/>
        <w:t>众创空间”和“国家专业化众创空间示范单位”。</w:t>
      </w:r>
    </w:p>
    <w:p>
      <w:pPr>
        <w:pStyle w:val="BodyText"/>
        <w:spacing w:line="408" w:lineRule="auto" w:before="54"/>
        <w:ind w:right="391" w:firstLine="420"/>
        <w:jc w:val="both"/>
      </w:pPr>
      <w:r>
        <w:rPr>
          <w:spacing w:val="-1"/>
        </w:rPr>
        <w:t>报告期内，公司获得国家、省市主管部门颁发的多项荣誉。公司董事长滕达获得“第三批国家万人计</w:t>
      </w:r>
      <w:r>
        <w:rPr/>
        <w:t> </w:t>
      </w:r>
      <w:r>
        <w:rPr>
          <w:spacing w:val="-1"/>
        </w:rPr>
        <w:t>划科技创新领军人才”，总经理申强获得“厦门市第一批非公有制企业和社会组织党建领军人才”和“厦</w:t>
      </w:r>
      <w:r>
        <w:rPr>
          <w:spacing w:val="-83"/>
        </w:rPr>
        <w:t> </w:t>
      </w:r>
      <w:r>
        <w:rPr>
          <w:spacing w:val="-83"/>
        </w:rPr>
      </w:r>
      <w:r>
        <w:rPr/>
        <w:t>门市第九批拔尖人才”等荣誉称号。</w:t>
      </w:r>
    </w:p>
    <w:tbl>
      <w:tblPr>
        <w:tblW w:w="0" w:type="auto"/>
        <w:jc w:val="left"/>
        <w:tblInd w:w="164" w:type="dxa"/>
        <w:tblLayout w:type="fixed"/>
        <w:tblCellMar>
          <w:top w:w="0" w:type="dxa"/>
          <w:left w:w="0" w:type="dxa"/>
          <w:bottom w:w="0" w:type="dxa"/>
          <w:right w:w="0" w:type="dxa"/>
        </w:tblCellMar>
        <w:tblLook w:val="01E0"/>
      </w:tblPr>
      <w:tblGrid>
        <w:gridCol w:w="676"/>
        <w:gridCol w:w="884"/>
        <w:gridCol w:w="1417"/>
        <w:gridCol w:w="6912"/>
      </w:tblGrid>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荣誉级别</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获奖时间</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荣誉</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Times New Roman"/>
                <w:sz w:val="18"/>
              </w:rPr>
              <w:t>1</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国家级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国家知识产权优势企业</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Times New Roman"/>
                <w:sz w:val="18"/>
              </w:rPr>
              <w:t>2</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国家级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年中国软件和信息技术服务综合竞争力百强企业</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Times New Roman"/>
                <w:sz w:val="18"/>
              </w:rPr>
              <w:t>3</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国家级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国家保密科技进步二等奖</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Times New Roman"/>
                <w:sz w:val="18"/>
              </w:rPr>
              <w:t>4</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国家级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18"/>
                <w:szCs w:val="18"/>
              </w:rPr>
            </w:pPr>
            <w:r>
              <w:rPr>
                <w:rFonts w:ascii="宋体" w:hAnsi="宋体" w:cs="宋体" w:eastAsia="宋体" w:hint="default"/>
                <w:sz w:val="18"/>
                <w:szCs w:val="18"/>
              </w:rPr>
              <w:t>第三批国家</w:t>
            </w:r>
            <w:r>
              <w:rPr>
                <w:rFonts w:ascii="宋体" w:hAnsi="宋体" w:cs="宋体" w:eastAsia="宋体" w:hint="default"/>
                <w:sz w:val="21"/>
                <w:szCs w:val="21"/>
              </w:rPr>
              <w:t>“</w:t>
            </w:r>
            <w:r>
              <w:rPr>
                <w:rFonts w:ascii="宋体" w:hAnsi="宋体" w:cs="宋体" w:eastAsia="宋体" w:hint="default"/>
                <w:sz w:val="18"/>
                <w:szCs w:val="18"/>
              </w:rPr>
              <w:t>万人计划</w:t>
            </w:r>
            <w:r>
              <w:rPr>
                <w:rFonts w:ascii="宋体" w:hAnsi="宋体" w:cs="宋体" w:eastAsia="宋体" w:hint="default"/>
                <w:sz w:val="21"/>
                <w:szCs w:val="21"/>
              </w:rPr>
              <w:t>”</w:t>
            </w:r>
            <w:r>
              <w:rPr>
                <w:rFonts w:ascii="宋体" w:hAnsi="宋体" w:cs="宋体" w:eastAsia="宋体" w:hint="default"/>
                <w:sz w:val="18"/>
                <w:szCs w:val="18"/>
              </w:rPr>
              <w:t>科技创新领军人才（滕达）</w:t>
            </w:r>
          </w:p>
        </w:tc>
      </w:tr>
      <w:tr>
        <w:trPr>
          <w:trHeight w:val="348"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Times New Roman"/>
                <w:sz w:val="18"/>
              </w:rPr>
              <w:t>5</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国家级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1"/>
                <w:szCs w:val="21"/>
              </w:rPr>
            </w:pPr>
            <w:r>
              <w:rPr>
                <w:rFonts w:ascii="宋体" w:hAnsi="宋体" w:cs="宋体" w:eastAsia="宋体" w:hint="default"/>
                <w:sz w:val="18"/>
                <w:szCs w:val="18"/>
              </w:rPr>
              <w:t>美亚青果创客汇被评为</w:t>
            </w:r>
            <w:r>
              <w:rPr>
                <w:rFonts w:ascii="宋体" w:hAnsi="宋体" w:cs="宋体" w:eastAsia="宋体" w:hint="default"/>
                <w:sz w:val="21"/>
                <w:szCs w:val="21"/>
              </w:rPr>
              <w:t>“</w:t>
            </w:r>
            <w:r>
              <w:rPr>
                <w:rFonts w:ascii="宋体" w:hAnsi="宋体" w:cs="宋体" w:eastAsia="宋体" w:hint="default"/>
                <w:sz w:val="18"/>
                <w:szCs w:val="18"/>
              </w:rPr>
              <w:t>国家备案众创空间</w:t>
            </w:r>
            <w:r>
              <w:rPr>
                <w:rFonts w:ascii="宋体" w:hAnsi="宋体" w:cs="宋体" w:eastAsia="宋体" w:hint="default"/>
                <w:sz w:val="21"/>
                <w:szCs w:val="21"/>
              </w:rPr>
              <w:t>”</w:t>
            </w:r>
            <w:r>
              <w:rPr>
                <w:rFonts w:ascii="宋体" w:hAnsi="宋体" w:cs="宋体" w:eastAsia="宋体" w:hint="default"/>
                <w:sz w:val="18"/>
                <w:szCs w:val="18"/>
              </w:rPr>
              <w:t>、第二批</w:t>
            </w:r>
            <w:r>
              <w:rPr>
                <w:rFonts w:ascii="宋体" w:hAnsi="宋体" w:cs="宋体" w:eastAsia="宋体" w:hint="default"/>
                <w:sz w:val="21"/>
                <w:szCs w:val="21"/>
              </w:rPr>
              <w:t>“</w:t>
            </w:r>
            <w:r>
              <w:rPr>
                <w:rFonts w:ascii="宋体" w:hAnsi="宋体" w:cs="宋体" w:eastAsia="宋体" w:hint="default"/>
                <w:sz w:val="18"/>
                <w:szCs w:val="18"/>
              </w:rPr>
              <w:t>国家专业化众创空间</w:t>
            </w:r>
            <w:r>
              <w:rPr>
                <w:rFonts w:ascii="宋体" w:hAnsi="宋体" w:cs="宋体" w:eastAsia="宋体" w:hint="default"/>
                <w:sz w:val="21"/>
                <w:szCs w:val="21"/>
              </w:rPr>
              <w:t>”</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6</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国家级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年中国最具影响力软件和信息服务企业</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Times New Roman"/>
                <w:sz w:val="18"/>
              </w:rPr>
              <w:t>7</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国家级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国家企业技术中心</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Times New Roman"/>
                <w:sz w:val="18"/>
              </w:rPr>
              <w:t>8</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省级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福建省第二批企事业人才高地</w:t>
            </w:r>
          </w:p>
        </w:tc>
      </w:tr>
      <w:tr>
        <w:trPr>
          <w:trHeight w:val="348"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18"/>
                <w:szCs w:val="18"/>
              </w:rPr>
            </w:pPr>
            <w:r>
              <w:rPr>
                <w:rFonts w:ascii="Times New Roman"/>
                <w:sz w:val="18"/>
              </w:rPr>
              <w:t>9</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宋体" w:hAnsi="宋体" w:cs="宋体" w:eastAsia="宋体" w:hint="default"/>
                <w:sz w:val="18"/>
                <w:szCs w:val="18"/>
              </w:rPr>
              <w:t>省级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1"/>
                <w:szCs w:val="21"/>
              </w:rPr>
            </w:pPr>
            <w:r>
              <w:rPr>
                <w:rFonts w:ascii="宋体" w:hAnsi="宋体" w:cs="宋体" w:eastAsia="宋体" w:hint="default"/>
                <w:sz w:val="18"/>
                <w:szCs w:val="18"/>
              </w:rPr>
              <w:t>美亚青果创客汇被评为</w:t>
            </w:r>
            <w:r>
              <w:rPr>
                <w:rFonts w:ascii="宋体" w:hAnsi="宋体" w:cs="宋体" w:eastAsia="宋体" w:hint="default"/>
                <w:sz w:val="21"/>
                <w:szCs w:val="21"/>
              </w:rPr>
              <w:t>“</w:t>
            </w:r>
            <w:r>
              <w:rPr>
                <w:rFonts w:ascii="宋体" w:hAnsi="宋体" w:cs="宋体" w:eastAsia="宋体" w:hint="default"/>
                <w:sz w:val="18"/>
                <w:szCs w:val="18"/>
              </w:rPr>
              <w:t>福建省众创空间</w:t>
            </w:r>
            <w:r>
              <w:rPr>
                <w:rFonts w:ascii="宋体" w:hAnsi="宋体" w:cs="宋体" w:eastAsia="宋体" w:hint="default"/>
                <w:sz w:val="21"/>
                <w:szCs w:val="21"/>
              </w:rPr>
              <w:t>”</w:t>
            </w:r>
          </w:p>
        </w:tc>
      </w:tr>
    </w:tbl>
    <w:p>
      <w:pPr>
        <w:spacing w:after="0" w:line="254" w:lineRule="exact"/>
        <w:jc w:val="left"/>
        <w:rPr>
          <w:rFonts w:ascii="宋体" w:hAnsi="宋体" w:cs="宋体" w:eastAsia="宋体" w:hint="default"/>
          <w:sz w:val="21"/>
          <w:szCs w:val="21"/>
        </w:rPr>
        <w:sectPr>
          <w:pgSz w:w="11910" w:h="16840"/>
          <w:pgMar w:header="747" w:footer="982" w:top="1060" w:bottom="1180" w:left="980" w:right="74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676"/>
        <w:gridCol w:w="884"/>
        <w:gridCol w:w="1417"/>
        <w:gridCol w:w="6912"/>
      </w:tblGrid>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市级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第四届厦门市质量奖</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市级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年重点软件和信息技术服务企业</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市级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厦门市第一批非公有制企业和社会组织党建领军人才（申强）</w:t>
            </w:r>
          </w:p>
        </w:tc>
      </w:tr>
      <w:tr>
        <w:trPr>
          <w:trHeight w:val="348"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市级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厦门市院士专家工作站</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14</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市级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厦门市第九批拔尖人才（申强）</w:t>
            </w:r>
          </w:p>
        </w:tc>
      </w:tr>
      <w:tr>
        <w:trPr>
          <w:trHeight w:val="347"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市级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厦门市科技进步二等奖</w:t>
            </w:r>
          </w:p>
        </w:tc>
      </w:tr>
      <w:tr>
        <w:trPr>
          <w:trHeight w:val="348" w:hRule="exact"/>
        </w:trPr>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市级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6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年度厦门市物联网行业领军企业</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20" w:lineRule="auto" w:before="0"/>
        <w:ind w:left="154" w:right="5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宋体" w:hAnsi="宋体" w:cs="宋体" w:eastAsia="宋体" w:hint="default"/>
          <w:sz w:val="21"/>
          <w:szCs w:val="21"/>
        </w:rPr>
        <w:t>“</w:t>
      </w:r>
      <w:r>
        <w:rPr>
          <w:rFonts w:ascii="宋体" w:hAnsi="宋体" w:cs="宋体" w:eastAsia="宋体" w:hint="default"/>
          <w:sz w:val="18"/>
          <w:szCs w:val="18"/>
        </w:rPr>
        <w:t>经营情况讨论与分析</w:t>
      </w:r>
      <w:r>
        <w:rPr>
          <w:rFonts w:ascii="宋体" w:hAnsi="宋体" w:cs="宋体" w:eastAsia="宋体" w:hint="default"/>
          <w:sz w:val="21"/>
          <w:szCs w:val="21"/>
        </w:rPr>
        <w:t>”</w:t>
      </w:r>
      <w:r>
        <w:rPr>
          <w:rFonts w:ascii="宋体" w:hAnsi="宋体" w:cs="宋体" w:eastAsia="宋体" w:hint="default"/>
          <w:sz w:val="18"/>
          <w:szCs w:val="18"/>
        </w:rPr>
        <w:t>中的</w:t>
      </w:r>
      <w:r>
        <w:rPr>
          <w:rFonts w:ascii="宋体" w:hAnsi="宋体" w:cs="宋体" w:eastAsia="宋体" w:hint="default"/>
          <w:sz w:val="21"/>
          <w:szCs w:val="21"/>
        </w:rPr>
        <w:t>“</w:t>
      </w:r>
      <w:r>
        <w:rPr>
          <w:rFonts w:ascii="宋体" w:hAnsi="宋体" w:cs="宋体" w:eastAsia="宋体" w:hint="default"/>
          <w:sz w:val="18"/>
          <w:szCs w:val="18"/>
        </w:rPr>
        <w:t>一、概述</w:t>
      </w:r>
      <w:r>
        <w:rPr>
          <w:rFonts w:ascii="宋体" w:hAnsi="宋体" w:cs="宋体" w:eastAsia="宋体" w:hint="default"/>
          <w:sz w:val="21"/>
          <w:szCs w:val="21"/>
        </w:rPr>
        <w:t>”</w:t>
      </w:r>
      <w:r>
        <w:rPr>
          <w:rFonts w:ascii="宋体" w:hAnsi="宋体" w:cs="宋体" w:eastAsia="宋体" w:hint="default"/>
          <w:sz w:val="18"/>
          <w:szCs w:val="18"/>
        </w:rPr>
        <w:t>相关内容。</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49"/>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6231" w:firstLine="0"/>
        <w:jc w:val="left"/>
        <w:rPr>
          <w:rFonts w:ascii="宋体" w:hAnsi="宋体" w:cs="宋体" w:eastAsia="宋体" w:hint="default"/>
          <w:sz w:val="18"/>
          <w:szCs w:val="18"/>
        </w:rPr>
      </w:pPr>
      <w:r>
        <w:rPr>
          <w:rFonts w:ascii="宋体" w:hAnsi="宋体" w:cs="宋体" w:eastAsia="宋体" w:hint="default"/>
          <w:sz w:val="18"/>
          <w:szCs w:val="18"/>
        </w:rPr>
        <w:t>公司是否需要遵守光伏产业链相关业的披露要求 否</w:t>
      </w:r>
    </w:p>
    <w:p>
      <w:pPr>
        <w:spacing w:line="340" w:lineRule="auto" w:before="28"/>
        <w:ind w:left="154" w:right="65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38" w:lineRule="auto" w:before="40"/>
        <w:ind w:left="154" w:right="83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338" w:lineRule="auto" w:before="43"/>
        <w:ind w:left="154" w:right="395"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产业链相关业务》的披露要求： 否</w:t>
      </w:r>
    </w:p>
    <w:p>
      <w:pPr>
        <w:spacing w:line="340" w:lineRule="auto" w:before="42"/>
        <w:ind w:left="154" w:right="92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上市公司从事医疗器械业务》的披露要求： 否</w:t>
      </w:r>
    </w:p>
    <w:p>
      <w:pPr>
        <w:spacing w:before="40"/>
        <w:ind w:left="154"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6"/>
        <w:ind w:left="0" w:right="38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5"/>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1,336,640,411.37</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997,908,503.38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33.94%</w:t>
            </w:r>
          </w:p>
        </w:tc>
      </w:tr>
      <w:tr>
        <w:trPr>
          <w:trHeight w:val="402" w:hRule="exact"/>
        </w:trPr>
        <w:tc>
          <w:tcPr>
            <w:tcW w:w="956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司法机关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681,488,284.42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435,066,455.53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行政执法机关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176,373,071.01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153,689,478.37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451,687,714.31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389,695,362.94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27,091,341.63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19,457,206.54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39.24%</w:t>
            </w:r>
          </w:p>
        </w:tc>
      </w:tr>
      <w:tr>
        <w:trPr>
          <w:trHeight w:val="402" w:hRule="exact"/>
        </w:trPr>
        <w:tc>
          <w:tcPr>
            <w:tcW w:w="956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74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5"/>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729,898,166.37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579,081,367.42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大数据信息化平台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247,128,878.92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158,875,865.24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网络空间安全产品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85,352,066.37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33,836,294.56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152.25%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专项执法装备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148,112,458.88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127,913,024.08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15.79%</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电子数据鉴定及信 息安全相关服务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123,343,107.38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91,695,293.13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2,344,281.80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6,113,493.24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461,451.65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393,165.71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r>
      <w:tr>
        <w:trPr>
          <w:trHeight w:val="402" w:hRule="exact"/>
        </w:trPr>
        <w:tc>
          <w:tcPr>
            <w:tcW w:w="956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东北及华北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310,199,174.02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239,490,730.55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华东及华南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690,039,255.74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546,329,851.15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246,335,870.77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144,047,026.12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90,066,110.84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68,040,895.56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32.37%</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215" w:space="5704"/>
            <w:col w:w="1031"/>
          </w:cols>
        </w:sectPr>
      </w:pP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60"/>
        <w:gridCol w:w="1416"/>
        <w:gridCol w:w="1418"/>
        <w:gridCol w:w="1072"/>
        <w:gridCol w:w="1367"/>
        <w:gridCol w:w="1367"/>
        <w:gridCol w:w="1370"/>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司法机关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681,488,284.42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189,517,846.90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行政执法机关</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176,373,071.01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26,683,541.99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451,687,714.31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257,110,519.04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27,091,341.63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5,504,852.62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729,898,166.37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302,616,354.91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大数据信息化平台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247,128,878.92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62,696,216.15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网络空间安全产品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85,352,066.37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13,497,847.13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专项执法装备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148,112,458.88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55,372,620.34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17.06%</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电子数据鉴定及信 息安全相关服务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123,343,107.38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43,022,521.25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2,344,281.80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1,611,200.77</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461,451.65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560"/>
        <w:gridCol w:w="1416"/>
        <w:gridCol w:w="1418"/>
        <w:gridCol w:w="1072"/>
        <w:gridCol w:w="1367"/>
        <w:gridCol w:w="1367"/>
        <w:gridCol w:w="1370"/>
      </w:tblGrid>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东北及华北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310,199,174.02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91,046,682.33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华东及华南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690,039,255.74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305,232,845.16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西南及西北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246,335,870.77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63,220,295.23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华中及其他</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90,066,110.84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19,316,937.83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596"/>
        <w:gridCol w:w="1594"/>
        <w:gridCol w:w="1594"/>
        <w:gridCol w:w="1595"/>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102.23%</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43,622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54.54%</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21.63%</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网络空间安全产品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3"/>
                <w:sz w:val="18"/>
              </w:rPr>
              <w:t>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37.80%</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16,800.00%</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642.86%</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专项执法装备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47.61%</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25.27%</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5"/>
        <w:ind w:right="150" w:firstLine="420"/>
        <w:jc w:val="both"/>
      </w:pPr>
      <w:r>
        <w:rPr>
          <w:spacing w:val="-1"/>
        </w:rPr>
        <w:t>电子数据取证产品、网络空间安全产品项目销售量、生产量、库存量较去年同期分别增长，主要是由</w:t>
      </w:r>
      <w:r>
        <w:rPr/>
        <w:t> </w:t>
      </w:r>
      <w:r>
        <w:rPr>
          <w:spacing w:val="-1"/>
        </w:rPr>
        <w:t>于该类产品业务量较去年同期增长所致；专项执法装备项目销售量、生产量较去年同期上升，主要是由于</w:t>
      </w:r>
      <w:r>
        <w:rPr>
          <w:spacing w:val="-83"/>
        </w:rPr>
        <w:t> </w:t>
      </w:r>
      <w:r>
        <w:rPr>
          <w:spacing w:val="-83"/>
        </w:rPr>
      </w:r>
      <w:r>
        <w:rPr/>
        <w:t>该类产品业务量较去年同期增长所致，库存量下降，主要是由于软件产品类销售增加所致。</w:t>
      </w:r>
    </w:p>
    <w:p>
      <w:pPr>
        <w:spacing w:line="240" w:lineRule="auto" w:before="6"/>
        <w:rPr>
          <w:rFonts w:ascii="宋体" w:hAnsi="宋体" w:cs="宋体" w:eastAsia="宋体" w:hint="default"/>
          <w:sz w:val="20"/>
          <w:szCs w:val="20"/>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60"/>
        <w:gridCol w:w="1176"/>
        <w:gridCol w:w="1367"/>
        <w:gridCol w:w="1367"/>
        <w:gridCol w:w="1367"/>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3D3D3"/>
          </w:tcPr>
          <w:p>
            <w:pPr/>
          </w:p>
        </w:tc>
        <w:tc>
          <w:tcPr>
            <w:tcW w:w="1176"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560"/>
        <w:gridCol w:w="1176"/>
        <w:gridCol w:w="1367"/>
        <w:gridCol w:w="1367"/>
        <w:gridCol w:w="1367"/>
        <w:gridCol w:w="1367"/>
        <w:gridCol w:w="1367"/>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298,991,968.72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201,371,340.85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48.48%</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大数据信息化平台</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60,606,928.45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33,060,025.18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网络空间安全产品</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11,206,845.54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8,059,238.46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39.06%</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电子数据鉴定及信 息安全相关服务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人工工资等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9,547,768.99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6,386,776.79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49.49%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专项执法装备</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55,219,260.02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69,536,055.42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工程项目收入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969,018.53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5,264,961.01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408" w:lineRule="auto" w:before="155"/>
        <w:ind w:right="215" w:firstLine="420"/>
        <w:jc w:val="left"/>
      </w:pPr>
      <w:r>
        <w:rPr/>
        <w:t>设立美亚天信:培训是公司重要的服务业务之一，为了提升公司培训业务的专业性，有效保障培训服 务质量，公司出资1000万元设立全资子公司厦门美亚天信会议服务有限公司，负责公司培训及培训保障 工作。美亚天信已于2017年10月23日完成注册登记手续，纳入公司合并报表范围。</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961"/>
        <w:gridCol w:w="4606"/>
      </w:tblGrid>
      <w:tr>
        <w:trPr>
          <w:trHeight w:val="402" w:hRule="exact"/>
        </w:trPr>
        <w:tc>
          <w:tcPr>
            <w:tcW w:w="4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230,028,208.52</w:t>
            </w:r>
          </w:p>
        </w:tc>
      </w:tr>
      <w:tr>
        <w:trPr>
          <w:trHeight w:val="402" w:hRule="exact"/>
        </w:trPr>
        <w:tc>
          <w:tcPr>
            <w:tcW w:w="4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17.21%</w:t>
            </w:r>
          </w:p>
        </w:tc>
      </w:tr>
      <w:tr>
        <w:trPr>
          <w:trHeight w:val="402" w:hRule="exact"/>
        </w:trPr>
        <w:tc>
          <w:tcPr>
            <w:tcW w:w="4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129,461,732.15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44,791,319.63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18,772,572.44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18,557,086.64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18,445,497.66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230,028,208.52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3" w:right="426" w:firstLine="420"/>
        <w:jc w:val="left"/>
      </w:pPr>
      <w:r>
        <w:rPr/>
        <w:t>报告期内，公司前</w:t>
      </w:r>
      <w:r>
        <w:rPr>
          <w:rFonts w:ascii="Times New Roman" w:hAnsi="Times New Roman" w:cs="Times New Roman" w:eastAsia="Times New Roman" w:hint="default"/>
        </w:rPr>
        <w:t>5</w:t>
      </w:r>
      <w:r>
        <w:rPr/>
        <w:t>名客户与公司不存在关联关系，公司董事、监事、高级管理人员、核心技术人 员、持股</w:t>
      </w:r>
      <w:r>
        <w:rPr>
          <w:rFonts w:ascii="Times New Roman" w:hAnsi="Times New Roman" w:cs="Times New Roman" w:eastAsia="Times New Roman" w:hint="default"/>
        </w:rPr>
        <w:t>5%</w:t>
      </w:r>
      <w:r>
        <w:rPr/>
        <w:t>以上股东、实际控制人和其他关联方在前</w:t>
      </w:r>
      <w:r>
        <w:rPr>
          <w:rFonts w:ascii="Times New Roman" w:hAnsi="Times New Roman" w:cs="Times New Roman" w:eastAsia="Times New Roman" w:hint="default"/>
        </w:rPr>
        <w:t>5</w:t>
      </w:r>
      <w:r>
        <w:rPr/>
        <w:t>大客户中未直接或间接拥有权益。</w:t>
      </w:r>
    </w:p>
    <w:p>
      <w:pPr>
        <w:spacing w:after="0" w:line="386"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150,938,050.57</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27.44%</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935"/>
        <w:gridCol w:w="3168"/>
        <w:gridCol w:w="2322"/>
        <w:gridCol w:w="3143"/>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43,537,947.04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33,551,376.06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32,679,762.42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25,858,216.28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15,310,748.77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150,938,050.57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10" w:lineRule="auto" w:before="155"/>
        <w:ind w:right="215" w:firstLine="420"/>
        <w:jc w:val="left"/>
      </w:pPr>
      <w:r>
        <w:rPr/>
        <w:t>报告期内，公司前5名供应商与公司不存在关联关系，公司董事、监事、高级管理人员、核心技术人 员、持股5%以上股东、实际控制人和其他关联方在前5大供应商中未直接或间接拥有权益。</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134"/>
        <w:gridCol w:w="1560"/>
        <w:gridCol w:w="1416"/>
        <w:gridCol w:w="1560"/>
        <w:gridCol w:w="3898"/>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2" w:right="0"/>
              <w:jc w:val="left"/>
              <w:rPr>
                <w:rFonts w:ascii="Times New Roman" w:hAnsi="Times New Roman" w:cs="Times New Roman" w:eastAsia="Times New Roman" w:hint="default"/>
                <w:sz w:val="18"/>
                <w:szCs w:val="18"/>
              </w:rPr>
            </w:pPr>
            <w:r>
              <w:rPr>
                <w:rFonts w:ascii="Times New Roman"/>
                <w:sz w:val="18"/>
              </w:rPr>
              <w:t>197,741,086.53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143,206,377.43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38.08%</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主要是由于公司经营规模扩大，人员人工费、股 权激励摊销费用、差旅费、投标费等增加所致。</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2" w:right="0"/>
              <w:jc w:val="left"/>
              <w:rPr>
                <w:rFonts w:ascii="Times New Roman" w:hAnsi="Times New Roman" w:cs="Times New Roman" w:eastAsia="Times New Roman" w:hint="default"/>
                <w:sz w:val="18"/>
                <w:szCs w:val="18"/>
              </w:rPr>
            </w:pPr>
            <w:r>
              <w:rPr>
                <w:rFonts w:ascii="Times New Roman"/>
                <w:sz w:val="18"/>
              </w:rPr>
              <w:t>369,924,397.94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321,119,211.61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主要是由于公司经营规模扩大，研发费用、人员 人工费增加，固定资产折旧等费用增加所致。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-12,193,954.25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-6,555,688.28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86.01%</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由于本年公司定期存款利息收入增加所致。</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3" w:lineRule="auto" w:before="155"/>
        <w:ind w:left="153" w:right="151" w:firstLine="420"/>
        <w:jc w:val="both"/>
      </w:pPr>
      <w:r>
        <w:rPr>
          <w:spacing w:val="-1"/>
        </w:rPr>
        <w:t>报告期内，结合移动互联网和物联网的快速发展趋势及行业客户智能化应用需求，公司将人工智能技</w:t>
      </w:r>
      <w:r>
        <w:rPr/>
        <w:t> </w:t>
      </w:r>
      <w:r>
        <w:rPr>
          <w:spacing w:val="-1"/>
        </w:rPr>
        <w:t>术与大数据技术与公司原有的电子数据取证、网络空间安全和互联网搜索技术进行融合，应用到公司持续</w:t>
      </w:r>
      <w:r>
        <w:rPr>
          <w:spacing w:val="-81"/>
        </w:rPr>
        <w:t> </w:t>
      </w:r>
      <w:r>
        <w:rPr>
          <w:spacing w:val="-81"/>
        </w:rPr>
      </w:r>
      <w:r>
        <w:rPr/>
        <w:t>经营的四大产品和四大服务中。公司推出智能化高速取证分析系统</w:t>
      </w:r>
      <w:r>
        <w:rPr>
          <w:rFonts w:ascii="Times New Roman" w:hAnsi="Times New Roman" w:cs="Times New Roman" w:eastAsia="Times New Roman" w:hint="default"/>
        </w:rPr>
        <w:t>“</w:t>
      </w:r>
      <w:r>
        <w:rPr/>
        <w:t>取证金刚</w:t>
      </w:r>
      <w:r>
        <w:rPr>
          <w:rFonts w:ascii="Times New Roman" w:hAnsi="Times New Roman" w:cs="Times New Roman" w:eastAsia="Times New Roman" w:hint="default"/>
        </w:rPr>
        <w:t>”</w:t>
      </w:r>
      <w:r>
        <w:rPr/>
        <w:t>、支持各种移动互联网智能 </w:t>
      </w:r>
      <w:r>
        <w:rPr>
          <w:spacing w:val="-1"/>
        </w:rPr>
        <w:t>终端的“智能终端取证设备”，驾驶证自助办理一体化设备“车驾宝”、为稽查部门提供的手持式“税证</w:t>
      </w:r>
      <w:r>
        <w:rPr>
          <w:spacing w:val="-85"/>
        </w:rPr>
        <w:t> </w:t>
      </w:r>
      <w:r>
        <w:rPr>
          <w:spacing w:val="-85"/>
        </w:rPr>
      </w:r>
      <w:r>
        <w:rPr>
          <w:spacing w:val="-3"/>
        </w:rPr>
        <w:t>宝”、 “警用机器人”等新产品。完成了“取证航母”、“取证魔方”、“取证塔”、“恢复大师”等产</w:t>
      </w:r>
      <w:r>
        <w:rPr>
          <w:spacing w:val="-99"/>
        </w:rPr>
        <w:t> </w:t>
      </w:r>
      <w:r>
        <w:rPr>
          <w:spacing w:val="-99"/>
        </w:rPr>
      </w:r>
      <w:r>
        <w:rPr>
          <w:spacing w:val="-1"/>
        </w:rPr>
        <w:t>品的升级迭代。公司加大了大数据信息化平台研发及建设力度，由公安大数据延伸为建立税务大数据、工</w:t>
      </w:r>
    </w:p>
    <w:p>
      <w:pPr>
        <w:spacing w:after="0" w:line="403" w:lineRule="auto"/>
        <w:jc w:val="both"/>
        <w:sectPr>
          <w:footerReference w:type="default" r:id="rId14"/>
          <w:pgSz w:w="11910" w:h="16840"/>
          <w:pgMar w:footer="982" w:header="747" w:top="1060" w:bottom="1180" w:left="980" w:right="980"/>
          <w:pgNumType w:start="27"/>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商大数据、海关大数据等其他行业的大数据平台。</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76"/>
        <w:gridCol w:w="1807"/>
        <w:gridCol w:w="2393"/>
        <w:gridCol w:w="2392"/>
      </w:tblGrid>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64.42%</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203,473,214.25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157,313,616.57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111,352,153.42</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14.59%</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31,750,185.80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25,276,611.34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16,841,050.28</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15.12%</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976"/>
        <w:gridCol w:w="1807"/>
        <w:gridCol w:w="2393"/>
        <w:gridCol w:w="2392"/>
      </w:tblGrid>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1,482,913,875.03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1,358,824,067.18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1,282,969,687.02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1,014,200,417.81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26.50%</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199,944,188.01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344,623,649.37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-41.98%</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873,469,253.87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321,338,716.02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171.82%</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1,039,372,003.61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822,416,975.43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26.38%</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-165,902,749.74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-501,078,259.41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66.89%</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22,102,942.00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121,789,559.00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-81.85%</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25,012,005.24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37,054,847.76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-32.50%</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-2,909,063.24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84,734,711.24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-103.43%</w:t>
            </w:r>
          </w:p>
        </w:tc>
      </w:tr>
      <w:tr>
        <w:trPr>
          <w:trHeight w:val="402"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30,539,240.97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-71,369,799.14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337" w:firstLine="420"/>
        <w:jc w:val="both"/>
      </w:pPr>
      <w:r>
        <w:rPr/>
        <w:t>1、经营活动现金流入较去年同期增长9.13%，主要是由于报告期内公司销售商品、提供劳务收到的 现金较去年同期有所增加所致；经营活动现金流出较去年同期增长26.50%，主要是由于报告期公司经营 规模扩大，购买商品、接受劳务支付的现金及支付职工薪酬较去年同期增加所致。经营活动产生的现金 流量净额较去年同期下降41.98%，主要是由于报告期内公司购买商品、接受劳务支付的现金及支付职工</w:t>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74" w:right="530" w:hanging="420"/>
        <w:jc w:val="left"/>
      </w:pPr>
      <w:r>
        <w:rPr/>
        <w:t>薪酬较去年同期有所增加所致。 2、投资活动现金流入较去年同期增加171.82%，主要为累计收回到期定期存款较去年同期增加所</w:t>
      </w:r>
    </w:p>
    <w:p>
      <w:pPr>
        <w:pStyle w:val="BodyText"/>
        <w:spacing w:line="408" w:lineRule="auto" w:before="46"/>
        <w:ind w:right="338"/>
        <w:jc w:val="both"/>
      </w:pPr>
      <w:r>
        <w:rPr/>
        <w:t>致。投资活动现金流出较去年同期增加26.38%，主要为本年公司定期存款累计支出金额及购建资产较去 年同期增加所致。投资活动产生的现金流量净额较去年同期增加66.89%，主要是由于报告期累计到期定 期存款收回较去年同期增加所致。</w:t>
      </w:r>
    </w:p>
    <w:p>
      <w:pPr>
        <w:pStyle w:val="BodyText"/>
        <w:spacing w:line="408" w:lineRule="auto" w:before="46"/>
        <w:ind w:right="215" w:firstLine="420"/>
        <w:jc w:val="left"/>
      </w:pPr>
      <w:r>
        <w:rPr/>
        <w:t>3、筹资活动现金流入较去年同期下降81.85%，主要是由于2016年公司实施第二期限制性股票激励收 到股权激励投资款所致。筹资活动现金流出较去年同期下降32.50%，主要是由于公司2016年支付少数股 东股利及支付非公开发行股份中介费所致。筹资活动产生的现金流量净额较去年同期下降103.43%，主要 是由于2016年公司实施第二期限制性股票激励收到股权激励投资款所致。</w:t>
      </w:r>
    </w:p>
    <w:p>
      <w:pPr>
        <w:pStyle w:val="BodyText"/>
        <w:spacing w:line="408" w:lineRule="auto" w:before="46"/>
        <w:ind w:right="337" w:firstLine="420"/>
        <w:jc w:val="both"/>
      </w:pPr>
      <w:r>
        <w:rPr/>
        <w:t>4、现金及现金等价物净增加额较去年同期增加142.79%，主要是由于经营活动产生的现金流量净额 较去年同期下降41.98%，投资活动产生的现金流量净额较去年同期增加66.89%，筹资活动产生的现金流 量净额较去年同期下降103.43%综合所致。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10" w:lineRule="auto" w:before="153"/>
        <w:ind w:right="320" w:firstLine="420"/>
        <w:jc w:val="left"/>
      </w:pPr>
      <w:r>
        <w:rPr/>
        <w:t>报告期公司经营活动产生的现金净流量小于本年度净利润主要是由于公司为备货支付购买商品、接 受劳务的现金较去年同期有所增加所致。</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三、非主营业务情况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100"/>
        <w:gridCol w:w="1276"/>
        <w:gridCol w:w="1592"/>
        <w:gridCol w:w="3686"/>
        <w:gridCol w:w="1913"/>
      </w:tblGrid>
      <w:tr>
        <w:trPr>
          <w:trHeight w:val="402" w:hRule="exact"/>
        </w:trPr>
        <w:tc>
          <w:tcPr>
            <w:tcW w:w="11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-811,155.33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公司权益法核算参股公司厦门服云和北京万城 亏损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权益法核算的长期股权 投资收益具有可持续性</w:t>
            </w:r>
          </w:p>
        </w:tc>
      </w:tr>
      <w:tr>
        <w:trPr>
          <w:trHeight w:val="714" w:hRule="exact"/>
        </w:trPr>
        <w:tc>
          <w:tcPr>
            <w:tcW w:w="1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61,107,693.01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20.59%</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根据会计准则及公司会计估计政策对应收、存 货和无形资产、商誉进行减值测试计提的部分</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1,007,751.12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主要为个税返还及已注销企业无须支付应付款 转为营业外收入、变卖废品收入等</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1,241,182.76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0.42%</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主要为公司对外捐赠</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385"/>
        <w:gridCol w:w="1450"/>
        <w:gridCol w:w="851"/>
        <w:gridCol w:w="1277"/>
        <w:gridCol w:w="890"/>
        <w:gridCol w:w="798"/>
        <w:gridCol w:w="2918"/>
      </w:tblGrid>
      <w:tr>
        <w:trPr>
          <w:trHeight w:val="383" w:hRule="exact"/>
        </w:trPr>
        <w:tc>
          <w:tcPr>
            <w:tcW w:w="1385" w:type="dxa"/>
            <w:vMerge w:val="restart"/>
            <w:tcBorders>
              <w:top w:val="single" w:sz="4" w:space="0" w:color="000000"/>
              <w:left w:val="single" w:sz="4" w:space="0" w:color="000000"/>
              <w:right w:val="single" w:sz="4" w:space="0" w:color="000000"/>
            </w:tcBorders>
            <w:shd w:val="clear" w:color="auto" w:fill="D3D3D3"/>
          </w:tcPr>
          <w:p>
            <w:pPr/>
          </w:p>
        </w:tc>
        <w:tc>
          <w:tcPr>
            <w:tcW w:w="23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85" w:type="dxa"/>
            <w:vMerge/>
            <w:tcBorders>
              <w:left w:val="single" w:sz="4" w:space="0" w:color="000000"/>
              <w:right w:val="single" w:sz="4" w:space="0" w:color="000000"/>
            </w:tcBorders>
            <w:shd w:val="clear" w:color="auto" w:fill="D3D3D3"/>
          </w:tcPr>
          <w:p>
            <w:pPr/>
          </w:p>
        </w:tc>
        <w:tc>
          <w:tcPr>
            <w:tcW w:w="14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260" w:right="78"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85" w:type="dxa"/>
            <w:vMerge/>
            <w:tcBorders>
              <w:left w:val="single" w:sz="4" w:space="0" w:color="000000"/>
              <w:bottom w:val="single" w:sz="4" w:space="0" w:color="000000"/>
              <w:right w:val="single" w:sz="4" w:space="0" w:color="000000"/>
            </w:tcBorders>
            <w:shd w:val="clear" w:color="auto" w:fill="D3D3D3"/>
          </w:tcPr>
          <w:p>
            <w:pPr/>
          </w:p>
        </w:tc>
        <w:tc>
          <w:tcPr>
            <w:tcW w:w="1450"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890"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1,084,633,528.50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968,371,815.85</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货币资金较年初增长主要是由于本 期公司销售收款增加所致</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339,930,465.16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263,180,585.91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应收账款较年初增长主要是由于本 期公司营业收入增加所致</w:t>
            </w:r>
          </w:p>
        </w:tc>
      </w:tr>
      <w:tr>
        <w:trPr>
          <w:trHeight w:val="1026"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353,862,129.55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288,242,593.13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存货较年初增长主要是由于公司经 营规模扩大发货尚未验收增加所 致。</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8,180,253.57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投资性房地产较年初下降主要是由 于本期公司未对外出租自有房产</w:t>
            </w:r>
          </w:p>
        </w:tc>
      </w:tr>
      <w:tr>
        <w:trPr>
          <w:trHeight w:val="1026"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8,787,819.02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6,225,370.99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both"/>
              <w:rPr>
                <w:rFonts w:ascii="宋体" w:hAnsi="宋体" w:cs="宋体" w:eastAsia="宋体" w:hint="default"/>
                <w:sz w:val="18"/>
                <w:szCs w:val="18"/>
              </w:rPr>
            </w:pPr>
            <w:r>
              <w:rPr>
                <w:rFonts w:ascii="宋体" w:hAnsi="宋体" w:cs="宋体" w:eastAsia="宋体" w:hint="default"/>
                <w:sz w:val="18"/>
                <w:szCs w:val="18"/>
              </w:rPr>
              <w:t>长期股权投资较年初增长主要是由 于公司控股子公司投资万方智讯、 沈阳城市公共安全公司所致</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273,135,664.77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263,108,815.28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固定资产较年初增长主要是由于本 期公司在建工程完工验收所致</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3,348,997.68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主要是由于本期公司在建工程完工 验收所致</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36,847,711.88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26,785,834.04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预付款项较年初增长主要是由于公 司采购物品增加所致</w:t>
            </w:r>
          </w:p>
        </w:tc>
      </w:tr>
      <w:tr>
        <w:trPr>
          <w:trHeight w:val="1027" w:hRule="exact"/>
        </w:trPr>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0"/>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290,305,000.00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91,861,350.00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67"/>
              <w:jc w:val="both"/>
              <w:rPr>
                <w:rFonts w:ascii="宋体" w:hAnsi="宋体" w:cs="宋体" w:eastAsia="宋体" w:hint="default"/>
                <w:sz w:val="18"/>
                <w:szCs w:val="18"/>
              </w:rPr>
            </w:pPr>
            <w:r>
              <w:rPr>
                <w:rFonts w:ascii="宋体" w:hAnsi="宋体" w:cs="宋体" w:eastAsia="宋体" w:hint="default"/>
                <w:sz w:val="18"/>
                <w:szCs w:val="18"/>
              </w:rPr>
              <w:t>可供出售金融资产增长主要是由于 本期公司参股公司中新赛克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上 公司持有股权按公允价值计量所致</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700"/>
        <w:gridCol w:w="1134"/>
        <w:gridCol w:w="1243"/>
        <w:gridCol w:w="1418"/>
        <w:gridCol w:w="882"/>
        <w:gridCol w:w="878"/>
        <w:gridCol w:w="965"/>
        <w:gridCol w:w="1343"/>
      </w:tblGrid>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5" w:right="77"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63" w:right="73"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8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65" w:right="74"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4" w:right="72" w:hanging="180"/>
              <w:jc w:val="left"/>
              <w:rPr>
                <w:rFonts w:ascii="宋体" w:hAnsi="宋体" w:cs="宋体" w:eastAsia="宋体" w:hint="default"/>
                <w:sz w:val="18"/>
                <w:szCs w:val="18"/>
              </w:rPr>
            </w:pPr>
            <w:r>
              <w:rPr>
                <w:rFonts w:ascii="宋体" w:hAnsi="宋体" w:cs="宋体" w:eastAsia="宋体" w:hint="default"/>
                <w:sz w:val="18"/>
                <w:szCs w:val="18"/>
              </w:rPr>
              <w:t>本期购买 金额</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6" w:right="26"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956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48,981,350.00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181,643,650.00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181,643,650.00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230,625,000.00</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48,981,350.00</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181,643,650.00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181,643,650.00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230,625,000.00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700"/>
        <w:gridCol w:w="1134"/>
        <w:gridCol w:w="1243"/>
        <w:gridCol w:w="1418"/>
        <w:gridCol w:w="882"/>
        <w:gridCol w:w="878"/>
        <w:gridCol w:w="965"/>
        <w:gridCol w:w="1343"/>
      </w:tblGrid>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4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line="544" w:lineRule="auto" w:before="117"/>
        <w:ind w:left="154" w:right="62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2"/>
        <w:spacing w:line="240" w:lineRule="auto" w:before="98"/>
        <w:ind w:right="0"/>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44,095,000.00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-30.60%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694"/>
        <w:gridCol w:w="724"/>
        <w:gridCol w:w="568"/>
        <w:gridCol w:w="726"/>
        <w:gridCol w:w="661"/>
        <w:gridCol w:w="662"/>
        <w:gridCol w:w="785"/>
        <w:gridCol w:w="568"/>
        <w:gridCol w:w="709"/>
        <w:gridCol w:w="539"/>
        <w:gridCol w:w="845"/>
        <w:gridCol w:w="628"/>
        <w:gridCol w:w="734"/>
        <w:gridCol w:w="722"/>
      </w:tblGrid>
      <w:tr>
        <w:trPr>
          <w:trHeight w:val="1025"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2"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6" w:right="8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7" w:right="8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6" w:right="5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3" w:right="83"/>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8" w:hRule="exact"/>
        </w:trPr>
        <w:tc>
          <w:tcPr>
            <w:tcW w:w="694" w:type="dxa"/>
            <w:tcBorders>
              <w:top w:val="single" w:sz="4" w:space="0" w:color="000000"/>
              <w:left w:val="single" w:sz="4" w:space="0" w:color="000000"/>
              <w:bottom w:val="nil" w:sz="6" w:space="0" w:color="auto"/>
              <w:right w:val="single" w:sz="4" w:space="0" w:color="000000"/>
            </w:tcBorders>
          </w:tcPr>
          <w:p>
            <w:pPr/>
          </w:p>
        </w:tc>
        <w:tc>
          <w:tcPr>
            <w:tcW w:w="7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致力于</w:t>
            </w:r>
          </w:p>
        </w:tc>
        <w:tc>
          <w:tcPr>
            <w:tcW w:w="568"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661"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
        </w:tc>
        <w:tc>
          <w:tcPr>
            <w:tcW w:w="785"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628"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22" w:type="dxa"/>
            <w:tcBorders>
              <w:top w:val="single" w:sz="4" w:space="0" w:color="000000"/>
              <w:left w:val="single" w:sz="4" w:space="0" w:color="000000"/>
              <w:bottom w:val="nil" w:sz="6" w:space="0" w:color="auto"/>
              <w:right w:val="single" w:sz="4" w:space="0" w:color="000000"/>
            </w:tcBorders>
          </w:tcPr>
          <w:p>
            <w:pPr/>
          </w:p>
        </w:tc>
      </w:tr>
      <w:tr>
        <w:trPr>
          <w:trHeight w:val="1564"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厦门斯 坦道科 学仪器 有限公 司</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49"/>
              <w:jc w:val="both"/>
              <w:rPr>
                <w:rFonts w:ascii="宋体" w:hAnsi="宋体" w:cs="宋体" w:eastAsia="宋体" w:hint="default"/>
                <w:sz w:val="18"/>
                <w:szCs w:val="18"/>
              </w:rPr>
            </w:pPr>
            <w:r>
              <w:rPr>
                <w:rFonts w:ascii="宋体" w:hAnsi="宋体" w:cs="宋体" w:eastAsia="宋体" w:hint="default"/>
                <w:sz w:val="18"/>
                <w:szCs w:val="18"/>
              </w:rPr>
              <w:t>食品安 全分析 检测仪 器的研 发和生</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16,800,0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00.00</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9.76%</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23" w:right="8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汤新华等</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食品安 全分析 检测仪 器等</w:t>
            </w:r>
          </w:p>
        </w:tc>
        <w:tc>
          <w:tcPr>
            <w:tcW w:w="539" w:type="dxa"/>
            <w:vMerge/>
            <w:tcBorders>
              <w:left w:val="single" w:sz="4" w:space="0" w:color="000000"/>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191,830.6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2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nil" w:sz="6" w:space="0" w:color="auto"/>
              <w:left w:val="single" w:sz="4" w:space="0" w:color="000000"/>
              <w:bottom w:val="nil" w:sz="6" w:space="0" w:color="auto"/>
              <w:right w:val="single" w:sz="4" w:space="0" w:color="000000"/>
            </w:tcBorders>
          </w:tcPr>
          <w:p>
            <w:pPr>
              <w:pStyle w:val="TableParagraph"/>
              <w:spacing w:line="338" w:lineRule="auto" w:before="51"/>
              <w:ind w:left="22" w:right="4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cn  </w:t>
            </w:r>
            <w:r>
              <w:rPr>
                <w:rFonts w:ascii="宋体" w:hAnsi="宋体" w:cs="宋体" w:eastAsia="宋体" w:hint="default"/>
                <w:sz w:val="18"/>
                <w:szCs w:val="18"/>
              </w:rPr>
              <w:t>公告</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7"/>
              <w:ind w:left="22" w:right="0"/>
              <w:jc w:val="both"/>
              <w:rPr>
                <w:rFonts w:ascii="Times New Roman" w:hAnsi="Times New Roman" w:cs="Times New Roman" w:eastAsia="Times New Roman" w:hint="default"/>
                <w:sz w:val="18"/>
                <w:szCs w:val="18"/>
              </w:rPr>
            </w:pPr>
            <w:r>
              <w:rPr>
                <w:rFonts w:ascii="Times New Roman"/>
                <w:sz w:val="18"/>
              </w:rPr>
              <w:t>2017-10</w:t>
            </w:r>
          </w:p>
        </w:tc>
      </w:tr>
      <w:tr>
        <w:trPr>
          <w:trHeight w:val="351" w:hRule="exact"/>
        </w:trPr>
        <w:tc>
          <w:tcPr>
            <w:tcW w:w="694" w:type="dxa"/>
            <w:tcBorders>
              <w:top w:val="nil" w:sz="6" w:space="0" w:color="auto"/>
              <w:left w:val="single" w:sz="4" w:space="0" w:color="000000"/>
              <w:bottom w:val="single" w:sz="4" w:space="0" w:color="000000"/>
              <w:right w:val="single" w:sz="4" w:space="0" w:color="000000"/>
            </w:tcBorders>
          </w:tcPr>
          <w:p>
            <w:pPr/>
          </w:p>
        </w:tc>
        <w:tc>
          <w:tcPr>
            <w:tcW w:w="7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568"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661"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628"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22"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北京美 亚宏数 科技有 限责任 公司</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政务大 数据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82.27%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8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0"/>
              <w:jc w:val="both"/>
              <w:rPr>
                <w:rFonts w:ascii="宋体" w:hAnsi="宋体" w:cs="宋体" w:eastAsia="宋体" w:hint="default"/>
                <w:sz w:val="18"/>
                <w:szCs w:val="18"/>
              </w:rPr>
            </w:pPr>
            <w:r>
              <w:rPr>
                <w:rFonts w:ascii="宋体" w:hAnsi="宋体" w:cs="宋体" w:eastAsia="宋体" w:hint="default"/>
                <w:sz w:val="18"/>
                <w:szCs w:val="18"/>
              </w:rPr>
              <w:t>嘉兴宏数 信息科技 合伙企业</w:t>
            </w:r>
          </w:p>
          <w:p>
            <w:pPr>
              <w:pStyle w:val="TableParagraph"/>
              <w:spacing w:line="319" w:lineRule="auto" w:before="19"/>
              <w:ind w:left="22" w:right="30"/>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3"/>
                <w:sz w:val="18"/>
                <w:szCs w:val="18"/>
              </w:rPr>
              <w:t>伙）、高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峰</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政务大 数据</w:t>
            </w:r>
          </w:p>
        </w:tc>
        <w:tc>
          <w:tcPr>
            <w:tcW w:w="53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60" w:lineRule="auto"/>
              <w:ind w:left="91" w:right="20" w:firstLine="660"/>
              <w:jc w:val="left"/>
              <w:rPr>
                <w:rFonts w:ascii="Times New Roman" w:hAnsi="Times New Roman" w:cs="Times New Roman" w:eastAsia="Times New Roman" w:hint="default"/>
                <w:sz w:val="18"/>
                <w:szCs w:val="18"/>
              </w:rPr>
            </w:pPr>
            <w:r>
              <w:rPr>
                <w:rFonts w:ascii="Times New Roman"/>
                <w:sz w:val="18"/>
              </w:rPr>
              <w:t>- 14,495,77</w:t>
            </w:r>
          </w:p>
          <w:p>
            <w:pPr>
              <w:pStyle w:val="TableParagraph"/>
              <w:spacing w:line="240" w:lineRule="auto" w:before="6"/>
              <w:ind w:left="496" w:right="0"/>
              <w:jc w:val="left"/>
              <w:rPr>
                <w:rFonts w:ascii="Times New Roman" w:hAnsi="Times New Roman" w:cs="Times New Roman" w:eastAsia="Times New Roman" w:hint="default"/>
                <w:sz w:val="18"/>
                <w:szCs w:val="18"/>
              </w:rPr>
            </w:pPr>
            <w:r>
              <w:rPr>
                <w:rFonts w:ascii="Times New Roman"/>
                <w:sz w:val="18"/>
              </w:rPr>
              <w:t>0.51</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38" w:lineRule="auto"/>
              <w:ind w:left="22" w:right="4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cn  </w:t>
            </w:r>
            <w:r>
              <w:rPr>
                <w:rFonts w:ascii="宋体" w:hAnsi="宋体" w:cs="宋体" w:eastAsia="宋体" w:hint="default"/>
                <w:sz w:val="18"/>
                <w:szCs w:val="18"/>
              </w:rPr>
              <w:t>公告</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7"/>
              <w:ind w:left="22" w:right="0"/>
              <w:jc w:val="both"/>
              <w:rPr>
                <w:rFonts w:ascii="Times New Roman" w:hAnsi="Times New Roman" w:cs="Times New Roman" w:eastAsia="Times New Roman" w:hint="default"/>
                <w:sz w:val="18"/>
                <w:szCs w:val="18"/>
              </w:rPr>
            </w:pPr>
            <w:r>
              <w:rPr>
                <w:rFonts w:ascii="Times New Roman"/>
                <w:sz w:val="18"/>
              </w:rPr>
              <w:t>2017-57</w:t>
            </w:r>
          </w:p>
        </w:tc>
      </w:tr>
      <w:tr>
        <w:trPr>
          <w:trHeight w:val="358" w:hRule="exact"/>
        </w:trPr>
        <w:tc>
          <w:tcPr>
            <w:tcW w:w="6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北京万</w:t>
            </w:r>
          </w:p>
        </w:tc>
        <w:tc>
          <w:tcPr>
            <w:tcW w:w="724"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661" w:type="dxa"/>
            <w:tcBorders>
              <w:top w:val="single" w:sz="4" w:space="0" w:color="000000"/>
              <w:left w:val="single" w:sz="4" w:space="0" w:color="000000"/>
              <w:bottom w:val="nil" w:sz="6" w:space="0" w:color="auto"/>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控股子</w:t>
            </w:r>
          </w:p>
        </w:tc>
        <w:tc>
          <w:tcPr>
            <w:tcW w:w="785"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c>
          <w:tcPr>
            <w:tcW w:w="845" w:type="dxa"/>
            <w:tcBorders>
              <w:top w:val="single" w:sz="4" w:space="0" w:color="000000"/>
              <w:left w:val="single" w:sz="4" w:space="0" w:color="000000"/>
              <w:bottom w:val="nil" w:sz="6" w:space="0" w:color="auto"/>
              <w:right w:val="single" w:sz="4" w:space="0" w:color="000000"/>
            </w:tcBorders>
          </w:tcPr>
          <w:p>
            <w:pPr/>
          </w:p>
        </w:tc>
        <w:tc>
          <w:tcPr>
            <w:tcW w:w="628"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r>
      <w:tr>
        <w:trPr>
          <w:trHeight w:val="940" w:hRule="exact"/>
        </w:trPr>
        <w:tc>
          <w:tcPr>
            <w:tcW w:w="6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9"/>
              <w:jc w:val="both"/>
              <w:rPr>
                <w:rFonts w:ascii="宋体" w:hAnsi="宋体" w:cs="宋体" w:eastAsia="宋体" w:hint="default"/>
                <w:sz w:val="18"/>
                <w:szCs w:val="18"/>
              </w:rPr>
            </w:pPr>
            <w:r>
              <w:rPr>
                <w:rFonts w:ascii="宋体" w:hAnsi="宋体" w:cs="宋体" w:eastAsia="宋体" w:hint="default"/>
                <w:sz w:val="18"/>
                <w:szCs w:val="18"/>
              </w:rPr>
              <w:t>方智讯 信息技 术有限</w:t>
            </w:r>
          </w:p>
        </w:tc>
        <w:tc>
          <w:tcPr>
            <w:tcW w:w="7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社科大 数据</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377" w:right="0"/>
              <w:jc w:val="left"/>
              <w:rPr>
                <w:rFonts w:ascii="Times New Roman" w:hAnsi="Times New Roman" w:cs="Times New Roman" w:eastAsia="Times New Roman" w:hint="default"/>
                <w:sz w:val="18"/>
                <w:szCs w:val="18"/>
              </w:rPr>
            </w:pPr>
            <w:r>
              <w:rPr>
                <w:rFonts w:ascii="Times New Roman"/>
                <w:sz w:val="18"/>
              </w:rPr>
              <w:t>0.00</w:t>
            </w:r>
          </w:p>
        </w:tc>
        <w:tc>
          <w:tcPr>
            <w:tcW w:w="6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36.00%</w:t>
            </w:r>
          </w:p>
        </w:tc>
        <w:tc>
          <w:tcPr>
            <w:tcW w:w="66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86"/>
              <w:jc w:val="both"/>
              <w:rPr>
                <w:rFonts w:ascii="宋体" w:hAnsi="宋体" w:cs="宋体" w:eastAsia="宋体" w:hint="default"/>
                <w:sz w:val="18"/>
                <w:szCs w:val="18"/>
              </w:rPr>
            </w:pPr>
            <w:r>
              <w:rPr>
                <w:rFonts w:ascii="宋体" w:hAnsi="宋体" w:cs="宋体" w:eastAsia="宋体" w:hint="default"/>
                <w:sz w:val="18"/>
                <w:szCs w:val="18"/>
              </w:rPr>
              <w:t>公司美 亚智讯 自有资</w:t>
            </w:r>
          </w:p>
        </w:tc>
        <w:tc>
          <w:tcPr>
            <w:tcW w:w="78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30"/>
              <w:jc w:val="left"/>
              <w:rPr>
                <w:rFonts w:ascii="宋体" w:hAnsi="宋体" w:cs="宋体" w:eastAsia="宋体" w:hint="default"/>
                <w:sz w:val="18"/>
                <w:szCs w:val="18"/>
              </w:rPr>
            </w:pPr>
            <w:r>
              <w:rPr>
                <w:rFonts w:ascii="宋体" w:hAnsi="宋体" w:cs="宋体" w:eastAsia="宋体" w:hint="default"/>
                <w:sz w:val="18"/>
                <w:szCs w:val="18"/>
              </w:rPr>
              <w:t>万方数 据、中智 美亚</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34"/>
              <w:jc w:val="left"/>
              <w:rPr>
                <w:rFonts w:ascii="宋体" w:hAnsi="宋体" w:cs="宋体" w:eastAsia="宋体" w:hint="default"/>
                <w:sz w:val="18"/>
                <w:szCs w:val="18"/>
              </w:rPr>
            </w:pPr>
            <w:r>
              <w:rPr>
                <w:rFonts w:ascii="宋体" w:hAnsi="宋体" w:cs="宋体" w:eastAsia="宋体" w:hint="default"/>
                <w:sz w:val="18"/>
                <w:szCs w:val="18"/>
              </w:rPr>
              <w:t>社科大 数据</w:t>
            </w:r>
          </w:p>
        </w:tc>
        <w:tc>
          <w:tcPr>
            <w:tcW w:w="539" w:type="dxa"/>
            <w:vMerge/>
            <w:tcBorders>
              <w:left w:val="single" w:sz="4" w:space="0" w:color="000000"/>
              <w:right w:val="single" w:sz="4" w:space="0" w:color="000000"/>
            </w:tcBorders>
          </w:tcPr>
          <w:p>
            <w:pPr/>
          </w:p>
        </w:tc>
        <w:tc>
          <w:tcPr>
            <w:tcW w:w="845" w:type="dxa"/>
            <w:tcBorders>
              <w:top w:val="nil" w:sz="6" w:space="0" w:color="auto"/>
              <w:left w:val="single" w:sz="4" w:space="0" w:color="000000"/>
              <w:bottom w:val="nil" w:sz="6" w:space="0" w:color="auto"/>
              <w:right w:val="single" w:sz="4" w:space="0" w:color="000000"/>
            </w:tcBorders>
          </w:tcPr>
          <w:p>
            <w:pPr>
              <w:pStyle w:val="TableParagraph"/>
              <w:spacing w:line="360" w:lineRule="auto" w:before="51"/>
              <w:ind w:left="46" w:right="21" w:firstLine="704"/>
              <w:jc w:val="righ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1,289,510.</w:t>
            </w:r>
          </w:p>
          <w:p>
            <w:pPr>
              <w:pStyle w:val="TableParagraph"/>
              <w:spacing w:line="240" w:lineRule="auto" w:before="6"/>
              <w:ind w:right="23"/>
              <w:jc w:val="right"/>
              <w:rPr>
                <w:rFonts w:ascii="Times New Roman" w:hAnsi="Times New Roman" w:cs="Times New Roman" w:eastAsia="Times New Roman" w:hint="default"/>
                <w:sz w:val="18"/>
                <w:szCs w:val="18"/>
              </w:rPr>
            </w:pPr>
            <w:r>
              <w:rPr>
                <w:rFonts w:ascii="Times New Roman"/>
                <w:sz w:val="18"/>
              </w:rPr>
              <w:t>82</w:t>
            </w:r>
          </w:p>
        </w:tc>
        <w:tc>
          <w:tcPr>
            <w:tcW w:w="62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r>
      <w:tr>
        <w:trPr>
          <w:trHeight w:val="353" w:hRule="exact"/>
        </w:trPr>
        <w:tc>
          <w:tcPr>
            <w:tcW w:w="6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4"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661" w:type="dxa"/>
            <w:tcBorders>
              <w:top w:val="nil" w:sz="6" w:space="0" w:color="auto"/>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85"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c>
          <w:tcPr>
            <w:tcW w:w="845" w:type="dxa"/>
            <w:tcBorders>
              <w:top w:val="nil" w:sz="6" w:space="0" w:color="auto"/>
              <w:left w:val="single" w:sz="4" w:space="0" w:color="000000"/>
              <w:bottom w:val="single" w:sz="4" w:space="0" w:color="000000"/>
              <w:right w:val="single" w:sz="4" w:space="0" w:color="000000"/>
            </w:tcBorders>
          </w:tcPr>
          <w:p>
            <w:pPr/>
          </w:p>
        </w:tc>
        <w:tc>
          <w:tcPr>
            <w:tcW w:w="628"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694"/>
        <w:gridCol w:w="724"/>
        <w:gridCol w:w="568"/>
        <w:gridCol w:w="726"/>
        <w:gridCol w:w="661"/>
        <w:gridCol w:w="662"/>
        <w:gridCol w:w="785"/>
        <w:gridCol w:w="568"/>
        <w:gridCol w:w="709"/>
        <w:gridCol w:w="539"/>
        <w:gridCol w:w="845"/>
        <w:gridCol w:w="628"/>
        <w:gridCol w:w="734"/>
        <w:gridCol w:w="722"/>
      </w:tblGrid>
      <w:tr>
        <w:trPr>
          <w:trHeight w:val="16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沈阳城 市公共 安全科 技有限 公司</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49"/>
              <w:jc w:val="left"/>
              <w:rPr>
                <w:rFonts w:ascii="宋体" w:hAnsi="宋体" w:cs="宋体" w:eastAsia="宋体" w:hint="default"/>
                <w:sz w:val="18"/>
                <w:szCs w:val="18"/>
              </w:rPr>
            </w:pPr>
            <w:r>
              <w:rPr>
                <w:rFonts w:ascii="宋体" w:hAnsi="宋体" w:cs="宋体" w:eastAsia="宋体" w:hint="default"/>
                <w:sz w:val="18"/>
                <w:szCs w:val="18"/>
              </w:rPr>
              <w:t>政务大 数据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新设</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377" w:right="0"/>
              <w:jc w:val="left"/>
              <w:rPr>
                <w:rFonts w:ascii="Times New Roman" w:hAnsi="Times New Roman" w:cs="Times New Roman" w:eastAsia="Times New Roman" w:hint="default"/>
                <w:sz w:val="18"/>
                <w:szCs w:val="18"/>
              </w:rPr>
            </w:pPr>
            <w:r>
              <w:rPr>
                <w:rFonts w:ascii="Times New Roman"/>
                <w:sz w:val="18"/>
              </w:rPr>
              <w:t>0.00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86"/>
              <w:jc w:val="both"/>
              <w:rPr>
                <w:rFonts w:ascii="宋体" w:hAnsi="宋体" w:cs="宋体" w:eastAsia="宋体" w:hint="default"/>
                <w:sz w:val="18"/>
                <w:szCs w:val="18"/>
              </w:rPr>
            </w:pPr>
            <w:r>
              <w:rPr>
                <w:rFonts w:ascii="宋体" w:hAnsi="宋体" w:cs="宋体" w:eastAsia="宋体" w:hint="default"/>
                <w:sz w:val="18"/>
                <w:szCs w:val="18"/>
              </w:rPr>
              <w:t>控股子 公司美 亚智讯 自有资 金</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0"/>
              <w:jc w:val="both"/>
              <w:rPr>
                <w:rFonts w:ascii="宋体" w:hAnsi="宋体" w:cs="宋体" w:eastAsia="宋体" w:hint="default"/>
                <w:sz w:val="18"/>
                <w:szCs w:val="18"/>
              </w:rPr>
            </w:pPr>
            <w:r>
              <w:rPr>
                <w:rFonts w:ascii="宋体" w:hAnsi="宋体" w:cs="宋体" w:eastAsia="宋体" w:hint="default"/>
                <w:sz w:val="18"/>
                <w:szCs w:val="18"/>
              </w:rPr>
              <w:t>沈阳城市 公用集团 有限公司 等</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长期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4"/>
              <w:jc w:val="left"/>
              <w:rPr>
                <w:rFonts w:ascii="宋体" w:hAnsi="宋体" w:cs="宋体" w:eastAsia="宋体" w:hint="default"/>
                <w:sz w:val="18"/>
                <w:szCs w:val="18"/>
              </w:rPr>
            </w:pPr>
            <w:r>
              <w:rPr>
                <w:rFonts w:ascii="宋体" w:hAnsi="宋体" w:cs="宋体" w:eastAsia="宋体" w:hint="default"/>
                <w:sz w:val="18"/>
                <w:szCs w:val="18"/>
              </w:rPr>
              <w:t>政务大 数据</w:t>
            </w:r>
          </w:p>
        </w:tc>
        <w:tc>
          <w:tcPr>
            <w:tcW w:w="539"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112,789.6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30,600,0</w:t>
            </w:r>
          </w:p>
          <w:p>
            <w:pPr>
              <w:pStyle w:val="TableParagraph"/>
              <w:spacing w:line="240" w:lineRule="auto" w:before="106"/>
              <w:ind w:left="287" w:right="0"/>
              <w:jc w:val="left"/>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15,480,66</w:t>
            </w:r>
          </w:p>
          <w:p>
            <w:pPr>
              <w:pStyle w:val="TableParagraph"/>
              <w:spacing w:line="240" w:lineRule="auto" w:before="106"/>
              <w:ind w:left="496" w:right="0"/>
              <w:jc w:val="left"/>
              <w:rPr>
                <w:rFonts w:ascii="Times New Roman" w:hAnsi="Times New Roman" w:cs="Times New Roman" w:eastAsia="Times New Roman" w:hint="default"/>
                <w:sz w:val="18"/>
                <w:szCs w:val="18"/>
              </w:rPr>
            </w:pPr>
            <w:r>
              <w:rPr>
                <w:rFonts w:ascii="Times New Roman"/>
                <w:sz w:val="18"/>
              </w:rPr>
              <w:t>0.97</w:t>
            </w:r>
          </w:p>
        </w:tc>
        <w:tc>
          <w:tcPr>
            <w:tcW w:w="6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5"/>
          <w:szCs w:val="5"/>
        </w:rPr>
      </w:pPr>
    </w:p>
    <w:p>
      <w:pPr>
        <w:pStyle w:val="BodyText"/>
        <w:spacing w:line="240" w:lineRule="auto" w:before="35"/>
        <w:ind w:left="574" w:right="0"/>
        <w:jc w:val="left"/>
      </w:pPr>
      <w:r>
        <w:rPr/>
        <w:t>注：</w:t>
      </w:r>
      <w:r>
        <w:rPr>
          <w:rFonts w:ascii="Times New Roman" w:hAnsi="Times New Roman" w:cs="Times New Roman" w:eastAsia="Times New Roman" w:hint="default"/>
        </w:rPr>
        <w:t>1</w:t>
      </w:r>
      <w:r>
        <w:rPr/>
        <w:t>、本年公司新设全资厦门美亚天信会议服务有限公司，注册资本</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万，截至</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240" w:lineRule="auto" w:before="177"/>
        <w:ind w:left="153"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日公司尚未出资。</w:t>
      </w:r>
      <w:r>
        <w:rPr>
          <w:rFonts w:ascii="Times New Roman" w:hAnsi="Times New Roman" w:cs="Times New Roman" w:eastAsia="Times New Roman" w:hint="default"/>
        </w:rPr>
        <w:t>2</w:t>
      </w:r>
      <w:r>
        <w:rPr/>
        <w:t>、本年公司控股子公司美亚智讯与沈阳城市公用集团有限公司等合资设立沈阳城市</w:t>
      </w:r>
    </w:p>
    <w:p>
      <w:pPr>
        <w:pStyle w:val="BodyText"/>
        <w:spacing w:line="240" w:lineRule="auto" w:before="177"/>
        <w:ind w:left="153" w:right="0"/>
        <w:jc w:val="left"/>
        <w:rPr>
          <w:rFonts w:ascii="Times New Roman" w:hAnsi="Times New Roman" w:cs="Times New Roman" w:eastAsia="Times New Roman" w:hint="default"/>
        </w:rPr>
      </w:pPr>
      <w:r>
        <w:rPr/>
        <w:t>公共安全科技有限公司，注册资本</w:t>
      </w:r>
      <w:r>
        <w:rPr>
          <w:spacing w:val="-5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t>万，美亚智讯出资</w:t>
      </w:r>
      <w:r>
        <w:rPr>
          <w:spacing w:val="-55"/>
        </w:rPr>
        <w:t> </w:t>
      </w:r>
      <w:r>
        <w:rPr>
          <w:rFonts w:ascii="Times New Roman" w:hAnsi="Times New Roman" w:cs="Times New Roman" w:eastAsia="Times New Roman" w:hint="default"/>
        </w:rPr>
        <w:t>400</w:t>
      </w:r>
      <w:r>
        <w:rPr>
          <w:rFonts w:ascii="Times New Roman" w:hAnsi="Times New Roman" w:cs="Times New Roman" w:eastAsia="Times New Roman" w:hint="default"/>
          <w:spacing w:val="-2"/>
        </w:rPr>
        <w:t> </w:t>
      </w:r>
      <w:r>
        <w:rPr/>
        <w:t>万元，持股</w:t>
      </w:r>
      <w:r>
        <w:rPr>
          <w:spacing w:val="-55"/>
        </w:rPr>
        <w:t> </w:t>
      </w:r>
      <w:r>
        <w:rPr>
          <w:rFonts w:ascii="Times New Roman" w:hAnsi="Times New Roman" w:cs="Times New Roman" w:eastAsia="Times New Roman" w:hint="default"/>
        </w:rPr>
        <w:t>40%</w:t>
      </w:r>
      <w:r>
        <w:rPr/>
        <w:t>，截至</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31</w:t>
      </w:r>
    </w:p>
    <w:p>
      <w:pPr>
        <w:pStyle w:val="BodyText"/>
        <w:spacing w:line="240" w:lineRule="auto" w:before="178"/>
        <w:ind w:left="153" w:right="0"/>
        <w:jc w:val="left"/>
      </w:pPr>
      <w:r>
        <w:rPr/>
        <w:t>日美亚智讯已到资</w:t>
      </w:r>
      <w:r>
        <w:rPr>
          <w:spacing w:val="-54"/>
        </w:rPr>
        <w:t> </w:t>
      </w:r>
      <w:r>
        <w:rPr>
          <w:rFonts w:ascii="Times New Roman" w:hAnsi="Times New Roman" w:cs="Times New Roman" w:eastAsia="Times New Roman" w:hint="default"/>
        </w:rPr>
        <w:t>200</w:t>
      </w:r>
      <w:r>
        <w:rPr>
          <w:rFonts w:ascii="Times New Roman" w:hAnsi="Times New Roman" w:cs="Times New Roman" w:eastAsia="Times New Roman" w:hint="default"/>
          <w:spacing w:val="-2"/>
        </w:rPr>
        <w:t> </w:t>
      </w:r>
      <w:r>
        <w:rPr/>
        <w:t>万。</w:t>
      </w:r>
    </w:p>
    <w:p>
      <w:pPr>
        <w:spacing w:line="240" w:lineRule="auto" w:before="6"/>
        <w:rPr>
          <w:rFonts w:ascii="宋体" w:hAnsi="宋体" w:cs="宋体" w:eastAsia="宋体" w:hint="default"/>
          <w:sz w:val="30"/>
          <w:szCs w:val="30"/>
        </w:rPr>
      </w:pPr>
    </w:p>
    <w:p>
      <w:pPr>
        <w:pStyle w:val="Heading3"/>
        <w:spacing w:line="240" w:lineRule="auto"/>
        <w:ind w:left="153"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708"/>
        <w:gridCol w:w="709"/>
        <w:gridCol w:w="851"/>
        <w:gridCol w:w="851"/>
        <w:gridCol w:w="850"/>
        <w:gridCol w:w="994"/>
        <w:gridCol w:w="991"/>
        <w:gridCol w:w="1001"/>
        <w:gridCol w:w="842"/>
        <w:gridCol w:w="898"/>
        <w:gridCol w:w="869"/>
      </w:tblGrid>
      <w:tr>
        <w:trPr>
          <w:trHeight w:val="1337" w:hRule="exact"/>
        </w:trPr>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7"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0" w:right="77"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41"/>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38"/>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44"/>
              <w:jc w:val="both"/>
              <w:rPr>
                <w:rFonts w:ascii="宋体" w:hAnsi="宋体" w:cs="宋体" w:eastAsia="宋体" w:hint="default"/>
                <w:sz w:val="18"/>
                <w:szCs w:val="18"/>
              </w:rPr>
            </w:pPr>
            <w:r>
              <w:rPr>
                <w:rFonts w:ascii="宋体" w:hAnsi="宋体" w:cs="宋体" w:eastAsia="宋体" w:hint="default"/>
                <w:sz w:val="18"/>
                <w:szCs w:val="18"/>
              </w:rPr>
              <w:t>累计变更用 途的募集资 金总额比例</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4"/>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 w:right="83"/>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58" w:hRule="exact"/>
        </w:trPr>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842"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69" w:type="dxa"/>
            <w:vMerge w:val="restart"/>
            <w:tcBorders>
              <w:top w:val="single" w:sz="4" w:space="0" w:color="000000"/>
              <w:left w:val="single" w:sz="4" w:space="0" w:color="000000"/>
              <w:right w:val="single" w:sz="4" w:space="0" w:color="000000"/>
            </w:tcBorders>
          </w:tcPr>
          <w:p>
            <w:pPr/>
          </w:p>
        </w:tc>
      </w:tr>
      <w:tr>
        <w:trPr>
          <w:trHeight w:val="311" w:hRule="exact"/>
        </w:trPr>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的募集资</w:t>
            </w:r>
          </w:p>
        </w:tc>
        <w:tc>
          <w:tcPr>
            <w:tcW w:w="869" w:type="dxa"/>
            <w:vMerge/>
            <w:tcBorders>
              <w:left w:val="single" w:sz="4" w:space="0" w:color="000000"/>
              <w:right w:val="single" w:sz="4" w:space="0" w:color="000000"/>
            </w:tcBorders>
          </w:tcPr>
          <w:p>
            <w:pPr/>
          </w:p>
        </w:tc>
      </w:tr>
      <w:tr>
        <w:trPr>
          <w:trHeight w:val="312" w:hRule="exact"/>
        </w:trPr>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金存储于</w:t>
            </w:r>
          </w:p>
        </w:tc>
        <w:tc>
          <w:tcPr>
            <w:tcW w:w="869" w:type="dxa"/>
            <w:vMerge/>
            <w:tcBorders>
              <w:left w:val="single" w:sz="4" w:space="0" w:color="000000"/>
              <w:right w:val="single" w:sz="4" w:space="0" w:color="000000"/>
            </w:tcBorders>
          </w:tcPr>
          <w:p>
            <w:pPr/>
          </w:p>
        </w:tc>
      </w:tr>
      <w:tr>
        <w:trPr>
          <w:trHeight w:val="625" w:hRule="exact"/>
        </w:trPr>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33"/>
              <w:jc w:val="left"/>
              <w:rPr>
                <w:rFonts w:ascii="宋体" w:hAnsi="宋体" w:cs="宋体" w:eastAsia="宋体" w:hint="default"/>
                <w:sz w:val="18"/>
                <w:szCs w:val="18"/>
              </w:rPr>
            </w:pPr>
            <w:r>
              <w:rPr>
                <w:rFonts w:ascii="宋体" w:hAnsi="宋体" w:cs="宋体" w:eastAsia="宋体" w:hint="default"/>
                <w:sz w:val="18"/>
                <w:szCs w:val="18"/>
              </w:rPr>
              <w:t>公开发 行股份</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50,140.6</w:t>
            </w:r>
          </w:p>
        </w:tc>
        <w:tc>
          <w:tcPr>
            <w:tcW w:w="851"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49,640.74</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499.86</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43"/>
              <w:jc w:val="left"/>
              <w:rPr>
                <w:rFonts w:ascii="宋体" w:hAnsi="宋体" w:cs="宋体" w:eastAsia="宋体" w:hint="default"/>
                <w:sz w:val="18"/>
                <w:szCs w:val="18"/>
              </w:rPr>
            </w:pPr>
            <w:r>
              <w:rPr>
                <w:rFonts w:ascii="宋体" w:hAnsi="宋体" w:cs="宋体" w:eastAsia="宋体" w:hint="default"/>
                <w:sz w:val="18"/>
                <w:szCs w:val="18"/>
              </w:rPr>
              <w:t>专户中， 将用于支</w:t>
            </w:r>
          </w:p>
        </w:tc>
        <w:tc>
          <w:tcPr>
            <w:tcW w:w="869" w:type="dxa"/>
            <w:vMerge/>
            <w:tcBorders>
              <w:left w:val="single" w:sz="4" w:space="0" w:color="000000"/>
              <w:right w:val="single" w:sz="4" w:space="0" w:color="000000"/>
            </w:tcBorders>
          </w:tcPr>
          <w:p>
            <w:pPr/>
          </w:p>
        </w:tc>
      </w:tr>
      <w:tr>
        <w:trPr>
          <w:trHeight w:val="311" w:hRule="exact"/>
        </w:trPr>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付的研发</w:t>
            </w:r>
          </w:p>
        </w:tc>
        <w:tc>
          <w:tcPr>
            <w:tcW w:w="869" w:type="dxa"/>
            <w:vMerge/>
            <w:tcBorders>
              <w:left w:val="single" w:sz="4" w:space="0" w:color="000000"/>
              <w:right w:val="single" w:sz="4" w:space="0" w:color="000000"/>
            </w:tcBorders>
          </w:tcPr>
          <w:p>
            <w:pPr/>
          </w:p>
        </w:tc>
      </w:tr>
      <w:tr>
        <w:trPr>
          <w:trHeight w:val="313" w:hRule="exact"/>
        </w:trPr>
        <w:tc>
          <w:tcPr>
            <w:tcW w:w="70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vMerge/>
            <w:tcBorders>
              <w:left w:val="single" w:sz="4" w:space="0" w:color="000000"/>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42" w:type="dxa"/>
            <w:tcBorders>
              <w:top w:val="nil" w:sz="6" w:space="0" w:color="auto"/>
              <w:left w:val="single" w:sz="4" w:space="0" w:color="000000"/>
              <w:bottom w:val="nil" w:sz="6" w:space="0" w:color="auto"/>
              <w:right w:val="single" w:sz="4" w:space="0" w:color="000000"/>
            </w:tcBorders>
          </w:tcPr>
          <w:p>
            <w:pP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大楼相关</w:t>
            </w:r>
          </w:p>
        </w:tc>
        <w:tc>
          <w:tcPr>
            <w:tcW w:w="869" w:type="dxa"/>
            <w:vMerge/>
            <w:tcBorders>
              <w:left w:val="single" w:sz="4" w:space="0" w:color="000000"/>
              <w:right w:val="single" w:sz="4" w:space="0" w:color="000000"/>
            </w:tcBorders>
          </w:tcPr>
          <w:p>
            <w:pPr/>
          </w:p>
        </w:tc>
      </w:tr>
      <w:tr>
        <w:trPr>
          <w:trHeight w:val="356" w:hRule="exact"/>
        </w:trPr>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842"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869" w:type="dxa"/>
            <w:vMerge/>
            <w:tcBorders>
              <w:left w:val="single" w:sz="4" w:space="0" w:color="000000"/>
              <w:bottom w:val="single" w:sz="4" w:space="0" w:color="000000"/>
              <w:right w:val="single" w:sz="4" w:space="0" w:color="000000"/>
            </w:tcBorders>
          </w:tcPr>
          <w:p>
            <w:pP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50,140.6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49,640.74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499.86</w:t>
            </w:r>
          </w:p>
        </w:tc>
        <w:tc>
          <w:tcPr>
            <w:tcW w:w="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sz w:val="28"/>
          <w:szCs w:val="28"/>
        </w:rPr>
      </w:pPr>
    </w:p>
    <w:p>
      <w:pPr>
        <w:spacing w:line="1135" w:lineRule="exact"/>
        <w:ind w:left="178"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79.1pt;height:56.8pt;mso-position-horizontal-relative:char;mso-position-vertical-relative:line" coordorigin="0,0" coordsize="9582,1136">
            <v:group style="position:absolute;left:9544;top:14;width:23;height:393" coordorigin="9544,14" coordsize="23,393">
              <v:shape style="position:absolute;left:9544;top:14;width:23;height:393" coordorigin="9544,14" coordsize="23,393" path="m9544,407l9566,407,9566,14,9544,14,9544,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9507;height:393" coordorigin="37,14" coordsize="9507,393">
              <v:shape style="position:absolute;left:37;top:14;width:9507;height:393" coordorigin="37,14" coordsize="9507,393" path="m37,407l9544,407,9544,14,37,14,37,407xe" filled="true" fillcolor="#d3d3d3" stroked="false">
                <v:path arrowok="t"/>
                <v:fill type="solid"/>
              </v:shape>
            </v:group>
            <v:group style="position:absolute;left:5;top:10;width:9573;height:2" coordorigin="5,10" coordsize="9573,2">
              <v:shape style="position:absolute;left:5;top:10;width:9573;height:2" coordorigin="5,10" coordsize="9573,0" path="m5,10l9577,10e" filled="false" stroked="true" strokeweight=".48004pt" strokecolor="#000000">
                <v:path arrowok="t"/>
              </v:shape>
            </v:group>
            <v:group style="position:absolute;left:5;top:412;width:9573;height:2" coordorigin="5,412" coordsize="9573,2">
              <v:shape style="position:absolute;left:5;top:412;width:9573;height:2" coordorigin="5,412" coordsize="9573,0" path="m5,412l9577,412e" filled="false" stroked="true" strokeweight=".47998pt" strokecolor="#000000">
                <v:path arrowok="t"/>
              </v:shape>
            </v:group>
            <v:group style="position:absolute;left:10;top:5;width:2;height:1126" coordorigin="10,5" coordsize="2,1126">
              <v:shape style="position:absolute;left:10;top:5;width:2;height:1126" coordorigin="10,5" coordsize="0,1126" path="m10,5l10,1130e" filled="false" stroked="true" strokeweight=".48pt" strokecolor="#000000">
                <v:path arrowok="t"/>
              </v:shape>
            </v:group>
            <v:group style="position:absolute;left:5;top:1126;width:9563;height:2" coordorigin="5,1126" coordsize="9563,2">
              <v:shape style="position:absolute;left:5;top:1126;width:9563;height:2" coordorigin="5,1126" coordsize="9563,0" path="m5,1126l9568,1126e" filled="false" stroked="true" strokeweight=".47998pt" strokecolor="#000000">
                <v:path arrowok="t"/>
              </v:shape>
            </v:group>
            <v:group style="position:absolute;left:9572;top:5;width:2;height:1126" coordorigin="9572,5" coordsize="2,1126">
              <v:shape style="position:absolute;left:9572;top:5;width:2;height:1126" coordorigin="9572,5" coordsize="0,1126" path="m9572,5l9572,1130e" filled="false" stroked="true" strokeweight=".47998pt" strokecolor="#000000">
                <v:path arrowok="t"/>
              </v:shape>
              <v:shape style="position:absolute;left:10;top:10;width:9563;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xbxContent>
                </v:textbox>
                <w10:wrap type="none"/>
              </v:shape>
              <v:shape style="position:absolute;left:10;top:412;width:9563;height:714" type="#_x0000_t202" filled="false" stroked="false">
                <v:textbox inset="0,0,0,0">
                  <w:txbxContent>
                    <w:p>
                      <w:pPr>
                        <w:spacing w:line="302" w:lineRule="auto" w:before="56"/>
                        <w:ind w:left="27" w:right="131"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日，公司募集资金累计直接投入募投项目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49,640.74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万元，尚未使 用的募集资金存储于专户中，将用于支付的研发大楼相关税费。</w:t>
                      </w:r>
                    </w:p>
                  </w:txbxContent>
                </v:textbox>
                <w10:wrap type="none"/>
              </v:shape>
            </v:group>
          </v:group>
        </w:pict>
      </w:r>
      <w:r>
        <w:rPr>
          <w:rFonts w:ascii="宋体" w:hAnsi="宋体" w:cs="宋体" w:eastAsia="宋体" w:hint="default"/>
          <w:position w:val="-22"/>
          <w:sz w:val="20"/>
          <w:szCs w:val="20"/>
        </w:rPr>
      </w:r>
    </w:p>
    <w:p>
      <w:pPr>
        <w:spacing w:line="240" w:lineRule="auto" w:before="10"/>
        <w:rPr>
          <w:rFonts w:ascii="宋体" w:hAnsi="宋体" w:cs="宋体" w:eastAsia="宋体" w:hint="default"/>
          <w:sz w:val="18"/>
          <w:szCs w:val="18"/>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85"/>
        <w:gridCol w:w="709"/>
        <w:gridCol w:w="850"/>
        <w:gridCol w:w="851"/>
        <w:gridCol w:w="493"/>
        <w:gridCol w:w="780"/>
        <w:gridCol w:w="780"/>
        <w:gridCol w:w="923"/>
        <w:gridCol w:w="851"/>
        <w:gridCol w:w="568"/>
        <w:gridCol w:w="779"/>
      </w:tblGrid>
      <w:tr>
        <w:trPr>
          <w:trHeight w:val="1338"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16" w:right="86" w:hanging="630"/>
              <w:jc w:val="left"/>
              <w:rPr>
                <w:rFonts w:ascii="宋体" w:hAnsi="宋体" w:cs="宋体" w:eastAsia="宋体" w:hint="default"/>
                <w:sz w:val="18"/>
                <w:szCs w:val="18"/>
              </w:rPr>
            </w:pPr>
            <w:r>
              <w:rPr>
                <w:rFonts w:ascii="宋体" w:hAnsi="宋体" w:cs="宋体" w:eastAsia="宋体" w:hint="default"/>
                <w:sz w:val="18"/>
                <w:szCs w:val="18"/>
              </w:rPr>
              <w:t>承诺投资项目和超募资 金投向</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49" w:right="4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5" w:right="4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1"/>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6" w:right="95"/>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9"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8" w:right="97"/>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电子数据取证产品项目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6,993.29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6,939.62</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6,939.62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9,896.37</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网络信息安全产品项目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6,291.62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6,258.75</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6,258.75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1,002.94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电子数据鉴定及知识产 权保护服务等项目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3,459.95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3,399.43</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3,399.43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995.94</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节余募集资金永久补充 流动资金</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86.54</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2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不适 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16,744.86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16,684.34</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16,684.34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11,895.25</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追加投资建设超算中心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（云计算）项目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3,012.49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2,762.76</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2,762.76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电子数据公证云项目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1,363.15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1,302.08</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125.68</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购买研发大楼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16,468.61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16,468.61</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15,968.75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收购新德汇公司股权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5,854.8</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2,643.93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电子数据公证云项目节 余募集资金永久补充流 动资金</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61.07</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23"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对深圳市中新赛克科技 股份有限公司进行增资</w:t>
            </w: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2,006.94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2,006.94</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2,006.94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33,705.99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33,456.26</w:t>
            </w:r>
          </w:p>
        </w:tc>
        <w:tc>
          <w:tcPr>
            <w:tcW w:w="493"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32,956.4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2,769.61</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50,450.85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50,140.6</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49,640.74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14,664.86</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7"/>
              <w:jc w:val="right"/>
              <w:rPr>
                <w:rFonts w:ascii="Times New Roman" w:hAnsi="Times New Roman" w:cs="Times New Roman" w:eastAsia="Times New Roman" w:hint="default"/>
                <w:sz w:val="18"/>
                <w:szCs w:val="18"/>
              </w:rPr>
            </w:pPr>
            <w:r>
              <w:rPr>
                <w:rFonts w:ascii="Times New Roman"/>
                <w:sz w:val="18"/>
              </w:rPr>
              <w:t>--</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984"/>
        <w:gridCol w:w="7583"/>
      </w:tblGrid>
      <w:tr>
        <w:trPr>
          <w:trHeight w:val="5706" w:hRule="exact"/>
        </w:trPr>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22" w:right="149"/>
              <w:jc w:val="both"/>
              <w:rPr>
                <w:rFonts w:ascii="宋体" w:hAnsi="宋体" w:cs="宋体" w:eastAsia="宋体" w:hint="default"/>
                <w:sz w:val="18"/>
                <w:szCs w:val="18"/>
              </w:rPr>
            </w:pPr>
            <w:r>
              <w:rPr>
                <w:rFonts w:ascii="宋体" w:hAnsi="宋体" w:cs="宋体" w:eastAsia="宋体" w:hint="default"/>
                <w:sz w:val="18"/>
                <w:szCs w:val="18"/>
              </w:rPr>
              <w:t>未达到计划进度或预计 收益的情况和原因（分 具体项目）</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）网络信息安全产品项目效益未达到预期主要原因是：随着互联网的发展，特别是大数据和 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概念的提出，政府部门也逐渐地开始接受向社会购买服务产品。公司网络信息安全产品 项目由单一的产品销售向</w:t>
            </w:r>
            <w:r>
              <w:rPr>
                <w:rFonts w:ascii="Times New Roman" w:hAnsi="Times New Roman" w:cs="Times New Roman" w:eastAsia="Times New Roman" w:hint="default"/>
                <w:sz w:val="18"/>
                <w:szCs w:val="18"/>
              </w:rPr>
              <w:t>“</w:t>
            </w:r>
            <w:r>
              <w:rPr>
                <w:rFonts w:ascii="宋体" w:hAnsi="宋体" w:cs="宋体" w:eastAsia="宋体" w:hint="default"/>
                <w:sz w:val="18"/>
                <w:szCs w:val="18"/>
              </w:rPr>
              <w:t>小产品、大服务</w:t>
            </w:r>
            <w:r>
              <w:rPr>
                <w:rFonts w:ascii="Times New Roman" w:hAnsi="Times New Roman" w:cs="Times New Roman" w:eastAsia="Times New Roman" w:hint="default"/>
                <w:sz w:val="18"/>
                <w:szCs w:val="18"/>
              </w:rPr>
              <w:t>”</w:t>
            </w:r>
            <w:r>
              <w:rPr>
                <w:rFonts w:ascii="宋体" w:hAnsi="宋体" w:cs="宋体" w:eastAsia="宋体" w:hint="default"/>
                <w:sz w:val="18"/>
                <w:szCs w:val="18"/>
              </w:rPr>
              <w:t>的战略方向推进，研发和销售从过去的产品形态向 互联网服务转变，目前虽有客户开始逐渐转向购买服务，但数据服务和互联网信息服务都尚处 在市场培育阶段，市场对新生的商业形式和服务模式的认可需要一定的适应过程，在短期内尚 未能实现规模效益，因此短期内将对公司的网络信息安全产品项目收益造成一定的影响。公司 通过与各子公司之间业务、渠道、研发等资源进行协调，促进了这块业务的集团整体效益的提 </w:t>
            </w:r>
            <w:r>
              <w:rPr>
                <w:rFonts w:ascii="宋体" w:hAnsi="宋体" w:cs="宋体" w:eastAsia="宋体" w:hint="default"/>
                <w:spacing w:val="-3"/>
                <w:sz w:val="18"/>
                <w:szCs w:val="18"/>
              </w:rPr>
              <w:t>升，降低了该影响。（</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）超募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公证云项目效益未达到预期主要原因是：</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）从市场推广上说，</w:t>
            </w:r>
            <w:r>
              <w:rPr>
                <w:rFonts w:ascii="宋体" w:hAnsi="宋体" w:cs="宋体" w:eastAsia="宋体" w:hint="default"/>
                <w:spacing w:val="-51"/>
                <w:sz w:val="18"/>
                <w:szCs w:val="18"/>
              </w:rPr>
              <w:t> </w:t>
            </w:r>
            <w:r>
              <w:rPr>
                <w:rFonts w:ascii="宋体" w:hAnsi="宋体" w:cs="宋体" w:eastAsia="宋体" w:hint="default"/>
                <w:sz w:val="18"/>
                <w:szCs w:val="18"/>
              </w:rPr>
              <w:t>电子数据取证、存证、出证的一站式服务属于市场细分领域，尚处于市场培育初期，对相关政 府执法部门以及社会公众，关于电子证据防范意识的教育还在持续进行中，需要不断投入市场 推广和宣传，才能让用户完成意识上认知到使用行为习惯的养成这一较为漫长的过程。可喜的 是，该过程的投入已经开始看到一些成果，</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日，国务院办公厅发布的《推行行政 </w:t>
            </w:r>
            <w:r>
              <w:rPr>
                <w:rFonts w:ascii="宋体" w:hAnsi="宋体" w:cs="宋体" w:eastAsia="宋体" w:hint="default"/>
                <w:spacing w:val="-3"/>
                <w:sz w:val="18"/>
                <w:szCs w:val="18"/>
              </w:rPr>
              <w:t>执法公示制度执法全过程记录制度重大执法决定法制审核制度试点工作方案》，推动了行政执法</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部门对电子数据存证的重要性的认识；多地金融主管部门对于网贷平台电子合同存证的要求， 也在一定程度上促进了电子数据存证在一些行业的普及。</w:t>
            </w:r>
            <w:r>
              <w:rPr>
                <w:rFonts w:ascii="Times New Roman" w:hAnsi="Times New Roman" w:cs="Times New Roman" w:eastAsia="Times New Roman" w:hint="default"/>
                <w:sz w:val="18"/>
                <w:szCs w:val="18"/>
              </w:rPr>
              <w:t>2</w:t>
            </w:r>
            <w:r>
              <w:rPr>
                <w:rFonts w:ascii="宋体" w:hAnsi="宋体" w:cs="宋体" w:eastAsia="宋体" w:hint="default"/>
                <w:sz w:val="18"/>
                <w:szCs w:val="18"/>
              </w:rPr>
              <w:t>）电子合同在线签约存证已经成为存 证云收入的一项主要来源，该功能主要面向企业用户销售，但由于平均客单价不高，需要用户 数量累积到一定程度才能体现较大规模收益，此外激烈的市场竞争、低价竞争也是制约该服务 迅速扩大销售业绩的一个主要因素。</w:t>
            </w:r>
          </w:p>
        </w:tc>
      </w:tr>
      <w:tr>
        <w:trPr>
          <w:trHeight w:val="714" w:hRule="exact"/>
        </w:trPr>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超募资金的金额、用途 及使用进展情况</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2" w:hRule="exact"/>
        </w:trPr>
        <w:tc>
          <w:tcPr>
            <w:tcW w:w="1984" w:type="dxa"/>
            <w:vMerge/>
            <w:tcBorders>
              <w:left w:val="single" w:sz="4" w:space="0" w:color="000000"/>
              <w:bottom w:val="single" w:sz="4" w:space="0" w:color="000000"/>
              <w:right w:val="single" w:sz="4" w:space="0" w:color="000000"/>
            </w:tcBorders>
            <w:shd w:val="clear" w:color="auto" w:fill="D3D3D3"/>
          </w:tcPr>
          <w:p>
            <w:pP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9"/>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 为合理利用好超募资金，公司制定了超募资金使用计 划：①使用超募资金人民币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1,363.15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万元投资建设电子数据公证云项目；②使用超募资金人民</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3,012.49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万元追加投资建设超算中心（云计算中心）项目；③使用超募资金人民币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16,468.61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万元购买大楼用于建设研发生产中心项目，该项目经公司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年度股东大会审议通过，目前大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楼已交房。④永久性补充流动资金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万元，该议案经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年度股东大会审议通过后实施，</w:t>
            </w:r>
          </w:p>
          <w:p>
            <w:pPr>
              <w:pStyle w:val="TableParagraph"/>
              <w:spacing w:line="307" w:lineRule="auto" w:before="63"/>
              <w:ind w:left="23" w:right="33"/>
              <w:jc w:val="left"/>
              <w:rPr>
                <w:rFonts w:ascii="宋体" w:hAnsi="宋体" w:cs="宋体" w:eastAsia="宋体" w:hint="default"/>
                <w:sz w:val="18"/>
                <w:szCs w:val="18"/>
              </w:rPr>
            </w:pPr>
            <w:r>
              <w:rPr>
                <w:rFonts w:ascii="宋体" w:hAnsi="宋体" w:cs="宋体" w:eastAsia="宋体" w:hint="default"/>
                <w:sz w:val="18"/>
                <w:szCs w:val="18"/>
              </w:rPr>
              <w:t>目前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万元超募资金已补充为流动资金。⑤使用超募资金人民币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万元，收购珠海新德 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股权，该项目已完成工商变更登记手续。二、</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日公司召开第二届董 事会第二十二次（临时）会议 审议通过《关于对深圳市中新赛克科技股份有限公司进行增资的 议案》公司使用剩余超募资金及利息，部分自有资金合计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4,898.135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万元对中新赛克进行溢价增</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z w:val="18"/>
                <w:szCs w:val="18"/>
              </w:rPr>
              <w:t>资，增资完成后，公司持有中新赛克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w:t>
            </w:r>
            <w:r>
              <w:rPr>
                <w:rFonts w:ascii="宋体" w:hAnsi="宋体" w:cs="宋体" w:eastAsia="宋体" w:hint="default"/>
                <w:sz w:val="18"/>
                <w:szCs w:val="18"/>
              </w:rPr>
              <w:t>股权。截止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日公司已使用超募资金</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及利息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4072.283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2065.34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825.852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元支付中新赛克增资款。</w:t>
            </w:r>
          </w:p>
        </w:tc>
      </w:tr>
      <w:tr>
        <w:trPr>
          <w:trHeight w:val="714" w:hRule="exact"/>
        </w:trPr>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6" w:lineRule="auto"/>
              <w:ind w:left="22" w:right="149"/>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0" w:hRule="exact"/>
        </w:trPr>
        <w:tc>
          <w:tcPr>
            <w:tcW w:w="1984" w:type="dxa"/>
            <w:vMerge/>
            <w:tcBorders>
              <w:left w:val="single" w:sz="4" w:space="0" w:color="000000"/>
              <w:bottom w:val="single" w:sz="4" w:space="0" w:color="000000"/>
              <w:right w:val="single" w:sz="4" w:space="0" w:color="000000"/>
            </w:tcBorders>
            <w:shd w:val="clear" w:color="auto" w:fill="D3D3D3"/>
          </w:tcPr>
          <w:p>
            <w:pP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8"/>
              <w:jc w:val="left"/>
              <w:rPr>
                <w:rFonts w:ascii="宋体" w:hAnsi="宋体" w:cs="宋体" w:eastAsia="宋体" w:hint="default"/>
                <w:sz w:val="18"/>
                <w:szCs w:val="18"/>
              </w:rPr>
            </w:pPr>
            <w:r>
              <w:rPr>
                <w:rFonts w:ascii="宋体" w:hAnsi="宋体" w:cs="宋体" w:eastAsia="宋体" w:hint="default"/>
                <w:sz w:val="18"/>
                <w:szCs w:val="18"/>
              </w:rPr>
              <w:t>在首次公开发行股票募集资金到位之前，为保障募集资金投资项目的顺利进行，公司已使用自 筹资金投入部分募集资金投资项目的前期建设。截至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日止，公司以自筹资金预</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先投入募投项目累计金额为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64,759,485.59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元，其中向中国工商银行股份有限公司厦门东区支行</w:t>
            </w:r>
          </w:p>
          <w:p>
            <w:pPr>
              <w:pStyle w:val="TableParagraph"/>
              <w:spacing w:line="300" w:lineRule="auto" w:before="63"/>
              <w:ind w:left="23" w:right="123"/>
              <w:jc w:val="left"/>
              <w:rPr>
                <w:rFonts w:ascii="宋体" w:hAnsi="宋体" w:cs="宋体" w:eastAsia="宋体" w:hint="default"/>
                <w:sz w:val="18"/>
                <w:szCs w:val="18"/>
              </w:rPr>
            </w:pPr>
            <w:r>
              <w:rPr>
                <w:rFonts w:ascii="宋体" w:hAnsi="宋体" w:cs="宋体" w:eastAsia="宋体" w:hint="default"/>
                <w:sz w:val="18"/>
                <w:szCs w:val="18"/>
              </w:rPr>
              <w:t>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万元，其余为公司自有资金。为提高资金利用率，降低财务成本，公司第一届董事 会第十二次会议审议通过了《关于使用募集资金置换公司预先已投入募集资金投资项目的自筹</w:t>
            </w:r>
          </w:p>
        </w:tc>
      </w:tr>
    </w:tbl>
    <w:p>
      <w:pPr>
        <w:spacing w:after="0" w:line="30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984"/>
        <w:gridCol w:w="7583"/>
      </w:tblGrid>
      <w:tr>
        <w:trPr>
          <w:trHeight w:val="2546" w:hRule="exact"/>
        </w:trPr>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35"/>
              <w:jc w:val="left"/>
              <w:rPr>
                <w:rFonts w:ascii="宋体" w:hAnsi="宋体" w:cs="宋体" w:eastAsia="宋体" w:hint="default"/>
                <w:sz w:val="18"/>
                <w:szCs w:val="18"/>
              </w:rPr>
            </w:pPr>
            <w:r>
              <w:rPr>
                <w:rFonts w:ascii="宋体" w:hAnsi="宋体" w:cs="宋体" w:eastAsia="宋体" w:hint="default"/>
                <w:sz w:val="18"/>
                <w:szCs w:val="18"/>
              </w:rPr>
              <w:t>资金》的议案，拟置换人民币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64,759,485.59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元。天健正信会计师事务所有限公司对公司前期以 自筹资金投入募集资金投资项目的情况进行了专项审核，并出具了天健正信审（</w:t>
            </w:r>
            <w:r>
              <w:rPr>
                <w:rFonts w:ascii="Times New Roman" w:hAnsi="Times New Roman" w:cs="Times New Roman" w:eastAsia="Times New Roman" w:hint="default"/>
                <w:sz w:val="18"/>
                <w:szCs w:val="18"/>
              </w:rPr>
              <w:t>2011</w:t>
            </w:r>
            <w:r>
              <w:rPr>
                <w:rFonts w:ascii="宋体" w:hAnsi="宋体" w:cs="宋体" w:eastAsia="宋体" w:hint="default"/>
                <w:sz w:val="18"/>
                <w:szCs w:val="18"/>
              </w:rPr>
              <w:t>）专字第 </w:t>
            </w:r>
            <w:r>
              <w:rPr>
                <w:rFonts w:ascii="Times New Roman" w:hAnsi="Times New Roman" w:cs="Times New Roman" w:eastAsia="Times New Roman" w:hint="default"/>
                <w:sz w:val="18"/>
                <w:szCs w:val="18"/>
              </w:rPr>
              <w:t>020621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号《关于厦门市美亚柏科信息股份有限公司以自筹资金预先投入募投项目的鉴证报告》。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监事会和独立董事发表了同意意见，履行了必要的审批程序。保荐机构国信证券股份有限公司 进行了核查，对公司本次以募集资金置换预先已投入募集资金投资项目的自筹资金事项发表无 异议核查意见。以上事项公司已于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日在深圳证券交易所进行公告。截止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02" w:lineRule="auto" w:before="7"/>
              <w:ind w:left="23" w:right="35"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日，公司已办理完募集资金置换手续。除此之外，截至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日，公司没有发 生使用募集资金置换先期投入的情况。</w:t>
            </w:r>
          </w:p>
        </w:tc>
      </w:tr>
      <w:tr>
        <w:trPr>
          <w:trHeight w:val="714" w:hRule="exact"/>
        </w:trPr>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149"/>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2" w:hRule="exact"/>
        </w:trPr>
        <w:tc>
          <w:tcPr>
            <w:tcW w:w="1984" w:type="dxa"/>
            <w:vMerge/>
            <w:tcBorders>
              <w:left w:val="single" w:sz="4" w:space="0" w:color="000000"/>
              <w:bottom w:val="single" w:sz="4" w:space="0" w:color="000000"/>
              <w:right w:val="single" w:sz="4" w:space="0" w:color="000000"/>
            </w:tcBorders>
            <w:shd w:val="clear" w:color="auto" w:fill="D3D3D3"/>
          </w:tcPr>
          <w:p>
            <w:pP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9"/>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日电子数据取证产品项目、网络信息安全产品项目，超募资金投资电子数 据公证云项目均已达到预定可使用状态，公司对上述三个项目实施结项；三个项目承诺投资总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14648.06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万元，项目累计投入资金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14500.45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万元（不含利息收</w:t>
            </w:r>
          </w:p>
          <w:p>
            <w:pPr>
              <w:pStyle w:val="TableParagraph"/>
              <w:spacing w:line="309" w:lineRule="auto" w:before="5"/>
              <w:ind w:left="23" w:right="33"/>
              <w:jc w:val="left"/>
              <w:rPr>
                <w:rFonts w:ascii="宋体" w:hAnsi="宋体" w:cs="宋体" w:eastAsia="宋体" w:hint="default"/>
                <w:sz w:val="18"/>
                <w:szCs w:val="18"/>
              </w:rPr>
            </w:pPr>
            <w:r>
              <w:rPr>
                <w:rFonts w:ascii="宋体" w:hAnsi="宋体" w:cs="宋体" w:eastAsia="宋体" w:hint="default"/>
                <w:spacing w:val="-5"/>
                <w:sz w:val="18"/>
                <w:szCs w:val="18"/>
              </w:rPr>
              <w:t>入），其中：电子数据取证产品项目节余资金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53.67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万元；网络信息安全产品项目结余资金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32.87 </w:t>
            </w:r>
            <w:r>
              <w:rPr>
                <w:rFonts w:ascii="宋体" w:hAnsi="宋体" w:cs="宋体" w:eastAsia="宋体" w:hint="default"/>
                <w:sz w:val="18"/>
                <w:szCs w:val="18"/>
              </w:rPr>
              <w:t>万元；电子数据公证云项目节余资金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万元；结余金额占承诺投资募集资金的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宋体" w:hAnsi="宋体" w:cs="宋体" w:eastAsia="宋体" w:hint="default"/>
                <w:sz w:val="18"/>
                <w:szCs w:val="18"/>
              </w:rPr>
              <w:t>，不存 在重大差异。上述三个项目募集资金结余主要原因为公司充分结合自身的技术优势、经验及现 有的设备配置，在资源充分利用的前提下，对项目环节进行优化，减少了部分设备采购。截止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日公司已办理完上述三个项目结余资金及利息永久补充公司流动资金，并注销相</w:t>
            </w:r>
          </w:p>
          <w:p>
            <w:pPr>
              <w:pStyle w:val="TableParagraph"/>
              <w:spacing w:line="309" w:lineRule="auto" w:before="5"/>
              <w:ind w:left="23" w:right="63"/>
              <w:jc w:val="left"/>
              <w:rPr>
                <w:rFonts w:ascii="宋体" w:hAnsi="宋体" w:cs="宋体" w:eastAsia="宋体" w:hint="default"/>
                <w:sz w:val="18"/>
                <w:szCs w:val="18"/>
              </w:rPr>
            </w:pPr>
            <w:r>
              <w:rPr>
                <w:rFonts w:ascii="宋体" w:hAnsi="宋体" w:cs="宋体" w:eastAsia="宋体" w:hint="default"/>
                <w:sz w:val="18"/>
                <w:szCs w:val="18"/>
              </w:rPr>
              <w:t>关募集资金专项账户手续。截止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日电子数据鉴定及互联网知识产权保护等服务 项目、超募资金追加投资超算中心（云计算）项目已达预定可使用状态，公司拟对这两个项目 实施结项，两个项目承诺投资总额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6,472.44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万元，项目累计投入资金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6,162.21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万元，结余募集 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万元，结余金额占承诺投资募集资金的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w:t>
            </w:r>
            <w:r>
              <w:rPr>
                <w:rFonts w:ascii="宋体" w:hAnsi="宋体" w:cs="宋体" w:eastAsia="宋体" w:hint="default"/>
                <w:sz w:val="18"/>
                <w:szCs w:val="18"/>
              </w:rPr>
              <w:t>，实际投入金额与计划投入金额不存 在重大差异。电子数据鉴定及互联网知识产权保护等服务项目结余金额占承诺投资募集资金的 </w:t>
            </w:r>
            <w:r>
              <w:rPr>
                <w:rFonts w:ascii="Times New Roman" w:hAnsi="Times New Roman" w:cs="Times New Roman" w:eastAsia="Times New Roman" w:hint="default"/>
                <w:sz w:val="18"/>
                <w:szCs w:val="18"/>
              </w:rPr>
              <w:t>1.75%</w:t>
            </w:r>
            <w:r>
              <w:rPr>
                <w:rFonts w:ascii="宋体" w:hAnsi="宋体" w:cs="宋体" w:eastAsia="宋体" w:hint="default"/>
                <w:sz w:val="18"/>
                <w:szCs w:val="18"/>
              </w:rPr>
              <w:t>不存在重大差异。结余主要原因是由于公司充分结合自身的技术优势，经验及现有的设备 配置，在资源充分利用的前提下，对项目环节进行优化，减少了部分设备采购。超募资金追加 投资超算中心（云计算）项目结余主要原因是由于北方机房是固有机房，合作单位在线路接入 方面无法实现我们的要求，公司通过技术发展以及产品的架构优化，在厦门主机房内实现相关 目标，缩小了北方机房的投入。公司对项目建设前期和过程严格控制，加上自主建设节省了资 金投入，结余了项目预备费。公司第二届董事会第二十次会议决议同意将上述两个项目结余募 集资金及利息，转入超募资金账户管理。截止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日公司已办理完上述两个项目结 余资金及利息转入超募资金账户管理。</w:t>
            </w:r>
          </w:p>
        </w:tc>
      </w:tr>
      <w:tr>
        <w:trPr>
          <w:trHeight w:val="714" w:hRule="exact"/>
        </w:trPr>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将主要用于已列入使用计划，但尚未支付的研发大楼相关税费。</w:t>
            </w:r>
          </w:p>
        </w:tc>
      </w:tr>
      <w:tr>
        <w:trPr>
          <w:trHeight w:val="714" w:hRule="exact"/>
        </w:trPr>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849" w:space="4070"/>
            <w:col w:w="1031"/>
          </w:cols>
        </w:sectPr>
      </w:pP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700"/>
        <w:gridCol w:w="851"/>
        <w:gridCol w:w="1985"/>
        <w:gridCol w:w="851"/>
        <w:gridCol w:w="850"/>
        <w:gridCol w:w="851"/>
        <w:gridCol w:w="851"/>
        <w:gridCol w:w="851"/>
        <w:gridCol w:w="778"/>
      </w:tblGrid>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厦门市美亚柏科信息 安全研究所有限公司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电子数据鉴定技术、服 务流程、标准的研究</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50,512,21</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8.29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24,344,37</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34,143,15</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2.23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11,961,73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0.10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10,594,29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7.97</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珠海市新德汇信息技 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公安信息技术及应用软 件的研发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323,222,5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64.59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173,707,7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15.75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264,160,7</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39.19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59,752,02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4.37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51,841,79</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9.28</w:t>
            </w:r>
          </w:p>
        </w:tc>
      </w:tr>
      <w:tr>
        <w:trPr>
          <w:trHeight w:val="10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厦门服云信息科技有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服务器安全、网站安全 产品研发、服务推广</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12,862,50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42,506,77</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6.49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5,661,106.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23,771,59</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4.87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105" w:right="19" w:firstLine="652"/>
              <w:jc w:val="left"/>
              <w:rPr>
                <w:rFonts w:ascii="Times New Roman" w:hAnsi="Times New Roman" w:cs="Times New Roman" w:eastAsia="Times New Roman" w:hint="default"/>
                <w:sz w:val="18"/>
                <w:szCs w:val="18"/>
              </w:rPr>
            </w:pPr>
            <w:r>
              <w:rPr>
                <w:rFonts w:ascii="Times New Roman"/>
                <w:sz w:val="18"/>
              </w:rPr>
              <w:t>- 11,082,43</w:t>
            </w:r>
          </w:p>
          <w:p>
            <w:pPr>
              <w:pStyle w:val="TableParagraph"/>
              <w:spacing w:line="240" w:lineRule="auto" w:before="6"/>
              <w:ind w:left="503" w:right="0"/>
              <w:jc w:val="left"/>
              <w:rPr>
                <w:rFonts w:ascii="Times New Roman" w:hAnsi="Times New Roman" w:cs="Times New Roman" w:eastAsia="Times New Roman" w:hint="default"/>
                <w:sz w:val="18"/>
                <w:szCs w:val="18"/>
              </w:rPr>
            </w:pPr>
            <w:r>
              <w:rPr>
                <w:rFonts w:ascii="Times New Roman"/>
                <w:sz w:val="18"/>
              </w:rPr>
              <w:t>5.54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5" w:right="19" w:firstLine="660"/>
              <w:jc w:val="left"/>
              <w:rPr>
                <w:rFonts w:ascii="Times New Roman" w:hAnsi="Times New Roman" w:cs="Times New Roman" w:eastAsia="Times New Roman" w:hint="default"/>
                <w:sz w:val="18"/>
                <w:szCs w:val="18"/>
              </w:rPr>
            </w:pPr>
            <w:r>
              <w:rPr>
                <w:rFonts w:ascii="Times New Roman"/>
                <w:sz w:val="18"/>
              </w:rPr>
              <w:t>- 10,057,59</w:t>
            </w:r>
          </w:p>
          <w:p>
            <w:pPr>
              <w:pStyle w:val="TableParagraph"/>
              <w:spacing w:line="240" w:lineRule="auto" w:before="6"/>
              <w:ind w:left="430" w:right="0"/>
              <w:jc w:val="left"/>
              <w:rPr>
                <w:rFonts w:ascii="Times New Roman" w:hAnsi="Times New Roman" w:cs="Times New Roman" w:eastAsia="Times New Roman" w:hint="default"/>
                <w:sz w:val="18"/>
                <w:szCs w:val="18"/>
              </w:rPr>
            </w:pPr>
            <w:r>
              <w:rPr>
                <w:rFonts w:ascii="Times New Roman"/>
                <w:sz w:val="18"/>
              </w:rPr>
              <w:t>3.82</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厦门美亚中敏科技有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电子产品、电子元器件 的研发、生产和销售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30,018,80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76,284,95</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2.16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28,778,92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191,186,6</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14.85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2,165,855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r>
      <w:tr>
        <w:trPr>
          <w:trHeight w:val="133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7"/>
              <w:jc w:val="left"/>
              <w:rPr>
                <w:rFonts w:ascii="宋体" w:hAnsi="宋体" w:cs="宋体" w:eastAsia="宋体" w:hint="default"/>
                <w:sz w:val="18"/>
                <w:szCs w:val="18"/>
              </w:rPr>
            </w:pPr>
            <w:r>
              <w:rPr>
                <w:rFonts w:ascii="宋体" w:hAnsi="宋体" w:cs="宋体" w:eastAsia="宋体" w:hint="default"/>
                <w:sz w:val="18"/>
                <w:szCs w:val="18"/>
              </w:rPr>
              <w:t>香港鼎永泰克科技有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文检</w:t>
            </w:r>
            <w:r>
              <w:rPr>
                <w:rFonts w:ascii="Times New Roman" w:hAnsi="Times New Roman" w:cs="Times New Roman" w:eastAsia="Times New Roman" w:hint="default"/>
                <w:sz w:val="18"/>
                <w:szCs w:val="18"/>
              </w:rPr>
              <w:t>/</w:t>
            </w:r>
            <w:r>
              <w:rPr>
                <w:rFonts w:ascii="宋体" w:hAnsi="宋体" w:cs="宋体" w:eastAsia="宋体" w:hint="default"/>
                <w:sz w:val="18"/>
                <w:szCs w:val="18"/>
              </w:rPr>
              <w:t>视听、光学检测、 理化、痕迹物证、法医 病理、</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检测等警用 装备的进出口销售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3,465,264.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2,218,696.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210,095.5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0" w:lineRule="auto"/>
              <w:ind w:left="98" w:right="19" w:firstLine="660"/>
              <w:jc w:val="right"/>
              <w:rPr>
                <w:rFonts w:ascii="Times New Roman" w:hAnsi="Times New Roman" w:cs="Times New Roman" w:eastAsia="Times New Roman" w:hint="default"/>
                <w:sz w:val="18"/>
                <w:szCs w:val="18"/>
              </w:rPr>
            </w:pPr>
            <w:r>
              <w:rPr>
                <w:rFonts w:ascii="Times New Roman"/>
                <w:sz w:val="18"/>
              </w:rPr>
              <w:t>- 218,447.2</w:t>
            </w:r>
          </w:p>
          <w:p>
            <w:pPr>
              <w:pStyle w:val="TableParagraph"/>
              <w:spacing w:line="240" w:lineRule="auto" w:before="6"/>
              <w:ind w:right="20"/>
              <w:jc w:val="right"/>
              <w:rPr>
                <w:rFonts w:ascii="Times New Roman" w:hAnsi="Times New Roman" w:cs="Times New Roman" w:eastAsia="Times New Roman" w:hint="default"/>
                <w:sz w:val="18"/>
                <w:szCs w:val="18"/>
              </w:rPr>
            </w:pPr>
            <w:r>
              <w:rPr>
                <w:rFonts w:ascii="Times New Roman"/>
                <w:sz w:val="18"/>
              </w:rPr>
              <w:t>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0" w:lineRule="auto"/>
              <w:ind w:left="25" w:right="19" w:firstLine="660"/>
              <w:jc w:val="right"/>
              <w:rPr>
                <w:rFonts w:ascii="Times New Roman" w:hAnsi="Times New Roman" w:cs="Times New Roman" w:eastAsia="Times New Roman" w:hint="default"/>
                <w:sz w:val="18"/>
                <w:szCs w:val="18"/>
              </w:rPr>
            </w:pPr>
            <w:r>
              <w:rPr>
                <w:rFonts w:ascii="Times New Roman"/>
                <w:sz w:val="18"/>
              </w:rPr>
              <w:t>- 218,447.2</w:t>
            </w:r>
          </w:p>
          <w:p>
            <w:pPr>
              <w:pStyle w:val="TableParagraph"/>
              <w:spacing w:line="240" w:lineRule="auto" w:before="6"/>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江苏税软软件科技有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涉税电子数据分析解决 方案的研究、设计开 发、市场推广等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151,723,0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30.15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133,422,6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33.32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112,412,1</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11.09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54,718,92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47,188,91</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8.45</w:t>
            </w:r>
          </w:p>
        </w:tc>
      </w:tr>
      <w:tr>
        <w:trPr>
          <w:trHeight w:val="358" w:hRule="exact"/>
        </w:trPr>
        <w:tc>
          <w:tcPr>
            <w:tcW w:w="170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智能视频分析技术研究</w:t>
            </w: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以及公共安全行业的海</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170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47"/>
              <w:jc w:val="left"/>
              <w:rPr>
                <w:rFonts w:ascii="宋体" w:hAnsi="宋体" w:cs="宋体" w:eastAsia="宋体" w:hint="default"/>
                <w:sz w:val="18"/>
                <w:szCs w:val="18"/>
              </w:rPr>
            </w:pPr>
            <w:r>
              <w:rPr>
                <w:rFonts w:ascii="宋体" w:hAnsi="宋体" w:cs="宋体" w:eastAsia="宋体" w:hint="default"/>
                <w:sz w:val="18"/>
                <w:szCs w:val="18"/>
              </w:rPr>
              <w:t>武汉大千信息技术有 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0"/>
              <w:jc w:val="left"/>
              <w:rPr>
                <w:rFonts w:ascii="宋体" w:hAnsi="宋体" w:cs="宋体" w:eastAsia="宋体" w:hint="default"/>
                <w:sz w:val="18"/>
                <w:szCs w:val="18"/>
              </w:rPr>
            </w:pPr>
            <w:r>
              <w:rPr>
                <w:rFonts w:ascii="宋体" w:hAnsi="宋体" w:cs="宋体" w:eastAsia="宋体" w:hint="default"/>
                <w:sz w:val="18"/>
                <w:szCs w:val="18"/>
              </w:rPr>
              <w:t>量图像与视频的检索、 分析、研判和侦查等技</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12,380,00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7" w:right="0"/>
              <w:jc w:val="left"/>
              <w:rPr>
                <w:rFonts w:ascii="Times New Roman" w:hAnsi="Times New Roman" w:cs="Times New Roman" w:eastAsia="Times New Roman" w:hint="default"/>
                <w:sz w:val="18"/>
                <w:szCs w:val="18"/>
              </w:rPr>
            </w:pPr>
            <w:r>
              <w:rPr>
                <w:rFonts w:ascii="Times New Roman"/>
                <w:sz w:val="18"/>
              </w:rPr>
              <w:t>27,020,98</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9.42</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8" w:right="0"/>
              <w:jc w:val="left"/>
              <w:rPr>
                <w:rFonts w:ascii="Times New Roman" w:hAnsi="Times New Roman" w:cs="Times New Roman" w:eastAsia="Times New Roman" w:hint="default"/>
                <w:sz w:val="18"/>
                <w:szCs w:val="18"/>
              </w:rPr>
            </w:pPr>
            <w:r>
              <w:rPr>
                <w:rFonts w:ascii="Times New Roman"/>
                <w:sz w:val="18"/>
              </w:rPr>
              <w:t>19,576,92</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3.99</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7" w:right="0"/>
              <w:jc w:val="left"/>
              <w:rPr>
                <w:rFonts w:ascii="Times New Roman" w:hAnsi="Times New Roman" w:cs="Times New Roman" w:eastAsia="Times New Roman" w:hint="default"/>
                <w:sz w:val="18"/>
                <w:szCs w:val="18"/>
              </w:rPr>
            </w:pPr>
            <w:r>
              <w:rPr>
                <w:rFonts w:ascii="Times New Roman"/>
                <w:sz w:val="18"/>
              </w:rPr>
              <w:t>14,185,24</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7.43</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218,099.1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829,865.1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308" w:hRule="exact"/>
        </w:trPr>
        <w:tc>
          <w:tcPr>
            <w:tcW w:w="170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术领域的产品设备的研</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发和服务</w:t>
            </w: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厦门安胜网络科技有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提供网络安全防护和软 件安全性检测服务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79,321,68</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8.42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26,387,40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98,838,58</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9.95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11,965,40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7.68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12,205,10</w:t>
            </w:r>
          </w:p>
          <w:p>
            <w:pPr>
              <w:pStyle w:val="TableParagraph"/>
              <w:spacing w:line="240" w:lineRule="auto" w:before="105"/>
              <w:ind w:left="430" w:right="0"/>
              <w:jc w:val="left"/>
              <w:rPr>
                <w:rFonts w:ascii="Times New Roman" w:hAnsi="Times New Roman" w:cs="Times New Roman" w:eastAsia="Times New Roman" w:hint="default"/>
                <w:sz w:val="18"/>
                <w:szCs w:val="18"/>
              </w:rPr>
            </w:pPr>
            <w:r>
              <w:rPr>
                <w:rFonts w:ascii="Times New Roman"/>
                <w:sz w:val="18"/>
              </w:rPr>
              <w:t>5.36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700"/>
        <w:gridCol w:w="851"/>
        <w:gridCol w:w="1985"/>
        <w:gridCol w:w="851"/>
        <w:gridCol w:w="850"/>
        <w:gridCol w:w="851"/>
        <w:gridCol w:w="851"/>
        <w:gridCol w:w="851"/>
        <w:gridCol w:w="778"/>
      </w:tblGrid>
      <w:tr>
        <w:trPr>
          <w:trHeight w:val="10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北京美亚宏数科技有 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政务大数据业务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16,500,00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6,040,079.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3" w:right="20" w:firstLine="704"/>
              <w:jc w:val="righ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1,041,641.</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5,584,727.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8" w:right="19" w:firstLine="660"/>
              <w:jc w:val="left"/>
              <w:rPr>
                <w:rFonts w:ascii="Times New Roman" w:hAnsi="Times New Roman" w:cs="Times New Roman" w:eastAsia="Times New Roman" w:hint="default"/>
                <w:sz w:val="18"/>
                <w:szCs w:val="18"/>
              </w:rPr>
            </w:pPr>
            <w:r>
              <w:rPr>
                <w:rFonts w:ascii="Times New Roman"/>
                <w:sz w:val="18"/>
              </w:rPr>
              <w:t>- 15,038,92</w:t>
            </w:r>
          </w:p>
          <w:p>
            <w:pPr>
              <w:pStyle w:val="TableParagraph"/>
              <w:spacing w:line="240" w:lineRule="auto" w:before="4"/>
              <w:ind w:left="503" w:right="0"/>
              <w:jc w:val="left"/>
              <w:rPr>
                <w:rFonts w:ascii="Times New Roman" w:hAnsi="Times New Roman" w:cs="Times New Roman" w:eastAsia="Times New Roman" w:hint="default"/>
                <w:sz w:val="18"/>
                <w:szCs w:val="18"/>
              </w:rPr>
            </w:pPr>
            <w:r>
              <w:rPr>
                <w:rFonts w:ascii="Times New Roman"/>
                <w:sz w:val="18"/>
              </w:rPr>
              <w:t>6.35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5" w:right="19" w:firstLine="660"/>
              <w:jc w:val="left"/>
              <w:rPr>
                <w:rFonts w:ascii="Times New Roman" w:hAnsi="Times New Roman" w:cs="Times New Roman" w:eastAsia="Times New Roman" w:hint="default"/>
                <w:sz w:val="18"/>
                <w:szCs w:val="18"/>
              </w:rPr>
            </w:pPr>
            <w:r>
              <w:rPr>
                <w:rFonts w:ascii="Times New Roman"/>
                <w:sz w:val="18"/>
              </w:rPr>
              <w:t>- 17,619,75</w:t>
            </w:r>
          </w:p>
          <w:p>
            <w:pPr>
              <w:pStyle w:val="TableParagraph"/>
              <w:spacing w:line="240" w:lineRule="auto" w:before="4"/>
              <w:ind w:left="430" w:right="0"/>
              <w:jc w:val="left"/>
              <w:rPr>
                <w:rFonts w:ascii="Times New Roman" w:hAnsi="Times New Roman" w:cs="Times New Roman" w:eastAsia="Times New Roman" w:hint="default"/>
                <w:sz w:val="18"/>
                <w:szCs w:val="18"/>
              </w:rPr>
            </w:pPr>
            <w:r>
              <w:rPr>
                <w:rFonts w:ascii="Times New Roman"/>
                <w:sz w:val="18"/>
              </w:rPr>
              <w:t>2.65</w:t>
            </w:r>
          </w:p>
        </w:tc>
      </w:tr>
      <w:tr>
        <w:trPr>
          <w:trHeight w:val="10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北京美亚智讯信息技 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社科大数据应用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6,550,000.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3,020,676.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8" w:right="19" w:firstLine="660"/>
              <w:jc w:val="right"/>
              <w:rPr>
                <w:rFonts w:ascii="Times New Roman" w:hAnsi="Times New Roman" w:cs="Times New Roman" w:eastAsia="Times New Roman" w:hint="default"/>
                <w:sz w:val="18"/>
                <w:szCs w:val="18"/>
              </w:rPr>
            </w:pPr>
            <w:r>
              <w:rPr>
                <w:rFonts w:ascii="Times New Roman"/>
                <w:sz w:val="18"/>
              </w:rPr>
              <w:t>- 277,202.4</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3</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3" w:right="20" w:firstLine="704"/>
              <w:jc w:val="righ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3,971,775.</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40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5" w:right="19" w:firstLine="660"/>
              <w:jc w:val="right"/>
              <w:rPr>
                <w:rFonts w:ascii="Times New Roman" w:hAnsi="Times New Roman" w:cs="Times New Roman" w:eastAsia="Times New Roman" w:hint="default"/>
                <w:sz w:val="18"/>
                <w:szCs w:val="18"/>
              </w:rPr>
            </w:pPr>
            <w:r>
              <w:rPr>
                <w:rFonts w:ascii="Times New Roman"/>
                <w:sz w:val="18"/>
              </w:rPr>
              <w:t>- 4,729,265</w:t>
            </w:r>
          </w:p>
          <w:p>
            <w:pPr>
              <w:pStyle w:val="TableParagraph"/>
              <w:spacing w:line="240" w:lineRule="auto" w:before="4"/>
              <w:ind w:right="19"/>
              <w:jc w:val="right"/>
              <w:rPr>
                <w:rFonts w:ascii="Times New Roman" w:hAnsi="Times New Roman" w:cs="Times New Roman" w:eastAsia="Times New Roman" w:hint="default"/>
                <w:sz w:val="18"/>
                <w:szCs w:val="18"/>
              </w:rPr>
            </w:pPr>
            <w:r>
              <w:rPr>
                <w:rFonts w:ascii="Times New Roman"/>
                <w:sz w:val="18"/>
              </w:rPr>
              <w:t>.45</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厦门美亚商鼎信息科 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市监行业信息技术及应 用软件的研发及销售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15,445,42</w:t>
            </w:r>
          </w:p>
          <w:p>
            <w:pPr>
              <w:pStyle w:val="TableParagraph"/>
              <w:spacing w:line="240" w:lineRule="auto" w:before="106"/>
              <w:ind w:left="508" w:right="0"/>
              <w:jc w:val="left"/>
              <w:rPr>
                <w:rFonts w:ascii="Times New Roman" w:hAnsi="Times New Roman" w:cs="Times New Roman" w:eastAsia="Times New Roman" w:hint="default"/>
                <w:sz w:val="18"/>
                <w:szCs w:val="18"/>
              </w:rPr>
            </w:pPr>
            <w:r>
              <w:rPr>
                <w:rFonts w:ascii="Times New Roman"/>
                <w:sz w:val="18"/>
              </w:rPr>
              <w:t>8.11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10,574,64</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0.57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15,496,51</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2.71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1,012,242.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1,212,798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r>
      <w:tr>
        <w:trPr>
          <w:trHeight w:val="10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厦门市巨龙信息科技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司法机关及行政执法部 门信息化系统研发及销 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22,186,66</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118,073,8</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33.10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62,802,20</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7.79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120,410,3</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z w:val="18"/>
              </w:rPr>
              <w:t>56.53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5,241,347.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13,221,73</w:t>
            </w:r>
          </w:p>
          <w:p>
            <w:pPr>
              <w:pStyle w:val="TableParagraph"/>
              <w:spacing w:line="240" w:lineRule="auto" w:before="106"/>
              <w:ind w:left="430" w:right="0"/>
              <w:jc w:val="left"/>
              <w:rPr>
                <w:rFonts w:ascii="Times New Roman" w:hAnsi="Times New Roman" w:cs="Times New Roman" w:eastAsia="Times New Roman" w:hint="default"/>
                <w:sz w:val="18"/>
                <w:szCs w:val="18"/>
              </w:rPr>
            </w:pPr>
            <w:r>
              <w:rPr>
                <w:rFonts w:ascii="Times New Roman"/>
                <w:sz w:val="18"/>
              </w:rPr>
              <w:t>7.93</w:t>
            </w:r>
          </w:p>
        </w:tc>
      </w:tr>
      <w:tr>
        <w:trPr>
          <w:trHeight w:val="363" w:hRule="exact"/>
        </w:trPr>
        <w:tc>
          <w:tcPr>
            <w:tcW w:w="170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w:t>
            </w:r>
            <w:r>
              <w:rPr>
                <w:rFonts w:ascii="Times New Roman" w:hAnsi="Times New Roman" w:cs="Times New Roman" w:eastAsia="Times New Roman" w:hint="default"/>
                <w:sz w:val="18"/>
                <w:szCs w:val="18"/>
              </w:rPr>
              <w:t>/</w:t>
            </w:r>
            <w:r>
              <w:rPr>
                <w:rFonts w:ascii="宋体" w:hAnsi="宋体" w:cs="宋体" w:eastAsia="宋体" w:hint="default"/>
                <w:sz w:val="18"/>
                <w:szCs w:val="18"/>
              </w:rPr>
              <w:t>硬件开发、系</w:t>
            </w: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700"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2" w:right="47"/>
              <w:jc w:val="left"/>
              <w:rPr>
                <w:rFonts w:ascii="宋体" w:hAnsi="宋体" w:cs="宋体" w:eastAsia="宋体" w:hint="default"/>
                <w:sz w:val="18"/>
                <w:szCs w:val="18"/>
              </w:rPr>
            </w:pPr>
            <w:r>
              <w:rPr>
                <w:rFonts w:ascii="宋体" w:hAnsi="宋体" w:cs="宋体" w:eastAsia="宋体" w:hint="default"/>
                <w:sz w:val="18"/>
                <w:szCs w:val="18"/>
              </w:rPr>
              <w:t>福建宏创科技有限公 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50"/>
              <w:jc w:val="left"/>
              <w:rPr>
                <w:rFonts w:ascii="宋体" w:hAnsi="宋体" w:cs="宋体" w:eastAsia="宋体" w:hint="default"/>
                <w:sz w:val="18"/>
                <w:szCs w:val="18"/>
              </w:rPr>
            </w:pPr>
            <w:r>
              <w:rPr>
                <w:rFonts w:ascii="宋体" w:hAnsi="宋体" w:cs="宋体" w:eastAsia="宋体" w:hint="default"/>
                <w:sz w:val="18"/>
                <w:szCs w:val="18"/>
              </w:rPr>
              <w:t>统集成及技术服务业 务；研发及代理销售信</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97" w:right="0"/>
              <w:jc w:val="left"/>
              <w:rPr>
                <w:rFonts w:ascii="Times New Roman" w:hAnsi="Times New Roman" w:cs="Times New Roman" w:eastAsia="Times New Roman" w:hint="default"/>
                <w:sz w:val="18"/>
                <w:szCs w:val="18"/>
              </w:rPr>
            </w:pPr>
            <w:r>
              <w:rPr>
                <w:rFonts w:ascii="Times New Roman"/>
                <w:sz w:val="18"/>
              </w:rPr>
              <w:t>13,339,81</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6.04</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7,850,177.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70</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97" w:right="0"/>
              <w:jc w:val="left"/>
              <w:rPr>
                <w:rFonts w:ascii="Times New Roman" w:hAnsi="Times New Roman" w:cs="Times New Roman" w:eastAsia="Times New Roman" w:hint="default"/>
                <w:sz w:val="18"/>
                <w:szCs w:val="18"/>
              </w:rPr>
            </w:pPr>
            <w:r>
              <w:rPr>
                <w:rFonts w:ascii="Times New Roman"/>
                <w:sz w:val="18"/>
              </w:rPr>
              <w:t>47,983,68</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5.06</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2,031,083.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1,907,021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.98</w:t>
            </w:r>
          </w:p>
        </w:tc>
      </w:tr>
      <w:tr>
        <w:trPr>
          <w:trHeight w:val="351" w:hRule="exact"/>
        </w:trPr>
        <w:tc>
          <w:tcPr>
            <w:tcW w:w="170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息安全产品</w:t>
            </w: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杭州攀克网络技术有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生产、加工计算机软硬 件，网络设备，网络安 全系统</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1,272,800.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6,804,330.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4,851,095.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11,315,11</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6.31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1,903,045.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1,427,284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.13</w:t>
            </w:r>
          </w:p>
        </w:tc>
      </w:tr>
      <w:tr>
        <w:trPr>
          <w:trHeight w:val="358" w:hRule="exact"/>
        </w:trPr>
        <w:tc>
          <w:tcPr>
            <w:tcW w:w="170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进出口商品及内销商品</w:t>
            </w: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的生态原产地产品评定</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服务，利用移动互联网</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7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北京万诚信用评价有 限公司</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0"/>
              <w:jc w:val="both"/>
              <w:rPr>
                <w:rFonts w:ascii="宋体" w:hAnsi="宋体" w:cs="宋体" w:eastAsia="宋体" w:hint="default"/>
                <w:sz w:val="18"/>
                <w:szCs w:val="18"/>
              </w:rPr>
            </w:pPr>
            <w:r>
              <w:rPr>
                <w:rFonts w:ascii="宋体" w:hAnsi="宋体" w:cs="宋体" w:eastAsia="宋体" w:hint="default"/>
                <w:sz w:val="18"/>
                <w:szCs w:val="18"/>
              </w:rPr>
              <w:t>和物联网技术为监管机 构、消费者和生产者提 供溯源鉴别的整体服务 和解决方案；为客户提</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5,741,395.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84</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340,160.0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pacing w:val="-1"/>
                <w:sz w:val="18"/>
              </w:rPr>
              <w:t>9,867,875.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60</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62" w:lineRule="auto"/>
              <w:ind w:left="98" w:right="19" w:firstLine="660"/>
              <w:jc w:val="right"/>
              <w:rPr>
                <w:rFonts w:ascii="Times New Roman" w:hAnsi="Times New Roman" w:cs="Times New Roman" w:eastAsia="Times New Roman" w:hint="default"/>
                <w:sz w:val="18"/>
                <w:szCs w:val="18"/>
              </w:rPr>
            </w:pPr>
            <w:r>
              <w:rPr>
                <w:rFonts w:ascii="Times New Roman"/>
                <w:sz w:val="18"/>
              </w:rPr>
              <w:t>- 820,406.4</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4</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62" w:lineRule="auto"/>
              <w:ind w:left="25" w:right="19" w:firstLine="660"/>
              <w:jc w:val="right"/>
              <w:rPr>
                <w:rFonts w:ascii="Times New Roman" w:hAnsi="Times New Roman" w:cs="Times New Roman" w:eastAsia="Times New Roman" w:hint="default"/>
                <w:sz w:val="18"/>
                <w:szCs w:val="18"/>
              </w:rPr>
            </w:pPr>
            <w:r>
              <w:rPr>
                <w:rFonts w:ascii="Times New Roman"/>
                <w:sz w:val="18"/>
              </w:rPr>
              <w:t>- 820,406.4</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4</w:t>
            </w:r>
          </w:p>
        </w:tc>
      </w:tr>
      <w:tr>
        <w:trPr>
          <w:trHeight w:val="312" w:hRule="exact"/>
        </w:trPr>
        <w:tc>
          <w:tcPr>
            <w:tcW w:w="170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供质量信用评级、风险</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管理咨询培训等增值服</w:t>
            </w:r>
          </w:p>
        </w:tc>
        <w:tc>
          <w:tcPr>
            <w:tcW w:w="851"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厦门正信世纪信息科 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网络身份认证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4,263,511.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4,149,848.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8" w:right="19" w:firstLine="660"/>
              <w:jc w:val="right"/>
              <w:rPr>
                <w:rFonts w:ascii="Times New Roman" w:hAnsi="Times New Roman" w:cs="Times New Roman" w:eastAsia="Times New Roman" w:hint="default"/>
                <w:sz w:val="18"/>
                <w:szCs w:val="18"/>
              </w:rPr>
            </w:pPr>
            <w:r>
              <w:rPr>
                <w:rFonts w:ascii="Times New Roman"/>
                <w:sz w:val="18"/>
              </w:rPr>
              <w:t>- 349,308.2</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5" w:right="19" w:firstLine="660"/>
              <w:jc w:val="right"/>
              <w:rPr>
                <w:rFonts w:ascii="Times New Roman" w:hAnsi="Times New Roman" w:cs="Times New Roman" w:eastAsia="Times New Roman" w:hint="default"/>
                <w:sz w:val="18"/>
                <w:szCs w:val="18"/>
              </w:rPr>
            </w:pPr>
            <w:r>
              <w:rPr>
                <w:rFonts w:ascii="Times New Roman"/>
                <w:sz w:val="18"/>
              </w:rPr>
              <w:t>- 348,968.6</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7"/>
              <w:jc w:val="left"/>
              <w:rPr>
                <w:rFonts w:ascii="宋体" w:hAnsi="宋体" w:cs="宋体" w:eastAsia="宋体" w:hint="default"/>
                <w:sz w:val="18"/>
                <w:szCs w:val="18"/>
              </w:rPr>
            </w:pPr>
            <w:r>
              <w:rPr>
                <w:rFonts w:ascii="宋体" w:hAnsi="宋体" w:cs="宋体" w:eastAsia="宋体" w:hint="default"/>
                <w:sz w:val="18"/>
                <w:szCs w:val="18"/>
              </w:rPr>
              <w:t>海峡国家版权交易中 心有限公司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版权交易</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23,083,73</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2.71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21,037,75</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8.40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70,198.05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3" w:right="20" w:firstLine="704"/>
              <w:jc w:val="right"/>
              <w:rPr>
                <w:rFonts w:ascii="Times New Roman" w:hAnsi="Times New Roman" w:cs="Times New Roman" w:eastAsia="Times New Roman" w:hint="default"/>
                <w:sz w:val="18"/>
                <w:szCs w:val="18"/>
              </w:rPr>
            </w:pPr>
            <w:r>
              <w:rPr>
                <w:rFonts w:ascii="Times New Roman"/>
                <w:sz w:val="18"/>
              </w:rPr>
              <w:t>- </w:t>
            </w:r>
            <w:r>
              <w:rPr>
                <w:rFonts w:ascii="Times New Roman"/>
                <w:spacing w:val="-1"/>
                <w:sz w:val="18"/>
              </w:rPr>
              <w:t>2,270,652.</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09</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5" w:right="19" w:firstLine="660"/>
              <w:jc w:val="right"/>
              <w:rPr>
                <w:rFonts w:ascii="Times New Roman" w:hAnsi="Times New Roman" w:cs="Times New Roman" w:eastAsia="Times New Roman" w:hint="default"/>
                <w:sz w:val="18"/>
                <w:szCs w:val="18"/>
              </w:rPr>
            </w:pPr>
            <w:r>
              <w:rPr>
                <w:rFonts w:ascii="Times New Roman"/>
                <w:sz w:val="18"/>
              </w:rPr>
              <w:t>- 2,248,913</w:t>
            </w:r>
          </w:p>
          <w:p>
            <w:pPr>
              <w:pStyle w:val="TableParagraph"/>
              <w:spacing w:line="240" w:lineRule="auto" w:before="4"/>
              <w:ind w:right="19"/>
              <w:jc w:val="right"/>
              <w:rPr>
                <w:rFonts w:ascii="Times New Roman" w:hAnsi="Times New Roman" w:cs="Times New Roman" w:eastAsia="Times New Roman" w:hint="default"/>
                <w:sz w:val="18"/>
                <w:szCs w:val="18"/>
              </w:rPr>
            </w:pPr>
            <w:r>
              <w:rPr>
                <w:rFonts w:ascii="Times New Roman"/>
                <w:sz w:val="18"/>
              </w:rPr>
              <w:t>.01</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厦门市美亚梧桐投资 管理有限公司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基金管理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14,683,88</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9.01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4,881,538.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8,183,254.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4,138,833.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4,638,833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厦门斯坦道科学仪器 股份有限公司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食品安全分析检测仪器 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31,840,00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79,937,80</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9.98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66,051,51</w:t>
            </w:r>
          </w:p>
          <w:p>
            <w:pPr>
              <w:pStyle w:val="TableParagraph"/>
              <w:spacing w:line="240" w:lineRule="auto" w:before="106"/>
              <w:ind w:left="503" w:right="0"/>
              <w:jc w:val="left"/>
              <w:rPr>
                <w:rFonts w:ascii="Times New Roman" w:hAnsi="Times New Roman" w:cs="Times New Roman" w:eastAsia="Times New Roman" w:hint="default"/>
                <w:sz w:val="18"/>
                <w:szCs w:val="18"/>
              </w:rPr>
            </w:pPr>
            <w:r>
              <w:rPr>
                <w:rFonts w:ascii="Times New Roman"/>
                <w:sz w:val="18"/>
              </w:rPr>
              <w:t>3.82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68,178,83</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9.49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2,536,955.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2,030,027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沈阳城市公共安全科 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政务大数据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24,172,29</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5.78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4,281,974.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28,235,84</w:t>
            </w:r>
          </w:p>
          <w:p>
            <w:pPr>
              <w:pStyle w:val="TableParagraph"/>
              <w:spacing w:line="240" w:lineRule="auto" w:before="106"/>
              <w:ind w:left="502" w:right="0"/>
              <w:jc w:val="left"/>
              <w:rPr>
                <w:rFonts w:ascii="Times New Roman" w:hAnsi="Times New Roman" w:cs="Times New Roman" w:eastAsia="Times New Roman" w:hint="default"/>
                <w:sz w:val="18"/>
                <w:szCs w:val="18"/>
              </w:rPr>
            </w:pPr>
            <w:r>
              <w:rPr>
                <w:rFonts w:ascii="Times New Roman"/>
                <w:sz w:val="18"/>
              </w:rPr>
              <w:t>9.06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375,968.2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281,974.1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注：参股公司财务数据未经审计。</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694"/>
        <w:gridCol w:w="2693"/>
        <w:gridCol w:w="4182"/>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5"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厦门斯坦道科学仪器有限公司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参股</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有利于公司持续业务发展，提升公司综合竞争力。</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厦门美亚天信会议服务有限公司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7"/>
              <w:jc w:val="left"/>
              <w:rPr>
                <w:rFonts w:ascii="宋体" w:hAnsi="宋体" w:cs="宋体" w:eastAsia="宋体" w:hint="default"/>
                <w:sz w:val="18"/>
                <w:szCs w:val="18"/>
              </w:rPr>
            </w:pPr>
            <w:r>
              <w:rPr>
                <w:rFonts w:ascii="宋体" w:hAnsi="宋体" w:cs="宋体" w:eastAsia="宋体" w:hint="default"/>
                <w:sz w:val="18"/>
                <w:szCs w:val="18"/>
              </w:rPr>
              <w:t>有利于提升公司培训及培训服务保障能力，提升公 司综合竞争力。</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2"/>
        <w:rPr>
          <w:rFonts w:ascii="宋体" w:hAnsi="宋体" w:cs="宋体" w:eastAsia="宋体" w:hint="default"/>
          <w:sz w:val="12"/>
          <w:szCs w:val="12"/>
        </w:rPr>
      </w:pPr>
    </w:p>
    <w:p>
      <w:pPr>
        <w:pStyle w:val="BodyText"/>
        <w:spacing w:line="405" w:lineRule="auto"/>
        <w:ind w:right="148" w:firstLine="420"/>
        <w:jc w:val="both"/>
      </w:pPr>
      <w:r>
        <w:rPr>
          <w:rFonts w:ascii="Times New Roman" w:hAnsi="Times New Roman" w:cs="Times New Roman" w:eastAsia="Times New Roman" w:hint="default"/>
          <w:spacing w:val="-4"/>
        </w:rPr>
        <w:t>●</w:t>
      </w:r>
      <w:r>
        <w:rPr>
          <w:spacing w:val="-4"/>
        </w:rPr>
        <w:t>全资子公司新德汇：长期专注于公安、检察院、海关等行业信息化建设，致力于成为“国内领先的政</w:t>
      </w:r>
      <w:r>
        <w:rPr>
          <w:w w:val="99"/>
        </w:rPr>
        <w:t> </w:t>
      </w:r>
      <w:r>
        <w:rPr>
          <w:spacing w:val="-1"/>
        </w:rPr>
        <w:t>法行业信息技术与数据服务提供商”。产品涵盖情报信息平台、信息采集、便民服务、图像侦查、电子物</w:t>
      </w:r>
      <w:r>
        <w:rPr>
          <w:spacing w:val="-83"/>
        </w:rPr>
        <w:t> </w:t>
      </w:r>
      <w:r>
        <w:rPr>
          <w:spacing w:val="-83"/>
        </w:rPr>
      </w:r>
      <w:r>
        <w:rPr>
          <w:spacing w:val="-1"/>
        </w:rPr>
        <w:t>证勘验鉴定实验室等五大系列，已逐步形成了以信息采集、大数据处理、情报分析、信息服务的全周期产</w:t>
      </w:r>
      <w:r>
        <w:rPr>
          <w:spacing w:val="-83"/>
        </w:rPr>
        <w:t> </w:t>
      </w:r>
      <w:r>
        <w:rPr>
          <w:spacing w:val="-83"/>
        </w:rPr>
      </w:r>
      <w:r>
        <w:rPr>
          <w:spacing w:val="-1"/>
        </w:rPr>
        <w:t>品体系。经过这么年的磨合和协作，双方协同效应明显，新德汇借助公司产品、技术及渠道优势，由原有</w:t>
      </w:r>
      <w:r>
        <w:rPr>
          <w:spacing w:val="-84"/>
        </w:rPr>
        <w:t> </w:t>
      </w:r>
      <w:r>
        <w:rPr>
          <w:spacing w:val="-84"/>
        </w:rPr>
      </w:r>
      <w:r>
        <w:rPr>
          <w:spacing w:val="-5"/>
        </w:rPr>
        <w:t>做情报信息分析软件转变为信息技术与数据服务提供商，在便民服务上，推出了“自助办证一体机”、“驾</w:t>
      </w:r>
      <w:r>
        <w:rPr>
          <w:w w:val="99"/>
        </w:rPr>
        <w:t> </w:t>
      </w:r>
      <w:r>
        <w:rPr>
          <w:spacing w:val="-1"/>
        </w:rPr>
        <w:t>驶证办证一体机”等设备。公司借助新德汇刑侦市场销售渠道，加快了公司电子数据取证产品在刑侦市场</w:t>
      </w:r>
      <w:r>
        <w:rPr>
          <w:spacing w:val="-84"/>
        </w:rPr>
        <w:t> </w:t>
      </w:r>
      <w:r>
        <w:rPr>
          <w:spacing w:val="-84"/>
        </w:rPr>
      </w:r>
      <w:r>
        <w:rPr/>
        <w:t>的销售。</w:t>
      </w:r>
      <w:r>
        <w:rPr>
          <w:rFonts w:ascii="Times New Roman" w:hAnsi="Times New Roman" w:cs="Times New Roman" w:eastAsia="Times New Roman" w:hint="default"/>
        </w:rPr>
        <w:t>2017</w:t>
      </w:r>
      <w:r>
        <w:rPr/>
        <w:t>年实现销售收入</w:t>
      </w:r>
      <w:r>
        <w:rPr>
          <w:rFonts w:ascii="Times New Roman" w:hAnsi="Times New Roman" w:cs="Times New Roman" w:eastAsia="Times New Roman" w:hint="default"/>
        </w:rPr>
        <w:t>2.64</w:t>
      </w:r>
      <w:r>
        <w:rPr/>
        <w:t>亿，同比</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23%</w:t>
      </w:r>
      <w:r>
        <w:rPr/>
        <w:t>。</w:t>
      </w:r>
    </w:p>
    <w:p>
      <w:pPr>
        <w:pStyle w:val="BodyText"/>
        <w:spacing w:line="398" w:lineRule="auto" w:before="17"/>
        <w:ind w:right="148" w:firstLine="420"/>
        <w:jc w:val="both"/>
      </w:pPr>
      <w:r>
        <w:rPr>
          <w:rFonts w:ascii="Times New Roman" w:hAnsi="Times New Roman" w:cs="Times New Roman" w:eastAsia="Times New Roman" w:hint="default"/>
        </w:rPr>
        <w:t>●</w:t>
      </w:r>
      <w:r>
        <w:rPr/>
        <w:t>全资子公司江苏税软：专业从事涉税分析软件的研发、销售和服务，是国内领先的涉税分析解决方</w:t>
      </w:r>
      <w:r>
        <w:rPr>
          <w:spacing w:val="1"/>
          <w:w w:val="99"/>
        </w:rPr>
        <w:t> </w:t>
      </w:r>
      <w:r>
        <w:rPr>
          <w:spacing w:val="-1"/>
        </w:rPr>
        <w:t>案供应商。目前拥有自主知识产权的数据采集软件、电子查帐软件、稽查管理模块、案件集中管理软件和</w:t>
      </w:r>
      <w:r>
        <w:rPr>
          <w:spacing w:val="-83"/>
        </w:rPr>
        <w:t> </w:t>
      </w:r>
      <w:r>
        <w:rPr>
          <w:spacing w:val="-83"/>
        </w:rPr>
      </w:r>
      <w:r>
        <w:rPr/>
        <w:t>涉税鉴证软件等系列软件产品，其主要软件产品的市场占有率超过</w:t>
      </w:r>
      <w:r>
        <w:rPr>
          <w:rFonts w:ascii="Times New Roman" w:hAnsi="Times New Roman" w:cs="Times New Roman" w:eastAsia="Times New Roman" w:hint="default"/>
        </w:rPr>
        <w:t>75%</w:t>
      </w:r>
      <w:r>
        <w:rPr/>
        <w:t>，为税务稽查信息化领域的龙头企</w:t>
      </w:r>
      <w:r>
        <w:rPr>
          <w:spacing w:val="-98"/>
        </w:rPr>
        <w:t> </w:t>
      </w:r>
      <w:r>
        <w:rPr>
          <w:spacing w:val="-98"/>
        </w:rPr>
      </w:r>
      <w:r>
        <w:rPr>
          <w:spacing w:val="-5"/>
        </w:rPr>
        <w:t>业。公司与江苏税软经过两年多的融合，双方充分发挥各自产品、技术和渠道优势，加快了在税务、海关、</w:t>
      </w:r>
      <w:r>
        <w:rPr>
          <w:w w:val="99"/>
        </w:rPr>
        <w:t> </w:t>
      </w:r>
      <w:r>
        <w:rPr/>
        <w:t>经侦等部门的市场拓展。</w:t>
      </w:r>
      <w:r>
        <w:rPr>
          <w:rFonts w:ascii="Times New Roman" w:hAnsi="Times New Roman" w:cs="Times New Roman" w:eastAsia="Times New Roman" w:hint="default"/>
        </w:rPr>
        <w:t>2017</w:t>
      </w:r>
      <w:r>
        <w:rPr/>
        <w:t>年实现销售收入</w:t>
      </w:r>
      <w:r>
        <w:rPr>
          <w:rFonts w:ascii="Times New Roman" w:hAnsi="Times New Roman" w:cs="Times New Roman" w:eastAsia="Times New Roman" w:hint="default"/>
        </w:rPr>
        <w:t>1.12</w:t>
      </w:r>
      <w:r>
        <w:rPr/>
        <w:t>亿，同比</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26%</w:t>
      </w:r>
      <w:r>
        <w:rPr/>
        <w:t>。</w:t>
      </w:r>
    </w:p>
    <w:p>
      <w:pPr>
        <w:pStyle w:val="BodyText"/>
        <w:spacing w:line="398" w:lineRule="auto" w:before="24"/>
        <w:ind w:right="148" w:firstLine="420"/>
        <w:jc w:val="both"/>
      </w:pPr>
      <w:r>
        <w:rPr>
          <w:rFonts w:ascii="Times New Roman" w:hAnsi="Times New Roman" w:cs="Times New Roman" w:eastAsia="Times New Roman" w:hint="default"/>
          <w:spacing w:val="-4"/>
        </w:rPr>
        <w:t>●</w:t>
      </w:r>
      <w:r>
        <w:rPr>
          <w:spacing w:val="-4"/>
        </w:rPr>
        <w:t>控股子公司安胜网络：专注于网络安全检测产品的生产与服务，包括安全检测体系，安全防护体系，</w:t>
      </w:r>
      <w:r>
        <w:rPr>
          <w:w w:val="99"/>
        </w:rPr>
        <w:t> </w:t>
      </w:r>
      <w:r>
        <w:rPr>
          <w:spacing w:val="-1"/>
        </w:rPr>
        <w:t>信息系统安全评估、网络攻防演练平台和培训服务体系。公司拥有专业的技术服务团队，为各地用户成功</w:t>
      </w:r>
      <w:r>
        <w:rPr>
          <w:spacing w:val="-84"/>
        </w:rPr>
        <w:t> </w:t>
      </w:r>
      <w:r>
        <w:rPr>
          <w:spacing w:val="-84"/>
        </w:rPr>
      </w:r>
      <w:r>
        <w:rPr>
          <w:spacing w:val="-1"/>
        </w:rPr>
        <w:t>举办近百期信息安全培训班，培养近千名网络安全技术骨干。安胜网络是国内领先的网络安全检测产品及</w:t>
      </w:r>
      <w:r>
        <w:rPr>
          <w:spacing w:val="-82"/>
        </w:rPr>
        <w:t> </w:t>
      </w:r>
      <w:r>
        <w:rPr>
          <w:spacing w:val="-82"/>
        </w:rPr>
      </w:r>
      <w:r>
        <w:rPr/>
        <w:t>攻防演练培训服务提供商，</w:t>
      </w:r>
      <w:r>
        <w:rPr>
          <w:rFonts w:ascii="Times New Roman" w:hAnsi="Times New Roman" w:cs="Times New Roman" w:eastAsia="Times New Roman" w:hint="default"/>
        </w:rPr>
        <w:t>2017</w:t>
      </w:r>
      <w:r>
        <w:rPr/>
        <w:t>年通过</w:t>
      </w:r>
      <w:r>
        <w:rPr>
          <w:rFonts w:ascii="Times New Roman" w:hAnsi="Times New Roman" w:cs="Times New Roman" w:eastAsia="Times New Roman" w:hint="default"/>
        </w:rPr>
        <w:t>ISO27001</w:t>
      </w:r>
      <w:r>
        <w:rPr/>
        <w:t>信息安全认证。安胜网络成立于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月，为公司内部</w:t>
      </w:r>
      <w:r>
        <w:rPr>
          <w:spacing w:val="-64"/>
        </w:rPr>
        <w:t> </w:t>
      </w:r>
      <w:r>
        <w:rPr/>
        <w:t>创业团队孵化的项目，目前业务已走向正轨。</w:t>
      </w:r>
      <w:r>
        <w:rPr>
          <w:rFonts w:ascii="Times New Roman" w:hAnsi="Times New Roman" w:cs="Times New Roman" w:eastAsia="Times New Roman" w:hint="default"/>
        </w:rPr>
        <w:t>2017</w:t>
      </w:r>
      <w:r>
        <w:rPr/>
        <w:t>年实现销售收入</w:t>
      </w:r>
      <w:r>
        <w:rPr>
          <w:rFonts w:ascii="Times New Roman" w:hAnsi="Times New Roman" w:cs="Times New Roman" w:eastAsia="Times New Roman" w:hint="default"/>
        </w:rPr>
        <w:t>9,883.86</w:t>
      </w:r>
      <w:r>
        <w:rPr/>
        <w:t>万元，同比</w:t>
      </w:r>
      <w:r>
        <w:rPr>
          <w:rFonts w:ascii="Times New Roman" w:hAnsi="Times New Roman" w:cs="Times New Roman" w:eastAsia="Times New Roman" w:hint="default"/>
        </w:rPr>
        <w:t>2016</w:t>
      </w:r>
      <w:r>
        <w:rPr/>
        <w:t>年增长</w:t>
      </w:r>
      <w:r>
        <w:rPr>
          <w:rFonts w:ascii="Times New Roman" w:hAnsi="Times New Roman" w:cs="Times New Roman" w:eastAsia="Times New Roman" w:hint="default"/>
        </w:rPr>
        <w:t>56%</w:t>
      </w:r>
      <w:r>
        <w:rPr/>
        <w:t>。</w:t>
      </w:r>
    </w:p>
    <w:p>
      <w:pPr>
        <w:pStyle w:val="BodyText"/>
        <w:spacing w:line="405" w:lineRule="auto" w:before="24"/>
        <w:ind w:right="148" w:firstLine="420"/>
        <w:jc w:val="both"/>
      </w:pPr>
      <w:r>
        <w:rPr>
          <w:rFonts w:ascii="Times New Roman" w:hAnsi="Times New Roman" w:cs="Times New Roman" w:eastAsia="Times New Roman" w:hint="default"/>
          <w:spacing w:val="-4"/>
        </w:rPr>
        <w:t>●</w:t>
      </w:r>
      <w:r>
        <w:rPr>
          <w:spacing w:val="-4"/>
        </w:rPr>
        <w:t>控股子公司美亚商鼎：致力于市场监督管理（工商、食药监、质监）行业的行政管理、执法相关技术</w:t>
      </w:r>
      <w:r>
        <w:rPr>
          <w:w w:val="99"/>
        </w:rPr>
        <w:t> </w:t>
      </w:r>
      <w:r>
        <w:rPr>
          <w:spacing w:val="-1"/>
        </w:rPr>
        <w:t>和产品研发，提供执法装备和大数据信息化管理解决方案，是国内率先把超级计算技术、网络空间大数据</w:t>
      </w:r>
      <w:r>
        <w:rPr>
          <w:spacing w:val="-84"/>
        </w:rPr>
        <w:t> </w:t>
      </w:r>
      <w:r>
        <w:rPr>
          <w:spacing w:val="-84"/>
        </w:rPr>
      </w:r>
      <w:r>
        <w:rPr>
          <w:spacing w:val="-1"/>
        </w:rPr>
        <w:t>分析技术、电子取证技术应用于网络市场交易秩序监管、商品质量监督的企业，实现以大数据分析辅助精</w:t>
      </w:r>
      <w:r>
        <w:rPr>
          <w:spacing w:val="-84"/>
        </w:rPr>
        <w:t> </w:t>
      </w:r>
      <w:r>
        <w:rPr>
          <w:spacing w:val="-84"/>
        </w:rPr>
      </w:r>
      <w:r>
        <w:rPr>
          <w:spacing w:val="-1"/>
        </w:rPr>
        <w:t>确执法、高效监管。目前具有网络交易监管、网络取证、现场执法取证、食品快检、市场交易大数据分析</w:t>
      </w:r>
      <w:r>
        <w:rPr>
          <w:spacing w:val="-83"/>
        </w:rPr>
        <w:t> </w:t>
      </w:r>
      <w:r>
        <w:rPr>
          <w:spacing w:val="-83"/>
        </w:rPr>
      </w:r>
      <w:r>
        <w:rPr>
          <w:spacing w:val="-1"/>
        </w:rPr>
        <w:t>等多方面系列的产品，以及配套培训、技术支持服务，支撑市场监管部门实现市场交易主体、客体、行为</w:t>
      </w:r>
      <w:r>
        <w:rPr>
          <w:spacing w:val="-84"/>
        </w:rPr>
        <w:t> </w:t>
      </w:r>
      <w:r>
        <w:rPr>
          <w:spacing w:val="-84"/>
        </w:rPr>
      </w:r>
      <w:r>
        <w:rPr>
          <w:spacing w:val="-5"/>
        </w:rPr>
        <w:t>的全方位监管，有效发现和查处虚假主体、虚假宣传、不正当竞争、违法广告、网络传销、无照餐饮服务、</w:t>
      </w:r>
      <w:r>
        <w:rPr>
          <w:w w:val="99"/>
        </w:rPr>
        <w:t> </w:t>
      </w:r>
      <w:r>
        <w:rPr>
          <w:spacing w:val="-1"/>
        </w:rPr>
        <w:t>假冒伪劣商品等多种违法交易活动，精准分析市场交易行为和宏观经济状况，维护市场秩序，辅助监管决</w:t>
      </w:r>
    </w:p>
    <w:p>
      <w:pPr>
        <w:spacing w:after="0" w:line="405"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86" w:lineRule="auto" w:before="174"/>
        <w:ind w:right="148"/>
        <w:jc w:val="both"/>
      </w:pPr>
      <w:r>
        <w:rPr>
          <w:spacing w:val="-3"/>
        </w:rPr>
        <w:t>策。美亚商鼎成立于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月份，同样为公司内部创业团队孵化的项目，属于初创型企业，虽然成立不满</w:t>
      </w:r>
      <w:r>
        <w:rPr>
          <w:spacing w:val="-93"/>
        </w:rPr>
        <w:t> </w:t>
      </w:r>
      <w:r>
        <w:rPr>
          <w:spacing w:val="-93"/>
        </w:rPr>
      </w:r>
      <w:r>
        <w:rPr>
          <w:spacing w:val="-3"/>
        </w:rPr>
        <w:t>两年，但市场监督管理行业开拓进展顺利，市场已逐渐打开。</w:t>
      </w:r>
      <w:r>
        <w:rPr>
          <w:rFonts w:ascii="Times New Roman" w:hAnsi="Times New Roman" w:cs="Times New Roman" w:eastAsia="Times New Roman" w:hint="default"/>
          <w:spacing w:val="-3"/>
        </w:rPr>
        <w:t>2017</w:t>
      </w:r>
      <w:r>
        <w:rPr>
          <w:spacing w:val="-3"/>
        </w:rPr>
        <w:t>年实现销售收入</w:t>
      </w:r>
      <w:r>
        <w:rPr>
          <w:rFonts w:ascii="Times New Roman" w:hAnsi="Times New Roman" w:cs="Times New Roman" w:eastAsia="Times New Roman" w:hint="default"/>
          <w:spacing w:val="-3"/>
        </w:rPr>
        <w:t>1,549.65</w:t>
      </w:r>
      <w:r>
        <w:rPr>
          <w:spacing w:val="-3"/>
        </w:rPr>
        <w:t>万元，同比</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年增长</w:t>
      </w:r>
      <w:r>
        <w:rPr>
          <w:rFonts w:ascii="Times New Roman" w:hAnsi="Times New Roman" w:cs="Times New Roman" w:eastAsia="Times New Roman" w:hint="default"/>
        </w:rPr>
        <w:t>1277%</w:t>
      </w:r>
      <w:r>
        <w:rPr/>
        <w:t>。</w:t>
      </w:r>
    </w:p>
    <w:p>
      <w:pPr>
        <w:spacing w:line="240" w:lineRule="auto" w:before="11"/>
        <w:rPr>
          <w:rFonts w:ascii="宋体" w:hAnsi="宋体" w:cs="宋体" w:eastAsia="宋体" w:hint="default"/>
          <w:sz w:val="17"/>
          <w:szCs w:val="17"/>
        </w:rPr>
      </w:pPr>
    </w:p>
    <w:p>
      <w:pPr>
        <w:pStyle w:val="Heading2"/>
        <w:spacing w:line="240" w:lineRule="auto"/>
        <w:ind w:right="0"/>
        <w:jc w:val="both"/>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both"/>
        <w:rPr>
          <w:b w:val="0"/>
          <w:bCs w:val="0"/>
        </w:rPr>
      </w:pP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574" w:right="6515"/>
        <w:jc w:val="left"/>
      </w:pPr>
      <w:r>
        <w:rPr/>
        <w:t>（一）行业发展趋势 1、电子数据取证行业发展趋势</w:t>
      </w:r>
    </w:p>
    <w:p>
      <w:pPr>
        <w:pStyle w:val="BodyText"/>
        <w:spacing w:line="408" w:lineRule="auto" w:before="46"/>
        <w:ind w:right="232" w:firstLine="420"/>
        <w:jc w:val="both"/>
      </w:pPr>
      <w:r>
        <w:rPr/>
        <w:t>随着互联网应用的迅速发展，电子商务，电子政务，网络交易和各类网络服务在社会生产和人民生 活中被大量应用，每天都会产生大量的重要信息以及海量数据，这类数据特点是具有不确定性，异构性 以及非结构化。其复杂程度为海量数据挖掘提出了新的挑战，对电子数据取证设备的储存能力，数据分 析能力以及计算能力提出了更高的要求。市场需求及应用要求的提高，促进电子数据取证产品需不断的 进行技术创新和产品变革以匹配当今行业发展的需求。另外根据中国互联网络信息中心（CNNIC）第41次</w:t>
      </w:r>
    </w:p>
    <w:p>
      <w:pPr>
        <w:pStyle w:val="BodyText"/>
        <w:spacing w:line="408" w:lineRule="auto" w:before="46"/>
        <w:ind w:right="338"/>
        <w:jc w:val="both"/>
      </w:pPr>
      <w:r>
        <w:rPr/>
        <w:t>《中国互联网络发展状况统计报告》数据显示，截至2017年12月，中国手机网民规模达7.53亿，网民中 使用手机上网人群的占比由2016年的95.1%提升至97.5%。移动互联网的普及带来了基于移动互联网终端 及应用的取证需求。</w:t>
      </w:r>
    </w:p>
    <w:p>
      <w:pPr>
        <w:pStyle w:val="BodyText"/>
        <w:spacing w:line="408" w:lineRule="auto" w:before="46"/>
        <w:ind w:right="338" w:firstLine="420"/>
        <w:jc w:val="both"/>
      </w:pPr>
      <w:r>
        <w:rPr/>
        <w:t>目前国内电子数据取证产品需求主要来自于公安系统的网安部门，在省级机关和部分较发达的地市 机构渗透率较高，随着电子证据的司法地位不断提高，公安的其他细分警种以及区县级基层机关配备的 需求也开始启动，根据公安部规划，刑侦在2017年完成了电子物证实验室的标准制定，并将在未来三年 完成全国省、市、区县三级实验室的建设规划。报告期内经侦也启动了收集和制定相关电子物证的标准 工作，因此公安系统的需求向着刑侦、经侦等其他警种和基层双向延伸；检察院、工商、税务、海关、 食药监、证监等行业对电子数据取证需求随着导入、消化和深化应用后，也将持续向着深度应用和基层 方向延伸；电子数据取证已逐步成为司法和行政执法部门执法信息化能力的基础需求，重要性地位持续 提升、也将持续带动行业的持续成长。</w:t>
      </w:r>
    </w:p>
    <w:p>
      <w:pPr>
        <w:pStyle w:val="BodyText"/>
        <w:spacing w:line="408" w:lineRule="auto" w:before="46"/>
        <w:ind w:left="574" w:right="320"/>
        <w:jc w:val="left"/>
      </w:pPr>
      <w:r>
        <w:rPr/>
        <w:t>2、大数据行业发展趋势 随着大数据技术的快速发展，大数据应用已全面展开，企业和政府部门已经开始运用大数据进行业</w:t>
      </w:r>
    </w:p>
    <w:p>
      <w:pPr>
        <w:pStyle w:val="BodyText"/>
        <w:spacing w:line="408" w:lineRule="auto" w:before="46"/>
        <w:ind w:right="338"/>
        <w:jc w:val="both"/>
      </w:pPr>
      <w:r>
        <w:rPr/>
        <w:t>务的分析、预测和决策。目前大数据在当下有许多实际应用，如帮助政府实现市场经济调控、灾难预 警、公共卫生安全防范、社会舆论监督、智慧交通、智慧城市，智慧能源，智慧医疗，智慧环保等。推</w:t>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320"/>
        <w:jc w:val="left"/>
      </w:pPr>
      <w:r>
        <w:rPr/>
        <w:t>动实施国家大数据战略，加快完善数字基础设施，推进数据资源整合和开放共享，保障数据安全，加快 建设数字中国，更好服务我国经济社会发展和人民生活改善，政府将步入大数据建设快速发展的新阶 段。</w:t>
      </w:r>
    </w:p>
    <w:p>
      <w:pPr>
        <w:pStyle w:val="BodyText"/>
        <w:spacing w:line="408" w:lineRule="auto" w:before="46"/>
        <w:ind w:left="574" w:right="320"/>
        <w:jc w:val="left"/>
      </w:pPr>
      <w:r>
        <w:rPr/>
        <w:t>3、信息安全行业发展趋势 在互联网、智能手机规模的不断发展壮大同时，紧随的信息发展带来的网络安全形式也非常严峻。</w:t>
      </w:r>
    </w:p>
    <w:p>
      <w:pPr>
        <w:pStyle w:val="BodyText"/>
        <w:spacing w:line="408" w:lineRule="auto" w:before="46"/>
        <w:ind w:right="320"/>
        <w:jc w:val="left"/>
      </w:pPr>
      <w:r>
        <w:rPr/>
        <w:t>加上移动互联网、大数据、云存储、物联网这些新兴技术的迅猛发展，对网络信息安全带来更多威胁， 数据信息泄露事件高速增长，涉及行业广泛。政府和企业对信息安全的重视日益加深，信息安全领域的 投资力度逐渐加大。2014年政府工作报告，已将网络安全列为国家安全和发展的重大战略。全国人民代 表大会常务委员会于2017年6月1日实施了《中华人民共和国网络安全法》，目的就是为了保障网络安 全，维护网络空间主权和国家安全，社会公共利益，保护公民，法人和其他组织的合法权益，促进经济 社会信息化健康发展。在政策不断推动及重大安全事件的催化下，我国信息安全产业快速发展，产业规 模持续快速增长。</w:t>
      </w:r>
    </w:p>
    <w:p>
      <w:pPr>
        <w:pStyle w:val="BodyText"/>
        <w:spacing w:line="408" w:lineRule="auto" w:before="46"/>
        <w:ind w:left="574" w:right="320"/>
        <w:jc w:val="left"/>
      </w:pPr>
      <w:r>
        <w:rPr/>
        <w:t>（二）公司战略发展规划 2017年10月18日，中国共产党第十九大全国人民代表大会在北京召开，十九大对新时代的新目标进</w:t>
      </w:r>
    </w:p>
    <w:p>
      <w:pPr>
        <w:pStyle w:val="BodyText"/>
        <w:spacing w:line="408" w:lineRule="auto" w:before="46"/>
        <w:ind w:right="215"/>
        <w:jc w:val="left"/>
      </w:pPr>
      <w:r>
        <w:rPr/>
        <w:t>行战略谋划，逐步实现强国梦的机遇。为切实贯彻党的十九大精神，不断坚持技术创新突破，保持行业 的领先地位，公司确定了“成为国际领先的电子数据取证产品及服务提供商、网络空间安全及大数据信 息化专家”的战略发展目标。为实现该目标，公司结合当前行业技术发展趋势，继续围绕“互联网+大数 据+信息安全”发展方向，在保持电子数据取证行业领先水平的基础上，加强大数据、人工智能这两大技 术与公司持续钻研的电子数据取证技术、互联网技术，网络安全技术的技术融合与应用，优化公司“四 大产品”及“四大产品”；坚持“自主创新+投资并购”并驾齐驱，拓展多行业市场，在巩固国内市场地 位的同时，践行国家“一带一路”战略，逐步拓展国际市场。</w:t>
      </w:r>
    </w:p>
    <w:p>
      <w:pPr>
        <w:pStyle w:val="BodyText"/>
        <w:spacing w:line="408" w:lineRule="auto" w:before="46"/>
        <w:ind w:left="574" w:right="215"/>
        <w:jc w:val="left"/>
      </w:pPr>
      <w:r>
        <w:rPr/>
        <w:t>（三）2018年度重点经营计划 公司将充分抓住市场机遇，围绕公司战略目标，稳步推进，2018年主要经营计划如下： 1、公司治理计划：公司内延发展和外延并购已取得了一定的成效。目前子公司逐渐增多，为促进公</w:t>
      </w:r>
    </w:p>
    <w:p>
      <w:pPr>
        <w:pStyle w:val="BodyText"/>
        <w:spacing w:line="408" w:lineRule="auto" w:before="46"/>
        <w:ind w:right="320"/>
        <w:jc w:val="left"/>
      </w:pPr>
      <w:r>
        <w:rPr/>
        <w:t>司及子公司之间的协调发展，公司继续采用集团化管理模式，将公司战略发展目标及年度经营计划，以 目标责任制方式分解至公司及子公司各职能部门，并建立目标责任考核机制。引入信息化建设管理模 式，在产品线、销售线、人力资源、技术资源等不断实现资源共享和协同发展。设立技术管理委员会、 营销管理委员会、行业管理委员会、业务支撑委员会和运营管理委员会，促进集团研发、市场等资源的 共享。</w:t>
      </w:r>
    </w:p>
    <w:p>
      <w:pPr>
        <w:pStyle w:val="BodyText"/>
        <w:spacing w:line="240" w:lineRule="auto" w:before="46"/>
        <w:ind w:left="574" w:right="0"/>
        <w:jc w:val="left"/>
      </w:pPr>
      <w:r>
        <w:rPr/>
        <w:t>2、市场营销计划：2017年公司在纵向区县市场下沉和横向行业拓展上已经取得了一定的成绩，2018</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215"/>
        <w:jc w:val="left"/>
      </w:pPr>
      <w:r>
        <w:rPr/>
        <w:t>年公司围绕“四大产品+四大服务”主营业务发展方向，在深耕公司公安原有市场同时，继续推行区县战</w:t>
      </w:r>
      <w:r>
        <w:rPr>
          <w:w w:val="99"/>
        </w:rPr>
        <w:t> </w:t>
      </w:r>
      <w:r>
        <w:rPr/>
        <w:t>略并重点提升发达地区区县产出，并将行业拓展至民用行业。公司将军民融合纳入公司发展战略规划，</w:t>
      </w:r>
      <w:r>
        <w:rPr>
          <w:w w:val="99"/>
        </w:rPr>
        <w:t> </w:t>
      </w:r>
      <w:r>
        <w:rPr/>
        <w:t>积极推动融合范围由传统领域向新兴产业领域延伸。2018年重点关注客户关于移动互联网、视频、大数</w:t>
      </w:r>
      <w:r>
        <w:rPr>
          <w:w w:val="99"/>
        </w:rPr>
        <w:t> </w:t>
      </w:r>
      <w:r>
        <w:rPr/>
        <w:t>据、人工智能等技术及产品需求，并将具体需求落实到产品，积极对外推广。国际市场上，在借助国家</w:t>
      </w:r>
      <w:r>
        <w:rPr>
          <w:w w:val="99"/>
        </w:rPr>
        <w:t> </w:t>
      </w:r>
      <w:r>
        <w:rPr/>
        <w:t>“一带一路”政策寻找机遇的同时，探索与已开拓“一带一路”国际市场的大企业合作，主动走出去挖</w:t>
      </w:r>
      <w:r>
        <w:rPr>
          <w:w w:val="99"/>
        </w:rPr>
        <w:t> </w:t>
      </w:r>
      <w:r>
        <w:rPr/>
        <w:t>掘海外市场商机。</w:t>
      </w:r>
    </w:p>
    <w:p>
      <w:pPr>
        <w:spacing w:line="3081" w:lineRule="exact"/>
        <w:ind w:left="2380"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3560064" cy="1956816"/>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3560064" cy="1956816"/>
                    </a:xfrm>
                    <a:prstGeom prst="rect">
                      <a:avLst/>
                    </a:prstGeom>
                  </pic:spPr>
                </pic:pic>
              </a:graphicData>
            </a:graphic>
          </wp:inline>
        </w:drawing>
      </w:r>
      <w:r>
        <w:rPr>
          <w:rFonts w:ascii="宋体" w:hAnsi="宋体" w:cs="宋体" w:eastAsia="宋体" w:hint="default"/>
          <w:position w:val="-61"/>
          <w:sz w:val="20"/>
          <w:szCs w:val="20"/>
        </w:rPr>
      </w:r>
    </w:p>
    <w:p>
      <w:pPr>
        <w:pStyle w:val="BodyText"/>
        <w:spacing w:line="408" w:lineRule="auto" w:before="85"/>
        <w:ind w:left="153" w:right="216" w:firstLine="420"/>
        <w:jc w:val="left"/>
      </w:pPr>
      <w:r>
        <w:rPr/>
        <w:t>3、产品及技术研究计划：进一步整合公司及子公司之间的研发及产品资源，加强重点研发项目跟</w:t>
      </w:r>
      <w:r>
        <w:rPr>
          <w:w w:val="99"/>
        </w:rPr>
        <w:t> </w:t>
      </w:r>
      <w:r>
        <w:rPr/>
        <w:t>进，</w:t>
      </w:r>
      <w:r>
        <w:rPr>
          <w:spacing w:val="-6"/>
        </w:rPr>
        <w:t> </w:t>
      </w:r>
      <w:r>
        <w:rPr/>
        <w:t>并加大对前沿技术研究和应用，推进公司电子数据取证、大数据、人工智能、网络空间安全及大搜</w:t>
      </w:r>
      <w:r>
        <w:rPr>
          <w:w w:val="99"/>
        </w:rPr>
        <w:t> </w:t>
      </w:r>
      <w:r>
        <w:rPr/>
        <w:t>索五大技术的持续创新，提升产品综合竞争力。包括（1）根据云技术的发展，加强对云技术的研究，打</w:t>
      </w:r>
      <w:r>
        <w:rPr>
          <w:w w:val="99"/>
        </w:rPr>
        <w:t> </w:t>
      </w:r>
      <w:r>
        <w:rPr/>
        <w:t>造云取证生态链；（2）建立新型取证实验室，实验室可链接各种取证装备，汇聚各方数据；（3）将人</w:t>
      </w:r>
      <w:r>
        <w:rPr>
          <w:w w:val="99"/>
        </w:rPr>
        <w:t> </w:t>
      </w:r>
      <w:r>
        <w:rPr/>
        <w:t>工智能技术和电子数据取证技术进行融合，打造智能取证助手，推动取证航母，取证金刚，取证塔等主</w:t>
      </w:r>
      <w:r>
        <w:rPr>
          <w:w w:val="99"/>
        </w:rPr>
        <w:t> </w:t>
      </w:r>
      <w:r>
        <w:rPr/>
        <w:t>力产品的智能化；（4）实现取证实验室、资金查控产品等行业产品的定制开发，推动电子数据取证能力</w:t>
      </w:r>
      <w:r>
        <w:rPr>
          <w:w w:val="99"/>
        </w:rPr>
        <w:t> </w:t>
      </w:r>
      <w:r>
        <w:rPr/>
        <w:t>的多行业应用，拓展行业市场；（5）组建产品国际化研发团队，主导国际化产品研发，开发取证塔、取</w:t>
      </w:r>
      <w:r>
        <w:rPr>
          <w:w w:val="99"/>
        </w:rPr>
        <w:t> </w:t>
      </w:r>
      <w:r>
        <w:rPr/>
        <w:t>证魔方、手机大师等公司明星产品的国际版。（6）提高大数据平台的数据整合能力，为数据的预处理、</w:t>
      </w:r>
      <w:r>
        <w:rPr>
          <w:w w:val="99"/>
        </w:rPr>
        <w:t> </w:t>
      </w:r>
      <w:r>
        <w:rPr/>
        <w:t>检索、存储、分析、计算、运维管理提供一整套云服务化的解决方案，将对大数据处理以服务的形式提</w:t>
      </w:r>
      <w:r>
        <w:rPr>
          <w:w w:val="99"/>
        </w:rPr>
        <w:t> </w:t>
      </w:r>
      <w:r>
        <w:rPr/>
        <w:t>供，同时将多个处理环节有机的整体结合起来，能够简便的使数据在平台内的不同组件之间进行流转，</w:t>
      </w:r>
      <w:r>
        <w:rPr>
          <w:w w:val="99"/>
        </w:rPr>
        <w:t> </w:t>
      </w:r>
      <w:r>
        <w:rPr/>
        <w:t>充分发挥数据的价值。同时将大数据平台打造成更成熟的智慧平台。</w:t>
      </w:r>
    </w:p>
    <w:p>
      <w:pPr>
        <w:pStyle w:val="BodyText"/>
        <w:spacing w:line="403" w:lineRule="auto" w:before="46"/>
        <w:ind w:left="153" w:right="135" w:firstLine="420"/>
        <w:jc w:val="left"/>
      </w:pPr>
      <w:r>
        <w:rPr/>
        <w:t>4、人力资源计划：人才是企业发展非常重要的战略性资源。公司逐步实施中西部人才战略，在西安</w:t>
      </w:r>
      <w:r>
        <w:rPr>
          <w:w w:val="99"/>
        </w:rPr>
        <w:t> </w:t>
      </w:r>
      <w:r>
        <w:rPr/>
        <w:t>设立研发中心，充分利用中西部人力资源优势，进行人才储备；完善信息化招聘平台，通过校园现场招</w:t>
      </w:r>
      <w:r>
        <w:rPr>
          <w:w w:val="99"/>
        </w:rPr>
        <w:t> </w:t>
      </w:r>
      <w:r>
        <w:rPr/>
        <w:t>聘，</w:t>
      </w:r>
      <w:r>
        <w:rPr>
          <w:rFonts w:ascii="Times New Roman" w:hAnsi="Times New Roman" w:cs="Times New Roman" w:eastAsia="Times New Roman" w:hint="default"/>
        </w:rPr>
        <w:t>“</w:t>
      </w:r>
      <w:r>
        <w:rPr/>
        <w:t>刘祥南创新创业基金</w:t>
      </w:r>
      <w:r>
        <w:rPr>
          <w:rFonts w:ascii="Times New Roman" w:hAnsi="Times New Roman" w:cs="Times New Roman" w:eastAsia="Times New Roman" w:hint="default"/>
        </w:rPr>
        <w:t>”</w:t>
      </w:r>
      <w:r>
        <w:rPr/>
        <w:t>组织的校企联动、与高校共同组织创新创业校园竞赛等方式，挖掘优秀人才；</w:t>
      </w:r>
      <w:r>
        <w:rPr>
          <w:w w:val="99"/>
        </w:rPr>
        <w:t> </w:t>
      </w:r>
      <w:r>
        <w:rPr/>
        <w:t>建立完善的薪酬考核体系，梳理集团各业务部门人岗匹配项目，制定合理且具有竞争力的薪酬激励方</w:t>
      </w:r>
      <w:r>
        <w:rPr>
          <w:w w:val="99"/>
        </w:rPr>
        <w:t> </w:t>
      </w:r>
      <w:r>
        <w:rPr/>
        <w:t>案。在人才培训培养上，依托公司培训中心、美课平台，组织员工培训，并鼓励部门内部组织业务分享</w:t>
      </w:r>
      <w:r>
        <w:rPr>
          <w:w w:val="99"/>
        </w:rPr>
        <w:t> </w:t>
      </w:r>
      <w:r>
        <w:rPr/>
        <w:t>培训，提升公司人员整体业务技术水平。</w:t>
      </w:r>
    </w:p>
    <w:p>
      <w:pPr>
        <w:spacing w:after="0" w:line="403"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215" w:firstLine="420"/>
        <w:jc w:val="left"/>
      </w:pPr>
      <w:r>
        <w:rPr/>
        <w:t>5、投资并购计划：通过内生发展和外延式并购方式，快速建立产业环境，完善公司生态链，是公司 战略发展方向之一。2018年，公司将继续通过美亚柏科青果创客汇孵化内部创业项目和引进优质项目团 队，投资中心也将积极主动寻找及借助专业投资机构如产业并购基金寻找外部投资标的和潜在并购项 目，完善公司产业布局，提升公司市场竞争力。</w:t>
      </w:r>
    </w:p>
    <w:p>
      <w:pPr>
        <w:pStyle w:val="BodyText"/>
        <w:spacing w:line="408" w:lineRule="auto" w:before="46"/>
        <w:ind w:left="574" w:right="215"/>
        <w:jc w:val="left"/>
      </w:pPr>
      <w:r>
        <w:rPr/>
        <w:t>（四）可能面临的风险因素 1、人才紧缺风险：公司为研发技术性企业，高素质研发技术人才和管理人才对公司稳定发展起着重</w:t>
      </w:r>
    </w:p>
    <w:p>
      <w:pPr>
        <w:pStyle w:val="BodyText"/>
        <w:spacing w:line="408" w:lineRule="auto" w:before="46"/>
        <w:ind w:right="338"/>
        <w:jc w:val="both"/>
      </w:pPr>
      <w:r>
        <w:rPr/>
        <w:t>要的作用。随着公司大数据、人工智能等技术的不断研究和应用，公司需要补充大量高端专业技术人才 和管理人才，如何吸引、培养、留住相关人才，解决公司在发展过程中面临的人才短缺问题，是公司一 直以来面临的风险。对此，根据实际经营需要，公司在人才聚集地西安建立了西安研发中心，并通过校 企招聘等方式引入优秀人才。同时公司完善人力资源管理体系，建立长效人才激励机制，修订薪资管理 制度，提供比同行业更具有竞争力的薪资水平。</w:t>
      </w:r>
    </w:p>
    <w:p>
      <w:pPr>
        <w:pStyle w:val="BodyText"/>
        <w:spacing w:line="408" w:lineRule="auto" w:before="46"/>
        <w:ind w:right="215" w:firstLine="420"/>
        <w:jc w:val="left"/>
      </w:pPr>
      <w:r>
        <w:rPr/>
        <w:t>2、政策风险：公司主要客户为国家各级司法机关，行政执法部门和政府监督部门。国家机构体制改 革及行业政策的落实，对相关政府部门的采购需求产生影响，对公司的业务也会有一定影响。但机遇与 挑战并存，公司作为电子数据取证领域龙头企业，在细分行业及细分警种均有业务布局，能够满足客户 实际需求快速提供解决方案。同时，公司积极拓展新的行业，扩大公司市场范围，降低对个别行业的依 赖性，从而降低因部分市场饱和或相关部门预算所带来的不利影响。</w:t>
      </w:r>
    </w:p>
    <w:p>
      <w:pPr>
        <w:pStyle w:val="BodyText"/>
        <w:spacing w:line="408" w:lineRule="auto" w:before="46"/>
        <w:ind w:right="215" w:firstLine="420"/>
        <w:jc w:val="left"/>
      </w:pPr>
      <w:r>
        <w:rPr/>
        <w:t>3、市场竞争风险：随着大数据技术的高速发展，《促进大数据发展行动纲要》等关于大数据产业的 相关政策的陆续颁布，大数据行业的市场前景非常可观，国内有很多企业已涉及到该行业，大数据市场 竞争日趋激烈。为此，公司将继续加强研发投入及相关技术人才的储备，跟踪前沿技术，研制适应新形 势要求的新产品，保持产品先进性；对前期投放市场的产品，考虑到培育市场的难度，公司将在市场培 育前进行整体规划，详细制定营销战略，积极利用积累的客户资源，达到“以旧带新”，确保产品得以 顺利进入市场。</w:t>
      </w:r>
    </w:p>
    <w:p>
      <w:pPr>
        <w:pStyle w:val="BodyText"/>
        <w:spacing w:line="408" w:lineRule="auto" w:before="46"/>
        <w:ind w:right="215" w:firstLine="420"/>
        <w:jc w:val="left"/>
      </w:pPr>
      <w:r>
        <w:rPr/>
        <w:t>4、公司管理风险：随着公司内生式及外延式发展，公司的子公司数量不断增加，各子公司业务运营 及管理给公司带来挑战。对此，公司已实行集团化管理模式，成立了集团资源协调中心，负责投后管理 工作，及时跟踪子公司业务进展情况，并充分协调和整合公司与子公司资源，促进协同发展。公司年度 经营计划已分解到公司及子公司各个部门，设立年度目标考核机制，以任务分解的方式，加强公司整体 经营管理。</w:t>
      </w:r>
    </w:p>
    <w:p>
      <w:pPr>
        <w:pStyle w:val="BodyText"/>
        <w:spacing w:line="240" w:lineRule="auto" w:before="46"/>
        <w:ind w:left="574" w:right="0"/>
        <w:jc w:val="left"/>
      </w:pPr>
      <w:r>
        <w:rPr/>
        <w:t>5、重大资产重组项目实施后形成的商誉减值风险：公司发行股份购买江苏税软100%股权和新德汇</w:t>
      </w:r>
    </w:p>
    <w:p>
      <w:pPr>
        <w:spacing w:line="240" w:lineRule="auto" w:before="10"/>
        <w:rPr>
          <w:rFonts w:ascii="宋体" w:hAnsi="宋体" w:cs="宋体" w:eastAsia="宋体" w:hint="default"/>
          <w:sz w:val="14"/>
          <w:szCs w:val="14"/>
        </w:rPr>
      </w:pPr>
    </w:p>
    <w:p>
      <w:pPr>
        <w:pStyle w:val="BodyText"/>
        <w:spacing w:line="408" w:lineRule="auto"/>
        <w:ind w:right="215"/>
        <w:jc w:val="left"/>
      </w:pPr>
      <w:r>
        <w:rPr/>
        <w:t>49%股权的交易完成后，在公司合并资产负债表中将形成较大金额的商誉。根据《企业会计准则》规定， 本次交易形成的商誉不作摊销处理，但需在未来每年年终进行减值测试。如果江苏税软和新德汇未来经</w:t>
      </w:r>
    </w:p>
    <w:p>
      <w:pPr>
        <w:spacing w:after="0" w:line="408" w:lineRule="auto"/>
        <w:jc w:val="left"/>
        <w:sectPr>
          <w:footerReference w:type="default" r:id="rId16"/>
          <w:pgSz w:w="11910" w:h="16840"/>
          <w:pgMar w:footer="982" w:header="747" w:top="1060" w:bottom="1180" w:left="980" w:right="980"/>
          <w:pgNumType w:start="42"/>
        </w:sectPr>
      </w:pPr>
    </w:p>
    <w:p>
      <w:pPr>
        <w:spacing w:line="240" w:lineRule="auto" w:before="0"/>
        <w:rPr>
          <w:rFonts w:ascii="宋体" w:hAnsi="宋体" w:cs="宋体" w:eastAsia="宋体" w:hint="default"/>
          <w:sz w:val="20"/>
          <w:szCs w:val="20"/>
        </w:rPr>
      </w:pPr>
    </w:p>
    <w:p>
      <w:pPr>
        <w:pStyle w:val="BodyText"/>
        <w:spacing w:line="408" w:lineRule="auto" w:before="174"/>
        <w:ind w:right="338"/>
        <w:jc w:val="both"/>
      </w:pPr>
      <w:r>
        <w:rPr/>
        <w:t>营状况恶化，则存在商誉减值的风险，从而对公司当期损益造成不利影响。对此，公司将利用和子公司 在业务、技术、客户、市场准入资质及人员的互补性进行资源整合，积极发挥协同优势，保持公司及各 子公司的持续竞争力，尽量降低商誉对公司未来业绩的影响，并及时披露相关风险。</w:t>
      </w:r>
    </w:p>
    <w:p>
      <w:pPr>
        <w:pStyle w:val="BodyText"/>
        <w:spacing w:line="240" w:lineRule="auto" w:before="46"/>
        <w:ind w:left="574" w:right="0"/>
        <w:jc w:val="left"/>
      </w:pPr>
      <w:r>
        <w:rPr/>
        <w:t>6、应收账款净额过高的风险：报告期末，公司应收账款净额33,993.05万元，占公司总资产的比例</w:t>
      </w:r>
    </w:p>
    <w:p>
      <w:pPr>
        <w:spacing w:line="240" w:lineRule="auto" w:before="10"/>
        <w:rPr>
          <w:rFonts w:ascii="宋体" w:hAnsi="宋体" w:cs="宋体" w:eastAsia="宋体" w:hint="default"/>
          <w:sz w:val="14"/>
          <w:szCs w:val="14"/>
        </w:rPr>
      </w:pPr>
    </w:p>
    <w:p>
      <w:pPr>
        <w:pStyle w:val="BodyText"/>
        <w:spacing w:line="408" w:lineRule="auto"/>
        <w:ind w:right="215"/>
        <w:jc w:val="left"/>
      </w:pPr>
      <w:r>
        <w:rPr/>
        <w:t>10.92%。公司应收账款净额比较大,主要是因为公司主要客户为全国各级司法机关、行政执法部门等，这 些客户的采购及付款审批周期较长，因而导致公司应收账款余额较高。并且随着公司收入规模的增长， 合同项目金额增大，项目的实施期延长，应收账款的账期和绝对值也可能会相应上升。对此，公司将继 续加大应收账款的催收力度，同时根据公司实际情况，执行合理的应收账款坏账计提准备政策，避免较 高的坏账风险。</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560"/>
        <w:gridCol w:w="991"/>
        <w:gridCol w:w="1277"/>
        <w:gridCol w:w="5741"/>
      </w:tblGrid>
      <w:tr>
        <w:trPr>
          <w:trHeight w:val="401"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5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（一）</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（二）</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675"/>
        <w:jc w:val="center"/>
        <w:rPr>
          <w:b w:val="0"/>
          <w:bCs w:val="0"/>
        </w:rPr>
      </w:pPr>
      <w:bookmarkStart w:name="_TOC_250007" w:id="5"/>
      <w:r>
        <w:rPr/>
        <w:t>第五节</w:t>
      </w:r>
      <w:r>
        <w:rPr>
          <w:spacing w:val="-5"/>
        </w:rPr>
        <w:t> </w:t>
      </w:r>
      <w:r>
        <w:rPr/>
        <w:t>重要事项</w:t>
      </w:r>
      <w:bookmarkEnd w:id="5"/>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1" w:lineRule="auto" w:before="155"/>
        <w:ind w:left="153" w:right="232" w:firstLine="420"/>
        <w:jc w:val="left"/>
      </w:pPr>
      <w:r>
        <w:rPr/>
        <w:t>报告期内，公司董事会根据</w:t>
      </w:r>
      <w:r>
        <w:rPr>
          <w:rFonts w:ascii="Times New Roman" w:hAnsi="Times New Roman" w:cs="Times New Roman" w:eastAsia="Times New Roman" w:hint="default"/>
        </w:rPr>
        <w:t>2016</w:t>
      </w:r>
      <w:r>
        <w:rPr/>
        <w:t>年度盈利情况及《公司章程》的有关规定，在充分听取各方意见的 基础上制定了公司</w:t>
      </w:r>
      <w:r>
        <w:rPr>
          <w:rFonts w:ascii="Times New Roman" w:hAnsi="Times New Roman" w:cs="Times New Roman" w:eastAsia="Times New Roman" w:hint="default"/>
        </w:rPr>
        <w:t>2016</w:t>
      </w:r>
      <w:r>
        <w:rPr/>
        <w:t>年度利润分配方案。公司</w:t>
      </w:r>
      <w:r>
        <w:rPr>
          <w:rFonts w:ascii="Times New Roman" w:hAnsi="Times New Roman" w:cs="Times New Roman" w:eastAsia="Times New Roman" w:hint="default"/>
        </w:rPr>
        <w:t>2016</w:t>
      </w:r>
      <w:r>
        <w:rPr/>
        <w:t>年利润分配方案为：以公司总股本</w:t>
      </w:r>
      <w:r>
        <w:rPr>
          <w:rFonts w:ascii="Times New Roman" w:hAnsi="Times New Roman" w:cs="Times New Roman" w:eastAsia="Times New Roman" w:hint="default"/>
        </w:rPr>
        <w:t>496,340,506</w:t>
      </w:r>
      <w:r>
        <w:rPr/>
        <w:t>股为 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0.4</w:t>
      </w:r>
      <w:r>
        <w:rPr/>
        <w:t>元（含税），合计派发现金</w:t>
      </w:r>
      <w:r>
        <w:rPr>
          <w:rFonts w:ascii="Times New Roman" w:hAnsi="Times New Roman" w:cs="Times New Roman" w:eastAsia="Times New Roman" w:hint="default"/>
        </w:rPr>
        <w:t>19,853,620.24</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2016</w:t>
      </w:r>
      <w:r>
        <w:rPr/>
        <w:t>年 年度股东大会审议通过了《</w:t>
      </w:r>
      <w:r>
        <w:rPr>
          <w:rFonts w:ascii="Times New Roman" w:hAnsi="Times New Roman" w:cs="Times New Roman" w:eastAsia="Times New Roman" w:hint="default"/>
        </w:rPr>
        <w:t>2016</w:t>
      </w:r>
      <w:r>
        <w:rPr/>
        <w:t>年利润分配预案》；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日公司完成了</w:t>
      </w:r>
      <w:r>
        <w:rPr>
          <w:rFonts w:ascii="Times New Roman" w:hAnsi="Times New Roman" w:cs="Times New Roman" w:eastAsia="Times New Roman" w:hint="default"/>
        </w:rPr>
        <w:t>2016</w:t>
      </w:r>
      <w:r>
        <w:rPr/>
        <w:t>年度利润权益分派的 实施。公司实施的</w:t>
      </w:r>
      <w:r>
        <w:rPr>
          <w:rFonts w:ascii="Times New Roman" w:hAnsi="Times New Roman" w:cs="Times New Roman" w:eastAsia="Times New Roman" w:hint="default"/>
        </w:rPr>
        <w:t>2016</w:t>
      </w:r>
      <w:r>
        <w:rPr/>
        <w:t>年度利润分配方案符合《公司章程》及公司《未来三年（</w:t>
      </w:r>
      <w:r>
        <w:rPr>
          <w:rFonts w:ascii="Times New Roman" w:hAnsi="Times New Roman" w:cs="Times New Roman" w:eastAsia="Times New Roman" w:hint="default"/>
        </w:rPr>
        <w:t>2015-2017</w:t>
      </w:r>
      <w:r>
        <w:rPr/>
        <w:t>年）股东回报 规划》等的相关规定，符合股东大会的决议，分红标准和比例明确，决策程序符合规定。独立董事尽职 履责并发挥了应有的作用，中小股东具有充分表达意见和诉求的机会，其合法权益得到了充分地保护。</w:t>
      </w:r>
    </w:p>
    <w:p>
      <w:pPr>
        <w:spacing w:line="240" w:lineRule="auto" w:before="10"/>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6630"/>
        <w:gridCol w:w="2938"/>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4" w:right="32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tbl>
      <w:tblPr>
        <w:tblW w:w="0" w:type="auto"/>
        <w:jc w:val="left"/>
        <w:tblInd w:w="182" w:type="dxa"/>
        <w:tblLayout w:type="fixed"/>
        <w:tblCellMar>
          <w:top w:w="0" w:type="dxa"/>
          <w:left w:w="0" w:type="dxa"/>
          <w:bottom w:w="0" w:type="dxa"/>
          <w:right w:w="0" w:type="dxa"/>
        </w:tblCellMar>
        <w:tblLook w:val="01E0"/>
      </w:tblPr>
      <w:tblGrid>
        <w:gridCol w:w="3716"/>
        <w:gridCol w:w="5851"/>
      </w:tblGrid>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496,803,986</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99,360,797.2</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590,637,495.39</w:t>
            </w:r>
          </w:p>
        </w:tc>
      </w:tr>
      <w:tr>
        <w:trPr>
          <w:trHeight w:val="402" w:hRule="exact"/>
        </w:trPr>
        <w:tc>
          <w:tcPr>
            <w:tcW w:w="3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6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宋体" w:hAnsi="宋体" w:cs="宋体" w:eastAsia="宋体" w:hint="default"/>
          <w:sz w:val="28"/>
          <w:szCs w:val="28"/>
        </w:rPr>
      </w:pPr>
    </w:p>
    <w:p>
      <w:pPr>
        <w:spacing w:line="783" w:lineRule="exact"/>
        <w:ind w:left="17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35pt;height:39.2pt;mso-position-horizontal-relative:char;mso-position-vertical-relative:line" coordorigin="0,0" coordsize="9587,784">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9548;top:377;width:24;height:393" coordorigin="9548,377" coordsize="24,393">
              <v:shape style="position:absolute;left:9548;top:377;width:24;height:393" coordorigin="9548,377" coordsize="24,393" path="m9548,769l9572,769,9572,377,9548,377,9548,769xe" filled="true" fillcolor="#d3d3d3" stroked="false">
                <v:path arrowok="t"/>
                <v:fill type="solid"/>
              </v:shape>
            </v:group>
            <v:group style="position:absolute;left:14;top:377;width:23;height:393" coordorigin="14,377" coordsize="23,393">
              <v:shape style="position:absolute;left:14;top:377;width:23;height:393" coordorigin="14,377" coordsize="23,393" path="m14,769l37,769,37,377,14,377,14,769xe" filled="true" fillcolor="#d3d3d3" stroked="false">
                <v:path arrowok="t"/>
                <v:fill type="solid"/>
              </v:shape>
            </v:group>
            <v:group style="position:absolute;left:37;top:377;width:9512;height:393" coordorigin="37,377" coordsize="9512,393">
              <v:shape style="position:absolute;left:37;top:377;width:9512;height:393" coordorigin="37,377" coordsize="9512,393" path="m37,769l9548,769,9548,377,37,377,37,769xe" filled="true" fillcolor="#d3d3d3" stroked="false">
                <v:path arrowok="t"/>
                <v:fill type="solid"/>
              </v:shape>
            </v:group>
            <v:group style="position:absolute;left:5;top:372;width:9578;height:2" coordorigin="5,372" coordsize="9578,2">
              <v:shape style="position:absolute;left:5;top:372;width:9578;height:2" coordorigin="5,372" coordsize="9578,0" path="m5,372l9582,372e" filled="false" stroked="true" strokeweight=".48004pt" strokecolor="#000000">
                <v:path arrowok="t"/>
              </v:shape>
            </v:group>
            <v:group style="position:absolute;left:10;top:5;width:2;height:774" coordorigin="10,5" coordsize="2,774">
              <v:shape style="position:absolute;left:10;top:5;width:2;height:774" coordorigin="10,5" coordsize="0,774" path="m10,5l10,779e" filled="false" stroked="true" strokeweight=".48pt" strokecolor="#000000">
                <v:path arrowok="t"/>
              </v:shape>
            </v:group>
            <v:group style="position:absolute;left:5;top:774;width:9568;height:2" coordorigin="5,774" coordsize="9568,2">
              <v:shape style="position:absolute;left:5;top:774;width:9568;height:2" coordorigin="5,774" coordsize="9568,0" path="m5,774l9572,774e" filled="false" stroked="true" strokeweight=".47998pt" strokecolor="#000000">
                <v:path arrowok="t"/>
              </v:shape>
            </v:group>
            <v:group style="position:absolute;left:9577;top:5;width:2;height:774" coordorigin="9577,5" coordsize="2,774">
              <v:shape style="position:absolute;left:9577;top:5;width:2;height:774" coordorigin="9577,5" coordsize="0,774" path="m9577,5l9577,779e" filled="false" stroked="true" strokeweight=".47998pt" strokecolor="#000000">
                <v:path arrowok="t"/>
              </v:shape>
              <v:shape style="position:absolute;left:37;top: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shape style="position:absolute;left:10;top:372;width:9568;height:402" type="#_x0000_t202" filled="false" stroked="false">
                <v:textbox inset="0,0,0,0">
                  <w:txbxContent>
                    <w:p>
                      <w:pPr>
                        <w:spacing w:before="56"/>
                        <w:ind w:left="2893" w:right="0" w:firstLine="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xbxContent>
                </v:textbox>
                <w10:wrap type="none"/>
              </v:shape>
            </v:group>
          </v:group>
        </w:pict>
      </w:r>
      <w:r>
        <w:rPr>
          <w:rFonts w:ascii="宋体" w:hAnsi="宋体" w:cs="宋体" w:eastAsia="宋体" w:hint="default"/>
          <w:position w:val="-15"/>
          <w:sz w:val="20"/>
          <w:szCs w:val="20"/>
        </w:rPr>
      </w:r>
    </w:p>
    <w:p>
      <w:pPr>
        <w:spacing w:line="240" w:lineRule="auto" w:before="12"/>
        <w:rPr>
          <w:rFonts w:ascii="宋体" w:hAnsi="宋体" w:cs="宋体" w:eastAsia="宋体" w:hint="default"/>
          <w:sz w:val="4"/>
          <w:szCs w:val="4"/>
        </w:rPr>
      </w:pPr>
    </w:p>
    <w:p>
      <w:pPr>
        <w:pStyle w:val="BodyText"/>
        <w:spacing w:line="240" w:lineRule="auto" w:before="35"/>
        <w:ind w:left="676" w:right="726"/>
        <w:jc w:val="center"/>
      </w:pPr>
      <w:r>
        <w:rPr/>
        <w:t>经致同会计师事务所（特殊普通合伙）审计，公司</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年度实现归属于母公司所有者净利润</w:t>
      </w:r>
    </w:p>
    <w:p>
      <w:pPr>
        <w:pStyle w:val="BodyText"/>
        <w:spacing w:line="240" w:lineRule="auto" w:before="176"/>
        <w:ind w:left="153" w:right="0"/>
        <w:jc w:val="left"/>
      </w:pPr>
      <w:r>
        <w:rPr>
          <w:rFonts w:ascii="Times New Roman" w:hAnsi="Times New Roman" w:cs="Times New Roman" w:eastAsia="Times New Roman" w:hint="default"/>
        </w:rPr>
        <w:t>271,716,271.45</w:t>
      </w:r>
      <w:r>
        <w:rPr>
          <w:rFonts w:ascii="Times New Roman" w:hAnsi="Times New Roman" w:cs="Times New Roman" w:eastAsia="Times New Roman" w:hint="default"/>
          <w:spacing w:val="-5"/>
        </w:rPr>
        <w:t> </w:t>
      </w:r>
      <w:r>
        <w:rPr/>
        <w:t>元，母公司实现净利润</w:t>
      </w:r>
      <w:r>
        <w:rPr>
          <w:spacing w:val="-58"/>
        </w:rPr>
        <w:t> </w:t>
      </w:r>
      <w:r>
        <w:rPr>
          <w:rFonts w:ascii="Times New Roman" w:hAnsi="Times New Roman" w:cs="Times New Roman" w:eastAsia="Times New Roman" w:hint="default"/>
        </w:rPr>
        <w:t>178,973,862.52</w:t>
      </w:r>
      <w:r>
        <w:rPr>
          <w:rFonts w:ascii="Times New Roman" w:hAnsi="Times New Roman" w:cs="Times New Roman" w:eastAsia="Times New Roman" w:hint="default"/>
          <w:spacing w:val="-5"/>
        </w:rPr>
        <w:t> </w:t>
      </w:r>
      <w:r>
        <w:rPr/>
        <w:t>元，提取</w:t>
      </w:r>
      <w:r>
        <w:rPr>
          <w:spacing w:val="-59"/>
        </w:rPr>
        <w:t> </w:t>
      </w:r>
      <w:r>
        <w:rPr>
          <w:rFonts w:ascii="Times New Roman" w:hAnsi="Times New Roman" w:cs="Times New Roman" w:eastAsia="Times New Roman" w:hint="default"/>
        </w:rPr>
        <w:t>10%</w:t>
      </w:r>
      <w:r>
        <w:rPr/>
        <w:t>法定盈余公积</w:t>
      </w:r>
      <w:r>
        <w:rPr>
          <w:spacing w:val="-58"/>
        </w:rPr>
        <w:t> </w:t>
      </w:r>
      <w:r>
        <w:rPr>
          <w:rFonts w:ascii="Times New Roman" w:hAnsi="Times New Roman" w:cs="Times New Roman" w:eastAsia="Times New Roman" w:hint="default"/>
        </w:rPr>
        <w:t>17,897,386.25</w:t>
      </w:r>
      <w:r>
        <w:rPr>
          <w:rFonts w:ascii="Times New Roman" w:hAnsi="Times New Roman" w:cs="Times New Roman" w:eastAsia="Times New Roman" w:hint="default"/>
          <w:spacing w:val="-5"/>
        </w:rPr>
        <w:t> </w:t>
      </w:r>
      <w:r>
        <w:rPr/>
        <w:t>元后，当</w:t>
      </w:r>
    </w:p>
    <w:p>
      <w:pPr>
        <w:pStyle w:val="BodyText"/>
        <w:spacing w:line="240" w:lineRule="auto" w:before="177"/>
        <w:ind w:right="0"/>
        <w:jc w:val="left"/>
      </w:pPr>
      <w:r>
        <w:rPr/>
        <w:t>年实现的母公司可供分配利润为</w:t>
      </w:r>
      <w:r>
        <w:rPr>
          <w:spacing w:val="-56"/>
        </w:rPr>
        <w:t> </w:t>
      </w:r>
      <w:r>
        <w:rPr>
          <w:rFonts w:ascii="Times New Roman" w:hAnsi="Times New Roman" w:cs="Times New Roman" w:eastAsia="Times New Roman" w:hint="default"/>
        </w:rPr>
        <w:t>161,076,476.27</w:t>
      </w:r>
      <w:r>
        <w:rPr>
          <w:rFonts w:ascii="Times New Roman" w:hAnsi="Times New Roman" w:cs="Times New Roman" w:eastAsia="Times New Roman" w:hint="default"/>
          <w:spacing w:val="-4"/>
        </w:rPr>
        <w:t> </w:t>
      </w:r>
      <w:r>
        <w:rPr/>
        <w:t>元，加期初未分配利润</w:t>
      </w:r>
      <w:r>
        <w:rPr>
          <w:spacing w:val="-56"/>
        </w:rPr>
        <w:t> </w:t>
      </w:r>
      <w:r>
        <w:rPr>
          <w:rFonts w:ascii="Times New Roman" w:hAnsi="Times New Roman" w:cs="Times New Roman" w:eastAsia="Times New Roman" w:hint="default"/>
        </w:rPr>
        <w:t>449,414,639.36</w:t>
      </w:r>
      <w:r>
        <w:rPr>
          <w:rFonts w:ascii="Times New Roman" w:hAnsi="Times New Roman" w:cs="Times New Roman" w:eastAsia="Times New Roman" w:hint="default"/>
          <w:spacing w:val="-3"/>
        </w:rPr>
        <w:t> </w:t>
      </w:r>
      <w:r>
        <w:rPr/>
        <w:t>元，扣减</w:t>
      </w:r>
      <w:r>
        <w:rPr>
          <w:spacing w:val="-5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p>
    <w:p>
      <w:pPr>
        <w:pStyle w:val="BodyText"/>
        <w:spacing w:line="420" w:lineRule="auto" w:before="178"/>
        <w:ind w:left="573" w:right="331" w:hanging="420"/>
        <w:jc w:val="left"/>
      </w:pPr>
      <w:r>
        <w:rPr/>
        <w:t>已发</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年度现金股利</w:t>
      </w:r>
      <w:r>
        <w:rPr>
          <w:spacing w:val="-54"/>
        </w:rPr>
        <w:t> </w:t>
      </w:r>
      <w:r>
        <w:rPr>
          <w:rFonts w:ascii="Times New Roman" w:hAnsi="Times New Roman" w:cs="Times New Roman" w:eastAsia="Times New Roman" w:hint="default"/>
        </w:rPr>
        <w:t>19,853,620.24</w:t>
      </w:r>
      <w:r>
        <w:rPr>
          <w:rFonts w:ascii="Times New Roman" w:hAnsi="Times New Roman" w:cs="Times New Roman" w:eastAsia="Times New Roman" w:hint="default"/>
          <w:spacing w:val="-2"/>
        </w:rPr>
        <w:t> </w:t>
      </w:r>
      <w:r>
        <w:rPr/>
        <w:t>元，年末累计可供分配利润为</w:t>
      </w:r>
      <w:r>
        <w:rPr>
          <w:spacing w:val="-54"/>
        </w:rPr>
        <w:t> </w:t>
      </w:r>
      <w:r>
        <w:rPr>
          <w:rFonts w:ascii="Times New Roman" w:hAnsi="Times New Roman" w:cs="Times New Roman" w:eastAsia="Times New Roman" w:hint="default"/>
        </w:rPr>
        <w:t>590,637,495.39</w:t>
      </w:r>
      <w:r>
        <w:rPr>
          <w:rFonts w:ascii="Times New Roman" w:hAnsi="Times New Roman" w:cs="Times New Roman" w:eastAsia="Times New Roman" w:hint="default"/>
          <w:spacing w:val="-1"/>
        </w:rPr>
        <w:t> </w:t>
      </w:r>
      <w:r>
        <w:rPr/>
        <w:t>元。</w:t>
      </w:r>
      <w:r>
        <w:rPr>
          <w:spacing w:val="-2"/>
        </w:rPr>
        <w:t> </w:t>
      </w:r>
      <w:r>
        <w:rPr>
          <w:spacing w:val="-5"/>
        </w:rPr>
        <w:t>根据中国证券监督管理委员会《关于进一步落实上市公司现金分红有关事项的通知》、《上市公司监</w:t>
      </w:r>
    </w:p>
    <w:p>
      <w:pPr>
        <w:pStyle w:val="BodyText"/>
        <w:spacing w:line="398" w:lineRule="auto" w:before="35"/>
        <w:ind w:right="320"/>
        <w:jc w:val="left"/>
      </w:pPr>
      <w:r>
        <w:rPr/>
        <w:t>管指引第</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号</w:t>
      </w:r>
      <w:r>
        <w:rPr>
          <w:rFonts w:ascii="Times New Roman" w:hAnsi="Times New Roman" w:cs="Times New Roman" w:eastAsia="Times New Roman" w:hint="default"/>
          <w:spacing w:val="-3"/>
        </w:rPr>
        <w:t>——</w:t>
      </w:r>
      <w:r>
        <w:rPr>
          <w:spacing w:val="-3"/>
        </w:rPr>
        <w:t>上市公司现金分红》及《公司章程》、公司《未来三年（</w:t>
      </w:r>
      <w:r>
        <w:rPr>
          <w:rFonts w:ascii="Times New Roman" w:hAnsi="Times New Roman" w:cs="Times New Roman" w:eastAsia="Times New Roman" w:hint="default"/>
          <w:spacing w:val="-3"/>
        </w:rPr>
        <w:t>2015-2017</w:t>
      </w:r>
      <w:r>
        <w:rPr>
          <w:rFonts w:ascii="Times New Roman" w:hAnsi="Times New Roman" w:cs="Times New Roman" w:eastAsia="Times New Roman" w:hint="default"/>
          <w:spacing w:val="-11"/>
        </w:rPr>
        <w:t> </w:t>
      </w:r>
      <w:r>
        <w:rPr/>
        <w:t>年）股东回报规 划》等相关规定，为积极回报公司股东，与所有股东分享公司经营成果，在符合利润分配原则，保证公 司正常经营和长远发展的前提下，公司董事会提出</w:t>
      </w:r>
      <w:r>
        <w:rPr>
          <w:spacing w:val="-5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年度利润分派预案如下：</w:t>
      </w:r>
    </w:p>
    <w:p>
      <w:pPr>
        <w:spacing w:line="1962" w:lineRule="exact"/>
        <w:ind w:left="187" w:right="0" w:firstLine="0"/>
        <w:rPr>
          <w:rFonts w:ascii="宋体" w:hAnsi="宋体" w:cs="宋体" w:eastAsia="宋体" w:hint="default"/>
          <w:sz w:val="20"/>
          <w:szCs w:val="20"/>
        </w:rPr>
      </w:pPr>
      <w:r>
        <w:rPr>
          <w:rFonts w:ascii="宋体" w:hAnsi="宋体" w:cs="宋体" w:eastAsia="宋体" w:hint="default"/>
          <w:position w:val="-38"/>
          <w:sz w:val="20"/>
          <w:szCs w:val="20"/>
        </w:rPr>
        <w:pict>
          <v:shape style="width:478.4pt;height:98.1pt;mso-position-horizontal-relative:char;mso-position-vertical-relative:line" type="#_x0000_t202" filled="false" stroked="true" strokeweight=".47998pt" strokecolor="#000000">
            <w10:anchorlock/>
            <v:textbox inset="0,0,0,0">
              <w:txbxContent>
                <w:p>
                  <w:pPr>
                    <w:pStyle w:val="BodyText"/>
                    <w:spacing w:line="240" w:lineRule="auto" w:before="104"/>
                    <w:ind w:left="443" w:right="0"/>
                    <w:jc w:val="left"/>
                  </w:pPr>
                  <w:r>
                    <w:rPr/>
                    <w:t>以公司总股本</w:t>
                  </w:r>
                  <w:r>
                    <w:rPr>
                      <w:spacing w:val="-57"/>
                    </w:rPr>
                    <w:t> </w:t>
                  </w:r>
                  <w:r>
                    <w:rPr>
                      <w:rFonts w:ascii="Times New Roman" w:hAnsi="Times New Roman" w:cs="Times New Roman" w:eastAsia="Times New Roman" w:hint="default"/>
                    </w:rPr>
                    <w:t>496,803,986</w:t>
                  </w:r>
                  <w:r>
                    <w:rPr>
                      <w:rFonts w:ascii="Times New Roman" w:hAnsi="Times New Roman" w:cs="Times New Roman" w:eastAsia="Times New Roman" w:hint="default"/>
                      <w:spacing w:val="-4"/>
                    </w:rPr>
                    <w:t> </w:t>
                  </w:r>
                  <w:r>
                    <w:rPr/>
                    <w:t>股（公司目前总股本</w:t>
                  </w:r>
                  <w:r>
                    <w:rPr>
                      <w:spacing w:val="-57"/>
                    </w:rPr>
                    <w:t> </w:t>
                  </w:r>
                  <w:r>
                    <w:rPr>
                      <w:rFonts w:ascii="Times New Roman" w:hAnsi="Times New Roman" w:cs="Times New Roman" w:eastAsia="Times New Roman" w:hint="default"/>
                    </w:rPr>
                    <w:t>497,030,706</w:t>
                  </w:r>
                  <w:r>
                    <w:rPr>
                      <w:rFonts w:ascii="Times New Roman" w:hAnsi="Times New Roman" w:cs="Times New Roman" w:eastAsia="Times New Roman" w:hint="default"/>
                      <w:spacing w:val="-4"/>
                    </w:rPr>
                    <w:t> </w:t>
                  </w:r>
                  <w:r>
                    <w:rPr/>
                    <w:t>股，扣除</w:t>
                  </w:r>
                  <w:r>
                    <w:rPr>
                      <w:spacing w:val="-57"/>
                    </w:rPr>
                    <w:t> </w:t>
                  </w:r>
                  <w:r>
                    <w:rPr>
                      <w:rFonts w:ascii="Times New Roman" w:hAnsi="Times New Roman" w:cs="Times New Roman" w:eastAsia="Times New Roman" w:hint="default"/>
                    </w:rPr>
                    <w:t>226,720</w:t>
                  </w:r>
                  <w:r>
                    <w:rPr>
                      <w:rFonts w:ascii="Times New Roman" w:hAnsi="Times New Roman" w:cs="Times New Roman" w:eastAsia="Times New Roman" w:hint="default"/>
                      <w:spacing w:val="-4"/>
                    </w:rPr>
                    <w:t> </w:t>
                  </w:r>
                  <w:r>
                    <w:rPr/>
                    <w:t>股待注销的股权激励</w:t>
                  </w:r>
                </w:p>
                <w:p>
                  <w:pPr>
                    <w:pStyle w:val="BodyText"/>
                    <w:spacing w:line="240" w:lineRule="auto" w:before="177"/>
                    <w:ind w:left="22" w:right="0"/>
                    <w:jc w:val="left"/>
                  </w:pPr>
                  <w:r>
                    <w:rPr/>
                    <w:t>限制性股票）为基数向全体股东每</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股派发现</w:t>
                  </w:r>
                  <w:r>
                    <w:rPr>
                      <w:spacing w:val="-2"/>
                    </w:rPr>
                    <w:t>金</w:t>
                  </w:r>
                  <w:r>
                    <w:rPr/>
                    <w:t>股利</w:t>
                  </w:r>
                  <w:r>
                    <w:rPr>
                      <w:spacing w:val="-53"/>
                    </w:rPr>
                    <w:t> </w:t>
                  </w:r>
                  <w:r>
                    <w:rPr>
                      <w:rFonts w:ascii="Times New Roman" w:hAnsi="Times New Roman" w:cs="Times New Roman" w:eastAsia="Times New Roman" w:hint="default"/>
                    </w:rPr>
                    <w:t>2 </w:t>
                  </w:r>
                  <w:r>
                    <w:rPr/>
                    <w:t>元</w:t>
                  </w:r>
                  <w:r>
                    <w:rPr>
                      <w:spacing w:val="-2"/>
                    </w:rPr>
                    <w:t>人</w:t>
                  </w:r>
                  <w:r>
                    <w:rPr/>
                    <w:t>民币（含税</w:t>
                  </w:r>
                  <w:r>
                    <w:rPr>
                      <w:spacing w:val="-106"/>
                    </w:rPr>
                    <w:t>）</w:t>
                  </w:r>
                  <w:r>
                    <w:rPr/>
                    <w:t>，合计派发现金红利人民币</w:t>
                  </w:r>
                </w:p>
                <w:p>
                  <w:pPr>
                    <w:pStyle w:val="BodyText"/>
                    <w:spacing w:line="240" w:lineRule="auto" w:before="177"/>
                    <w:ind w:left="22" w:right="0"/>
                    <w:jc w:val="left"/>
                    <w:rPr>
                      <w:rFonts w:ascii="Times New Roman" w:hAnsi="Times New Roman" w:cs="Times New Roman" w:eastAsia="Times New Roman" w:hint="default"/>
                    </w:rPr>
                  </w:pPr>
                  <w:r>
                    <w:rPr>
                      <w:rFonts w:ascii="Times New Roman" w:hAnsi="Times New Roman" w:cs="Times New Roman" w:eastAsia="Times New Roman" w:hint="default"/>
                    </w:rPr>
                    <w:t>99,360,797.2</w:t>
                  </w:r>
                  <w:r>
                    <w:rPr>
                      <w:rFonts w:ascii="Times New Roman" w:hAnsi="Times New Roman" w:cs="Times New Roman" w:eastAsia="Times New Roman" w:hint="default"/>
                      <w:spacing w:val="-4"/>
                    </w:rPr>
                    <w:t> </w:t>
                  </w:r>
                  <w:r>
                    <w:rPr/>
                    <w:t>元，同时，进行资本公积金转增股本，以总股本</w:t>
                  </w:r>
                  <w:r>
                    <w:rPr>
                      <w:spacing w:val="-56"/>
                    </w:rPr>
                    <w:t> </w:t>
                  </w:r>
                  <w:r>
                    <w:rPr>
                      <w:rFonts w:ascii="Times New Roman" w:hAnsi="Times New Roman" w:cs="Times New Roman" w:eastAsia="Times New Roman" w:hint="default"/>
                    </w:rPr>
                    <w:t>496,803,986</w:t>
                  </w:r>
                  <w:r>
                    <w:rPr>
                      <w:rFonts w:ascii="Times New Roman" w:hAnsi="Times New Roman" w:cs="Times New Roman" w:eastAsia="Times New Roman" w:hint="default"/>
                      <w:spacing w:val="-3"/>
                    </w:rPr>
                    <w:t> </w:t>
                  </w:r>
                  <w:r>
                    <w:rPr/>
                    <w:t>股为基数，向全体股东每</w:t>
                  </w:r>
                  <w:r>
                    <w:rPr>
                      <w:spacing w:val="-56"/>
                    </w:rPr>
                    <w:t> </w:t>
                  </w:r>
                  <w:r>
                    <w:rPr>
                      <w:rFonts w:ascii="Times New Roman" w:hAnsi="Times New Roman" w:cs="Times New Roman" w:eastAsia="Times New Roman" w:hint="default"/>
                    </w:rPr>
                    <w:t>10</w:t>
                  </w:r>
                </w:p>
                <w:p>
                  <w:pPr>
                    <w:pStyle w:val="BodyText"/>
                    <w:spacing w:line="240" w:lineRule="auto" w:before="178"/>
                    <w:ind w:left="22" w:right="0"/>
                    <w:jc w:val="left"/>
                  </w:pPr>
                  <w:r>
                    <w:rPr/>
                    <w:t>股转增</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股，共计转增</w:t>
                  </w:r>
                  <w:r>
                    <w:rPr>
                      <w:spacing w:val="-56"/>
                    </w:rPr>
                    <w:t> </w:t>
                  </w:r>
                  <w:r>
                    <w:rPr>
                      <w:rFonts w:ascii="Times New Roman" w:hAnsi="Times New Roman" w:cs="Times New Roman" w:eastAsia="Times New Roman" w:hint="default"/>
                    </w:rPr>
                    <w:t>298,082,391</w:t>
                  </w:r>
                  <w:r>
                    <w:rPr>
                      <w:rFonts w:ascii="Times New Roman" w:hAnsi="Times New Roman" w:cs="Times New Roman" w:eastAsia="Times New Roman" w:hint="default"/>
                      <w:spacing w:val="-3"/>
                    </w:rPr>
                    <w:t> </w:t>
                  </w:r>
                  <w:r>
                    <w:rPr/>
                    <w:t>股，转增后公司总股本增加至</w:t>
                  </w:r>
                  <w:r>
                    <w:rPr>
                      <w:spacing w:val="-56"/>
                    </w:rPr>
                    <w:t> </w:t>
                  </w:r>
                  <w:r>
                    <w:rPr>
                      <w:rFonts w:ascii="Times New Roman" w:hAnsi="Times New Roman" w:cs="Times New Roman" w:eastAsia="Times New Roman" w:hint="default"/>
                    </w:rPr>
                    <w:t>794,886,377</w:t>
                  </w:r>
                  <w:r>
                    <w:rPr>
                      <w:rFonts w:ascii="Times New Roman" w:hAnsi="Times New Roman" w:cs="Times New Roman" w:eastAsia="Times New Roman" w:hint="default"/>
                      <w:spacing w:val="-3"/>
                    </w:rPr>
                    <w:t> </w:t>
                  </w:r>
                  <w:r>
                    <w:rPr/>
                    <w:t>股。</w:t>
                  </w:r>
                </w:p>
              </w:txbxContent>
            </v:textbox>
          </v:shape>
        </w:pict>
      </w:r>
      <w:r>
        <w:rPr>
          <w:rFonts w:ascii="宋体" w:hAnsi="宋体" w:cs="宋体" w:eastAsia="宋体" w:hint="default"/>
          <w:position w:val="-38"/>
          <w:sz w:val="20"/>
          <w:szCs w:val="20"/>
        </w:rPr>
      </w:r>
    </w:p>
    <w:p>
      <w:pPr>
        <w:spacing w:line="240" w:lineRule="auto" w:before="12"/>
        <w:rPr>
          <w:rFonts w:ascii="宋体" w:hAnsi="宋体" w:cs="宋体" w:eastAsia="宋体" w:hint="default"/>
          <w:sz w:val="5"/>
          <w:szCs w:val="5"/>
        </w:rPr>
      </w:pPr>
    </w:p>
    <w:p>
      <w:pPr>
        <w:pStyle w:val="BodyText"/>
        <w:spacing w:line="240" w:lineRule="auto" w:before="35"/>
        <w:ind w:right="0"/>
        <w:jc w:val="left"/>
      </w:pPr>
      <w:r>
        <w:rPr/>
        <w:t>公司近</w:t>
      </w:r>
      <w:r>
        <w:rPr>
          <w:spacing w:val="-53"/>
        </w:rPr>
        <w:t> </w:t>
      </w:r>
      <w:r>
        <w:rPr>
          <w:rFonts w:ascii="Times New Roman" w:hAnsi="Times New Roman" w:cs="Times New Roman" w:eastAsia="Times New Roman" w:hint="default"/>
        </w:rPr>
        <w:t>3 </w:t>
      </w:r>
      <w:r>
        <w:rPr>
          <w:spacing w:val="-2"/>
        </w:rPr>
        <w:t>年</w:t>
      </w:r>
      <w:r>
        <w:rPr/>
        <w:t>（包括本报告期）的普通股股利分配方案（预案</w:t>
      </w:r>
      <w:r>
        <w:rPr>
          <w:spacing w:val="-105"/>
        </w:rPr>
        <w:t>）</w:t>
      </w:r>
      <w:r>
        <w:rPr/>
        <w:t>、资本</w:t>
      </w:r>
      <w:r>
        <w:rPr>
          <w:spacing w:val="-2"/>
        </w:rPr>
        <w:t>公</w:t>
      </w:r>
      <w:r>
        <w:rPr/>
        <w:t>积金转增股本方案（预案）情况</w:t>
      </w:r>
    </w:p>
    <w:p>
      <w:pPr>
        <w:spacing w:line="240" w:lineRule="auto" w:before="8"/>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年利润分配方案：以公司股本</w:t>
      </w:r>
      <w:r>
        <w:rPr>
          <w:rFonts w:ascii="Times New Roman" w:hAnsi="Times New Roman" w:cs="Times New Roman" w:eastAsia="Times New Roman" w:hint="default"/>
        </w:rPr>
        <w:t>487,254,406</w:t>
      </w:r>
      <w:r>
        <w:rPr/>
        <w:t>股为基数，向全体股东每</w:t>
      </w:r>
      <w:r>
        <w:rPr>
          <w:rFonts w:ascii="Times New Roman" w:hAnsi="Times New Roman" w:cs="Times New Roman" w:eastAsia="Times New Roman" w:hint="default"/>
        </w:rPr>
        <w:t>10</w:t>
      </w:r>
      <w:r>
        <w:rPr/>
        <w:t>股派发现金股利人民币</w:t>
      </w:r>
    </w:p>
    <w:p>
      <w:pPr>
        <w:pStyle w:val="BodyText"/>
        <w:spacing w:line="240" w:lineRule="auto" w:before="177"/>
        <w:ind w:right="0"/>
        <w:jc w:val="left"/>
      </w:pPr>
      <w:r>
        <w:rPr>
          <w:rFonts w:ascii="Times New Roman" w:hAnsi="Times New Roman" w:cs="Times New Roman" w:eastAsia="Times New Roman" w:hint="default"/>
        </w:rPr>
        <w:t>0.3</w:t>
      </w:r>
      <w:r>
        <w:rPr/>
        <w:t>元（含税）；</w:t>
      </w:r>
    </w:p>
    <w:p>
      <w:pPr>
        <w:pStyle w:val="BodyText"/>
        <w:spacing w:line="240" w:lineRule="auto" w:before="177"/>
        <w:ind w:left="57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年利润分配方案：以公司股本</w:t>
      </w:r>
      <w:r>
        <w:rPr>
          <w:rFonts w:ascii="Times New Roman" w:hAnsi="Times New Roman" w:cs="Times New Roman" w:eastAsia="Times New Roman" w:hint="default"/>
        </w:rPr>
        <w:t>496,340,506</w:t>
      </w:r>
      <w:r>
        <w:rPr/>
        <w:t>股为基数，向全体股东每</w:t>
      </w:r>
      <w:r>
        <w:rPr>
          <w:rFonts w:ascii="Times New Roman" w:hAnsi="Times New Roman" w:cs="Times New Roman" w:eastAsia="Times New Roman" w:hint="default"/>
        </w:rPr>
        <w:t>10</w:t>
      </w:r>
      <w:r>
        <w:rPr/>
        <w:t>股派发现金股利人民币</w:t>
      </w:r>
    </w:p>
    <w:p>
      <w:pPr>
        <w:pStyle w:val="BodyText"/>
        <w:spacing w:line="240" w:lineRule="auto" w:before="177"/>
        <w:ind w:right="0"/>
        <w:jc w:val="left"/>
      </w:pPr>
      <w:r>
        <w:rPr>
          <w:rFonts w:ascii="Times New Roman" w:hAnsi="Times New Roman" w:cs="Times New Roman" w:eastAsia="Times New Roman" w:hint="default"/>
        </w:rPr>
        <w:t>0.4</w:t>
      </w:r>
      <w:r>
        <w:rPr/>
        <w:t>元（含税）；</w:t>
      </w:r>
    </w:p>
    <w:p>
      <w:pPr>
        <w:pStyle w:val="BodyText"/>
        <w:spacing w:line="240" w:lineRule="auto" w:before="177"/>
        <w:ind w:left="574" w:right="0"/>
        <w:jc w:val="left"/>
      </w:pPr>
      <w:r>
        <w:rPr/>
        <w:t>3、2017年利润分配方案：以公司总股本496,803,986股（公司目前总股本497,030,706股，扣除</w:t>
      </w:r>
    </w:p>
    <w:p>
      <w:pPr>
        <w:spacing w:line="240" w:lineRule="auto" w:before="10"/>
        <w:rPr>
          <w:rFonts w:ascii="宋体" w:hAnsi="宋体" w:cs="宋体" w:eastAsia="宋体" w:hint="default"/>
          <w:sz w:val="14"/>
          <w:szCs w:val="14"/>
        </w:rPr>
      </w:pPr>
    </w:p>
    <w:p>
      <w:pPr>
        <w:pStyle w:val="BodyText"/>
        <w:spacing w:line="408" w:lineRule="auto"/>
        <w:ind w:right="215"/>
        <w:jc w:val="left"/>
      </w:pPr>
      <w:r>
        <w:rPr/>
        <w:t>226,720股待注销的股权激励限制性股票）为基数向全体股东每10股派发现金股利2元人民币（含税）， 合计派发现金红利人民币99,360,797.2元，同时，进行资本公积金转增股本，以总股本496,803,986股为 基数，向全体股东每10股转增6股，共计转增298,082,391股，转增后公司总股本增加至794,886,377股。</w:t>
      </w:r>
    </w:p>
    <w:p>
      <w:pPr>
        <w:spacing w:after="0" w:line="408" w:lineRule="auto"/>
        <w:jc w:val="left"/>
        <w:sectPr>
          <w:pgSz w:w="11910" w:h="16840"/>
          <w:pgMar w:header="747" w:footer="982" w:top="1060" w:bottom="1180" w:left="980" w:right="980"/>
        </w:sectPr>
      </w:pPr>
    </w:p>
    <w:p>
      <w:pPr>
        <w:pStyle w:val="BodyText"/>
        <w:spacing w:line="240" w:lineRule="auto" w:before="9"/>
        <w:ind w:right="-20"/>
        <w:jc w:val="left"/>
      </w:pPr>
      <w:r>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before="151"/>
        <w:ind w:left="154"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985" w:space="3934"/>
            <w:col w:w="1031"/>
          </w:cols>
        </w:sectPr>
      </w:pP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851"/>
        <w:gridCol w:w="1843"/>
        <w:gridCol w:w="1700"/>
        <w:gridCol w:w="1984"/>
        <w:gridCol w:w="1594"/>
        <w:gridCol w:w="1594"/>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35" w:right="197"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6" w:right="85"/>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市公司普通股股东的净 利润的比率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1"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99,360,797.2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271,716,271.45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19,853,620.24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182,624,041.44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14,617,632.18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133,165,026.62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二、承诺事项履行情况</w:t>
      </w:r>
      <w:r>
        <w:rPr>
          <w:b w:val="0"/>
          <w:bCs w:val="0"/>
        </w:rPr>
      </w:r>
    </w:p>
    <w:p>
      <w:pPr>
        <w:spacing w:line="240" w:lineRule="auto" w:before="7"/>
        <w:rPr>
          <w:rFonts w:ascii="宋体" w:hAnsi="宋体" w:cs="宋体" w:eastAsia="宋体" w:hint="default"/>
          <w:b/>
          <w:bCs/>
          <w:sz w:val="24"/>
          <w:szCs w:val="24"/>
        </w:rPr>
      </w:pPr>
    </w:p>
    <w:p>
      <w:pPr>
        <w:pStyle w:val="Heading3"/>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161" w:hRule="exact"/>
        </w:trPr>
        <w:tc>
          <w:tcPr>
            <w:tcW w:w="12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8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53"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shd w:val="clear" w:color="auto" w:fill="D3D3D3"/>
          </w:tcPr>
          <w:p>
            <w:pPr/>
          </w:p>
        </w:tc>
        <w:tc>
          <w:tcPr>
            <w:tcW w:w="883" w:type="dxa"/>
            <w:vMerge/>
            <w:tcBorders>
              <w:left w:val="single" w:sz="4" w:space="0" w:color="000000"/>
              <w:right w:val="single" w:sz="4" w:space="0" w:color="000000"/>
            </w:tcBorders>
            <w:shd w:val="clear" w:color="auto" w:fill="D3D3D3"/>
          </w:tcPr>
          <w:p>
            <w:pPr/>
          </w:p>
        </w:tc>
        <w:tc>
          <w:tcPr>
            <w:tcW w:w="36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9"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c>
          <w:tcPr>
            <w:tcW w:w="920" w:type="dxa"/>
            <w:vMerge/>
            <w:tcBorders>
              <w:left w:val="single" w:sz="4" w:space="0" w:color="000000"/>
              <w:right w:val="single" w:sz="4" w:space="0" w:color="000000"/>
            </w:tcBorders>
            <w:shd w:val="clear" w:color="auto" w:fill="D3D3D3"/>
          </w:tcPr>
          <w:p>
            <w:pPr/>
          </w:p>
        </w:tc>
      </w:tr>
      <w:tr>
        <w:trPr>
          <w:trHeight w:val="161"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3653"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c>
          <w:tcPr>
            <w:tcW w:w="920" w:type="dxa"/>
            <w:vMerge/>
            <w:tcBorders>
              <w:left w:val="single" w:sz="4" w:space="0" w:color="000000"/>
              <w:bottom w:val="single" w:sz="4" w:space="0" w:color="000000"/>
              <w:right w:val="single" w:sz="4" w:space="0" w:color="000000"/>
            </w:tcBorders>
            <w:shd w:val="clear" w:color="auto" w:fill="D3D3D3"/>
          </w:tcPr>
          <w:p>
            <w:pPr/>
          </w:p>
        </w:tc>
      </w:tr>
      <w:tr>
        <w:trPr>
          <w:trHeight w:val="357" w:hRule="exact"/>
        </w:trPr>
        <w:tc>
          <w:tcPr>
            <w:tcW w:w="124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收购报告书或</w:t>
            </w: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权益变动报告</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9" w:type="dxa"/>
            <w:vMerge/>
            <w:tcBorders>
              <w:left w:val="single" w:sz="4" w:space="0" w:color="000000"/>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6" w:hRule="exact"/>
        </w:trPr>
        <w:tc>
          <w:tcPr>
            <w:tcW w:w="124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书中所作承诺</w:t>
            </w: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、盈利预测江苏税软交易对方承诺，</w:t>
            </w:r>
            <w:r>
              <w:rPr>
                <w:rFonts w:ascii="Times New Roman" w:hAnsi="Times New Roman" w:cs="Times New Roman" w:eastAsia="Times New Roman" w:hint="default"/>
                <w:sz w:val="18"/>
                <w:szCs w:val="18"/>
              </w:rPr>
              <w:t>2015</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年（即江苏税软收购交易</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项下的补偿期限）的每一会计年度期末产生</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于补偿期限内的江苏税软合并报表中扣除非</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经常性损益后归属于母公司的累计净利润合</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计数不低于《评估报告》中相应会计年度期</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末累计的净利润预测合计数，该利润合计数</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以按照企业会计准则出具的江苏税软合并审</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计报告为准。根据经审核的盈利预测，江苏</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安林冲；包志</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税软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年当期扣除非</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翔；陈燕；仇</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经常性损益后归属于母公司的预测净利润额</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宏远；郭玉</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智；韩海青；</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、实际净利润的确定美亚柏科应当在补</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2"/>
              <w:ind w:left="22" w:right="127"/>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黄新；李佳； 李江；卢晓 英；任炜；孙</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28"/>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198"/>
              <w:jc w:val="both"/>
              <w:rPr>
                <w:rFonts w:ascii="宋体" w:hAnsi="宋体" w:cs="宋体" w:eastAsia="宋体" w:hint="default"/>
                <w:sz w:val="18"/>
                <w:szCs w:val="18"/>
              </w:rPr>
            </w:pPr>
            <w:r>
              <w:rPr>
                <w:rFonts w:ascii="宋体" w:hAnsi="宋体" w:cs="宋体" w:eastAsia="宋体" w:hint="default"/>
                <w:sz w:val="18"/>
                <w:szCs w:val="18"/>
              </w:rPr>
              <w:t>偿期限内每一会计年度审计时对江苏税软当 年的实际净利润数与净利润预测数的差异进 行审核，并由各方共同聘请的具有证券期货</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52"/>
              <w:ind w:left="23" w:right="16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士玉；王亚</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相关业务资格的会计师事务所对此出具专项</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明；韦玉荣；</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审核意见（该专项审核意见应基于按照企业</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叶树军；张红</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会计准则出具的江苏税软合并报告</w:t>
            </w:r>
            <w:r>
              <w:rPr>
                <w:rFonts w:ascii="宋体" w:hAnsi="宋体" w:cs="宋体" w:eastAsia="宋体" w:hint="default"/>
                <w:spacing w:val="-90"/>
                <w:sz w:val="18"/>
                <w:szCs w:val="18"/>
              </w:rPr>
              <w:t>）</w:t>
            </w:r>
            <w:r>
              <w:rPr>
                <w:rFonts w:ascii="宋体" w:hAnsi="宋体" w:cs="宋体" w:eastAsia="宋体" w:hint="default"/>
                <w:sz w:val="18"/>
                <w:szCs w:val="18"/>
              </w:rPr>
              <w:t>。净利润</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光</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差额将按照净利润预测数减去实际净利润数</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计算，以会计师事务所出具的专项审核意见</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为准。上述净利润均为扣除非经常性损益后</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的净利润。</w:t>
            </w:r>
            <w:r>
              <w:rPr>
                <w:rFonts w:ascii="Times New Roman" w:hAnsi="Times New Roman" w:cs="Times New Roman" w:eastAsia="Times New Roman" w:hint="default"/>
                <w:sz w:val="18"/>
                <w:szCs w:val="18"/>
              </w:rPr>
              <w:t>3</w:t>
            </w:r>
            <w:r>
              <w:rPr>
                <w:rFonts w:ascii="宋体" w:hAnsi="宋体" w:cs="宋体" w:eastAsia="宋体" w:hint="default"/>
                <w:sz w:val="18"/>
                <w:szCs w:val="18"/>
              </w:rPr>
              <w:t>、补偿方式及标准若江苏税软在</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补偿期限内截至任一年度末的累积实际净利</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润数低于截至当年度末累积净利润预测数，</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江苏税软交易对方将按照以下方式、标准对</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美亚柏科进行补偿</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）江苏税软交易对方</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应优先以股份向美亚柏科进行补偿，不足部</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分以现金进行补偿。补偿应由各江苏税软交</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易对方按照其各自在本次江苏税软收购交易</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中获得的股份比例承担。各江苏税软交易对</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方就此项补偿对美亚柏科承担连带责任。补</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偿金额总额不应超过本次江苏税软收购交易</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中获得的收购对价总额</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）应补偿股份数</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量应按照以下公式计算所得数值确定：当年</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（补偿期限内截至当期期末</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的累积净利润预测数－补偿期限内截至当期</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净利润预测数总和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（江苏税软收购对价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股发行价格）－已补偿股份数量－（已补偿</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。某一江苏税软交</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易对方应补偿股份数量的计算公式为：某一</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江苏税软交易对方当年应补偿股份数量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偿期限内截至当期期末的累积净利润预测数</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－补偿期限内截至当期期末累积实际净利润</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补偿期限内各年的净利润预测数总和</w:t>
            </w:r>
            <w:r>
              <w:rPr>
                <w:rFonts w:ascii="Times New Roman" w:hAnsi="Times New Roman" w:cs="Times New Roman" w:eastAsia="Times New Roman" w:hint="default"/>
                <w:sz w:val="18"/>
                <w:szCs w:val="18"/>
              </w:rPr>
              <w:t>×</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（江苏税软收购对价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（该</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江苏税软交易对方在本次江苏税软收购交易</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中获得的全部股份数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江苏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税软收购对价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－该江苏税软交易对方已补偿</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（该江苏税软交易对方已补偿现金</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。上述计算公式中的净</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利润预测数指江苏税软合并报表中扣除非经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常性损益后归属于母公司的净利润预测数之</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和。上述计算公式中的实际净利润数指江苏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税软合并报表中扣除非经常性损益后归属于</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母公司的实际净利润数之和。每股发行价格</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指美亚柏科在本次江苏税软收购交易中向江</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苏税软交易对方非公开发行股份的每股发行</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价格。如果自江苏税软的股东在公司登记管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理机关变更为美亚柏科之日至股份补偿实施</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之日的期间内，美亚柏科如有派息、送股、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转增股本等除权除息事项发生，则应补偿股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份数量，以及随补偿股份而发生的返还金</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额，应做相应调整。应补偿股份数量不超过</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江苏税软交易对方本次江苏税软收购交易中</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认购股份的总量。如按上述</w:t>
            </w:r>
            <w:r>
              <w:rPr>
                <w:rFonts w:ascii="Times New Roman" w:hAnsi="Times New Roman" w:cs="Times New Roman" w:eastAsia="Times New Roman" w:hint="default"/>
                <w:sz w:val="18"/>
                <w:szCs w:val="18"/>
              </w:rPr>
              <w:t>"</w:t>
            </w:r>
            <w:r>
              <w:rPr>
                <w:rFonts w:ascii="宋体" w:hAnsi="宋体" w:cs="宋体" w:eastAsia="宋体" w:hint="default"/>
                <w:sz w:val="18"/>
                <w:szCs w:val="18"/>
              </w:rPr>
              <w:t>应补偿股份数量</w:t>
            </w:r>
            <w:r>
              <w:rPr>
                <w:rFonts w:ascii="Times New Roman" w:hAnsi="Times New Roman" w:cs="Times New Roman" w:eastAsia="Times New Roman" w:hint="default"/>
                <w:sz w:val="18"/>
                <w:szCs w:val="18"/>
              </w:rPr>
              <w:t>"</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的计算公式计算的补偿期限内某一年的补偿</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，则应按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取值，即已经补偿</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的股份不冲回</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）如按照上述公式计算的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补偿期限内某一年某一江苏税软交易对方的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补偿股份数量，超过了该江苏税软交易对方</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届时所持美亚柏科的股份总数，则差额部分</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应由该江苏税软交易对方用现金进行补偿。</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现金补偿金额的计算公式为：相关江苏税软</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交易对方现金补偿金额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（该江苏税软交易对</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方应补偿股份数量－该江苏税软交易对方届</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时所持股份数量）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）减值</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测试如补偿期限内某一年度或多个年度实际</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净利润数低于当年度净利润预测数，则在补</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偿期限届满时，各方将共同聘请具有证券期</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货相关业务资格的会计师事务所审核美亚柏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科出具的《减值测试报告</w:t>
            </w:r>
            <w:r>
              <w:rPr>
                <w:rFonts w:ascii="宋体" w:hAnsi="宋体" w:cs="宋体" w:eastAsia="宋体" w:hint="default"/>
                <w:spacing w:val="-90"/>
                <w:sz w:val="18"/>
                <w:szCs w:val="18"/>
              </w:rPr>
              <w:t>》</w:t>
            </w:r>
            <w:r>
              <w:rPr>
                <w:rFonts w:ascii="宋体" w:hAnsi="宋体" w:cs="宋体" w:eastAsia="宋体" w:hint="default"/>
                <w:sz w:val="18"/>
                <w:szCs w:val="18"/>
              </w:rPr>
              <w:t>，并出具《减值测</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试审核报告</w:t>
            </w:r>
            <w:r>
              <w:rPr>
                <w:rFonts w:ascii="宋体" w:hAnsi="宋体" w:cs="宋体" w:eastAsia="宋体" w:hint="default"/>
                <w:spacing w:val="-90"/>
                <w:sz w:val="18"/>
                <w:szCs w:val="18"/>
              </w:rPr>
              <w:t>》</w:t>
            </w:r>
            <w:r>
              <w:rPr>
                <w:rFonts w:ascii="宋体" w:hAnsi="宋体" w:cs="宋体" w:eastAsia="宋体" w:hint="default"/>
                <w:sz w:val="18"/>
                <w:szCs w:val="18"/>
              </w:rPr>
              <w:t>，如期末减值额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江苏税软作价</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&gt;  </w:t>
            </w:r>
            <w:r>
              <w:rPr>
                <w:rFonts w:ascii="宋体" w:hAnsi="宋体" w:cs="宋体" w:eastAsia="宋体" w:hint="default"/>
                <w:sz w:val="18"/>
                <w:szCs w:val="18"/>
              </w:rPr>
              <w:t>（补偿期限内已补偿股份总数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w:t>
            </w:r>
            <w:r>
              <w:rPr>
                <w:rFonts w:ascii="Times New Roman" w:hAnsi="Times New Roman" w:cs="Times New Roman" w:eastAsia="Times New Roman" w:hint="default"/>
                <w:sz w:val="18"/>
                <w:szCs w:val="18"/>
              </w:rPr>
              <w:t>/</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（江苏税软收购对价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发行价格</w:t>
            </w:r>
            <w:r>
              <w:rPr>
                <w:rFonts w:ascii="宋体" w:hAnsi="宋体" w:cs="宋体" w:eastAsia="宋体" w:hint="default"/>
                <w:spacing w:val="-90"/>
                <w:sz w:val="18"/>
                <w:szCs w:val="18"/>
              </w:rPr>
              <w:t>）</w:t>
            </w:r>
            <w:r>
              <w:rPr>
                <w:rFonts w:ascii="宋体" w:hAnsi="宋体" w:cs="宋体" w:eastAsia="宋体" w:hint="default"/>
                <w:sz w:val="18"/>
                <w:szCs w:val="18"/>
              </w:rPr>
              <w:t>，则江苏税软交易对方应另行向美</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亚柏科补偿股份。另行补偿股份数量计算公</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式为：期末减值额补偿股份数量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已补偿股份总数－（已补偿</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现金金额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。上述计算公式中</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的期末减值额指江苏税软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股权所对应的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江苏税软期末减值额。如按照上述公式计算</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的补偿股份数量，超过了江苏税软交易对方</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所持美亚柏科的股份总数，则差额部分应由</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江苏税软交易对方用现金进行补偿，补偿现</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（期末减值额补偿股份数量－江苏税软交</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易对方届时所持股份数量）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各江苏税软交易对方就期末减值额补偿对美</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亚柏科承担连带责任。无论如何，江苏税软</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交易对方承担的补偿金额总额不超过本次江</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苏税软收购交易中获得的收购对价总额。</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）补偿实施各方应在补偿期限内每一会计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年度审计报告出具后十个工作日内按照上述</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规定计算该会计年度的应补偿股份数，并且</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美亚柏科应在该期限内发出董事会通知，召</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开董事会审议美亚柏科以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元的总价回购并</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注销补偿义务人当年补偿的股份事宜。美亚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柏科董事会审议通过上述股份回购注销方案</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后，应于五个工作日内发出召开股东大会通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知。如果美亚柏科股东大会审议通过上述股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份回购注销方案并就该方案向债权人发出通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知并对外公告，美亚柏科应于股东大会决议</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公告后五个工作日内书面通知江苏税软交易</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对方，江苏税软交易对方应在公告期满后的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五个工作日内与美亚柏科共同到中国证券登</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记结算有限责任公司深圳分公司办理应补偿</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股份的注销手续。在前述董事会召开后，注</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销手续完成之前，江苏税软交易对方就应补</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偿股份不拥有表决权且不享有股利分配的权</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利。如按照上述公式计算的补偿期限内某一</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年某一江苏税软交易对方的补偿股份数量，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超过了该江苏税软交易对方届时所持美亚柏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科的股份总数，则差额部分应由该江苏税软</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交易对方用现金进行补偿，该江苏税软交易</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对方应在差额部分确认后十个工作日内将补</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偿金额一次性汇入美亚柏科指定的银行账户</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w:t>
            </w:r>
            <w:r>
              <w:rPr>
                <w:rFonts w:ascii="Times New Roman" w:hAnsi="Times New Roman" w:cs="Times New Roman" w:eastAsia="Times New Roman" w:hint="default"/>
                <w:sz w:val="18"/>
                <w:szCs w:val="18"/>
              </w:rPr>
              <w:t>"</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、盈利预测新德汇交易对方承诺，</w:t>
            </w:r>
            <w:r>
              <w:rPr>
                <w:rFonts w:ascii="Times New Roman" w:hAnsi="Times New Roman" w:cs="Times New Roman" w:eastAsia="Times New Roman" w:hint="default"/>
                <w:sz w:val="18"/>
                <w:szCs w:val="18"/>
              </w:rPr>
              <w:t>2015</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年（即新德汇收购交易项</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下的补偿期限）的每一会计年度期末产生于</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补偿期限内的新德汇合并报表中扣除非经常</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性损益后归属于母公司的累计净利润合计数</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不低于《评估报告》中相应会计年度期末累</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计的净利润预测合计数，该利润合计数以按</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照企业会计准则出具的新德汇合并审计报告</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为准。根据经审核的盈利预测，新德汇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年当期扣除非经常性损益</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后归属于母公司的预测净利润额分别为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3,900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、实际净利</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润的确定美亚柏科应当在补偿期限内每一会</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计年度审计时对新德汇当年的实际净利润数</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与净利润预测数的差异进行审核，并由各方</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4" w:right="341"/>
              <w:jc w:val="left"/>
              <w:rPr>
                <w:rFonts w:ascii="宋体" w:hAnsi="宋体" w:cs="宋体" w:eastAsia="宋体" w:hint="default"/>
                <w:sz w:val="18"/>
                <w:szCs w:val="18"/>
              </w:rPr>
            </w:pPr>
            <w:r>
              <w:rPr>
                <w:rFonts w:ascii="宋体" w:hAnsi="宋体" w:cs="宋体" w:eastAsia="宋体" w:hint="default"/>
                <w:sz w:val="18"/>
                <w:szCs w:val="18"/>
              </w:rPr>
              <w:t>邓炽成；水 军；苏学武</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28"/>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98"/>
              <w:jc w:val="both"/>
              <w:rPr>
                <w:rFonts w:ascii="宋体" w:hAnsi="宋体" w:cs="宋体" w:eastAsia="宋体" w:hint="default"/>
                <w:sz w:val="18"/>
                <w:szCs w:val="18"/>
              </w:rPr>
            </w:pPr>
            <w:r>
              <w:rPr>
                <w:rFonts w:ascii="宋体" w:hAnsi="宋体" w:cs="宋体" w:eastAsia="宋体" w:hint="default"/>
                <w:sz w:val="18"/>
                <w:szCs w:val="18"/>
              </w:rPr>
              <w:t>共同聘请的具有证券期货相关业务资格的会 计师事务所对此出具专项审核意见（该专项 审核意见应基于按照企业会计准则出具的新</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3" w:right="16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德汇报告</w:t>
            </w:r>
            <w:r>
              <w:rPr>
                <w:rFonts w:ascii="宋体" w:hAnsi="宋体" w:cs="宋体" w:eastAsia="宋体" w:hint="default"/>
                <w:spacing w:val="-90"/>
                <w:sz w:val="18"/>
                <w:szCs w:val="18"/>
              </w:rPr>
              <w:t>）</w:t>
            </w:r>
            <w:r>
              <w:rPr>
                <w:rFonts w:ascii="宋体" w:hAnsi="宋体" w:cs="宋体" w:eastAsia="宋体" w:hint="default"/>
                <w:sz w:val="18"/>
                <w:szCs w:val="18"/>
              </w:rPr>
              <w:t>。净利润差额将按照净利润预测数</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减去实际净利润数计算，以会计师事务所出</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具的专项审核意见为准。上述净利润均为扣</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除非经常性损益后的净利润。</w:t>
            </w:r>
            <w:r>
              <w:rPr>
                <w:rFonts w:ascii="Times New Roman" w:hAnsi="Times New Roman" w:cs="Times New Roman" w:eastAsia="Times New Roman" w:hint="default"/>
                <w:sz w:val="18"/>
                <w:szCs w:val="18"/>
              </w:rPr>
              <w:t>3</w:t>
            </w:r>
            <w:r>
              <w:rPr>
                <w:rFonts w:ascii="宋体" w:hAnsi="宋体" w:cs="宋体" w:eastAsia="宋体" w:hint="default"/>
                <w:sz w:val="18"/>
                <w:szCs w:val="18"/>
              </w:rPr>
              <w:t>、补偿方式及</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标准若新德汇在补偿期限内截至任一年度末</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的累积实际净利润数低于截至当年度末累积</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净利润预测数，新德汇交易对方将按照以下</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方式、标准对美亚柏科进行补偿</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）新德</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汇交易对方应优先以股份向美亚柏科进行补</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偿，不足部分以现金进行补偿。补偿应由各</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新德汇交易对方按照其各自在本次新德汇收</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购交易中获得的股份比例承担。各新德汇交</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易对方就此项补偿对美亚柏科承担连带责</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任，美亚柏科届时另行豁免除外。新德汇交</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易对方因未实现盈利预测而需承担的补偿金</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额总额不超过本次交易中获得的收购对价的</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）应补偿股份数量应按照以下公式计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算所得数值确定：当年应补偿股份数量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偿期限内截至当期期末的累积净利润预测数</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－补偿期限内截至当期期末累积实际净利润</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补偿期限内各年的净利润预测数总和</w:t>
            </w:r>
            <w:r>
              <w:rPr>
                <w:rFonts w:ascii="Times New Roman" w:hAnsi="Times New Roman" w:cs="Times New Roman" w:eastAsia="Times New Roman" w:hint="default"/>
                <w:sz w:val="18"/>
                <w:szCs w:val="18"/>
              </w:rPr>
              <w:t>×</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（新德汇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×49%</w:t>
            </w:r>
            <w:r>
              <w:rPr>
                <w:rFonts w:ascii="宋体" w:hAnsi="宋体" w:cs="宋体" w:eastAsia="宋体" w:hint="default"/>
                <w:sz w:val="18"/>
                <w:szCs w:val="18"/>
              </w:rPr>
              <w:t>－已补偿股份数量－（已补偿现金金额</w:t>
            </w:r>
            <w:r>
              <w:rPr>
                <w:rFonts w:ascii="Times New Roman" w:hAnsi="Times New Roman" w:cs="Times New Roman" w:eastAsia="Times New Roman" w:hint="default"/>
                <w:sz w:val="18"/>
                <w:szCs w:val="18"/>
              </w:rPr>
              <w:t>÷</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。某一新德汇交易对方应补偿</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股份数量的计算公式为：某一新德汇交易对</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方当年应补偿股份数量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（补偿期限内截至当</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期期末的累积净利润预测数－补偿期限内截</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至当期期末累积实际净利润数）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各年的净利润预测数总和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Times New Roman" w:hAnsi="Times New Roman" w:cs="Times New Roman" w:eastAsia="Times New Roman" w:hint="default"/>
                <w:sz w:val="18"/>
                <w:szCs w:val="18"/>
              </w:rPr>
              <w:t>×49%×[</w:t>
            </w:r>
            <w:r>
              <w:rPr>
                <w:rFonts w:ascii="宋体" w:hAnsi="宋体" w:cs="宋体" w:eastAsia="宋体" w:hint="default"/>
                <w:sz w:val="18"/>
                <w:szCs w:val="18"/>
              </w:rPr>
              <w:t>（该新德汇</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交易对方在本次新德汇收购交易中获得的全</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新德汇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收购对价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－该新德汇交易对方已补偿股份数</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量－（该新德汇交易对方已补偿现金金额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股发行价格</w:t>
            </w:r>
            <w:r>
              <w:rPr>
                <w:rFonts w:ascii="宋体" w:hAnsi="宋体" w:cs="宋体" w:eastAsia="宋体" w:hint="default"/>
                <w:spacing w:val="-90"/>
                <w:sz w:val="18"/>
                <w:szCs w:val="18"/>
              </w:rPr>
              <w:t>）</w:t>
            </w:r>
            <w:r>
              <w:rPr>
                <w:rFonts w:ascii="宋体" w:hAnsi="宋体" w:cs="宋体" w:eastAsia="宋体" w:hint="default"/>
                <w:sz w:val="18"/>
                <w:szCs w:val="18"/>
              </w:rPr>
              <w:t>。上述计算公式中的净利润预测</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数指新德汇合并报表中扣除非经常性损益后</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归属于母公司的净利润预测数之和。上述计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算公式中的实际净利润数指新德汇合并报表</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中扣除非经常性损益后归属于母公司的实际</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净利润数之和。每股发行价格指美亚柏科在</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本次新德汇收购交易中向新德汇交易对方非</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公开发行股份的每股发行价格。如果自新德</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汇的唯一股东在公司登记管理机关变更为美</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亚柏科之日至股份补偿实施之日的期间内，</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美亚柏科如有派息、送股、转增股本等除权</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除息事项发生，则应补偿股份数量，以及随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补偿股份而发生的返还金额，应做相应调</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整。新德汇交易对方因未实现盈利预测而需</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承担的应补偿股份数量不超过新德汇交易对</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方本次新德汇收购交易中认购股份的总量的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宋体" w:hAnsi="宋体" w:cs="宋体" w:eastAsia="宋体" w:hint="default"/>
                <w:sz w:val="18"/>
                <w:szCs w:val="18"/>
              </w:rPr>
              <w:t>。如按上述</w:t>
            </w:r>
            <w:r>
              <w:rPr>
                <w:rFonts w:ascii="Times New Roman" w:hAnsi="Times New Roman" w:cs="Times New Roman" w:eastAsia="Times New Roman" w:hint="default"/>
                <w:sz w:val="18"/>
                <w:szCs w:val="18"/>
              </w:rPr>
              <w:t>"</w:t>
            </w:r>
            <w:r>
              <w:rPr>
                <w:rFonts w:ascii="宋体" w:hAnsi="宋体" w:cs="宋体" w:eastAsia="宋体" w:hint="default"/>
                <w:sz w:val="18"/>
                <w:szCs w:val="18"/>
              </w:rPr>
              <w:t>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的计算公式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计算的补偿期限内某一年的补偿股份数量小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，则应按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取值，即已经补偿的股份不冲</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）如按照上述公式计算的补偿期限内</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某一年某一新德汇交易对方的补偿股份数</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量，超过了该新德汇交易对方届时所持美亚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柏科的股份总数，则差额部分应由该新德汇</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交易对方用现金进行补偿。现金补偿金额的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计算公式为：相关新德汇交易对方现金补偿</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22"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（该新德汇交易对方应补偿股份数量－</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该新德汇交易对方届时所持股份数量）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发行价格</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）减值测试在补偿期限届满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时，各方将共同聘请具有证券期货相关业务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资格的会计师事务所审核美亚柏科就新德汇</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股权出具的《减值测试报告</w:t>
            </w:r>
            <w:r>
              <w:rPr>
                <w:rFonts w:ascii="宋体" w:hAnsi="宋体" w:cs="宋体" w:eastAsia="宋体" w:hint="default"/>
                <w:spacing w:val="-90"/>
                <w:sz w:val="18"/>
                <w:szCs w:val="18"/>
              </w:rPr>
              <w:t>》</w:t>
            </w:r>
            <w:r>
              <w:rPr>
                <w:rFonts w:ascii="宋体" w:hAnsi="宋体" w:cs="宋体" w:eastAsia="宋体" w:hint="default"/>
                <w:sz w:val="18"/>
                <w:szCs w:val="18"/>
              </w:rPr>
              <w:t>，并出具</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《减值测试审核报告</w:t>
            </w:r>
            <w:r>
              <w:rPr>
                <w:rFonts w:ascii="宋体" w:hAnsi="宋体" w:cs="宋体" w:eastAsia="宋体" w:hint="default"/>
                <w:spacing w:val="-90"/>
                <w:sz w:val="18"/>
                <w:szCs w:val="18"/>
              </w:rPr>
              <w:t>》</w:t>
            </w:r>
            <w:r>
              <w:rPr>
                <w:rFonts w:ascii="宋体" w:hAnsi="宋体" w:cs="宋体" w:eastAsia="宋体" w:hint="default"/>
                <w:sz w:val="18"/>
                <w:szCs w:val="18"/>
              </w:rPr>
              <w:t>，如期末减值额 </w:t>
            </w:r>
            <w:r>
              <w:rPr>
                <w:rFonts w:ascii="Times New Roman" w:hAnsi="Times New Roman" w:cs="Times New Roman" w:eastAsia="Times New Roman" w:hint="default"/>
                <w:sz w:val="18"/>
                <w:szCs w:val="18"/>
              </w:rPr>
              <w:t>&gt;  </w:t>
            </w:r>
            <w:r>
              <w:rPr>
                <w:rFonts w:ascii="宋体" w:hAnsi="宋体" w:cs="宋体" w:eastAsia="宋体" w:hint="default"/>
                <w:sz w:val="18"/>
                <w:szCs w:val="18"/>
              </w:rPr>
              <w:t>补</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偿期限内已补偿股份总数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补偿现金，则新德汇交易对方应另行向美亚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柏科补偿股份。另行补偿股份数量计算公式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为：期末减值额补偿股份数量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w:t>
            </w:r>
            <w:r>
              <w:rPr>
                <w:rFonts w:ascii="Times New Roman" w:hAnsi="Times New Roman" w:cs="Times New Roman" w:eastAsia="Times New Roman" w:hint="default"/>
                <w:sz w:val="18"/>
                <w:szCs w:val="18"/>
              </w:rPr>
              <w:t>÷</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每股发行价格 </w:t>
            </w:r>
            <w:r>
              <w:rPr>
                <w:rFonts w:ascii="Times New Roman" w:hAnsi="Times New Roman" w:cs="Times New Roman" w:eastAsia="Times New Roman" w:hint="default"/>
                <w:sz w:val="18"/>
                <w:szCs w:val="18"/>
              </w:rPr>
              <w:t>-  </w:t>
            </w:r>
            <w:r>
              <w:rPr>
                <w:rFonts w:ascii="宋体" w:hAnsi="宋体" w:cs="宋体" w:eastAsia="宋体" w:hint="default"/>
                <w:sz w:val="18"/>
                <w:szCs w:val="18"/>
              </w:rPr>
              <w:t>已补偿股份总数－（已补偿</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现金金额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。上述计算公式中</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的期末减值额指新德汇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股权补偿期限届</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满时期末评估值相比美亚柏科于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日签署协议向新德汇增资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万元并向苏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学武支付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4,854.8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万元购买增资后新德汇</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42.29%</w:t>
            </w:r>
            <w:r>
              <w:rPr>
                <w:rFonts w:ascii="宋体" w:hAnsi="宋体" w:cs="宋体" w:eastAsia="宋体" w:hint="default"/>
                <w:sz w:val="18"/>
                <w:szCs w:val="18"/>
              </w:rPr>
              <w:t>股权交易的增资款及转股款合计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5,854.8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万元（简称</w:t>
            </w:r>
            <w:r>
              <w:rPr>
                <w:rFonts w:ascii="Times New Roman" w:hAnsi="Times New Roman" w:cs="Times New Roman" w:eastAsia="Times New Roman" w:hint="default"/>
                <w:sz w:val="18"/>
                <w:szCs w:val="18"/>
              </w:rPr>
              <w:t>"</w:t>
            </w:r>
            <w:r>
              <w:rPr>
                <w:rFonts w:ascii="宋体" w:hAnsi="宋体" w:cs="宋体" w:eastAsia="宋体" w:hint="default"/>
                <w:sz w:val="18"/>
                <w:szCs w:val="18"/>
              </w:rPr>
              <w:t>前次交易对价</w:t>
            </w:r>
            <w:r>
              <w:rPr>
                <w:rFonts w:ascii="Times New Roman" w:hAnsi="Times New Roman" w:cs="Times New Roman" w:eastAsia="Times New Roman" w:hint="default"/>
                <w:sz w:val="18"/>
                <w:szCs w:val="18"/>
              </w:rPr>
              <w:t>"</w:t>
            </w:r>
            <w:r>
              <w:rPr>
                <w:rFonts w:ascii="宋体" w:hAnsi="宋体" w:cs="宋体" w:eastAsia="宋体" w:hint="default"/>
                <w:sz w:val="18"/>
                <w:szCs w:val="18"/>
              </w:rPr>
              <w:t>）和本次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新德汇收购交易的收购对价之和的差额。如</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按照上述公式计算的补偿股份数量，超过了</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新德汇交易对方所持美亚柏科的股份总数，</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则差额部分应由新德汇交易对方用现金进行</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补偿，补偿现金</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（期末减值额补偿股份数量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－新德汇交易对方届时所持股份数量）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发行价格。各新德汇交易对方就期末减值额</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补偿对美亚柏科承担连带责任。无论如何，</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新德汇交易对方承担的补偿金额总额不超过</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前次交易对价和本次新德汇收购交易收购对</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价之和</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）补偿实施各方应在补偿期限内</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每一会计年度审计报告出具后十个工作日内</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按照上述规定计算该会计年度的应补偿股份</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数，并且美亚柏科应在该期限内发出董事会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通知，召开董事会审议美亚柏科以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元的总</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价回购并注销补偿义务人当年补偿的股份事</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宜。美亚柏科董事会审议通过上述股份回购</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注销方案后，应于五个工作日内发出召开股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东大会通知。如果美亚柏科股东大会审议通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过上述股份回购注销方案并就该方案向债权</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人发出通知并对外公告，美亚柏科应于股东</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大会决议公告后五个工作日内书面通知新德</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汇交易对方，新德汇交易对方应在公告期满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后的五个工作日内与美亚柏科共同到中国证</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券登记结算有限责任公司深圳分公司办理应</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补偿股份的注销手续。在前述董事会召开</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后，注销手续完成之前，新德汇交易对方就</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应补偿股份不拥有表决权且不享有股利分配</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的权利。如按照上述公式计算的补偿期限内</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某一年某一新德汇交易对方的补偿股份数</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量，超过了该新德汇交易对方届时所持美亚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柏科的股份总数，则差额部分应由该新德汇</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交易对方用现金进行补偿，该新德汇交易对</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方应在差额部分确认后十个工作日内将补偿</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金额一次性汇入美亚柏科指定的银行账户</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w:t>
            </w:r>
            <w:r>
              <w:rPr>
                <w:rFonts w:ascii="Times New Roman" w:hAnsi="Times New Roman" w:cs="Times New Roman" w:eastAsia="Times New Roman" w:hint="default"/>
                <w:sz w:val="18"/>
                <w:szCs w:val="18"/>
              </w:rPr>
              <w:t>"</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标的资产历史沿革事项的承诺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、新德汇成</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立于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日，成立时股东为贺湘</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权（现已更名为贺湘荃</w:t>
            </w:r>
            <w:r>
              <w:rPr>
                <w:rFonts w:ascii="宋体" w:hAnsi="宋体" w:cs="宋体" w:eastAsia="宋体" w:hint="default"/>
                <w:spacing w:val="-90"/>
                <w:sz w:val="18"/>
                <w:szCs w:val="18"/>
              </w:rPr>
              <w:t>）</w:t>
            </w:r>
            <w:r>
              <w:rPr>
                <w:rFonts w:ascii="宋体" w:hAnsi="宋体" w:cs="宋体" w:eastAsia="宋体" w:hint="default"/>
                <w:sz w:val="18"/>
                <w:szCs w:val="18"/>
              </w:rPr>
              <w:t>、贺湘生、崔丹梅，</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贺湘生、贺湘荃各以现金出资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万元，崔丹</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梅以房产作价出资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日，贺湘生与苏学武签订《珠海经济特区</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新德汇企业有限公司法定代表人、经营场所</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变更协议书》将新德汇法定代表人由贺湘生</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变更为苏学武，贺湘荃作为股东在该协议书</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下方签字。同时，三位原股东即将新德汇股</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185"/>
              <w:jc w:val="both"/>
              <w:rPr>
                <w:rFonts w:ascii="宋体" w:hAnsi="宋体" w:cs="宋体" w:eastAsia="宋体" w:hint="default"/>
                <w:sz w:val="18"/>
                <w:szCs w:val="18"/>
              </w:rPr>
            </w:pPr>
            <w:r>
              <w:rPr>
                <w:rFonts w:ascii="宋体" w:hAnsi="宋体" w:cs="宋体" w:eastAsia="宋体" w:hint="default"/>
                <w:sz w:val="18"/>
                <w:szCs w:val="18"/>
              </w:rPr>
              <w:t>权全部转让给苏学武和钟鹰，苏学武、钟鹰 各受让新德汇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的股权。但相关转股工商 档案由于主管工商机关变更时遗失且年代久</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16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11"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远，现已无法取得。该次股权转让的转让价</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款已经全部由苏学武、钟鹰付清，股权已经</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全部过户给苏学武、钟鹰，交易各方没有争</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w:t>
            </w:r>
            <w:r>
              <w:rPr>
                <w:rFonts w:ascii="Times New Roman" w:hAnsi="Times New Roman" w:cs="Times New Roman" w:eastAsia="Times New Roman" w:hint="default"/>
                <w:sz w:val="18"/>
                <w:szCs w:val="18"/>
              </w:rPr>
              <w:t>3</w:t>
            </w:r>
            <w:r>
              <w:rPr>
                <w:rFonts w:ascii="宋体" w:hAnsi="宋体" w:cs="宋体" w:eastAsia="宋体" w:hint="default"/>
                <w:sz w:val="18"/>
                <w:szCs w:val="18"/>
              </w:rPr>
              <w:t>、自受让股权至今，本人及新德汇从未</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收到且亦未预见将收到任何第三方对新德汇</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股权的任何权利主张或异议。</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、本人承诺若</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新德汇及</w:t>
            </w:r>
            <w:r>
              <w:rPr>
                <w:rFonts w:ascii="Times New Roman" w:hAnsi="Times New Roman" w:cs="Times New Roman" w:eastAsia="Times New Roman" w:hint="default"/>
                <w:sz w:val="18"/>
                <w:szCs w:val="18"/>
              </w:rPr>
              <w:t>/</w:t>
            </w:r>
            <w:r>
              <w:rPr>
                <w:rFonts w:ascii="宋体" w:hAnsi="宋体" w:cs="宋体" w:eastAsia="宋体" w:hint="default"/>
                <w:sz w:val="18"/>
                <w:szCs w:val="18"/>
              </w:rPr>
              <w:t>或美亚柏科因上述股东变更的相关</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资料缺失而造成受到任何损失，本人将就该</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等损失向新德汇及</w:t>
            </w:r>
            <w:r>
              <w:rPr>
                <w:rFonts w:ascii="Times New Roman" w:hAnsi="Times New Roman" w:cs="Times New Roman" w:eastAsia="Times New Roman" w:hint="default"/>
                <w:sz w:val="18"/>
                <w:szCs w:val="18"/>
              </w:rPr>
              <w:t>/</w:t>
            </w:r>
            <w:r>
              <w:rPr>
                <w:rFonts w:ascii="宋体" w:hAnsi="宋体" w:cs="宋体" w:eastAsia="宋体" w:hint="default"/>
                <w:sz w:val="18"/>
                <w:szCs w:val="18"/>
              </w:rPr>
              <w:t>或美亚柏科予以及时、充</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分补偿，使新德汇及美亚柏科不受损失。</w:t>
            </w:r>
            <w:r>
              <w:rPr>
                <w:rFonts w:ascii="Times New Roman" w:hAnsi="Times New Roman" w:cs="Times New Roman" w:eastAsia="Times New Roman" w:hint="default"/>
                <w:sz w:val="18"/>
                <w:szCs w:val="18"/>
              </w:rPr>
              <w:t>"</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保证上市公司独立性的承诺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、本人（包括</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本人的一致行动人）与公司的人员、资产、</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财务分开，机构、业务独立，公司能够自主</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郭永芳；滕达</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8"/>
              <w:jc w:val="both"/>
              <w:rPr>
                <w:rFonts w:ascii="宋体" w:hAnsi="宋体" w:cs="宋体" w:eastAsia="宋体" w:hint="default"/>
                <w:sz w:val="18"/>
                <w:szCs w:val="18"/>
              </w:rPr>
            </w:pPr>
            <w:r>
              <w:rPr>
                <w:rFonts w:ascii="宋体" w:hAnsi="宋体" w:cs="宋体" w:eastAsia="宋体" w:hint="default"/>
                <w:sz w:val="18"/>
                <w:szCs w:val="18"/>
              </w:rPr>
              <w:t>经营管理。公司最近十二个月内不存在违规 对外提供担保或者资金被本人（包括本人的 一致行动人）及其控制的其他企业以借款、 代偿债务、代垫款项或者其他方式占用的情</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left="23" w:right="16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、在本次交易完成后，将保证美亚柏科</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的人员独立性、资产独立性、财务独立性、</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机构独立性和业务独立性，使之符合《上市</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公司重大资产重组管理办法》第十一条第</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3"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（六）项之规定和第四十三条第一款第</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（一）项之规定。</w:t>
            </w:r>
            <w:r>
              <w:rPr>
                <w:rFonts w:ascii="Times New Roman" w:hAnsi="Times New Roman" w:cs="Times New Roman" w:eastAsia="Times New Roman" w:hint="default"/>
                <w:sz w:val="18"/>
                <w:szCs w:val="18"/>
              </w:rPr>
              <w:t>"</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4770"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厦门市美亚柏 科信息股份有 限公司；郭永 芳；滕达；李 国林；申强； 廖明宏；卢永 华；曲晓辉； 仲丽华；刘冬 颖；屈文洲； 吴鸿伟；吴世 雄；张乃军； 张雪峰；赵 庸；高峰；葛 鹏；李滢雪； 栾江霞</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美亚柏科及其全体董事、监事及高级管理人 员：关于提供材料真实性、准确性、完整性 的承诺本公司及董事会全体成员、监事会全 体成员、全部高级管理人员保证本次交易的 信息披露和申请文件的内容真实、准确和完 整，不存在虚假记载、误导性陈述或重大遗 漏，并对本次交易的信息披露和申请文件中 的虚假记载、误导性陈述或者重大遗漏承担 个别及连带的法律责任。如本次交易因涉嫌 所提供或者披露的信息存在虚假记载、误导 性陈述或者重大遗漏，被司法机关立案侦查 或者被中国证监会立案调查的，在案件调查 结论明确之前，将暂停转让其在上市公司拥 有权益的股份。</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7"/>
              <w:jc w:val="both"/>
              <w:rPr>
                <w:rFonts w:ascii="宋体" w:hAnsi="宋体" w:cs="宋体" w:eastAsia="宋体" w:hint="default"/>
                <w:sz w:val="18"/>
                <w:szCs w:val="18"/>
              </w:rPr>
            </w:pPr>
            <w:r>
              <w:rPr>
                <w:rFonts w:ascii="宋体" w:hAnsi="宋体" w:cs="宋体" w:eastAsia="宋体" w:hint="default"/>
                <w:sz w:val="18"/>
                <w:szCs w:val="18"/>
              </w:rPr>
              <w:t>正在履行 中，其中 廖明宏已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ind w:left="23" w:right="1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离任；高 峰、吴世 雄已于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312" w:lineRule="auto" w:before="1"/>
              <w:ind w:left="23"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 任；李滢 雪已于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302" w:lineRule="auto" w:before="3"/>
              <w:ind w:left="23" w:right="7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 任。</w:t>
            </w:r>
          </w:p>
        </w:tc>
      </w:tr>
      <w:tr>
        <w:trPr>
          <w:trHeight w:val="362"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一、江苏税软交易对方：</w:t>
            </w: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、本人通过本次交</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易获得的美亚柏科增发股份自本次发行完成</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个月内，本人将不通过任何方式转</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让。此后分步解锁，具体为：</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个月内，累计可转让股票数量不超过其在本</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次发行中所认购总数的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个月内，累计可转让股票数量不超过其在本</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安林冲；包志</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次发行中所认购总数的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翔；陈燕；仇</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自由转让其在本次发行中所认购的全部股份</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宏远；邓炽</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数量。本人实际解锁股份数须扣除因盈利预</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成；郭玉智；</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测补偿而需由美亚柏科回购的股份数（若</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161"/>
              <w:jc w:val="left"/>
              <w:rPr>
                <w:rFonts w:ascii="宋体" w:hAnsi="宋体" w:cs="宋体" w:eastAsia="宋体" w:hint="default"/>
                <w:sz w:val="18"/>
                <w:szCs w:val="18"/>
              </w:rPr>
            </w:pPr>
            <w:r>
              <w:rPr>
                <w:rFonts w:ascii="宋体" w:hAnsi="宋体" w:cs="宋体" w:eastAsia="宋体" w:hint="default"/>
                <w:sz w:val="18"/>
                <w:szCs w:val="18"/>
              </w:rPr>
              <w:t>韩海青；黄 新；李佳；李 江；卢晓英； 任炜；水军；</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28"/>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08"/>
              <w:jc w:val="left"/>
              <w:rPr>
                <w:rFonts w:ascii="宋体" w:hAnsi="宋体" w:cs="宋体" w:eastAsia="宋体" w:hint="default"/>
                <w:sz w:val="18"/>
                <w:szCs w:val="18"/>
              </w:rPr>
            </w:pPr>
            <w:r>
              <w:rPr>
                <w:rFonts w:ascii="宋体" w:hAnsi="宋体" w:cs="宋体" w:eastAsia="宋体" w:hint="default"/>
                <w:spacing w:val="-5"/>
                <w:sz w:val="18"/>
                <w:szCs w:val="18"/>
              </w:rPr>
              <w:t>有）。本次重组实施完成后，本人由于美亚柏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科配股、转增股本等原因增持的美亚柏科股 份，亦应遵守上述承诺。本人如担任美亚柏 科董监高，则会同时遵守美亚柏科章程以及</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2019-01-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18</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6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苏学武；孙士</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《中华人民共和国证券法</w:t>
            </w:r>
            <w:r>
              <w:rPr>
                <w:rFonts w:ascii="宋体" w:hAnsi="宋体" w:cs="宋体" w:eastAsia="宋体" w:hint="default"/>
                <w:spacing w:val="-90"/>
                <w:sz w:val="18"/>
                <w:szCs w:val="18"/>
              </w:rPr>
              <w:t>》、</w:t>
            </w:r>
            <w:r>
              <w:rPr>
                <w:rFonts w:ascii="宋体" w:hAnsi="宋体" w:cs="宋体" w:eastAsia="宋体" w:hint="default"/>
                <w:sz w:val="18"/>
                <w:szCs w:val="18"/>
              </w:rPr>
              <w:t>《深圳证</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玉；王亚明；</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券交易所股票上市规则》等法律、法规、规</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韦玉荣；叶树</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章、规范性文件有关股份有限公司及上市公</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21"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军；张红光</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司董事、监事、高级管理人员买卖公司股票</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的限制性规定。</w:t>
            </w:r>
            <w:r>
              <w:rPr>
                <w:rFonts w:ascii="Times New Roman" w:hAnsi="Times New Roman" w:cs="Times New Roman" w:eastAsia="Times New Roman" w:hint="default"/>
                <w:sz w:val="18"/>
                <w:szCs w:val="18"/>
              </w:rPr>
              <w:t>2</w:t>
            </w:r>
            <w:r>
              <w:rPr>
                <w:rFonts w:ascii="宋体" w:hAnsi="宋体" w:cs="宋体" w:eastAsia="宋体" w:hint="default"/>
                <w:sz w:val="18"/>
                <w:szCs w:val="18"/>
              </w:rPr>
              <w:t>、本次发行结束后，就本次</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重组本人获得的美亚柏科增发股份因美亚柏</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科发生除权除息事项而增加的股份，亦遵守</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上述锁定期承诺。</w:t>
            </w:r>
            <w:r>
              <w:rPr>
                <w:rFonts w:ascii="Times New Roman" w:hAnsi="Times New Roman" w:cs="Times New Roman" w:eastAsia="Times New Roman" w:hint="default"/>
                <w:sz w:val="18"/>
                <w:szCs w:val="18"/>
              </w:rPr>
              <w:t>3</w:t>
            </w:r>
            <w:r>
              <w:rPr>
                <w:rFonts w:ascii="宋体" w:hAnsi="宋体" w:cs="宋体" w:eastAsia="宋体" w:hint="default"/>
                <w:sz w:val="18"/>
                <w:szCs w:val="18"/>
              </w:rPr>
              <w:t>、除上述锁定期之外，如</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本人未来在美亚柏科担任董事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人员，则本人在任期内每年转让的股份不超</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过本人所持有的美亚柏科股份总数的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离职后半年内，不转让本人所持有的美亚柏</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科股份。</w:t>
            </w:r>
            <w:r>
              <w:rPr>
                <w:rFonts w:ascii="Times New Roman" w:hAnsi="Times New Roman" w:cs="Times New Roman" w:eastAsia="Times New Roman" w:hint="default"/>
                <w:sz w:val="18"/>
                <w:szCs w:val="18"/>
              </w:rPr>
              <w:t>4</w:t>
            </w:r>
            <w:r>
              <w:rPr>
                <w:rFonts w:ascii="宋体" w:hAnsi="宋体" w:cs="宋体" w:eastAsia="宋体" w:hint="default"/>
                <w:sz w:val="18"/>
                <w:szCs w:val="18"/>
              </w:rPr>
              <w:t>、如截至本次发行完成之日，本人</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对用于认购对价股份的资产持续拥有权益的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时间不足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个月，则本人须按照适用法律的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规定，从本次发行完成日起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让对价股份。二、新德汇交易对方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过本次交易获得的美亚柏科增发股份自本次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个月内，本人将不通过任</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何方式转让。此后分步解锁，具体为：</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个月内，累计转让股票数量不超过</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本人在本次发行中所认购股票总数的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个月内，累计转让股票数量不</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超过本人在本次发行中所认购股票总数的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宋体" w:hAnsi="宋体" w:cs="宋体" w:eastAsia="宋体" w:hint="default"/>
                <w:sz w:val="18"/>
                <w:szCs w:val="18"/>
              </w:rPr>
              <w:t>，</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个月后，可自由转让其在本次发行</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中所认购的全部股份数量。本人实际解锁股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份数须扣除因盈利预测补偿而需由美亚柏科</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回购的股份数（若有</w:t>
            </w:r>
            <w:r>
              <w:rPr>
                <w:rFonts w:ascii="宋体" w:hAnsi="宋体" w:cs="宋体" w:eastAsia="宋体" w:hint="default"/>
                <w:spacing w:val="-90"/>
                <w:sz w:val="18"/>
                <w:szCs w:val="18"/>
              </w:rPr>
              <w:t>）</w:t>
            </w:r>
            <w:r>
              <w:rPr>
                <w:rFonts w:ascii="宋体" w:hAnsi="宋体" w:cs="宋体" w:eastAsia="宋体" w:hint="default"/>
                <w:sz w:val="18"/>
                <w:szCs w:val="18"/>
              </w:rPr>
              <w:t>。本次重组实施完成</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后，本人由于美亚柏科配股、转增股本等原</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因增持的美亚柏科股份，亦应遵守上述承</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诺。本人如担任美亚柏科董监高，则会同时</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遵守美亚柏科章程以及公司法</w:t>
            </w:r>
            <w:r>
              <w:rPr>
                <w:rFonts w:ascii="宋体" w:hAnsi="宋体" w:cs="宋体" w:eastAsia="宋体" w:hint="default"/>
                <w:spacing w:val="-90"/>
                <w:sz w:val="18"/>
                <w:szCs w:val="18"/>
              </w:rPr>
              <w:t>、</w:t>
            </w:r>
            <w:r>
              <w:rPr>
                <w:rFonts w:ascii="宋体" w:hAnsi="宋体" w:cs="宋体" w:eastAsia="宋体" w:hint="default"/>
                <w:sz w:val="18"/>
                <w:szCs w:val="18"/>
              </w:rPr>
              <w:t>《中华人民共</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和国证券法</w:t>
            </w:r>
            <w:r>
              <w:rPr>
                <w:rFonts w:ascii="宋体" w:hAnsi="宋体" w:cs="宋体" w:eastAsia="宋体" w:hint="default"/>
                <w:spacing w:val="-90"/>
                <w:sz w:val="18"/>
                <w:szCs w:val="18"/>
              </w:rPr>
              <w:t>》、</w:t>
            </w:r>
            <w:r>
              <w:rPr>
                <w:rFonts w:ascii="宋体" w:hAnsi="宋体" w:cs="宋体" w:eastAsia="宋体" w:hint="default"/>
                <w:sz w:val="18"/>
                <w:szCs w:val="18"/>
              </w:rPr>
              <w:t>《深圳证券交易所股票上市规</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则》等法律、法规、规章、规范性文件有关</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股份有限公司及上市公司董事、监事、高级</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管理人员买卖公司股票的限制性规定。</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次发行结束后，就本次重组本人获得的美亚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柏科增发股份因美亚柏科发生除权除息事项</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而增加的股份，亦遵守上述锁定期承诺。</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除上述锁定期之外，如本人未来在美亚柏科</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担任董事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高级管理人员，则本人在任期</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内每年转让的股份不超过本人所持有的美亚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柏科股份总数的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让本人所持有的美亚柏科股份。</w:t>
            </w:r>
            <w:r>
              <w:rPr>
                <w:rFonts w:ascii="Times New Roman" w:hAnsi="Times New Roman" w:cs="Times New Roman" w:eastAsia="Times New Roman" w:hint="default"/>
                <w:sz w:val="18"/>
                <w:szCs w:val="18"/>
              </w:rPr>
              <w:t>"</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、本人未直接或间接从事与美亚柏科及其下</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属子公司相同或相似业务的情形。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179"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郭永芳；滕达</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319" w:lineRule="auto" w:before="142"/>
              <w:ind w:left="22" w:right="12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98"/>
              <w:jc w:val="both"/>
              <w:rPr>
                <w:rFonts w:ascii="宋体" w:hAnsi="宋体" w:cs="宋体" w:eastAsia="宋体" w:hint="default"/>
                <w:sz w:val="18"/>
                <w:szCs w:val="18"/>
              </w:rPr>
            </w:pPr>
            <w:r>
              <w:rPr>
                <w:rFonts w:ascii="宋体" w:hAnsi="宋体" w:cs="宋体" w:eastAsia="宋体" w:hint="default"/>
                <w:sz w:val="18"/>
                <w:szCs w:val="18"/>
              </w:rPr>
              <w:t>本人直接或间接控制的其他企业不会直接或 间接经营任何与美亚柏科及其下属子公司经 营业务构成竞争或可能构成竞争的业务，亦 不会投资任何与美亚柏科及其下属子公司经 营的业务构成竞争或可能构成竞争的其他企 业；如本人及本人控制的企业与美亚柏科及 其下属子公司经营的业务产生竞争，则本人</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3" w:right="16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及本人控制的企业将采取停止经营产生竞争</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的业务的方式，或者采取将竞争的业务纳入</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美亚柏科的方式，或者采取将产生竞争的业</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务转让给无关联第三方等合法方式，使本人</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及本人控制的企业不再从事与美亚柏科及其</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下属子公司主营业务相同或类似的业务，以</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、如违反上述承诺给美亚柏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科造成损失的，本人将依法作出赔偿。</w:t>
            </w:r>
            <w:r>
              <w:rPr>
                <w:rFonts w:ascii="Times New Roman" w:hAnsi="Times New Roman" w:cs="Times New Roman" w:eastAsia="Times New Roman" w:hint="default"/>
                <w:sz w:val="18"/>
                <w:szCs w:val="18"/>
              </w:rPr>
              <w:t>4</w:t>
            </w:r>
            <w:r>
              <w:rPr>
                <w:rFonts w:ascii="宋体" w:hAnsi="宋体" w:cs="宋体" w:eastAsia="宋体" w:hint="default"/>
                <w:sz w:val="18"/>
                <w:szCs w:val="18"/>
              </w:rPr>
              <w:t>、上</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8"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述承诺至本人不再作为本公司的实际控制人</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满两年之日终止。</w:t>
            </w:r>
            <w:r>
              <w:rPr>
                <w:rFonts w:ascii="Times New Roman" w:hAnsi="Times New Roman" w:cs="Times New Roman" w:eastAsia="Times New Roman" w:hint="default"/>
                <w:sz w:val="18"/>
                <w:szCs w:val="18"/>
              </w:rPr>
              <w:t>"</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一、避免同业竞争的承诺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、本次重组前，</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本人未直接或间接从事与美亚柏科及其下属</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子公司相同或相似业务的情形。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、本次重组</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完成后，本人及本人直接或间接控制的其他</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企业不会直接或间接经营任何与美亚柏科及</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其下属子公司经营业务构成竞争或可能构成</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竞争的业务，亦不会投资任何与美亚柏科及</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其下属子公司经营的业务构成竞争或可能构</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成竞争的其他企业；如本人及本人控制的企</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业与美亚柏科及其下属子公司经营的业务产</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生竞争，则本人及本人控制的企业将采取停</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止经营产生竞争的业务的方式，或者采取将</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744"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4" w:right="161"/>
              <w:jc w:val="left"/>
              <w:rPr>
                <w:rFonts w:ascii="宋体" w:hAnsi="宋体" w:cs="宋体" w:eastAsia="宋体" w:hint="default"/>
                <w:sz w:val="18"/>
                <w:szCs w:val="18"/>
              </w:rPr>
            </w:pPr>
            <w:r>
              <w:rPr>
                <w:rFonts w:ascii="宋体" w:hAnsi="宋体" w:cs="宋体" w:eastAsia="宋体" w:hint="default"/>
                <w:sz w:val="18"/>
                <w:szCs w:val="18"/>
              </w:rPr>
              <w:t>安林冲；包志 翔；陈燕；仇 宏远；郭玉 智；韩海青； 黄新；李佳； 李江；卢晓 英；任炜；孙 士玉；王亚 明；韦玉荣； 叶树军；张红 光</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9" w:lineRule="auto"/>
              <w:ind w:left="22" w:right="12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65"/>
              <w:jc w:val="left"/>
              <w:rPr>
                <w:rFonts w:ascii="宋体" w:hAnsi="宋体" w:cs="宋体" w:eastAsia="宋体" w:hint="default"/>
                <w:sz w:val="18"/>
                <w:szCs w:val="18"/>
              </w:rPr>
            </w:pPr>
            <w:r>
              <w:rPr>
                <w:rFonts w:ascii="宋体" w:hAnsi="宋体" w:cs="宋体" w:eastAsia="宋体" w:hint="default"/>
                <w:sz w:val="18"/>
                <w:szCs w:val="18"/>
              </w:rPr>
              <w:t>竞争的业务纳入美亚柏科的方式，或者采取 将产生竞争的业务转让给无关联关系第三方 等合法方式，使本人及本人控制的企业不再 从事与美亚柏科及其下属子公司主营业务相 同或类似的业务，以避免同业竞争。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、如违 反上述承诺给美亚柏科造成损失的，本人将 依法作出赔偿。二、关于规范及减少关联交 易的承诺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、本次重组完成后，本人及本人的 关联企业与美亚柏科及其包括目标公司在内 的合并报表范围内各级控股公司将尽可能的 避免和减少关联交易。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、对于确有必要且无 法避免的关联交易，本人及本人的关联企业</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9" w:lineRule="auto"/>
              <w:ind w:left="23" w:right="16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将遵循市场化的公正、公平、公开的原则，</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按照有关法律法规、规范性文件和章程等有</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关规定，履行包括回避表决等合法程序，不</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通过关联关系谋求特殊的利益，不会进行任</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何有损美亚柏科和美亚柏科其他股东利益、</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特别是中小股东利益的关联交易。</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本人的关联企业与目标公司之间资金往来情</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况（如有</w:t>
            </w:r>
            <w:r>
              <w:rPr>
                <w:rFonts w:ascii="宋体" w:hAnsi="宋体" w:cs="宋体" w:eastAsia="宋体" w:hint="default"/>
                <w:spacing w:val="-90"/>
                <w:sz w:val="18"/>
                <w:szCs w:val="18"/>
              </w:rPr>
              <w:t>）</w:t>
            </w:r>
            <w:r>
              <w:rPr>
                <w:rFonts w:ascii="宋体" w:hAnsi="宋体" w:cs="宋体" w:eastAsia="宋体" w:hint="default"/>
                <w:sz w:val="18"/>
                <w:szCs w:val="18"/>
              </w:rPr>
              <w:t>，均发生在本次重组前，且相关资</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金占用款项已于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月前全部偿还；本</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人及本人的关联企业将不以任何方式违法违</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规占用美亚柏科及其包括目标公司在内的合</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并报表范围内各级控股公司的资金、资产，</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亦不要求美亚柏科及其包括目标公司在内的</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合并报表范围内各级控股公司为本人及本人</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的关联企业进行违规担保。</w:t>
            </w:r>
            <w:r>
              <w:rPr>
                <w:rFonts w:ascii="Times New Roman" w:hAnsi="Times New Roman" w:cs="Times New Roman" w:eastAsia="Times New Roman" w:hint="default"/>
                <w:sz w:val="18"/>
                <w:szCs w:val="18"/>
              </w:rPr>
              <w:t>4</w:t>
            </w:r>
            <w:r>
              <w:rPr>
                <w:rFonts w:ascii="宋体" w:hAnsi="宋体" w:cs="宋体" w:eastAsia="宋体" w:hint="default"/>
                <w:sz w:val="18"/>
                <w:szCs w:val="18"/>
              </w:rPr>
              <w:t>、为规范关联交</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易和杜绝关联方占用资金的隐患，江苏税软</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已完善内控制度，且本次重组完成后江苏税</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软将进行董事会改选，美亚柏科有权任命江</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苏税软的财务总监，江苏税软将按照上市公</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司要求规范关联交易审批程序。</w:t>
            </w:r>
            <w:r>
              <w:rPr>
                <w:rFonts w:ascii="Times New Roman" w:hAnsi="Times New Roman" w:cs="Times New Roman" w:eastAsia="Times New Roman" w:hint="default"/>
                <w:sz w:val="18"/>
                <w:szCs w:val="18"/>
              </w:rPr>
              <w:t>5</w:t>
            </w:r>
            <w:r>
              <w:rPr>
                <w:rFonts w:ascii="宋体" w:hAnsi="宋体" w:cs="宋体" w:eastAsia="宋体" w:hint="default"/>
                <w:sz w:val="18"/>
                <w:szCs w:val="18"/>
              </w:rPr>
              <w:t>、如违反上</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8"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述承诺给美亚柏科造成损失的，本人将依法</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作出赔偿。</w:t>
            </w:r>
            <w:r>
              <w:rPr>
                <w:rFonts w:ascii="Times New Roman" w:hAnsi="Times New Roman" w:cs="Times New Roman" w:eastAsia="Times New Roman" w:hint="default"/>
                <w:sz w:val="18"/>
                <w:szCs w:val="18"/>
              </w:rPr>
              <w:t>"</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一、避免同业竞争的承诺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、本次重组前，</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除所经营新德汇外本人未直接或间接从事与</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美亚柏科及其下属子公司相同或相似业务的</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、本次重组完成后，本人及本人直接</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或间接控制的其他企业不会直接或间接经营</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任何与美亚柏科及其下属子公司现有销售的</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产品线及其提供的服务构成竞争或可能构成</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竞争的业务，亦不会投资任何与美亚柏科及</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其下属子公司现有销售的产品线及其提供的</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服务构成竞争或可能构成竞争的其他企业；</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如本人及本人控制的企业与美亚柏科及其下</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属子公司现有销售的产品线及其提供的服务</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产生竞争，则本人及本人控制的企业将采取</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停止经营产生竞争的业务的方式，或者采取</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将竞争的业务纳入美亚柏科的方式，或者采</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341"/>
              <w:jc w:val="left"/>
              <w:rPr>
                <w:rFonts w:ascii="宋体" w:hAnsi="宋体" w:cs="宋体" w:eastAsia="宋体" w:hint="default"/>
                <w:sz w:val="18"/>
                <w:szCs w:val="18"/>
              </w:rPr>
            </w:pPr>
            <w:r>
              <w:rPr>
                <w:rFonts w:ascii="宋体" w:hAnsi="宋体" w:cs="宋体" w:eastAsia="宋体" w:hint="default"/>
                <w:sz w:val="18"/>
                <w:szCs w:val="18"/>
              </w:rPr>
              <w:t>邓炽成；水 军；苏学武</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28"/>
              <w:jc w:val="both"/>
              <w:rPr>
                <w:rFonts w:ascii="宋体" w:hAnsi="宋体" w:cs="宋体" w:eastAsia="宋体" w:hint="default"/>
                <w:sz w:val="18"/>
                <w:szCs w:val="18"/>
              </w:rPr>
            </w:pPr>
            <w:r>
              <w:rPr>
                <w:rFonts w:ascii="宋体" w:hAnsi="宋体" w:cs="宋体" w:eastAsia="宋体" w:hint="default"/>
                <w:sz w:val="18"/>
                <w:szCs w:val="18"/>
              </w:rPr>
              <w:t>竞争、关 联交易、 资金占用 方面的承</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98"/>
              <w:jc w:val="both"/>
              <w:rPr>
                <w:rFonts w:ascii="宋体" w:hAnsi="宋体" w:cs="宋体" w:eastAsia="宋体" w:hint="default"/>
                <w:sz w:val="18"/>
                <w:szCs w:val="18"/>
              </w:rPr>
            </w:pPr>
            <w:r>
              <w:rPr>
                <w:rFonts w:ascii="宋体" w:hAnsi="宋体" w:cs="宋体" w:eastAsia="宋体" w:hint="default"/>
                <w:sz w:val="18"/>
                <w:szCs w:val="18"/>
              </w:rPr>
              <w:t>取将产生竞争的业务转让给无关联关系第三 方等合法方式，使本人及本人控制的企业不 再从事与美亚柏科及其下属子公司现有销售 的产品线及其提供的服务相同或类似的业</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6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26"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务，以避免同业竞争。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、如违反上述承诺给</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美亚柏科造成损失的，本人将依法作出赔</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偿。二、关于规范及减少关联交易的承诺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本次重组完成后，本人及本人的关联企业与</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美亚柏科及其包括目标公司在内的合并报表</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范围内各级控股公司将尽可能的避免和减少</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、对于确有必要且无法避免的关</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联交易，本人及本人的关联企业将遵循市场</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化的公正、公平、公开的原则，按照有关法</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律法规、规范性文件和章程等有关规定，履</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行包括回避表决等合法程序，不通过关联关</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系谋求特殊的利益，不会进行任何有损美亚</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柏科和美亚柏科其他股东利益、特别是中小</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股东利益的关联交易。</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、本人及本人的关联</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企业将不以任何方式违法违规占用美亚柏科</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及其包括目标公司在内的合并报表范围内各</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级控股公司的资金、资产，亦不要求美亚柏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科及其包括目标公司在内的合并报表范围内</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各级控股公司为本人及本人的关联企业进行</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违规担保。</w:t>
            </w:r>
            <w:r>
              <w:rPr>
                <w:rFonts w:ascii="Times New Roman" w:hAnsi="Times New Roman" w:cs="Times New Roman" w:eastAsia="Times New Roman" w:hint="default"/>
                <w:sz w:val="18"/>
                <w:szCs w:val="18"/>
              </w:rPr>
              <w:t>4</w:t>
            </w:r>
            <w:r>
              <w:rPr>
                <w:rFonts w:ascii="宋体" w:hAnsi="宋体" w:cs="宋体" w:eastAsia="宋体" w:hint="default"/>
                <w:sz w:val="18"/>
                <w:szCs w:val="18"/>
              </w:rPr>
              <w:t>、如违反上述承诺给美亚柏科造</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成损失的，本人将依法作出赔偿。</w:t>
            </w:r>
            <w:r>
              <w:rPr>
                <w:rFonts w:ascii="Times New Roman" w:hAnsi="Times New Roman" w:cs="Times New Roman" w:eastAsia="Times New Roman" w:hint="default"/>
                <w:sz w:val="18"/>
                <w:szCs w:val="18"/>
              </w:rPr>
              <w:t>"</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4146"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安林冲；包志 翔；陈燕；仇 宏远；邓炽 成；郭玉智； 韩海青；黄 新；李佳；李 江；卢晓英； 任炜；水军； 苏学武；孙士 玉；王亚明； 韦玉荣；叶树 军；张红光</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江苏税软及新德汇交易对方</w:t>
            </w:r>
            <w:r>
              <w:rPr>
                <w:rFonts w:ascii="Times New Roman" w:hAnsi="Times New Roman" w:cs="Times New Roman" w:eastAsia="Times New Roman" w:hint="default"/>
                <w:sz w:val="18"/>
                <w:szCs w:val="18"/>
              </w:rPr>
              <w:t>:</w:t>
            </w:r>
            <w:r>
              <w:rPr>
                <w:rFonts w:ascii="宋体" w:hAnsi="宋体" w:cs="宋体" w:eastAsia="宋体" w:hint="default"/>
                <w:sz w:val="18"/>
                <w:szCs w:val="18"/>
              </w:rPr>
              <w:t>关于提供材料真 实性、准确性、完整性的承诺本人保证所提 供的信息的真实性、准确性和完整性，不存 在虚假记载、误导性陈述或重大遗漏；本人 对所提供信息的真实性、准确性和完整性承 担个别和连带的法律责任。如因提供的信息 存在虚假记载、误导性陈述或者重大遗漏， 本人将依法承担赔偿责任。如本次重组因涉 嫌所提供或者披露的信息存在虚假记载、误 导性陈述或者重大遗漏，被司法机关立案侦 查或者被中国证监会立案调查的，在案件调 查结论明确之前，本人将暂停转让在上市公 司拥有权益的股份。</w:t>
            </w:r>
            <w:r>
              <w:rPr>
                <w:rFonts w:ascii="Times New Roman" w:hAnsi="Times New Roman" w:cs="Times New Roman" w:eastAsia="Times New Roman"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64"/>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57" w:hRule="exact"/>
        </w:trPr>
        <w:tc>
          <w:tcPr>
            <w:tcW w:w="12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高峰；郭泓；</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中。高峰</w:t>
            </w:r>
          </w:p>
        </w:tc>
      </w:tr>
      <w:tr>
        <w:trPr>
          <w:trHeight w:val="1253"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61"/>
              <w:jc w:val="left"/>
              <w:rPr>
                <w:rFonts w:ascii="宋体" w:hAnsi="宋体" w:cs="宋体" w:eastAsia="宋体" w:hint="default"/>
                <w:sz w:val="18"/>
                <w:szCs w:val="18"/>
              </w:rPr>
            </w:pPr>
            <w:r>
              <w:rPr>
                <w:rFonts w:ascii="宋体" w:hAnsi="宋体" w:cs="宋体" w:eastAsia="宋体" w:hint="default"/>
                <w:sz w:val="18"/>
                <w:szCs w:val="18"/>
              </w:rPr>
              <w:t>郭永芳；李国 林；申强；吴 鸿伟；张乃 军；张雪峰；</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28"/>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07" w:lineRule="auto" w:before="11"/>
              <w:ind w:left="22" w:right="4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任职期间每年转让直接或间接持有的发行人 股份不超过其所持有发行人股份总数的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；离职后半年内，不转让其直接或间接持 有的发行人股份。</w:t>
            </w:r>
            <w:r>
              <w:rPr>
                <w:rFonts w:ascii="Times New Roman" w:hAnsi="Times New Roman" w:cs="Times New Roman" w:eastAsia="Times New Roman" w:hint="default"/>
                <w:sz w:val="18"/>
                <w:szCs w:val="18"/>
              </w:rPr>
              <w:t>"</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3"/>
              <w:ind w:left="23"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 任，郭泓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w:t>
            </w:r>
          </w:p>
        </w:tc>
      </w:tr>
      <w:tr>
        <w:trPr>
          <w:trHeight w:val="35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任。</w:t>
            </w:r>
          </w:p>
        </w:tc>
      </w:tr>
      <w:tr>
        <w:trPr>
          <w:trHeight w:val="5042" w:hRule="exact"/>
        </w:trPr>
        <w:tc>
          <w:tcPr>
            <w:tcW w:w="124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2" w:right="127"/>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4" w:right="161"/>
              <w:jc w:val="both"/>
              <w:rPr>
                <w:rFonts w:ascii="宋体" w:hAnsi="宋体" w:cs="宋体" w:eastAsia="宋体" w:hint="default"/>
                <w:sz w:val="18"/>
                <w:szCs w:val="18"/>
              </w:rPr>
            </w:pPr>
            <w:r>
              <w:rPr>
                <w:rFonts w:ascii="宋体" w:hAnsi="宋体" w:cs="宋体" w:eastAsia="宋体" w:hint="default"/>
                <w:sz w:val="18"/>
                <w:szCs w:val="18"/>
              </w:rPr>
              <w:t>郭永芳；李国 林；刘祥南； 滕达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28"/>
              <w:jc w:val="left"/>
              <w:rPr>
                <w:rFonts w:ascii="宋体" w:hAnsi="宋体" w:cs="宋体" w:eastAsia="宋体" w:hint="default"/>
                <w:sz w:val="18"/>
                <w:szCs w:val="18"/>
              </w:rPr>
            </w:pPr>
            <w:r>
              <w:rPr>
                <w:rFonts w:ascii="宋体" w:hAnsi="宋体" w:cs="宋体" w:eastAsia="宋体" w:hint="default"/>
                <w:sz w:val="18"/>
                <w:szCs w:val="18"/>
              </w:rPr>
              <w:t>股东一致 行动承诺</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为保持公司经营决策的一致性，郭永芳、滕 </w:t>
            </w:r>
            <w:r>
              <w:rPr>
                <w:rFonts w:ascii="宋体" w:hAnsi="宋体" w:cs="宋体" w:eastAsia="宋体" w:hint="default"/>
                <w:spacing w:val="-5"/>
                <w:sz w:val="18"/>
                <w:szCs w:val="18"/>
              </w:rPr>
              <w:t>达、刘祥南三人签订了《一致行动协议》，互</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为一致行动人。《一致行动协议》具体内容如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下：</w:t>
            </w: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、根据公司法等有关法律法规和公司章 程需要由公司股东大会、董事会作出决议的 事项，均为各方应一致行动进行表决的内 容。</w:t>
            </w:r>
            <w:r>
              <w:rPr>
                <w:rFonts w:ascii="Times New Roman" w:hAnsi="Times New Roman" w:cs="Times New Roman" w:eastAsia="Times New Roman" w:hint="default"/>
                <w:sz w:val="18"/>
                <w:szCs w:val="18"/>
              </w:rPr>
              <w:t>2</w:t>
            </w:r>
            <w:r>
              <w:rPr>
                <w:rFonts w:ascii="宋体" w:hAnsi="宋体" w:cs="宋体" w:eastAsia="宋体" w:hint="default"/>
                <w:sz w:val="18"/>
                <w:szCs w:val="18"/>
              </w:rPr>
              <w:t>、各方遵照有关法律、法规的规定和协 议的约定以及各自所作出的承诺行使权利。 </w:t>
            </w:r>
            <w:r>
              <w:rPr>
                <w:rFonts w:ascii="Times New Roman" w:hAnsi="Times New Roman" w:cs="Times New Roman" w:eastAsia="Times New Roman" w:hint="default"/>
                <w:sz w:val="18"/>
                <w:szCs w:val="18"/>
              </w:rPr>
              <w:t>3</w:t>
            </w:r>
            <w:r>
              <w:rPr>
                <w:rFonts w:ascii="宋体" w:hAnsi="宋体" w:cs="宋体" w:eastAsia="宋体" w:hint="default"/>
                <w:sz w:val="18"/>
                <w:szCs w:val="18"/>
              </w:rPr>
              <w:t>、在协议有效期内，除关联交易需要回避的 情形外，一致行动人为公司股东的，各方保 证在参加公司股东大会行使表决权时与本协 议他方保持一致。在协议有效期内，各方可 以亲自参加公司召开的股东大会，也可以委 托协议他方代为参加股东大会并行使表决 权。</w:t>
            </w:r>
            <w:r>
              <w:rPr>
                <w:rFonts w:ascii="Times New Roman" w:hAnsi="Times New Roman" w:cs="Times New Roman" w:eastAsia="Times New Roman" w:hint="default"/>
                <w:sz w:val="18"/>
                <w:szCs w:val="18"/>
              </w:rPr>
              <w:t>4</w:t>
            </w:r>
            <w:r>
              <w:rPr>
                <w:rFonts w:ascii="宋体" w:hAnsi="宋体" w:cs="宋体" w:eastAsia="宋体" w:hint="default"/>
                <w:sz w:val="18"/>
                <w:szCs w:val="18"/>
              </w:rPr>
              <w:t>、在协议有效期内，除关联交易需要回 避的情形外，在董事会召开会议表决时，各</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4" w:lineRule="auto"/>
              <w:ind w:left="23"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已履行完 毕；未发 现违反承 诺的情 况</w:t>
            </w:r>
            <w:r>
              <w:rPr>
                <w:rFonts w:ascii="Times New Roman" w:hAnsi="Times New Roman" w:cs="Times New Roman" w:eastAsia="Times New Roman" w:hint="default"/>
                <w:sz w:val="18"/>
                <w:szCs w:val="18"/>
              </w:rPr>
              <w:t>.</w:t>
            </w:r>
            <w:r>
              <w:rPr>
                <w:rFonts w:ascii="宋体" w:hAnsi="宋体" w:cs="宋体" w:eastAsia="宋体" w:hint="default"/>
                <w:sz w:val="18"/>
                <w:szCs w:val="18"/>
              </w:rPr>
              <w:t>。详见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309" w:lineRule="auto" w:before="1"/>
              <w:ind w:left="23" w:right="7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露于巨潮 资讯网</w:t>
            </w:r>
          </w:p>
          <w:p>
            <w:pPr>
              <w:pStyle w:val="TableParagraph"/>
              <w:spacing w:line="319" w:lineRule="auto" w:before="24"/>
              <w:ind w:left="23" w:right="74"/>
              <w:jc w:val="left"/>
              <w:rPr>
                <w:rFonts w:ascii="宋体" w:hAnsi="宋体" w:cs="宋体" w:eastAsia="宋体" w:hint="default"/>
                <w:sz w:val="18"/>
                <w:szCs w:val="18"/>
              </w:rPr>
            </w:pPr>
            <w:r>
              <w:rPr>
                <w:rFonts w:ascii="宋体" w:hAnsi="宋体" w:cs="宋体" w:eastAsia="宋体" w:hint="default"/>
                <w:sz w:val="18"/>
                <w:szCs w:val="18"/>
              </w:rPr>
              <w:t>《关于一 致行动协 议到期的 </w:t>
            </w:r>
            <w:r>
              <w:rPr>
                <w:rFonts w:ascii="宋体" w:hAnsi="宋体" w:cs="宋体" w:eastAsia="宋体" w:hint="default"/>
                <w:spacing w:val="-18"/>
                <w:sz w:val="18"/>
                <w:szCs w:val="18"/>
              </w:rPr>
              <w:t>公告》（公</w:t>
            </w:r>
            <w:r>
              <w:rPr>
                <w:rFonts w:ascii="宋体" w:hAnsi="宋体" w:cs="宋体" w:eastAsia="宋体" w:hint="default"/>
                <w:sz w:val="18"/>
                <w:szCs w:val="18"/>
              </w:rPr>
              <w:t> 告编号： </w:t>
            </w:r>
            <w:r>
              <w:rPr>
                <w:rFonts w:ascii="Times New Roman" w:hAnsi="Times New Roman" w:cs="Times New Roman" w:eastAsia="Times New Roman" w:hint="default"/>
                <w:sz w:val="18"/>
                <w:szCs w:val="18"/>
              </w:rPr>
              <w:t>2017-13</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17"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方亦与协议他方保持一致。如担任董事的一</w:t>
            </w:r>
          </w:p>
        </w:tc>
        <w:tc>
          <w:tcPr>
            <w:tcW w:w="709" w:type="dxa"/>
            <w:vMerge w:val="restart"/>
            <w:tcBorders>
              <w:top w:val="single" w:sz="4" w:space="0" w:color="000000"/>
              <w:left w:val="single" w:sz="4" w:space="0" w:color="000000"/>
              <w:right w:val="single" w:sz="4" w:space="0" w:color="000000"/>
            </w:tcBorders>
          </w:tcPr>
          <w:p>
            <w:pPr/>
          </w:p>
        </w:tc>
        <w:tc>
          <w:tcPr>
            <w:tcW w:w="882"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方不能参加董事会需要委托其他董事参加会</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议时，应委托协议他方代为投票表决。</w:t>
            </w:r>
            <w:r>
              <w:rPr>
                <w:rFonts w:ascii="Times New Roman" w:hAnsi="Times New Roman" w:cs="Times New Roman" w:eastAsia="Times New Roman" w:hint="default"/>
                <w:sz w:val="18"/>
                <w:szCs w:val="18"/>
              </w:rPr>
              <w:t>5</w:t>
            </w:r>
            <w:r>
              <w:rPr>
                <w:rFonts w:ascii="宋体" w:hAnsi="宋体" w:cs="宋体" w:eastAsia="宋体" w:hint="default"/>
                <w:sz w:val="18"/>
                <w:szCs w:val="18"/>
              </w:rPr>
              <w:t>、协</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议自签署之日起生效，至公司股票上市之日</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个月时止。协议一经签订即不可撤</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销，除非协议所规定的期限届满。除上述</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《一致行动协议》外，李国林也承诺公司股</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个月内在股东大会、董事</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会行使表决权时与郭永芳保持一致。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日，公司实际控制人郭永芳、滕达和</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8"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刘祥南续签了《一致行动协议</w:t>
            </w:r>
            <w:r>
              <w:rPr>
                <w:rFonts w:ascii="宋体" w:hAnsi="宋体" w:cs="宋体" w:eastAsia="宋体" w:hint="default"/>
                <w:spacing w:val="-90"/>
                <w:sz w:val="18"/>
                <w:szCs w:val="18"/>
              </w:rPr>
              <w:t>》</w:t>
            </w:r>
            <w:r>
              <w:rPr>
                <w:rFonts w:ascii="宋体" w:hAnsi="宋体" w:cs="宋体" w:eastAsia="宋体" w:hint="default"/>
                <w:sz w:val="18"/>
                <w:szCs w:val="18"/>
              </w:rPr>
              <w:t>，协议有效期</w:t>
            </w:r>
          </w:p>
        </w:tc>
        <w:tc>
          <w:tcPr>
            <w:tcW w:w="709"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Times New Roman" w:hAnsi="Times New Roman" w:cs="Times New Roman" w:eastAsia="Times New Roman" w:hint="default"/>
                <w:sz w:val="18"/>
                <w:szCs w:val="18"/>
              </w:rPr>
              <w:t>."</w:t>
            </w:r>
          </w:p>
        </w:tc>
        <w:tc>
          <w:tcPr>
            <w:tcW w:w="709"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62"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关于关联交易的承诺：在本人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本公司持有美</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亚柏科股份期间，本人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投资的全资、控股子企业或公司将尽量避免</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与美亚柏科发生关联交易，如与美亚柏科发</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61"/>
              <w:jc w:val="left"/>
              <w:rPr>
                <w:rFonts w:ascii="宋体" w:hAnsi="宋体" w:cs="宋体" w:eastAsia="宋体" w:hint="default"/>
                <w:sz w:val="18"/>
                <w:szCs w:val="18"/>
              </w:rPr>
            </w:pPr>
            <w:r>
              <w:rPr>
                <w:rFonts w:ascii="宋体" w:hAnsi="宋体" w:cs="宋体" w:eastAsia="宋体" w:hint="default"/>
                <w:sz w:val="18"/>
                <w:szCs w:val="18"/>
              </w:rPr>
              <w:t>郭永芳；李国 林</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both"/>
              <w:rPr>
                <w:rFonts w:ascii="宋体" w:hAnsi="宋体" w:cs="宋体" w:eastAsia="宋体" w:hint="default"/>
                <w:sz w:val="18"/>
                <w:szCs w:val="18"/>
              </w:rPr>
            </w:pPr>
            <w:r>
              <w:rPr>
                <w:rFonts w:ascii="宋体" w:hAnsi="宋体" w:cs="宋体" w:eastAsia="宋体" w:hint="default"/>
                <w:sz w:val="18"/>
                <w:szCs w:val="18"/>
              </w:rPr>
              <w:t>竞争、关 联交易、 资金占用 方面的承</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99"/>
              <w:jc w:val="left"/>
              <w:rPr>
                <w:rFonts w:ascii="宋体" w:hAnsi="宋体" w:cs="宋体" w:eastAsia="宋体" w:hint="default"/>
                <w:sz w:val="18"/>
                <w:szCs w:val="18"/>
              </w:rPr>
            </w:pPr>
            <w:r>
              <w:rPr>
                <w:rFonts w:ascii="宋体" w:hAnsi="宋体" w:cs="宋体" w:eastAsia="宋体" w:hint="default"/>
                <w:sz w:val="18"/>
                <w:szCs w:val="18"/>
              </w:rPr>
              <w:t>生不可避免的关联交易，本人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本公司下属全资、控股子企业或公司将严格 </w:t>
            </w:r>
            <w:r>
              <w:rPr>
                <w:rFonts w:ascii="宋体" w:hAnsi="宋体" w:cs="宋体" w:eastAsia="宋体" w:hint="default"/>
                <w:spacing w:val="-18"/>
                <w:sz w:val="18"/>
                <w:szCs w:val="18"/>
              </w:rPr>
              <w:t>按照《公司法》、《证券法》、《厦门市美亚柏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科信息股份有限公司章程》和《厦门市美亚</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64"/>
              <w:jc w:val="left"/>
              <w:rPr>
                <w:rFonts w:ascii="宋体" w:hAnsi="宋体" w:cs="宋体" w:eastAsia="宋体" w:hint="default"/>
                <w:sz w:val="18"/>
                <w:szCs w:val="18"/>
              </w:rPr>
            </w:pPr>
            <w:r>
              <w:rPr>
                <w:rFonts w:ascii="宋体" w:hAnsi="宋体" w:cs="宋体" w:eastAsia="宋体" w:hint="default"/>
                <w:sz w:val="18"/>
                <w:szCs w:val="18"/>
              </w:rPr>
              <w:t>正在履 行，未发 现违反承 诺的情况</w:t>
            </w: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柏科信息股份有限公司关联交易管理制度》</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的规定规范关联交易行为。如违反上述承</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本公司愿承担由此产生的一切法律</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责任。</w:t>
            </w:r>
            <w:r>
              <w:rPr>
                <w:rFonts w:ascii="Times New Roman" w:hAnsi="Times New Roman" w:cs="Times New Roman" w:eastAsia="Times New Roman" w:hint="default"/>
                <w:sz w:val="18"/>
                <w:szCs w:val="18"/>
              </w:rPr>
              <w:t>"</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《避免同业竞争承诺函》承诺：</w:t>
            </w:r>
            <w:r>
              <w:rPr>
                <w:rFonts w:ascii="Times New Roman" w:hAnsi="Times New Roman" w:cs="Times New Roman" w:eastAsia="Times New Roman" w:hint="default"/>
                <w:sz w:val="18"/>
                <w:szCs w:val="18"/>
              </w:rPr>
              <w:t>"</w:t>
            </w:r>
            <w:r>
              <w:rPr>
                <w:rFonts w:ascii="宋体" w:hAnsi="宋体" w:cs="宋体" w:eastAsia="宋体" w:hint="default"/>
                <w:sz w:val="18"/>
                <w:szCs w:val="18"/>
              </w:rPr>
              <w:t>确认及保证</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在承诺函签署之日前与美亚柏科不存在直接</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或间接的同业竞争情形；承诺不直接或间接</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从事或发展与美亚柏科经营范围相同或相类</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丛艳芬；高 峰；郭永芳； 黄基鹏；李国 林；申强；滕 达；吴鸿伟； 张乃军；张雪 峰；赵庸</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28"/>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8"/>
              <w:jc w:val="both"/>
              <w:rPr>
                <w:rFonts w:ascii="宋体" w:hAnsi="宋体" w:cs="宋体" w:eastAsia="宋体" w:hint="default"/>
                <w:sz w:val="18"/>
                <w:szCs w:val="18"/>
              </w:rPr>
            </w:pPr>
            <w:r>
              <w:rPr>
                <w:rFonts w:ascii="宋体" w:hAnsi="宋体" w:cs="宋体" w:eastAsia="宋体" w:hint="default"/>
                <w:sz w:val="18"/>
                <w:szCs w:val="18"/>
              </w:rPr>
              <w:t>似的业务或项目，也不为自身或代表任何第 三方与美亚柏科进行直接或间接的竞争；承 诺不利用从美亚柏科获取的信息从事、直接 或间接参与与美亚柏科相竞争的活动，并承 诺不进行任何损害或可能损害美亚柏科利益 的其他竞争行为；从任何第三方获得的任何 商业机会与美亚柏科所从事的业务有实质性 竞争或可能有实质性竞争，将立即通知美亚</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sz w:val="18"/>
              </w:rPr>
              <w:t>9999-12-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164"/>
              <w:jc w:val="left"/>
              <w:rPr>
                <w:rFonts w:ascii="宋体" w:hAnsi="宋体" w:cs="宋体" w:eastAsia="宋体" w:hint="default"/>
                <w:sz w:val="18"/>
                <w:szCs w:val="18"/>
              </w:rPr>
            </w:pPr>
            <w:r>
              <w:rPr>
                <w:rFonts w:ascii="宋体" w:hAnsi="宋体" w:cs="宋体" w:eastAsia="宋体" w:hint="default"/>
                <w:sz w:val="18"/>
                <w:szCs w:val="18"/>
              </w:rPr>
              <w:t>正在履 行，未发 现违反承 诺的情况</w:t>
            </w: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柏科，并将该商业机会让与美亚柏科；如出</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现违反上述承诺与保证而导致美亚柏科或其</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他股东权益受到损害的情况，承诺人将依法</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承担相应的赔偿责任。</w:t>
            </w:r>
            <w:r>
              <w:rPr>
                <w:rFonts w:ascii="Times New Roman" w:hAnsi="Times New Roman" w:cs="Times New Roman" w:eastAsia="Times New Roman" w:hint="default"/>
                <w:sz w:val="18"/>
                <w:szCs w:val="18"/>
              </w:rPr>
              <w:t>"</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厦门市美亚柏 科信息股份有 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both"/>
              <w:rPr>
                <w:rFonts w:ascii="宋体" w:hAnsi="宋体" w:cs="宋体" w:eastAsia="宋体" w:hint="default"/>
                <w:sz w:val="18"/>
                <w:szCs w:val="18"/>
              </w:rPr>
            </w:pPr>
            <w:r>
              <w:rPr>
                <w:rFonts w:ascii="宋体" w:hAnsi="宋体" w:cs="宋体" w:eastAsia="宋体" w:hint="default"/>
                <w:sz w:val="18"/>
                <w:szCs w:val="18"/>
              </w:rPr>
              <w:t>公司承诺不为公司第二期限制股票激励对象 提供贷款以及其他任何形式的财务资助，包 括为其贷款提供担保。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6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522" w:hRule="exact"/>
        </w:trPr>
        <w:tc>
          <w:tcPr>
            <w:tcW w:w="1242" w:type="dxa"/>
            <w:vMerge w:val="restart"/>
            <w:tcBorders>
              <w:top w:val="single" w:sz="4" w:space="0" w:color="000000"/>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4" w:right="161"/>
              <w:jc w:val="left"/>
              <w:rPr>
                <w:rFonts w:ascii="宋体" w:hAnsi="宋体" w:cs="宋体" w:eastAsia="宋体" w:hint="default"/>
                <w:sz w:val="18"/>
                <w:szCs w:val="18"/>
              </w:rPr>
            </w:pPr>
            <w:r>
              <w:rPr>
                <w:rFonts w:ascii="宋体" w:hAnsi="宋体" w:cs="宋体" w:eastAsia="宋体" w:hint="default"/>
                <w:sz w:val="18"/>
                <w:szCs w:val="18"/>
              </w:rPr>
              <w:t>葛鹏；李滢 雪；栾江霞； 苏学武；吴鸿 伟；张乃军； 赵庸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公司第二期限制性股票激励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w:t>
            </w:r>
          </w:p>
          <w:p>
            <w:pPr>
              <w:pStyle w:val="TableParagraph"/>
              <w:spacing w:line="316" w:lineRule="auto" w:before="63"/>
              <w:ind w:left="22" w:right="198"/>
              <w:jc w:val="both"/>
              <w:rPr>
                <w:rFonts w:ascii="宋体" w:hAnsi="宋体" w:cs="宋体" w:eastAsia="宋体" w:hint="default"/>
                <w:sz w:val="18"/>
                <w:szCs w:val="18"/>
              </w:rPr>
            </w:pPr>
            <w:r>
              <w:rPr>
                <w:rFonts w:ascii="宋体" w:hAnsi="宋体" w:cs="宋体" w:eastAsia="宋体" w:hint="default"/>
                <w:sz w:val="18"/>
                <w:szCs w:val="18"/>
              </w:rPr>
              <w:t>（包括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名董事及高管：苏学武、葛鹏、赵 庸、吴鸿伟、栾江霞、李滢雪、张乃军）承 诺：作为公司第二期限制性股票激励计划的 激励对象，承诺如因公司信息披露文件有虚 假记载、误导性陈述或者重大遗漏，导致不 符合授予权益或行使权益安排的，自相关信 息披露文件被确认存在虚假记载、误导性陈 述或者重大遗漏后，将由本计划所获得的全 部利益反还公司。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正常履行 中，其中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名原激 励对象离 职，授予 的限制性 股票已回 购，激励 对象由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471</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名变为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名。</w:t>
            </w:r>
          </w:p>
        </w:tc>
      </w:tr>
      <w:tr>
        <w:trPr>
          <w:trHeight w:val="363"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公司第二期限制性股票激励计划预留部分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名激励对象（包括高管张雪峰）承诺：作为</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公司第二期限制性股票激励计划的激励对</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8"/>
              <w:jc w:val="left"/>
              <w:rPr>
                <w:rFonts w:ascii="宋体" w:hAnsi="宋体" w:cs="宋体" w:eastAsia="宋体" w:hint="default"/>
                <w:sz w:val="18"/>
                <w:szCs w:val="18"/>
              </w:rPr>
            </w:pPr>
            <w:r>
              <w:rPr>
                <w:rFonts w:ascii="宋体" w:hAnsi="宋体" w:cs="宋体" w:eastAsia="宋体" w:hint="default"/>
                <w:sz w:val="18"/>
                <w:szCs w:val="18"/>
              </w:rPr>
              <w:t>象，承诺如因公司信息披露文件有虚假记 载、误导性陈述或者重大遗漏，导致不符合 授予权益或行使权益安排的，自相关信息披</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07</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3" w:right="16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1"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露文件被确认存在虚假记载、误导性陈述或</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者重大遗漏后，将由本计划所获得的全部利</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益反还公司。</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242" w:type="dxa"/>
            <w:vMerge/>
            <w:tcBorders>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本次限制性股票激励计划有效期为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限制性股票授予日起计，其中锁定期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解锁期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）自董事会确定的限制性股</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票授予日起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个月内为锁定期。在锁定期</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内，激励对象根据本计划获授的限制性股票</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予以锁定，不得转让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）自限制性股票激</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励计划授予日起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个月后，满足解锁条件</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的，激励对象可以申请解锁。首次授予分三</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期申请解锁，分别自授予日起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4" w:right="161"/>
              <w:jc w:val="both"/>
              <w:rPr>
                <w:rFonts w:ascii="宋体" w:hAnsi="宋体" w:cs="宋体" w:eastAsia="宋体" w:hint="default"/>
                <w:sz w:val="18"/>
                <w:szCs w:val="18"/>
              </w:rPr>
            </w:pPr>
            <w:r>
              <w:rPr>
                <w:rFonts w:ascii="宋体" w:hAnsi="宋体" w:cs="宋体" w:eastAsia="宋体" w:hint="default"/>
                <w:sz w:val="18"/>
                <w:szCs w:val="18"/>
              </w:rPr>
              <w:t>厦门市美亚柏 科信息股份有 限公司</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64"/>
              <w:jc w:val="both"/>
              <w:rPr>
                <w:rFonts w:ascii="宋体" w:hAnsi="宋体" w:cs="宋体" w:eastAsia="宋体" w:hint="default"/>
                <w:sz w:val="18"/>
                <w:szCs w:val="18"/>
              </w:rPr>
            </w:pPr>
            <w:r>
              <w:rPr>
                <w:rFonts w:ascii="宋体" w:hAnsi="宋体" w:cs="宋体" w:eastAsia="宋体" w:hint="default"/>
                <w:sz w:val="18"/>
                <w:szCs w:val="18"/>
              </w:rPr>
              <w:t>个月后及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个月后分别申请解锁所获授限制 性股票总量的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。预留部分分 两次申请解锁，分别自首次授予日起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后及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个月后分别申请解锁所获授限制性股</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Times New Roman" w:hAnsi="Times New Roman" w:cs="Times New Roman" w:eastAsia="Times New Roman" w:hint="default"/>
                <w:sz w:val="18"/>
                <w:szCs w:val="18"/>
              </w:rPr>
            </w:pPr>
            <w:r>
              <w:rPr>
                <w:rFonts w:ascii="Times New Roman"/>
                <w:sz w:val="18"/>
              </w:rPr>
              <w:t>2020-12-</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07</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16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票总量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）激励对象获授限制</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性股票的解锁条件为：激励对象当年年度考</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核、关键事件考核两项考核内容全部为合</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格。对于按照股权激励计划授予的限制性股</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票，激励对象每一次申请标的股票解锁的公</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司业绩条件为：以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年度净利润为基</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数，</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年公司每年净</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242" w:type="dxa"/>
            <w:vMerge/>
            <w:tcBorders>
              <w:left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883" w:type="dxa"/>
            <w:tcBorders>
              <w:top w:val="nil" w:sz="6" w:space="0" w:color="auto"/>
              <w:left w:val="single" w:sz="4" w:space="0" w:color="000000"/>
              <w:bottom w:val="nil" w:sz="6" w:space="0" w:color="auto"/>
              <w:right w:val="single" w:sz="4" w:space="0" w:color="000000"/>
            </w:tcBorders>
          </w:tcPr>
          <w:p>
            <w:pP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利润增长率不低于基准年净利润的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709" w:type="dxa"/>
            <w:tcBorders>
              <w:top w:val="nil" w:sz="6" w:space="0" w:color="auto"/>
              <w:left w:val="single" w:sz="4" w:space="0" w:color="000000"/>
              <w:bottom w:val="nil" w:sz="6" w:space="0" w:color="auto"/>
              <w:right w:val="single" w:sz="4" w:space="0" w:color="000000"/>
            </w:tcBorders>
          </w:tcPr>
          <w:p>
            <w:pPr/>
          </w:p>
        </w:tc>
        <w:tc>
          <w:tcPr>
            <w:tcW w:w="882"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其他对公司中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高峰；吴世雄</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高峰和吴世雄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日递交了辞职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2017-8-20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已履行完</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242"/>
        <w:gridCol w:w="1277"/>
        <w:gridCol w:w="883"/>
        <w:gridCol w:w="3653"/>
        <w:gridCol w:w="709"/>
        <w:gridCol w:w="882"/>
        <w:gridCol w:w="920"/>
      </w:tblGrid>
      <w:tr>
        <w:trPr>
          <w:trHeight w:val="322" w:hRule="exact"/>
        </w:trPr>
        <w:tc>
          <w:tcPr>
            <w:tcW w:w="124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小股东所作承</w:t>
            </w:r>
          </w:p>
        </w:tc>
        <w:tc>
          <w:tcPr>
            <w:tcW w:w="1277"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申请，并承诺：在离任后六个月内不转让本</w:t>
            </w: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882" w:type="dxa"/>
            <w:vMerge w:val="restart"/>
            <w:tcBorders>
              <w:top w:val="single" w:sz="4" w:space="0" w:color="000000"/>
              <w:left w:val="single" w:sz="4" w:space="0" w:color="000000"/>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35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人所持有的美亚柏科股份。</w:t>
            </w: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vMerge/>
            <w:tcBorders>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883" w:type="dxa"/>
            <w:tcBorders>
              <w:top w:val="single" w:sz="4" w:space="0" w:color="000000"/>
              <w:left w:val="single" w:sz="4" w:space="0" w:color="000000"/>
              <w:bottom w:val="nil" w:sz="6" w:space="0" w:color="auto"/>
              <w:right w:val="single" w:sz="4" w:space="0" w:color="000000"/>
            </w:tcBorders>
          </w:tcPr>
          <w:p>
            <w:pPr/>
          </w:p>
        </w:tc>
        <w:tc>
          <w:tcPr>
            <w:tcW w:w="36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李滢雪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日递交了辞职申请，</w:t>
            </w:r>
          </w:p>
        </w:tc>
        <w:tc>
          <w:tcPr>
            <w:tcW w:w="709" w:type="dxa"/>
            <w:tcBorders>
              <w:top w:val="single" w:sz="4" w:space="0" w:color="000000"/>
              <w:left w:val="single" w:sz="4" w:space="0" w:color="000000"/>
              <w:bottom w:val="nil" w:sz="6" w:space="0" w:color="auto"/>
              <w:right w:val="single" w:sz="4" w:space="0" w:color="000000"/>
            </w:tcBorders>
          </w:tcPr>
          <w:p>
            <w:pPr/>
          </w:p>
        </w:tc>
        <w:tc>
          <w:tcPr>
            <w:tcW w:w="882"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1243"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8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198"/>
              <w:jc w:val="both"/>
              <w:rPr>
                <w:rFonts w:ascii="宋体" w:hAnsi="宋体" w:cs="宋体" w:eastAsia="宋体" w:hint="default"/>
                <w:sz w:val="18"/>
                <w:szCs w:val="18"/>
              </w:rPr>
            </w:pPr>
            <w:r>
              <w:rPr>
                <w:rFonts w:ascii="宋体" w:hAnsi="宋体" w:cs="宋体" w:eastAsia="宋体" w:hint="default"/>
                <w:sz w:val="18"/>
                <w:szCs w:val="18"/>
              </w:rPr>
              <w:t>并承诺在离职后半年内不转让其所持有的美 亚柏科股份，并在其就任时确定的任期（第 三届董事会届满）及任期届满后六个月内， 每年转让股份不超过其所持有本公司股份总</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2019-2-27</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6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7"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883" w:type="dxa"/>
            <w:tcBorders>
              <w:top w:val="nil" w:sz="6" w:space="0" w:color="auto"/>
              <w:left w:val="single" w:sz="4" w:space="0" w:color="000000"/>
              <w:bottom w:val="single" w:sz="4" w:space="0" w:color="000000"/>
              <w:right w:val="single" w:sz="4" w:space="0" w:color="000000"/>
            </w:tcBorders>
          </w:tcPr>
          <w:p>
            <w:pPr/>
          </w:p>
        </w:tc>
        <w:tc>
          <w:tcPr>
            <w:tcW w:w="3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709" w:type="dxa"/>
            <w:tcBorders>
              <w:top w:val="nil" w:sz="6" w:space="0" w:color="auto"/>
              <w:left w:val="single" w:sz="4" w:space="0" w:color="000000"/>
              <w:bottom w:val="single" w:sz="4" w:space="0" w:color="000000"/>
              <w:right w:val="single" w:sz="4" w:space="0" w:color="000000"/>
            </w:tcBorders>
          </w:tcPr>
          <w:p>
            <w:pPr/>
          </w:p>
        </w:tc>
        <w:tc>
          <w:tcPr>
            <w:tcW w:w="882"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24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日发布了增持公司</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股票的计划，计划在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个月内增持公司股票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万元，并承诺在增持期间及增持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个月内不减持公司股票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2018-5-1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4"/>
              <w:jc w:val="both"/>
              <w:rPr>
                <w:rFonts w:ascii="宋体" w:hAnsi="宋体" w:cs="宋体" w:eastAsia="宋体" w:hint="default"/>
                <w:sz w:val="18"/>
                <w:szCs w:val="18"/>
              </w:rPr>
            </w:pPr>
            <w:r>
              <w:rPr>
                <w:rFonts w:ascii="宋体" w:hAnsi="宋体" w:cs="宋体" w:eastAsia="宋体" w:hint="default"/>
                <w:sz w:val="18"/>
                <w:szCs w:val="18"/>
              </w:rPr>
              <w:t>增持计划 已完成， 承诺正常 履行中</w:t>
            </w:r>
          </w:p>
        </w:tc>
      </w:tr>
      <w:tr>
        <w:trPr>
          <w:trHeight w:val="161" w:hRule="exact"/>
        </w:trPr>
        <w:tc>
          <w:tcPr>
            <w:tcW w:w="124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127"/>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3" w:type="dxa"/>
            <w:vMerge w:val="restart"/>
            <w:tcBorders>
              <w:top w:val="single" w:sz="4" w:space="0" w:color="000000"/>
              <w:left w:val="single" w:sz="4" w:space="0" w:color="000000"/>
              <w:right w:val="single" w:sz="4" w:space="0" w:color="000000"/>
            </w:tcBorders>
            <w:shd w:val="clear" w:color="auto" w:fill="D3D3D3"/>
          </w:tcPr>
          <w:p>
            <w:pPr/>
          </w:p>
        </w:tc>
        <w:tc>
          <w:tcPr>
            <w:tcW w:w="3653"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vMerge w:val="restart"/>
            <w:tcBorders>
              <w:top w:val="single" w:sz="4" w:space="0" w:color="000000"/>
              <w:left w:val="single" w:sz="4" w:space="0" w:color="000000"/>
              <w:right w:val="single" w:sz="4" w:space="0" w:color="000000"/>
            </w:tcBorders>
            <w:shd w:val="clear" w:color="auto" w:fill="D3D3D3"/>
          </w:tcPr>
          <w:p>
            <w:pPr/>
          </w:p>
        </w:tc>
        <w:tc>
          <w:tcPr>
            <w:tcW w:w="882" w:type="dxa"/>
            <w:vMerge w:val="restart"/>
            <w:tcBorders>
              <w:top w:val="single" w:sz="4" w:space="0" w:color="000000"/>
              <w:left w:val="single" w:sz="4" w:space="0" w:color="000000"/>
              <w:right w:val="single" w:sz="4" w:space="0" w:color="000000"/>
            </w:tcBorders>
            <w:shd w:val="clear" w:color="auto" w:fill="D3D3D3"/>
          </w:tcPr>
          <w:p>
            <w:pPr/>
          </w:p>
        </w:tc>
        <w:tc>
          <w:tcPr>
            <w:tcW w:w="920" w:type="dxa"/>
            <w:vMerge w:val="restart"/>
            <w:tcBorders>
              <w:top w:val="single" w:sz="4" w:space="0" w:color="000000"/>
              <w:left w:val="single" w:sz="4" w:space="0" w:color="000000"/>
              <w:right w:val="single" w:sz="4" w:space="0" w:color="000000"/>
            </w:tcBorders>
            <w:shd w:val="clear" w:color="auto" w:fill="D3D3D3"/>
          </w:tcPr>
          <w:p>
            <w:pPr/>
          </w:p>
        </w:tc>
      </w:tr>
      <w:tr>
        <w:trPr>
          <w:trHeight w:val="392" w:hRule="exact"/>
        </w:trPr>
        <w:tc>
          <w:tcPr>
            <w:tcW w:w="1242" w:type="dxa"/>
            <w:vMerge/>
            <w:tcBorders>
              <w:left w:val="single" w:sz="4" w:space="0" w:color="000000"/>
              <w:right w:val="single" w:sz="4" w:space="0" w:color="000000"/>
            </w:tcBorders>
            <w:shd w:val="clear" w:color="auto" w:fill="D3D3D3"/>
          </w:tcPr>
          <w:p>
            <w:pPr/>
          </w:p>
        </w:tc>
        <w:tc>
          <w:tcPr>
            <w:tcW w:w="1277"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shd w:val="clear" w:color="auto" w:fill="D3D3D3"/>
          </w:tcPr>
          <w:p>
            <w:pPr/>
          </w:p>
        </w:tc>
        <w:tc>
          <w:tcPr>
            <w:tcW w:w="3653"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c>
          <w:tcPr>
            <w:tcW w:w="920" w:type="dxa"/>
            <w:vMerge/>
            <w:tcBorders>
              <w:left w:val="single" w:sz="4" w:space="0" w:color="000000"/>
              <w:right w:val="single" w:sz="4" w:space="0" w:color="000000"/>
            </w:tcBorders>
            <w:shd w:val="clear" w:color="auto" w:fill="D3D3D3"/>
          </w:tcPr>
          <w:p>
            <w:pPr/>
          </w:p>
        </w:tc>
      </w:tr>
      <w:tr>
        <w:trPr>
          <w:trHeight w:val="161" w:hRule="exact"/>
        </w:trPr>
        <w:tc>
          <w:tcPr>
            <w:tcW w:w="1242"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shd w:val="clear" w:color="auto" w:fill="D3D3D3"/>
          </w:tcPr>
          <w:p>
            <w:pPr/>
          </w:p>
        </w:tc>
        <w:tc>
          <w:tcPr>
            <w:tcW w:w="3653"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c>
          <w:tcPr>
            <w:tcW w:w="920" w:type="dxa"/>
            <w:vMerge/>
            <w:tcBorders>
              <w:left w:val="single" w:sz="4" w:space="0" w:color="000000"/>
              <w:bottom w:val="single" w:sz="4" w:space="0" w:color="000000"/>
              <w:right w:val="single" w:sz="4" w:space="0" w:color="000000"/>
            </w:tcBorders>
            <w:shd w:val="clear" w:color="auto" w:fill="D3D3D3"/>
          </w:tcPr>
          <w:p>
            <w:pPr/>
          </w:p>
        </w:tc>
      </w:tr>
      <w:tr>
        <w:trPr>
          <w:trHeight w:val="357" w:hRule="exact"/>
        </w:trPr>
        <w:tc>
          <w:tcPr>
            <w:tcW w:w="124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w:t>
            </w:r>
          </w:p>
        </w:tc>
        <w:tc>
          <w:tcPr>
            <w:tcW w:w="8324" w:type="dxa"/>
            <w:gridSpan w:val="6"/>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履行完毕的，</w:t>
            </w:r>
          </w:p>
        </w:tc>
        <w:tc>
          <w:tcPr>
            <w:tcW w:w="8324"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应当详细说明</w:t>
            </w:r>
          </w:p>
        </w:tc>
        <w:tc>
          <w:tcPr>
            <w:tcW w:w="8324" w:type="dxa"/>
            <w:gridSpan w:val="6"/>
            <w:tcBorders>
              <w:top w:val="nil" w:sz="6" w:space="0" w:color="auto"/>
              <w:left w:val="single" w:sz="4" w:space="0" w:color="000000"/>
              <w:bottom w:val="nil" w:sz="6" w:space="0" w:color="auto"/>
              <w:right w:val="single" w:sz="4" w:space="0" w:color="000000"/>
            </w:tcBorders>
          </w:tcPr>
          <w:p>
            <w:pPr/>
          </w:p>
        </w:tc>
      </w:tr>
      <w:tr>
        <w:trPr>
          <w:trHeight w:val="313"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未完成履行的</w:t>
            </w:r>
          </w:p>
        </w:tc>
        <w:tc>
          <w:tcPr>
            <w:tcW w:w="832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1"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具体原因及下</w:t>
            </w:r>
          </w:p>
        </w:tc>
        <w:tc>
          <w:tcPr>
            <w:tcW w:w="8324" w:type="dxa"/>
            <w:gridSpan w:val="6"/>
            <w:tcBorders>
              <w:top w:val="nil" w:sz="6" w:space="0" w:color="auto"/>
              <w:left w:val="single" w:sz="4" w:space="0" w:color="000000"/>
              <w:bottom w:val="nil" w:sz="6" w:space="0" w:color="auto"/>
              <w:right w:val="single" w:sz="4" w:space="0" w:color="000000"/>
            </w:tcBorders>
          </w:tcPr>
          <w:p>
            <w:pPr/>
          </w:p>
        </w:tc>
      </w:tr>
      <w:tr>
        <w:trPr>
          <w:trHeight w:val="313" w:hRule="exact"/>
        </w:trPr>
        <w:tc>
          <w:tcPr>
            <w:tcW w:w="12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w:t>
            </w:r>
          </w:p>
        </w:tc>
        <w:tc>
          <w:tcPr>
            <w:tcW w:w="8324" w:type="dxa"/>
            <w:gridSpan w:val="6"/>
            <w:tcBorders>
              <w:top w:val="nil" w:sz="6" w:space="0" w:color="auto"/>
              <w:left w:val="single" w:sz="4" w:space="0" w:color="000000"/>
              <w:bottom w:val="nil" w:sz="6" w:space="0" w:color="auto"/>
              <w:right w:val="single" w:sz="4" w:space="0" w:color="000000"/>
            </w:tcBorders>
          </w:tcPr>
          <w:p>
            <w:pPr/>
          </w:p>
        </w:tc>
      </w:tr>
      <w:tr>
        <w:trPr>
          <w:trHeight w:val="357" w:hRule="exact"/>
        </w:trPr>
        <w:tc>
          <w:tcPr>
            <w:tcW w:w="124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8324" w:type="dxa"/>
            <w:gridSpan w:val="6"/>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24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324" w:type="dxa"/>
            <w:gridSpan w:val="6"/>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8"/>
        <w:rPr>
          <w:rFonts w:ascii="Times New Roman" w:hAnsi="Times New Roman" w:cs="Times New Roman" w:eastAsia="Times New Roman" w:hint="default"/>
          <w:sz w:val="21"/>
          <w:szCs w:val="21"/>
        </w:rPr>
      </w:pPr>
    </w:p>
    <w:p>
      <w:pPr>
        <w:pStyle w:val="Heading3"/>
        <w:spacing w:line="256"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194"/>
        <w:gridCol w:w="932"/>
        <w:gridCol w:w="959"/>
        <w:gridCol w:w="992"/>
        <w:gridCol w:w="992"/>
        <w:gridCol w:w="1276"/>
        <w:gridCol w:w="884"/>
        <w:gridCol w:w="233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1" w:right="50"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0" w:right="101"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3" w:right="23"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66" w:right="77"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38"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79"/>
              <w:jc w:val="left"/>
              <w:rPr>
                <w:rFonts w:ascii="宋体" w:hAnsi="宋体" w:cs="宋体" w:eastAsia="宋体" w:hint="default"/>
                <w:sz w:val="18"/>
                <w:szCs w:val="18"/>
              </w:rPr>
            </w:pPr>
            <w:r>
              <w:rPr>
                <w:rFonts w:ascii="宋体" w:hAnsi="宋体" w:cs="宋体" w:eastAsia="宋体" w:hint="default"/>
                <w:sz w:val="18"/>
                <w:szCs w:val="18"/>
              </w:rPr>
              <w:t>武汉大千信息 技术有限公司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、研发投入增 加；</w:t>
            </w:r>
            <w:r>
              <w:rPr>
                <w:rFonts w:ascii="Times New Roman" w:hAnsi="Times New Roman" w:cs="Times New Roman" w:eastAsia="Times New Roman" w:hint="default"/>
                <w:sz w:val="18"/>
                <w:szCs w:val="18"/>
              </w:rPr>
              <w:t>2</w:t>
            </w:r>
            <w:r>
              <w:rPr>
                <w:rFonts w:ascii="宋体" w:hAnsi="宋体" w:cs="宋体" w:eastAsia="宋体" w:hint="default"/>
                <w:sz w:val="18"/>
                <w:szCs w:val="18"/>
              </w:rPr>
              <w:t>、市场竞 争激烈</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《关于收购武汉大千信息技 术有限公司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股权的公 </w:t>
            </w:r>
            <w:r>
              <w:rPr>
                <w:rFonts w:ascii="宋体" w:hAnsi="宋体" w:cs="宋体" w:eastAsia="宋体" w:hint="default"/>
                <w:spacing w:val="-11"/>
                <w:sz w:val="18"/>
                <w:szCs w:val="18"/>
              </w:rPr>
              <w:t>告》（公告编号：</w:t>
            </w:r>
            <w:r>
              <w:rPr>
                <w:rFonts w:ascii="Times New Roman" w:hAnsi="Times New Roman" w:cs="Times New Roman" w:eastAsia="Times New Roman" w:hint="default"/>
                <w:spacing w:val="-11"/>
                <w:sz w:val="18"/>
                <w:szCs w:val="18"/>
              </w:rPr>
              <w:t>2015-44</w:t>
            </w:r>
            <w:r>
              <w:rPr>
                <w:rFonts w:ascii="宋体" w:hAnsi="宋体" w:cs="宋体" w:eastAsia="宋体" w:hint="default"/>
                <w:spacing w:val="-11"/>
                <w:sz w:val="18"/>
                <w:szCs w:val="18"/>
              </w:rPr>
              <w:t>），</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披露于巨潮资讯网</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江苏税软软件 科技有限公司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4,721.57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发行股份购买资产报告书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，披露于巨潮资讯网</w:t>
            </w:r>
          </w:p>
        </w:tc>
      </w:tr>
      <w:tr>
        <w:trPr>
          <w:trHeight w:val="1027"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both"/>
              <w:rPr>
                <w:rFonts w:ascii="宋体" w:hAnsi="宋体" w:cs="宋体" w:eastAsia="宋体" w:hint="default"/>
                <w:sz w:val="18"/>
                <w:szCs w:val="18"/>
              </w:rPr>
            </w:pPr>
            <w:r>
              <w:rPr>
                <w:rFonts w:ascii="宋体" w:hAnsi="宋体" w:cs="宋体" w:eastAsia="宋体" w:hint="default"/>
                <w:sz w:val="18"/>
                <w:szCs w:val="18"/>
              </w:rPr>
              <w:t>珠海市新德汇 信息技术有限 公司</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5,117.72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发行股份购买资产报告书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，披露于巨潮资讯网</w:t>
            </w:r>
          </w:p>
        </w:tc>
      </w:tr>
    </w:tbl>
    <w:p>
      <w:pPr>
        <w:spacing w:line="357" w:lineRule="auto" w:before="51"/>
        <w:ind w:left="153" w:right="4191" w:firstLine="0"/>
        <w:jc w:val="left"/>
        <w:rPr>
          <w:rFonts w:ascii="宋体" w:hAnsi="宋体" w:cs="宋体" w:eastAsia="宋体" w:hint="default"/>
          <w:sz w:val="18"/>
          <w:szCs w:val="18"/>
        </w:rPr>
      </w:pPr>
      <w:r>
        <w:rPr>
          <w:rFonts w:ascii="宋体" w:hAnsi="宋体" w:cs="宋体" w:eastAsia="宋体" w:hint="default"/>
          <w:sz w:val="18"/>
          <w:szCs w:val="18"/>
        </w:rPr>
        <w:t>注：上述当期实际业绩为扣除非经常性损益后归属于母公司的净利润。 公司股东、交易对手方对公司或相关资产年度经营业绩作出的承诺情况</w:t>
      </w:r>
    </w:p>
    <w:p>
      <w:pPr>
        <w:spacing w:before="2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235" w:firstLine="420"/>
        <w:jc w:val="both"/>
      </w:pPr>
      <w:r>
        <w:rPr/>
        <w:t>（1）根据经审核的盈利预测，江苏税软2015年、2016年及2017年当期扣除非经常性损益后归属于母 公司的预测净利润额分别为2,800万元、3,750万元及4,560万元。江苏税软相关方关于2017年度的经营业 绩承诺已达成。</w:t>
      </w:r>
    </w:p>
    <w:p>
      <w:pPr>
        <w:pStyle w:val="BodyText"/>
        <w:spacing w:line="408" w:lineRule="auto" w:before="46"/>
        <w:ind w:right="235" w:firstLine="420"/>
        <w:jc w:val="both"/>
      </w:pPr>
      <w:r>
        <w:rPr/>
        <w:t>（2）根据经审核的盈利预测，新德汇2015年、2016年及2017年当期扣除非经常性损益后归属于母公 司的预测净利润额分别为3,000万元、3,900万元及4,860万元。新德汇相关方关于2017年度的经营业绩承 诺已达成。</w:t>
      </w:r>
    </w:p>
    <w:p>
      <w:pPr>
        <w:pStyle w:val="BodyText"/>
        <w:spacing w:line="408" w:lineRule="auto" w:before="46"/>
        <w:ind w:right="320" w:firstLine="315"/>
        <w:jc w:val="left"/>
      </w:pPr>
      <w:r>
        <w:rPr/>
        <w:t>（3）武汉大千承诺，经具有证券从业资格的审计机构审计后，武汉大千2015年度经审计后的净利润 不低于660万元，2016年度经审计后的净利润不低于792万元，2017年度经审计后的净利润不低于950万 元，三年累计不低于2,402万元。</w:t>
      </w:r>
    </w:p>
    <w:p>
      <w:pPr>
        <w:pStyle w:val="BodyText"/>
        <w:spacing w:line="408" w:lineRule="auto" w:before="46"/>
        <w:ind w:right="338" w:firstLine="420"/>
        <w:jc w:val="both"/>
      </w:pPr>
      <w:r>
        <w:rPr>
          <w:spacing w:val="-1"/>
        </w:rPr>
        <w:t>根据《武汉大千信息技术有限公司投资协议》的约定，对武汉大千2015年度、2016年度、2017年度 </w:t>
      </w:r>
      <w:r>
        <w:rPr/>
        <w:t>经审计后的净利润进行累计考核，如果三年经审计后的累计实际净利润总额未达到承诺净利润总额的，</w:t>
      </w:r>
      <w:r>
        <w:rPr/>
        <w:t> 武汉大千交易对手方应对美亚柏科给予现金补偿。详见公司披露于巨潮资讯网上的公告《关于收购武汉 大千信息技术有限公司51%股权的公告》（公告编号：2015-44）。</w:t>
      </w:r>
    </w:p>
    <w:p>
      <w:pPr>
        <w:pStyle w:val="BodyText"/>
        <w:spacing w:line="408" w:lineRule="auto" w:before="46"/>
        <w:ind w:right="339" w:firstLine="420"/>
        <w:jc w:val="both"/>
      </w:pPr>
      <w:r>
        <w:rPr/>
        <w:t>现武汉大千2015年度、2016年度、2017年度业绩承诺完成情况如下：2015年至2017年共累计完成业 绩承诺432.28万元，其中2015年完成693.61万元，2016年完成-293.59万元，2017年完成32.26万元，与 设定的三年业绩承诺目标相差1,969.72万元。</w:t>
      </w:r>
    </w:p>
    <w:p>
      <w:pPr>
        <w:pStyle w:val="BodyText"/>
        <w:spacing w:line="408" w:lineRule="auto" w:before="46"/>
        <w:ind w:right="215" w:firstLine="420"/>
        <w:jc w:val="left"/>
      </w:pPr>
      <w:r>
        <w:rPr/>
        <w:t>武汉大千业绩未达预期的原因主要是：1）研发投入增加，武汉大千主要从事智能视频分析技术研究 以及公共安全行业的海量图像与视频的检索、分析、研判和侦查等技术领域的产品设备的研发和服务， 以技术输出为主。近几年，随着平安城市建设的逐步完善，以及全国各省市公安系统对视频侦查应用的 重视，对视频侦查技术、海量视频处理分析能力提出更高的要求及需求。为了满足市场需求，增强市场 竞争力，武汉大千需持续增加研发投入，以提供成熟的技术和产品储备。2017年武汉大千引入高端人才 进行“视频+取证”及“视频+情报”等方案的研发，增加了研发费用，导致利润减少。2）市场竞争加 剧：随着人工智能、人脸识别技术的发展，一些创新型企业通过融资手段低价抢占市场，市场竞争加 剧。且武汉大千是个技术型企业，独立开拓市场能力较弱，导致武汉大千2016年及2017年上半年项目亏 损较严重。虽然2017年下半年武汉大千加强了公司管理及优化组织架构，业绩有显著提升，但是鉴于前 期亏损较为严重，短时间内暂时无法实现较大盈利。</w:t>
      </w:r>
    </w:p>
    <w:p>
      <w:pPr>
        <w:pStyle w:val="BodyText"/>
        <w:spacing w:line="408" w:lineRule="auto" w:before="46"/>
        <w:ind w:right="215" w:firstLine="420"/>
        <w:jc w:val="left"/>
      </w:pPr>
      <w:r>
        <w:rPr/>
        <w:t>根据公司2015年6月28日与武汉大千交易对手方签订的《投资协议》的相关约定，如果三年经审计后 的累计净利润总额未达到承诺净利润总额的，武汉大千交易对手方应在2017年度审计报告出具之日起15 个工作日内现金方式向美亚柏科补偿。补偿金额总计1004.5572万元，具体补偿如下：</w:t>
      </w:r>
    </w:p>
    <w:p>
      <w:pPr>
        <w:pStyle w:val="BodyText"/>
        <w:spacing w:line="240" w:lineRule="auto" w:before="46"/>
        <w:ind w:left="574" w:right="0"/>
        <w:jc w:val="left"/>
      </w:pPr>
      <w:r>
        <w:rPr/>
        <w:t>严国建先生承担的现金补偿 =（三年累计承诺净利润总额 -</w:t>
      </w:r>
      <w:r>
        <w:rPr>
          <w:spacing w:val="-4"/>
        </w:rPr>
        <w:t> </w:t>
      </w:r>
      <w:r>
        <w:rPr/>
        <w:t>三年累计实际净利润总额）×51%×</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1407.1568/2315=1969.72×51%×1407.1568/2315=610.6132万元；</w:t>
      </w:r>
    </w:p>
    <w:p>
      <w:pPr>
        <w:spacing w:line="240" w:lineRule="auto" w:before="10"/>
        <w:rPr>
          <w:rFonts w:ascii="宋体" w:hAnsi="宋体" w:cs="宋体" w:eastAsia="宋体" w:hint="default"/>
          <w:sz w:val="14"/>
          <w:szCs w:val="14"/>
        </w:rPr>
      </w:pPr>
    </w:p>
    <w:p>
      <w:pPr>
        <w:pStyle w:val="BodyText"/>
        <w:spacing w:line="408" w:lineRule="auto"/>
        <w:ind w:right="742" w:firstLine="420"/>
        <w:jc w:val="left"/>
      </w:pPr>
      <w:r>
        <w:rPr/>
        <w:t>杨捷女士承担的现金补偿 =（三年累计承诺净利润总额 -</w:t>
      </w:r>
      <w:r>
        <w:rPr>
          <w:spacing w:val="-2"/>
        </w:rPr>
        <w:t> </w:t>
      </w:r>
      <w:r>
        <w:rPr/>
        <w:t>三年累计实际净利润总额）×51%×</w:t>
      </w:r>
      <w:r>
        <w:rPr/>
        <w:t> 817.0588/2315=1969.72×51%×817.0588/2315=354.5496万元；</w:t>
      </w:r>
    </w:p>
    <w:p>
      <w:pPr>
        <w:pStyle w:val="BodyText"/>
        <w:spacing w:line="408" w:lineRule="auto" w:before="46"/>
        <w:ind w:right="742" w:firstLine="420"/>
        <w:jc w:val="left"/>
      </w:pPr>
      <w:r>
        <w:rPr/>
        <w:t>王彬先生承担的现金补偿 =（三年累计承诺净利润总额 -</w:t>
      </w:r>
      <w:r>
        <w:rPr>
          <w:spacing w:val="-2"/>
        </w:rPr>
        <w:t> </w:t>
      </w:r>
      <w:r>
        <w:rPr/>
        <w:t>三年累计实际净利润总额）×51%×</w:t>
      </w:r>
      <w:r>
        <w:rPr/>
        <w:t> 45.3922/2315=1969.72×51%×45.3922/2315=19.6972万元；</w:t>
      </w:r>
    </w:p>
    <w:p>
      <w:pPr>
        <w:pStyle w:val="BodyText"/>
        <w:spacing w:line="408" w:lineRule="auto" w:before="46"/>
        <w:ind w:right="534" w:firstLine="420"/>
        <w:jc w:val="left"/>
      </w:pPr>
      <w:r>
        <w:rPr/>
        <w:t>熊子松先生承担的现金补偿 =（三年累计承诺净利润总额 -</w:t>
      </w:r>
      <w:r>
        <w:rPr>
          <w:spacing w:val="-4"/>
        </w:rPr>
        <w:t> </w:t>
      </w:r>
      <w:r>
        <w:rPr/>
        <w:t>三年累计实际净利润总额）×51%×</w:t>
      </w:r>
      <w:r>
        <w:rPr/>
        <w:t> 45.3922/2315=1969.72×51%×45.3922/2315=19.6972万元。</w:t>
      </w:r>
    </w:p>
    <w:p>
      <w:pPr>
        <w:pStyle w:val="BodyText"/>
        <w:spacing w:line="240" w:lineRule="auto" w:before="46"/>
        <w:ind w:left="574" w:right="0"/>
        <w:jc w:val="left"/>
      </w:pPr>
      <w:r>
        <w:rPr/>
        <w:t>公司将跟进《投资协议》相关约定，督促武汉大千交易对手方现金补偿事宜。</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8" w:lineRule="auto" w:before="155"/>
        <w:ind w:right="656" w:firstLine="420"/>
        <w:jc w:val="both"/>
      </w:pPr>
      <w:r>
        <w:rPr>
          <w:spacing w:val="-3"/>
        </w:rPr>
        <w:t>设立美亚天信：培训是公司重要的服务业务之一，为了提升公司培训业务的专业性，有效保障培</w:t>
      </w:r>
      <w:r>
        <w:rPr/>
        <w:t> </w:t>
      </w:r>
      <w:r>
        <w:rPr>
          <w:spacing w:val="-3"/>
        </w:rPr>
        <w:t>训服务质量，公司出资</w:t>
      </w:r>
      <w:r>
        <w:rPr>
          <w:rFonts w:ascii="Times New Roman" w:hAnsi="Times New Roman" w:cs="Times New Roman" w:eastAsia="Times New Roman" w:hint="default"/>
          <w:spacing w:val="-3"/>
        </w:rPr>
        <w:t>1000</w:t>
      </w:r>
      <w:r>
        <w:rPr>
          <w:spacing w:val="-3"/>
        </w:rPr>
        <w:t>万元设立全资子公司厦门美亚天信会议服务有限公司，负责公司培训及培</w:t>
      </w:r>
      <w:r>
        <w:rPr>
          <w:spacing w:val="-78"/>
        </w:rPr>
        <w:t> </w:t>
      </w:r>
      <w:r>
        <w:rPr>
          <w:spacing w:val="-78"/>
        </w:rPr>
      </w:r>
      <w:r>
        <w:rPr/>
        <w:t>训保障工作。美亚天信已于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日完成注册登记手续，纳入公司合并报表范。</w:t>
      </w:r>
    </w:p>
    <w:p>
      <w:pPr>
        <w:spacing w:line="240" w:lineRule="auto" w:before="12"/>
        <w:rPr>
          <w:rFonts w:ascii="宋体" w:hAnsi="宋体" w:cs="宋体" w:eastAsia="宋体" w:hint="default"/>
          <w:sz w:val="16"/>
          <w:szCs w:val="16"/>
        </w:rPr>
      </w:pPr>
    </w:p>
    <w:p>
      <w:pPr>
        <w:pStyle w:val="Heading2"/>
        <w:spacing w:line="240" w:lineRule="auto"/>
        <w:ind w:right="0"/>
        <w:jc w:val="left"/>
        <w:rPr>
          <w:b w:val="0"/>
          <w:bCs w:val="0"/>
        </w:rPr>
      </w:pPr>
      <w:r>
        <w:rPr/>
        <w:t>八、聘任、解聘会计师事务所情况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4219"/>
        <w:gridCol w:w="5348"/>
      </w:tblGrid>
      <w:tr>
        <w:trPr>
          <w:trHeight w:val="402"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115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4219"/>
        <w:gridCol w:w="5348"/>
      </w:tblGrid>
      <w:tr>
        <w:trPr>
          <w:trHeight w:val="402"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周俊超、余道前</w:t>
            </w:r>
          </w:p>
        </w:tc>
      </w:tr>
      <w:tr>
        <w:trPr>
          <w:trHeight w:val="402" w:hRule="exact"/>
        </w:trPr>
        <w:tc>
          <w:tcPr>
            <w:tcW w:w="42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5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周俊超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年，余道前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320" w:firstLine="420"/>
        <w:jc w:val="left"/>
      </w:pPr>
      <w:r>
        <w:rPr>
          <w:rFonts w:ascii="Times New Roman" w:hAnsi="Times New Roman" w:cs="Times New Roman" w:eastAsia="Times New Roman" w:hint="default"/>
        </w:rPr>
        <w:t>2015</w:t>
      </w:r>
      <w:r>
        <w:rPr/>
        <w:t>年度，公司因重大资产重组项目，聘请中国国金金融股份有限公司为独立财务顾问。财务顾问 督导期为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268"/>
        <w:gridCol w:w="851"/>
        <w:gridCol w:w="850"/>
        <w:gridCol w:w="786"/>
        <w:gridCol w:w="1393"/>
        <w:gridCol w:w="1507"/>
        <w:gridCol w:w="838"/>
        <w:gridCol w:w="1078"/>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87" w:right="86"/>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41" w:right="9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77" w:right="58" w:hanging="42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判决执 行情况</w:t>
            </w:r>
          </w:p>
        </w:tc>
        <w:tc>
          <w:tcPr>
            <w:tcW w:w="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原告：珠海新德汇，被告：</w:t>
            </w: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
        </w:tc>
        <w:tc>
          <w:tcPr>
            <w:tcW w:w="1393" w:type="dxa"/>
            <w:tcBorders>
              <w:top w:val="single" w:sz="4" w:space="0" w:color="000000"/>
              <w:left w:val="single" w:sz="4" w:space="0" w:color="000000"/>
              <w:bottom w:val="nil" w:sz="6" w:space="0" w:color="auto"/>
              <w:right w:val="single" w:sz="4" w:space="0" w:color="000000"/>
            </w:tcBorders>
          </w:tcPr>
          <w:p>
            <w:pPr/>
          </w:p>
        </w:tc>
        <w:tc>
          <w:tcPr>
            <w:tcW w:w="15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双方达成和解，截</w:t>
            </w:r>
          </w:p>
        </w:tc>
        <w:tc>
          <w:tcPr>
            <w:tcW w:w="838"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2808"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深圳桑达电子设备有限公司</w:t>
            </w:r>
          </w:p>
          <w:p>
            <w:pPr>
              <w:pStyle w:val="TableParagraph"/>
              <w:spacing w:line="314" w:lineRule="auto" w:before="76"/>
              <w:ind w:left="22" w:right="73"/>
              <w:jc w:val="left"/>
              <w:rPr>
                <w:rFonts w:ascii="宋体" w:hAnsi="宋体" w:cs="宋体" w:eastAsia="宋体" w:hint="default"/>
                <w:sz w:val="18"/>
                <w:szCs w:val="18"/>
              </w:rPr>
            </w:pPr>
            <w:r>
              <w:rPr>
                <w:rFonts w:ascii="宋体" w:hAnsi="宋体" w:cs="宋体" w:eastAsia="宋体" w:hint="default"/>
                <w:spacing w:val="-8"/>
                <w:sz w:val="18"/>
                <w:szCs w:val="18"/>
              </w:rPr>
              <w:t>（以下简称</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桑达电子</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珠海新德汇与桑达电子签订 多个合同，珠海新德汇负责 承建桑达电子的工程项目， 珠海新德汇按双方所签合同 的约定履行完毕全部的合同 义务，项目已完成竣工验 收，桑达电子拖延支付工程</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323" w:right="0"/>
              <w:jc w:val="left"/>
              <w:rPr>
                <w:rFonts w:ascii="Times New Roman" w:hAnsi="Times New Roman" w:cs="Times New Roman" w:eastAsia="Times New Roman" w:hint="default"/>
                <w:sz w:val="18"/>
                <w:szCs w:val="18"/>
              </w:rPr>
            </w:pPr>
            <w:r>
              <w:rPr>
                <w:rFonts w:ascii="Times New Roman"/>
                <w:sz w:val="18"/>
              </w:rPr>
              <w:t>742.45</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撤诉</w:t>
            </w:r>
          </w:p>
        </w:tc>
        <w:tc>
          <w:tcPr>
            <w:tcW w:w="13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12" w:lineRule="auto" w:before="61"/>
              <w:ind w:left="22" w:right="98"/>
              <w:jc w:val="left"/>
              <w:rPr>
                <w:rFonts w:ascii="宋体" w:hAnsi="宋体" w:cs="宋体" w:eastAsia="宋体" w:hint="default"/>
                <w:sz w:val="18"/>
                <w:szCs w:val="18"/>
              </w:rPr>
            </w:pPr>
            <w:r>
              <w:rPr>
                <w:rFonts w:ascii="宋体" w:hAnsi="宋体" w:cs="宋体" w:eastAsia="宋体" w:hint="default"/>
                <w:sz w:val="18"/>
                <w:szCs w:val="18"/>
              </w:rPr>
              <w:t>日收到珠海市香 洲区人民法院撤 案决定书，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 到深圳仲裁委员 会撤案决定书</w:t>
            </w:r>
          </w:p>
        </w:tc>
        <w:tc>
          <w:tcPr>
            <w:tcW w:w="15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9" w:lineRule="auto" w:before="63"/>
              <w:ind w:left="2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日，新德汇已 收到桑达电子拖欠 工程款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元。因最终用户还 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万元未 与桑达电子结算， 待桑达电子结算完 成后，支付给新德</w:t>
            </w:r>
          </w:p>
        </w:tc>
        <w:tc>
          <w:tcPr>
            <w:tcW w:w="8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9" w:lineRule="auto"/>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第五节 重要事项 十 九、公司子 公司重大事 项</w:t>
            </w:r>
            <w:r>
              <w:rPr>
                <w:rFonts w:ascii="Times New Roman" w:hAnsi="Times New Roman" w:cs="Times New Roman" w:eastAsia="Times New Roman" w:hint="default"/>
                <w:sz w:val="18"/>
                <w:szCs w:val="18"/>
              </w:rPr>
              <w:t>"</w:t>
            </w:r>
            <w:r>
              <w:rPr>
                <w:rFonts w:ascii="宋体" w:hAnsi="宋体" w:cs="宋体" w:eastAsia="宋体" w:hint="default"/>
                <w:sz w:val="18"/>
                <w:szCs w:val="18"/>
              </w:rPr>
              <w:t>（公告编 号：</w:t>
            </w:r>
            <w:r>
              <w:rPr>
                <w:rFonts w:ascii="Times New Roman" w:hAnsi="Times New Roman" w:cs="Times New Roman" w:eastAsia="Times New Roman" w:hint="default"/>
                <w:sz w:val="18"/>
                <w:szCs w:val="18"/>
              </w:rPr>
              <w:t>2017-</w:t>
            </w:r>
          </w:p>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r>
      <w:tr>
        <w:trPr>
          <w:trHeight w:val="357" w:hRule="exact"/>
        </w:trPr>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c>
          <w:tcPr>
            <w:tcW w:w="1393" w:type="dxa"/>
            <w:tcBorders>
              <w:top w:val="nil" w:sz="6" w:space="0" w:color="auto"/>
              <w:left w:val="single" w:sz="4" w:space="0" w:color="000000"/>
              <w:bottom w:val="single" w:sz="4" w:space="0" w:color="000000"/>
              <w:right w:val="single" w:sz="4" w:space="0" w:color="000000"/>
            </w:tcBorders>
          </w:tcPr>
          <w:p>
            <w:pPr/>
          </w:p>
        </w:tc>
        <w:tc>
          <w:tcPr>
            <w:tcW w:w="15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汇。</w:t>
            </w:r>
          </w:p>
        </w:tc>
        <w:tc>
          <w:tcPr>
            <w:tcW w:w="838"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line="328" w:lineRule="auto" w:before="0"/>
        <w:ind w:left="154" w:right="2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报告期内，公司及其控股股东，实际控制人的诚信状况良好，不存在未履行法院生效判决、所负数额较大的债务到期末清 偿等情况。</w:t>
      </w:r>
    </w:p>
    <w:p>
      <w:pPr>
        <w:spacing w:line="240" w:lineRule="auto" w:before="12"/>
        <w:rPr>
          <w:rFonts w:ascii="宋体" w:hAnsi="宋体" w:cs="宋体" w:eastAsia="宋体" w:hint="default"/>
          <w:sz w:val="19"/>
          <w:szCs w:val="19"/>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right="235" w:firstLine="420"/>
        <w:jc w:val="both"/>
      </w:pPr>
      <w:r>
        <w:rPr>
          <w:rFonts w:ascii="Times New Roman" w:hAnsi="Times New Roman" w:cs="Times New Roman" w:eastAsia="Times New Roman" w:hint="default"/>
        </w:rPr>
        <w:t>2016</w:t>
      </w:r>
      <w:r>
        <w:rPr/>
        <w:t>年公司实施了第二期限制性股票激励计划，共向激励对象授予限制性股票</w:t>
      </w:r>
      <w:r>
        <w:rPr>
          <w:rFonts w:ascii="Times New Roman" w:hAnsi="Times New Roman" w:cs="Times New Roman" w:eastAsia="Times New Roman" w:hint="default"/>
        </w:rPr>
        <w:t>1,000</w:t>
      </w:r>
      <w:r>
        <w:rPr/>
        <w:t>万股。本次限制 性股票共分两次完成授予，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月完成了首次授予，授予的股权激励对象共</w:t>
      </w:r>
      <w:r>
        <w:rPr>
          <w:rFonts w:ascii="Times New Roman" w:hAnsi="Times New Roman" w:cs="Times New Roman" w:eastAsia="Times New Roman" w:hint="default"/>
        </w:rPr>
        <w:t>471</w:t>
      </w:r>
      <w:r>
        <w:rPr/>
        <w:t>名，授予限制性股票 </w:t>
      </w:r>
      <w:r>
        <w:rPr>
          <w:rFonts w:ascii="Times New Roman" w:hAnsi="Times New Roman" w:cs="Times New Roman" w:eastAsia="Times New Roman" w:hint="default"/>
          <w:spacing w:val="-1"/>
        </w:rPr>
        <w:t>9,086,100</w:t>
      </w:r>
      <w:r>
        <w:rPr>
          <w:spacing w:val="-1"/>
        </w:rPr>
        <w:t>股。</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月公司完成了预留部分股份授予，授予的股权激励对象共</w:t>
      </w:r>
      <w:r>
        <w:rPr>
          <w:rFonts w:ascii="Times New Roman" w:hAnsi="Times New Roman" w:cs="Times New Roman" w:eastAsia="Times New Roman" w:hint="default"/>
          <w:spacing w:val="-1"/>
        </w:rPr>
        <w:t>101</w:t>
      </w:r>
      <w:r>
        <w:rPr>
          <w:spacing w:val="-1"/>
        </w:rPr>
        <w:t>名，授予限制性股票</w:t>
      </w:r>
    </w:p>
    <w:p>
      <w:pPr>
        <w:pStyle w:val="BodyText"/>
        <w:spacing w:line="386" w:lineRule="auto" w:before="35"/>
        <w:ind w:right="267"/>
        <w:jc w:val="left"/>
      </w:pPr>
      <w:r>
        <w:rPr>
          <w:rFonts w:ascii="Times New Roman" w:hAnsi="Times New Roman" w:cs="Times New Roman" w:eastAsia="Times New Roman" w:hint="default"/>
        </w:rPr>
        <w:t>913,900</w:t>
      </w:r>
      <w:r>
        <w:rPr/>
        <w:t>股。报告期内，公司共召开三次董事会审议首次授予股权激励对象由于离职导致不符合激励条 件，对其授予的限制性股票进行回购注销事项，共回购注销离职激励对象</w:t>
      </w:r>
      <w:r>
        <w:rPr>
          <w:rFonts w:ascii="Times New Roman" w:hAnsi="Times New Roman" w:cs="Times New Roman" w:eastAsia="Times New Roman" w:hint="default"/>
        </w:rPr>
        <w:t>22</w:t>
      </w:r>
      <w:r>
        <w:rPr/>
        <w:t>名，回购限制性股票</w:t>
      </w:r>
      <w:r>
        <w:rPr>
          <w:rFonts w:ascii="Times New Roman" w:hAnsi="Times New Roman" w:cs="Times New Roman" w:eastAsia="Times New Roman" w:hint="default"/>
        </w:rPr>
        <w:t>296,700 </w:t>
      </w:r>
      <w:r>
        <w:rPr/>
        <w:t>股，首次授予激励对象调整为</w:t>
      </w:r>
      <w:r>
        <w:rPr>
          <w:rFonts w:ascii="Times New Roman" w:hAnsi="Times New Roman" w:cs="Times New Roman" w:eastAsia="Times New Roman" w:hint="default"/>
        </w:rPr>
        <w:t>449</w:t>
      </w:r>
      <w:r>
        <w:rPr/>
        <w:t>名，已授予尚未解锁的限制性股票调整为</w:t>
      </w:r>
      <w:r>
        <w:rPr>
          <w:rFonts w:ascii="Times New Roman" w:hAnsi="Times New Roman" w:cs="Times New Roman" w:eastAsia="Times New Roman" w:hint="default"/>
        </w:rPr>
        <w:t>893.64</w:t>
      </w:r>
      <w:r>
        <w:rPr/>
        <w:t>万股。报告期内，还完 成了限制性股票激励计划首次授予部分第一次解锁，解锁激励对象</w:t>
      </w:r>
      <w:r>
        <w:rPr>
          <w:rFonts w:ascii="Times New Roman" w:hAnsi="Times New Roman" w:cs="Times New Roman" w:eastAsia="Times New Roman" w:hint="default"/>
        </w:rPr>
        <w:t>449</w:t>
      </w:r>
      <w:r>
        <w:rPr/>
        <w:t>名，解锁限制性股票数量为 </w:t>
      </w:r>
      <w:r>
        <w:rPr>
          <w:rFonts w:ascii="Times New Roman" w:hAnsi="Times New Roman" w:cs="Times New Roman" w:eastAsia="Times New Roman" w:hint="default"/>
        </w:rPr>
        <w:t>3,515,760</w:t>
      </w:r>
      <w:r>
        <w:rPr/>
        <w:t>股。第二期限制性股票激励计划已履行的相关审议程序如下：</w:t>
      </w:r>
    </w:p>
    <w:p>
      <w:pPr>
        <w:pStyle w:val="BodyText"/>
        <w:spacing w:line="398" w:lineRule="auto" w:before="35"/>
        <w:ind w:right="215"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日，公司召开第三届董事会第十二次会议和第三届监事会第十二次会议，审议通过 了《第二期限制性股票激励计划（草案）及其摘要》、《第二期限制性股票激励计划实施考核管理办 法》等议案，公司独立董事发表了同意的独立意见。</w:t>
      </w:r>
    </w:p>
    <w:p>
      <w:pPr>
        <w:pStyle w:val="BodyText"/>
        <w:spacing w:line="386" w:lineRule="auto" w:before="54"/>
        <w:ind w:right="215"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日，公司监事会发表了《关于公司第二期限制性股票激励计划首次授予激励对象名 单的公示情况及审核意见》。</w:t>
      </w:r>
    </w:p>
    <w:p>
      <w:pPr>
        <w:pStyle w:val="BodyText"/>
        <w:spacing w:line="240" w:lineRule="auto" w:before="65"/>
        <w:ind w:left="57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日，公司召开</w:t>
      </w:r>
      <w:r>
        <w:rPr>
          <w:rFonts w:ascii="Times New Roman" w:hAnsi="Times New Roman" w:cs="Times New Roman" w:eastAsia="Times New Roman" w:hint="default"/>
        </w:rPr>
        <w:t>2016</w:t>
      </w:r>
      <w:r>
        <w:rPr/>
        <w:t>年第三次临时股东大会审议通过了《第二期限制性股票激励计划</w:t>
      </w:r>
    </w:p>
    <w:p>
      <w:pPr>
        <w:pStyle w:val="BodyText"/>
        <w:spacing w:line="240" w:lineRule="auto" w:before="177"/>
        <w:ind w:right="0"/>
        <w:jc w:val="left"/>
      </w:pPr>
      <w:r>
        <w:rPr/>
        <w:t>（草案）及其摘要》、《第二期限制性股票激励计划实施考核管理办法》等议案。</w:t>
      </w:r>
    </w:p>
    <w:p>
      <w:pPr>
        <w:spacing w:line="240" w:lineRule="auto" w:before="10"/>
        <w:rPr>
          <w:rFonts w:ascii="宋体" w:hAnsi="宋体" w:cs="宋体" w:eastAsia="宋体" w:hint="default"/>
          <w:sz w:val="14"/>
          <w:szCs w:val="14"/>
        </w:rPr>
      </w:pPr>
    </w:p>
    <w:p>
      <w:pPr>
        <w:pStyle w:val="BodyText"/>
        <w:spacing w:line="393" w:lineRule="auto"/>
        <w:ind w:right="338" w:firstLine="419"/>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日，公司召开第三届董事会第十三次会议和第三届监事会第十三次会议，审议通过 了《关于向激励对象授予限制性股票的议案》和《关于调整第二期限制性股票激励计划首次授予激励对 象名单的议案》，确定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日为本次股权激励计划的首次授予日，同意公司向首批激励对象</w:t>
      </w:r>
      <w:r>
        <w:rPr>
          <w:rFonts w:ascii="Times New Roman" w:hAnsi="Times New Roman" w:cs="Times New Roman" w:eastAsia="Times New Roman" w:hint="default"/>
        </w:rPr>
        <w:t>471 </w:t>
      </w:r>
      <w:r>
        <w:rPr/>
        <w:t>人授予限制性股票</w:t>
      </w:r>
      <w:r>
        <w:rPr>
          <w:rFonts w:ascii="Times New Roman" w:hAnsi="Times New Roman" w:cs="Times New Roman" w:eastAsia="Times New Roman" w:hint="default"/>
        </w:rPr>
        <w:t>9,086,100</w:t>
      </w:r>
      <w:r>
        <w:rPr/>
        <w:t>股，授予价格为</w:t>
      </w:r>
      <w:r>
        <w:rPr>
          <w:rFonts w:ascii="Times New Roman" w:hAnsi="Times New Roman" w:cs="Times New Roman" w:eastAsia="Times New Roman" w:hint="default"/>
        </w:rPr>
        <w:t>12.19</w:t>
      </w:r>
      <w:r>
        <w:rPr/>
        <w:t>元</w:t>
      </w:r>
      <w:r>
        <w:rPr>
          <w:rFonts w:ascii="Times New Roman" w:hAnsi="Times New Roman" w:cs="Times New Roman" w:eastAsia="Times New Roman" w:hint="default"/>
        </w:rPr>
        <w:t>/</w:t>
      </w:r>
      <w:r>
        <w:rPr/>
        <w:t>股。独立董事发表了同意的独立意见。</w:t>
      </w:r>
    </w:p>
    <w:p>
      <w:pPr>
        <w:pStyle w:val="BodyText"/>
        <w:spacing w:line="386" w:lineRule="auto" w:before="28"/>
        <w:ind w:left="153" w:right="216" w:firstLine="42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日，公司发布了《第二期限制性股票激励计划首次授予完成的公告》，完成了首次 限制性股票的授予工作。确定股份上市日为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日。公司总股本由</w:t>
      </w:r>
      <w:r>
        <w:rPr>
          <w:rFonts w:ascii="Times New Roman" w:hAnsi="Times New Roman" w:cs="Times New Roman" w:eastAsia="Times New Roman" w:hint="default"/>
        </w:rPr>
        <w:t>487,254,406</w:t>
      </w:r>
      <w:r>
        <w:rPr/>
        <w:t>股增加至 </w:t>
      </w:r>
      <w:r>
        <w:rPr>
          <w:rFonts w:ascii="Times New Roman" w:hAnsi="Times New Roman" w:cs="Times New Roman" w:eastAsia="Times New Roman" w:hint="default"/>
        </w:rPr>
        <w:t>496,340,506</w:t>
      </w:r>
      <w:r>
        <w:rPr/>
        <w:t>股。</w:t>
      </w:r>
    </w:p>
    <w:p>
      <w:pPr>
        <w:pStyle w:val="BodyText"/>
        <w:spacing w:line="240" w:lineRule="auto" w:before="35"/>
        <w:ind w:left="573"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日，公司召开第三届董事会第十七次会议和第三届监事会第十七次会议，审议通过</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86" w:lineRule="auto" w:before="174"/>
        <w:ind w:left="153" w:right="286"/>
        <w:jc w:val="both"/>
      </w:pPr>
      <w:r>
        <w:rPr/>
        <w:t>了《关于回购注销部分离职激励对象已获授尚未解锁的限制性股票的议案》，决定对</w:t>
      </w:r>
      <w:r>
        <w:rPr>
          <w:rFonts w:ascii="Times New Roman" w:hAnsi="Times New Roman" w:cs="Times New Roman" w:eastAsia="Times New Roman" w:hint="default"/>
        </w:rPr>
        <w:t>11</w:t>
      </w:r>
      <w:r>
        <w:rPr/>
        <w:t>名离职激励对象 已获授尚未解锁的限制性股票共计</w:t>
      </w:r>
      <w:r>
        <w:rPr>
          <w:rFonts w:ascii="Times New Roman" w:hAnsi="Times New Roman" w:cs="Times New Roman" w:eastAsia="Times New Roman" w:hint="default"/>
        </w:rPr>
        <w:t>149,700</w:t>
      </w:r>
      <w:r>
        <w:rPr/>
        <w:t>股进行回购注销。公司独立董事对此发表了同意的独立意见。 本次完成回购注销后，公司第二期限制性股票激励计划的激励对象由</w:t>
      </w:r>
      <w:r>
        <w:rPr>
          <w:rFonts w:ascii="Times New Roman" w:hAnsi="Times New Roman" w:cs="Times New Roman" w:eastAsia="Times New Roman" w:hint="default"/>
        </w:rPr>
        <w:t>471</w:t>
      </w:r>
      <w:r>
        <w:rPr/>
        <w:t>人调整为</w:t>
      </w:r>
      <w:r>
        <w:rPr>
          <w:rFonts w:ascii="Times New Roman" w:hAnsi="Times New Roman" w:cs="Times New Roman" w:eastAsia="Times New Roman" w:hint="default"/>
        </w:rPr>
        <w:t>460</w:t>
      </w:r>
      <w:r>
        <w:rPr/>
        <w:t>名，已授予尚未解 锁的限制性股票数量由</w:t>
      </w:r>
      <w:r>
        <w:rPr>
          <w:rFonts w:ascii="Times New Roman" w:hAnsi="Times New Roman" w:cs="Times New Roman" w:eastAsia="Times New Roman" w:hint="default"/>
        </w:rPr>
        <w:t>908.61</w:t>
      </w:r>
      <w:r>
        <w:rPr/>
        <w:t>万股调整为</w:t>
      </w:r>
      <w:r>
        <w:rPr>
          <w:rFonts w:ascii="Times New Roman" w:hAnsi="Times New Roman" w:cs="Times New Roman" w:eastAsia="Times New Roman" w:hint="default"/>
        </w:rPr>
        <w:t>893.64</w:t>
      </w:r>
      <w:r>
        <w:rPr/>
        <w:t>万股。</w:t>
      </w:r>
    </w:p>
    <w:p>
      <w:pPr>
        <w:pStyle w:val="BodyText"/>
        <w:spacing w:line="386" w:lineRule="auto" w:before="35"/>
        <w:ind w:right="162" w:firstLine="42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日，公司召开第三届董事会第十八次会议和第三届监事会第十八次会议，审议通过 了《关于回购注销部分离职激励对象已获授尚未解锁的限制性股票的议案》，决定对</w:t>
      </w:r>
      <w:r>
        <w:rPr>
          <w:rFonts w:ascii="Times New Roman" w:hAnsi="Times New Roman" w:cs="Times New Roman" w:eastAsia="Times New Roman" w:hint="default"/>
        </w:rPr>
        <w:t>7</w:t>
      </w:r>
      <w:r>
        <w:rPr/>
        <w:t>名离职激励对象已 获授尚未解锁的限制性股票共计</w:t>
      </w:r>
      <w:r>
        <w:rPr>
          <w:rFonts w:ascii="Times New Roman" w:hAnsi="Times New Roman" w:cs="Times New Roman" w:eastAsia="Times New Roman" w:hint="default"/>
        </w:rPr>
        <w:t>74,000</w:t>
      </w:r>
      <w:r>
        <w:rPr/>
        <w:t>股进行回购注销。公司独立董事对此发表了同意的独立意见。本次 回购注销完成后，公司第二期限制性股票激励计划的激励对象总人数将由</w:t>
      </w:r>
      <w:r>
        <w:rPr>
          <w:rFonts w:ascii="Times New Roman" w:hAnsi="Times New Roman" w:cs="Times New Roman" w:eastAsia="Times New Roman" w:hint="default"/>
        </w:rPr>
        <w:t>460</w:t>
      </w:r>
      <w:r>
        <w:rPr/>
        <w:t>名调整为</w:t>
      </w:r>
      <w:r>
        <w:rPr>
          <w:rFonts w:ascii="Times New Roman" w:hAnsi="Times New Roman" w:cs="Times New Roman" w:eastAsia="Times New Roman" w:hint="default"/>
        </w:rPr>
        <w:t>453</w:t>
      </w:r>
      <w:r>
        <w:rPr/>
        <w:t>名，已授予尚 未解锁的限制性股票数量由</w:t>
      </w:r>
      <w:r>
        <w:rPr>
          <w:rFonts w:ascii="Times New Roman" w:hAnsi="Times New Roman" w:cs="Times New Roman" w:eastAsia="Times New Roman" w:hint="default"/>
        </w:rPr>
        <w:t>893.64</w:t>
      </w:r>
      <w:r>
        <w:rPr/>
        <w:t>万股调整为</w:t>
      </w:r>
      <w:r>
        <w:rPr>
          <w:rFonts w:ascii="Times New Roman" w:hAnsi="Times New Roman" w:cs="Times New Roman" w:eastAsia="Times New Roman" w:hint="default"/>
        </w:rPr>
        <w:t>886.24</w:t>
      </w:r>
      <w:r>
        <w:rPr/>
        <w:t>万股。</w:t>
      </w:r>
    </w:p>
    <w:p>
      <w:pPr>
        <w:pStyle w:val="BodyText"/>
        <w:spacing w:line="386" w:lineRule="auto" w:before="35"/>
        <w:ind w:right="162" w:firstLine="42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日，公司召开第三届董事会第二十一次会议和第三届监事会第二十一次会议，审议 通过了《关于回购注销部分离职激励对象已获授尚未解锁的限制性股票的议案》，决定对</w:t>
      </w:r>
      <w:r>
        <w:rPr>
          <w:rFonts w:ascii="Times New Roman" w:hAnsi="Times New Roman" w:cs="Times New Roman" w:eastAsia="Times New Roman" w:hint="default"/>
        </w:rPr>
        <w:t>4</w:t>
      </w:r>
      <w:r>
        <w:rPr/>
        <w:t>名离职激励对 象已获授尚未解锁的限制性股票共计 </w:t>
      </w:r>
      <w:r>
        <w:rPr>
          <w:rFonts w:ascii="Times New Roman" w:hAnsi="Times New Roman" w:cs="Times New Roman" w:eastAsia="Times New Roman" w:hint="default"/>
        </w:rPr>
        <w:t>73,000</w:t>
      </w:r>
      <w:r>
        <w:rPr>
          <w:rFonts w:ascii="Times New Roman" w:hAnsi="Times New Roman" w:cs="Times New Roman" w:eastAsia="Times New Roman" w:hint="default"/>
          <w:spacing w:val="9"/>
        </w:rPr>
        <w:t> </w:t>
      </w:r>
      <w:r>
        <w:rPr/>
        <w:t>股进行回购注销，本次回购注销完成后，公司第二期限制性 股票激励计划的激励对象总人数将由</w:t>
      </w:r>
      <w:r>
        <w:rPr>
          <w:rFonts w:ascii="Times New Roman" w:hAnsi="Times New Roman" w:cs="Times New Roman" w:eastAsia="Times New Roman" w:hint="default"/>
        </w:rPr>
        <w:t>453</w:t>
      </w:r>
      <w:r>
        <w:rPr/>
        <w:t>名调整为</w:t>
      </w:r>
      <w:r>
        <w:rPr>
          <w:rFonts w:ascii="Times New Roman" w:hAnsi="Times New Roman" w:cs="Times New Roman" w:eastAsia="Times New Roman" w:hint="default"/>
        </w:rPr>
        <w:t>449</w:t>
      </w:r>
      <w:r>
        <w:rPr/>
        <w:t>名，已授予尚未解锁的限制性股票数量由</w:t>
      </w:r>
      <w:r>
        <w:rPr>
          <w:rFonts w:ascii="Times New Roman" w:hAnsi="Times New Roman" w:cs="Times New Roman" w:eastAsia="Times New Roman" w:hint="default"/>
        </w:rPr>
        <w:t>886.24</w:t>
      </w:r>
      <w:r>
        <w:rPr/>
        <w:t>万股 调整为</w:t>
      </w:r>
      <w:r>
        <w:rPr>
          <w:rFonts w:ascii="Times New Roman" w:hAnsi="Times New Roman" w:cs="Times New Roman" w:eastAsia="Times New Roman" w:hint="default"/>
        </w:rPr>
        <w:t>878.94</w:t>
      </w:r>
      <w:r>
        <w:rPr/>
        <w:t>万股；审议通过了《关于向激励对象授予第二期限制性股票激励计划（预留部分）的议 案》，公司向 </w:t>
      </w:r>
      <w:r>
        <w:rPr>
          <w:rFonts w:ascii="Times New Roman" w:hAnsi="Times New Roman" w:cs="Times New Roman" w:eastAsia="Times New Roman" w:hint="default"/>
        </w:rPr>
        <w:t>101 </w:t>
      </w:r>
      <w:r>
        <w:rPr/>
        <w:t>名激励对象授予第二期限制性股票激励计划预留部分股份</w:t>
      </w:r>
      <w:r>
        <w:rPr>
          <w:spacing w:val="-66"/>
        </w:rPr>
        <w:t> </w:t>
      </w:r>
      <w:r>
        <w:rPr>
          <w:rFonts w:ascii="Times New Roman" w:hAnsi="Times New Roman" w:cs="Times New Roman" w:eastAsia="Times New Roman" w:hint="default"/>
        </w:rPr>
        <w:t>91.39</w:t>
      </w:r>
      <w:r>
        <w:rPr/>
        <w:t>万股，预留股份授予 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日。独立董事对上述事项发表了同意的独立意见。</w:t>
      </w:r>
    </w:p>
    <w:p>
      <w:pPr>
        <w:pStyle w:val="BodyText"/>
        <w:spacing w:line="393" w:lineRule="auto" w:before="35"/>
        <w:ind w:right="267" w:firstLine="419"/>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日，公司发布了《关于部分限制性股票回购注销完成的公告》，本次回购的限制性 股票涉及股权激励对象</w:t>
      </w:r>
      <w:r>
        <w:rPr>
          <w:rFonts w:ascii="Times New Roman" w:hAnsi="Times New Roman" w:cs="Times New Roman" w:eastAsia="Times New Roman" w:hint="default"/>
        </w:rPr>
        <w:t>18</w:t>
      </w:r>
      <w:r>
        <w:rPr/>
        <w:t>人，回购注销的股票数量</w:t>
      </w:r>
      <w:r>
        <w:rPr>
          <w:rFonts w:ascii="Times New Roman" w:hAnsi="Times New Roman" w:cs="Times New Roman" w:eastAsia="Times New Roman" w:hint="default"/>
        </w:rPr>
        <w:t>223,700</w:t>
      </w:r>
      <w:r>
        <w:rPr/>
        <w:t>股。该部分限制性股票于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日在中 国证券登记结算有限责任公司深圳分公司完成回购注销手续。本次回购注销完成后，公司总股本由 </w:t>
      </w:r>
      <w:r>
        <w:rPr>
          <w:rFonts w:ascii="Times New Roman" w:hAnsi="Times New Roman" w:cs="Times New Roman" w:eastAsia="Times New Roman" w:hint="default"/>
        </w:rPr>
        <w:t>496,340,506</w:t>
      </w:r>
      <w:r>
        <w:rPr/>
        <w:t>股减至</w:t>
      </w:r>
      <w:r>
        <w:rPr>
          <w:rFonts w:ascii="Times New Roman" w:hAnsi="Times New Roman" w:cs="Times New Roman" w:eastAsia="Times New Roman" w:hint="default"/>
        </w:rPr>
        <w:t>496,116,806</w:t>
      </w:r>
      <w:r>
        <w:rPr/>
        <w:t>股。</w:t>
      </w:r>
    </w:p>
    <w:p>
      <w:pPr>
        <w:pStyle w:val="BodyText"/>
        <w:spacing w:line="386" w:lineRule="auto" w:before="28"/>
        <w:ind w:right="181" w:firstLine="420"/>
        <w:jc w:val="both"/>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日，公司发布了《第二期限制性股票激励计划预留部分授予完成的公告》，公司完 成了向</w:t>
      </w:r>
      <w:r>
        <w:rPr>
          <w:rFonts w:ascii="Times New Roman" w:hAnsi="Times New Roman" w:cs="Times New Roman" w:eastAsia="Times New Roman" w:hint="default"/>
        </w:rPr>
        <w:t>101</w:t>
      </w:r>
      <w:r>
        <w:rPr/>
        <w:t>名激励对象授予第二期限制性股票激励计划预留部分</w:t>
      </w:r>
      <w:r>
        <w:rPr>
          <w:rFonts w:ascii="Times New Roman" w:hAnsi="Times New Roman" w:cs="Times New Roman" w:eastAsia="Times New Roman" w:hint="default"/>
        </w:rPr>
        <w:t>91.39</w:t>
      </w:r>
      <w:r>
        <w:rPr/>
        <w:t>万股股份的授予工作。该部分股份上 市日为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日，公司总股本由</w:t>
      </w:r>
      <w:r>
        <w:rPr>
          <w:rFonts w:ascii="Times New Roman" w:hAnsi="Times New Roman" w:cs="Times New Roman" w:eastAsia="Times New Roman" w:hint="default"/>
        </w:rPr>
        <w:t>496,116,806</w:t>
      </w:r>
      <w:r>
        <w:rPr/>
        <w:t>股增加至</w:t>
      </w:r>
      <w:r>
        <w:rPr>
          <w:rFonts w:ascii="Times New Roman" w:hAnsi="Times New Roman" w:cs="Times New Roman" w:eastAsia="Times New Roman" w:hint="default"/>
        </w:rPr>
        <w:t>497,030,706</w:t>
      </w:r>
      <w:r>
        <w:rPr/>
        <w:t>股。</w:t>
      </w:r>
    </w:p>
    <w:p>
      <w:pPr>
        <w:pStyle w:val="BodyText"/>
        <w:spacing w:line="398" w:lineRule="auto" w:before="35"/>
        <w:ind w:right="338" w:firstLine="420"/>
        <w:jc w:val="both"/>
      </w:pPr>
      <w:r>
        <w:rPr>
          <w:rFonts w:ascii="Times New Roman" w:hAnsi="Times New Roman" w:cs="Times New Roman" w:eastAsia="Times New Roman" w:hint="default"/>
        </w:rPr>
        <w:t>11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日，公司召开第三届董事会第二十二次会议和第三届监事会第二十二次会议，审 议通过了《关于公司第二期限制性股票激励计划首次授予部分第一个解锁期解锁条件成就的议案》，本 次解锁的激励对象共</w:t>
      </w:r>
      <w:r>
        <w:rPr>
          <w:rFonts w:ascii="Times New Roman" w:hAnsi="Times New Roman" w:cs="Times New Roman" w:eastAsia="Times New Roman" w:hint="default"/>
        </w:rPr>
        <w:t>449</w:t>
      </w:r>
      <w:r>
        <w:rPr/>
        <w:t>名，解锁的限制性股票数量为</w:t>
      </w:r>
      <w:r>
        <w:rPr>
          <w:rFonts w:ascii="Times New Roman" w:hAnsi="Times New Roman" w:cs="Times New Roman" w:eastAsia="Times New Roman" w:hint="default"/>
        </w:rPr>
        <w:t>3,515,760</w:t>
      </w:r>
      <w:r>
        <w:rPr/>
        <w:t>股。</w:t>
      </w:r>
    </w:p>
    <w:p>
      <w:pPr>
        <w:pStyle w:val="BodyText"/>
        <w:spacing w:line="386" w:lineRule="auto" w:before="24"/>
        <w:ind w:right="320" w:firstLine="420"/>
        <w:jc w:val="left"/>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日，公司发布了《关于公司第二期限制性股票计划首次授予部分第一个解锁期解 锁股份上市流通的提示性公告》，第一个解锁期解锁的限制性股票</w:t>
      </w:r>
      <w:r>
        <w:rPr>
          <w:rFonts w:ascii="Times New Roman" w:hAnsi="Times New Roman" w:cs="Times New Roman" w:eastAsia="Times New Roman" w:hint="default"/>
        </w:rPr>
        <w:t>3,515,760</w:t>
      </w:r>
      <w:r>
        <w:rPr/>
        <w:t>股于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日上市流 通。</w:t>
      </w:r>
    </w:p>
    <w:p>
      <w:pPr>
        <w:spacing w:after="0" w:line="386" w:lineRule="auto"/>
        <w:jc w:val="left"/>
        <w:sectPr>
          <w:pgSz w:w="11910" w:h="16840"/>
          <w:pgMar w:header="747" w:footer="982" w:top="1060" w:bottom="118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992"/>
        <w:gridCol w:w="568"/>
        <w:gridCol w:w="708"/>
        <w:gridCol w:w="708"/>
        <w:gridCol w:w="709"/>
        <w:gridCol w:w="568"/>
        <w:gridCol w:w="709"/>
        <w:gridCol w:w="708"/>
        <w:gridCol w:w="851"/>
        <w:gridCol w:w="425"/>
        <w:gridCol w:w="634"/>
        <w:gridCol w:w="674"/>
        <w:gridCol w:w="535"/>
        <w:gridCol w:w="780"/>
      </w:tblGrid>
      <w:tr>
        <w:trPr>
          <w:trHeight w:val="1337" w:hRule="exact"/>
        </w:trPr>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8" w:right="7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77"/>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9" w:right="78"/>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69" w:right="168"/>
              <w:jc w:val="left"/>
              <w:rPr>
                <w:rFonts w:ascii="宋体" w:hAnsi="宋体" w:cs="宋体" w:eastAsia="宋体" w:hint="default"/>
                <w:sz w:val="18"/>
                <w:szCs w:val="18"/>
              </w:rPr>
            </w:pPr>
            <w:r>
              <w:rPr>
                <w:rFonts w:ascii="宋体" w:hAnsi="宋体" w:cs="宋体" w:eastAsia="宋体" w:hint="default"/>
                <w:sz w:val="18"/>
                <w:szCs w:val="18"/>
              </w:rPr>
              <w:t>（万 元）</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8" w:right="78"/>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49" w:right="59"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20"/>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6" w:right="26"/>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2" w:right="4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3"/>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杭州攀克网 络技术有限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15.81</w:t>
            </w:r>
          </w:p>
        </w:tc>
        <w:tc>
          <w:tcPr>
            <w:tcW w:w="53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9"/>
              <w:jc w:val="both"/>
              <w:rPr>
                <w:rFonts w:ascii="宋体" w:hAnsi="宋体" w:cs="宋体" w:eastAsia="宋体" w:hint="default"/>
                <w:sz w:val="18"/>
                <w:szCs w:val="18"/>
              </w:rPr>
            </w:pPr>
            <w:r>
              <w:rPr>
                <w:rFonts w:ascii="宋体" w:hAnsi="宋体" w:cs="宋体" w:eastAsia="宋体" w:hint="default"/>
                <w:sz w:val="18"/>
                <w:szCs w:val="18"/>
              </w:rPr>
              <w:t>厦门服云信 息科技有限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411.84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411.84</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92"/>
              <w:ind w:left="22" w:right="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nfo.com.c</w:t>
            </w:r>
            <w:r>
              <w:rPr>
                <w:rFonts w:ascii="Times New Roman" w:hAnsi="Times New Roman" w:cs="Times New Roman" w:eastAsia="Times New Roman" w:hint="default"/>
                <w:sz w:val="18"/>
                <w:szCs w:val="18"/>
              </w:rPr>
              <w:t> n</w:t>
            </w:r>
            <w:r>
              <w:rPr>
                <w:rFonts w:ascii="宋体" w:hAnsi="宋体" w:cs="宋体" w:eastAsia="宋体" w:hint="default"/>
                <w:sz w:val="18"/>
                <w:szCs w:val="18"/>
              </w:rPr>
              <w:t>，公告</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2017-29</w:t>
            </w:r>
          </w:p>
        </w:tc>
      </w:tr>
      <w:tr>
        <w:trPr>
          <w:trHeight w:val="16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9"/>
              <w:jc w:val="both"/>
              <w:rPr>
                <w:rFonts w:ascii="宋体" w:hAnsi="宋体" w:cs="宋体" w:eastAsia="宋体" w:hint="default"/>
                <w:sz w:val="18"/>
                <w:szCs w:val="18"/>
              </w:rPr>
            </w:pPr>
            <w:r>
              <w:rPr>
                <w:rFonts w:ascii="宋体" w:hAnsi="宋体" w:cs="宋体" w:eastAsia="宋体" w:hint="default"/>
                <w:sz w:val="18"/>
                <w:szCs w:val="18"/>
              </w:rPr>
              <w:t>厦门市巨龙 信息科技有 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101.02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92"/>
              <w:ind w:left="22" w:right="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nfo.com.c</w:t>
            </w:r>
            <w:r>
              <w:rPr>
                <w:rFonts w:ascii="Times New Roman" w:hAnsi="Times New Roman" w:cs="Times New Roman" w:eastAsia="Times New Roman" w:hint="default"/>
                <w:sz w:val="18"/>
                <w:szCs w:val="18"/>
              </w:rPr>
              <w:t> n</w:t>
            </w:r>
            <w:r>
              <w:rPr>
                <w:rFonts w:ascii="宋体" w:hAnsi="宋体" w:cs="宋体" w:eastAsia="宋体" w:hint="default"/>
                <w:sz w:val="18"/>
                <w:szCs w:val="18"/>
              </w:rPr>
              <w:t>，公告</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2017-29</w:t>
            </w:r>
          </w:p>
        </w:tc>
      </w:tr>
      <w:tr>
        <w:trPr>
          <w:trHeight w:val="16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9"/>
              <w:jc w:val="left"/>
              <w:rPr>
                <w:rFonts w:ascii="宋体" w:hAnsi="宋体" w:cs="宋体" w:eastAsia="宋体" w:hint="default"/>
                <w:sz w:val="18"/>
                <w:szCs w:val="18"/>
              </w:rPr>
            </w:pPr>
            <w:r>
              <w:rPr>
                <w:rFonts w:ascii="宋体" w:hAnsi="宋体" w:cs="宋体" w:eastAsia="宋体" w:hint="default"/>
                <w:sz w:val="18"/>
                <w:szCs w:val="18"/>
              </w:rPr>
              <w:t>柏科（常 熟）电机有 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31.3</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92"/>
              <w:ind w:left="22" w:right="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nfo.com.c</w:t>
            </w:r>
            <w:r>
              <w:rPr>
                <w:rFonts w:ascii="Times New Roman" w:hAnsi="Times New Roman" w:cs="Times New Roman" w:eastAsia="Times New Roman" w:hint="default"/>
                <w:sz w:val="18"/>
                <w:szCs w:val="18"/>
              </w:rPr>
              <w:t> n</w:t>
            </w:r>
            <w:r>
              <w:rPr>
                <w:rFonts w:ascii="宋体" w:hAnsi="宋体" w:cs="宋体" w:eastAsia="宋体" w:hint="default"/>
                <w:sz w:val="18"/>
                <w:szCs w:val="18"/>
              </w:rPr>
              <w:t>，公告</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2017-41</w:t>
            </w:r>
          </w:p>
        </w:tc>
      </w:tr>
      <w:tr>
        <w:trPr>
          <w:trHeight w:val="16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9"/>
              <w:jc w:val="both"/>
              <w:rPr>
                <w:rFonts w:ascii="宋体" w:hAnsi="宋体" w:cs="宋体" w:eastAsia="宋体" w:hint="default"/>
                <w:sz w:val="18"/>
                <w:szCs w:val="18"/>
              </w:rPr>
            </w:pPr>
            <w:r>
              <w:rPr>
                <w:rFonts w:ascii="宋体" w:hAnsi="宋体" w:cs="宋体" w:eastAsia="宋体" w:hint="default"/>
                <w:sz w:val="18"/>
                <w:szCs w:val="18"/>
              </w:rPr>
              <w:t>常熟柏科特 种车辆有限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42.74</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92"/>
              <w:ind w:left="22" w:right="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nfo.com.c</w:t>
            </w:r>
            <w:r>
              <w:rPr>
                <w:rFonts w:ascii="Times New Roman" w:hAnsi="Times New Roman" w:cs="Times New Roman" w:eastAsia="Times New Roman" w:hint="default"/>
                <w:sz w:val="18"/>
                <w:szCs w:val="18"/>
              </w:rPr>
              <w:t> n</w:t>
            </w:r>
            <w:r>
              <w:rPr>
                <w:rFonts w:ascii="宋体" w:hAnsi="宋体" w:cs="宋体" w:eastAsia="宋体" w:hint="default"/>
                <w:sz w:val="18"/>
                <w:szCs w:val="18"/>
              </w:rPr>
              <w:t>，公告</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编号：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2017-41</w:t>
            </w: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厦门市美亚 梧桐投资管 理有限公司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采购商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 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19.42</w:t>
            </w:r>
          </w:p>
        </w:tc>
        <w:tc>
          <w:tcPr>
            <w:tcW w:w="53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厦门服云信 息科技有限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14.63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14.63</w:t>
            </w:r>
          </w:p>
        </w:tc>
        <w:tc>
          <w:tcPr>
            <w:tcW w:w="53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福建宏创科 技信息有限 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880.9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11"/>
              <w:ind w:left="22" w:right="2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nfo.com.c</w:t>
            </w:r>
            <w:r>
              <w:rPr>
                <w:rFonts w:ascii="Times New Roman" w:hAnsi="Times New Roman" w:cs="Times New Roman" w:eastAsia="Times New Roman" w:hint="default"/>
                <w:sz w:val="18"/>
                <w:szCs w:val="18"/>
              </w:rPr>
              <w:t> n</w:t>
            </w:r>
            <w:r>
              <w:rPr>
                <w:rFonts w:ascii="宋体" w:hAnsi="宋体" w:cs="宋体" w:eastAsia="宋体" w:hint="default"/>
                <w:sz w:val="18"/>
                <w:szCs w:val="18"/>
              </w:rPr>
              <w:t>，公告</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编号：</w:t>
            </w:r>
          </w:p>
        </w:tc>
      </w:tr>
    </w:tbl>
    <w:p>
      <w:pPr>
        <w:spacing w:after="0" w:line="217" w:lineRule="exact"/>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992"/>
        <w:gridCol w:w="568"/>
        <w:gridCol w:w="708"/>
        <w:gridCol w:w="708"/>
        <w:gridCol w:w="709"/>
        <w:gridCol w:w="568"/>
        <w:gridCol w:w="709"/>
        <w:gridCol w:w="708"/>
        <w:gridCol w:w="851"/>
        <w:gridCol w:w="425"/>
        <w:gridCol w:w="634"/>
        <w:gridCol w:w="674"/>
        <w:gridCol w:w="535"/>
        <w:gridCol w:w="780"/>
      </w:tblGrid>
      <w:tr>
        <w:trPr>
          <w:trHeight w:val="362" w:hRule="exact"/>
        </w:trPr>
        <w:tc>
          <w:tcPr>
            <w:tcW w:w="992"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2017-29</w:t>
            </w: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厦门市美亚 梧桐投资管 理有限公司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0"/>
              <w:jc w:val="righ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0.52</w:t>
            </w:r>
          </w:p>
        </w:tc>
        <w:tc>
          <w:tcPr>
            <w:tcW w:w="53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厦门市美亚 梧桐投资管 理有限公司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出租房 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出租房 屋</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0"/>
              <w:jc w:val="righ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4.19</w:t>
            </w:r>
          </w:p>
        </w:tc>
        <w:tc>
          <w:tcPr>
            <w:tcW w:w="53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厦门正信世 纪信息科技 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0"/>
              <w:jc w:val="righ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3.08</w:t>
            </w:r>
          </w:p>
        </w:tc>
        <w:tc>
          <w:tcPr>
            <w:tcW w:w="53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美亚长城传 媒（北京） 有限公司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3"/>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0"/>
              <w:jc w:val="righ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6.60</w:t>
            </w:r>
          </w:p>
        </w:tc>
        <w:tc>
          <w:tcPr>
            <w:tcW w:w="53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5" w:hRule="exact"/>
        </w:trPr>
        <w:tc>
          <w:tcPr>
            <w:tcW w:w="992"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63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535"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www.cni</w:t>
            </w:r>
            <w:r>
              <w:rPr>
                <w:rFonts w:ascii="Times New Roman"/>
                <w:sz w:val="18"/>
              </w:rPr>
            </w:r>
          </w:p>
        </w:tc>
      </w:tr>
      <w:tr>
        <w:trPr>
          <w:trHeight w:val="1275"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厦门市巨龙 信息科技有 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9"/>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09" w:lineRule="auto"/>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09" w:lineRule="auto"/>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9"/>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9"/>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9.44</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0.01%</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20"/>
              <w:jc w:val="right"/>
              <w:rPr>
                <w:rFonts w:ascii="Times New Roman" w:hAnsi="Times New Roman" w:cs="Times New Roman" w:eastAsia="Times New Roman" w:hint="default"/>
                <w:sz w:val="18"/>
                <w:szCs w:val="18"/>
              </w:rPr>
            </w:pPr>
            <w:r>
              <w:rPr>
                <w:rFonts w:ascii="Times New Roman"/>
                <w:sz w:val="18"/>
              </w:rPr>
              <w:t>360</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9"/>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Times New Roman" w:hAnsi="Times New Roman" w:cs="Times New Roman" w:eastAsia="Times New Roman" w:hint="default"/>
                <w:sz w:val="18"/>
                <w:szCs w:val="18"/>
              </w:rPr>
            </w:pPr>
            <w:r>
              <w:rPr>
                <w:rFonts w:ascii="Times New Roman"/>
                <w:sz w:val="18"/>
              </w:rPr>
              <w:t>9.44</w:t>
            </w:r>
          </w:p>
        </w:tc>
        <w:tc>
          <w:tcPr>
            <w:tcW w:w="535"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07" w:lineRule="auto" w:before="4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nfo.com.c n</w:t>
            </w:r>
            <w:r>
              <w:rPr>
                <w:rFonts w:ascii="宋体" w:hAnsi="宋体" w:cs="宋体" w:eastAsia="宋体" w:hint="default"/>
                <w:sz w:val="18"/>
                <w:szCs w:val="18"/>
              </w:rPr>
              <w:t>，公告 编号：</w:t>
            </w:r>
          </w:p>
          <w:p>
            <w:pPr>
              <w:pStyle w:val="TableParagraph"/>
              <w:spacing w:line="240" w:lineRule="auto" w:before="67"/>
              <w:ind w:left="22" w:right="0"/>
              <w:jc w:val="left"/>
              <w:rPr>
                <w:rFonts w:ascii="Times New Roman" w:hAnsi="Times New Roman" w:cs="Times New Roman" w:eastAsia="Times New Roman" w:hint="default"/>
                <w:sz w:val="18"/>
                <w:szCs w:val="18"/>
              </w:rPr>
            </w:pPr>
            <w:r>
              <w:rPr>
                <w:rFonts w:ascii="Times New Roman"/>
                <w:sz w:val="18"/>
              </w:rPr>
              <w:t>2017-</w:t>
            </w:r>
          </w:p>
        </w:tc>
      </w:tr>
      <w:tr>
        <w:trPr>
          <w:trHeight w:val="362" w:hRule="exact"/>
        </w:trPr>
        <w:tc>
          <w:tcPr>
            <w:tcW w:w="992"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63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535"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sz w:val="18"/>
              </w:rPr>
              <w:t>29</w:t>
            </w:r>
          </w:p>
        </w:tc>
      </w:tr>
      <w:tr>
        <w:trPr>
          <w:trHeight w:val="365" w:hRule="exact"/>
        </w:trPr>
        <w:tc>
          <w:tcPr>
            <w:tcW w:w="992"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63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535"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www.cni</w:t>
            </w:r>
            <w:r>
              <w:rPr>
                <w:rFonts w:ascii="Times New Roman"/>
                <w:sz w:val="18"/>
              </w:rPr>
            </w:r>
          </w:p>
        </w:tc>
      </w:tr>
      <w:tr>
        <w:trPr>
          <w:trHeight w:val="1275"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北京万诚信 用评价有限 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09" w:lineRule="auto"/>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09" w:lineRule="auto"/>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2"/>
              <w:jc w:val="right"/>
              <w:rPr>
                <w:rFonts w:ascii="Times New Roman" w:hAnsi="Times New Roman" w:cs="Times New Roman" w:eastAsia="Times New Roman" w:hint="default"/>
                <w:sz w:val="18"/>
                <w:szCs w:val="18"/>
              </w:rPr>
            </w:pPr>
            <w:r>
              <w:rPr>
                <w:rFonts w:ascii="Times New Roman"/>
                <w:spacing w:val="-2"/>
                <w:sz w:val="18"/>
              </w:rPr>
              <w:t>11.71</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0.01%</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z w:val="18"/>
              </w:rPr>
              <w:t>800</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11.71</w:t>
            </w:r>
          </w:p>
        </w:tc>
        <w:tc>
          <w:tcPr>
            <w:tcW w:w="535"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07" w:lineRule="auto" w:before="4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nfo.com.c n</w:t>
            </w:r>
            <w:r>
              <w:rPr>
                <w:rFonts w:ascii="宋体" w:hAnsi="宋体" w:cs="宋体" w:eastAsia="宋体" w:hint="default"/>
                <w:sz w:val="18"/>
                <w:szCs w:val="18"/>
              </w:rPr>
              <w:t>，公告 编号：</w:t>
            </w:r>
          </w:p>
          <w:p>
            <w:pPr>
              <w:pStyle w:val="TableParagraph"/>
              <w:spacing w:line="240" w:lineRule="auto" w:before="67"/>
              <w:ind w:left="22" w:right="0"/>
              <w:jc w:val="left"/>
              <w:rPr>
                <w:rFonts w:ascii="Times New Roman" w:hAnsi="Times New Roman" w:cs="Times New Roman" w:eastAsia="Times New Roman" w:hint="default"/>
                <w:sz w:val="18"/>
                <w:szCs w:val="18"/>
              </w:rPr>
            </w:pPr>
            <w:r>
              <w:rPr>
                <w:rFonts w:ascii="Times New Roman"/>
                <w:sz w:val="18"/>
              </w:rPr>
              <w:t>2017-</w:t>
            </w:r>
          </w:p>
        </w:tc>
      </w:tr>
      <w:tr>
        <w:trPr>
          <w:trHeight w:val="362" w:hRule="exact"/>
        </w:trPr>
        <w:tc>
          <w:tcPr>
            <w:tcW w:w="992"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63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535"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sz w:val="18"/>
              </w:rPr>
              <w:t>29</w:t>
            </w: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柏科（常 熟）电机有 限公司</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28.71</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0"/>
              <w:jc w:val="righ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28.71</w:t>
            </w:r>
          </w:p>
        </w:tc>
        <w:tc>
          <w:tcPr>
            <w:tcW w:w="53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66" w:hRule="exact"/>
        </w:trPr>
        <w:tc>
          <w:tcPr>
            <w:tcW w:w="992"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63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535"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3"/>
                <w:sz w:val="18"/>
              </w:rPr>
              <w:t>www.cni</w:t>
            </w:r>
            <w:r>
              <w:rPr>
                <w:rFonts w:ascii="Times New Roman"/>
                <w:sz w:val="18"/>
              </w:rPr>
            </w:r>
          </w:p>
        </w:tc>
      </w:tr>
      <w:tr>
        <w:trPr>
          <w:trHeight w:val="1275"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沈阳城市公 共安全科技 有限公司</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关联 法人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9" w:lineRule="auto"/>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9" w:lineRule="auto"/>
              <w:ind w:left="22" w:right="8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8"/>
              <w:ind w:left="23" w:right="133"/>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市场 价</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1,275.3</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Times New Roman" w:hAnsi="Times New Roman" w:cs="Times New Roman" w:eastAsia="Times New Roman" w:hint="default"/>
                <w:sz w:val="18"/>
                <w:szCs w:val="18"/>
              </w:rPr>
            </w:pPr>
            <w:r>
              <w:rPr>
                <w:rFonts w:ascii="Times New Roman"/>
                <w:sz w:val="18"/>
              </w:rPr>
              <w:t>0.95%</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9"/>
              <w:jc w:val="right"/>
              <w:rPr>
                <w:rFonts w:ascii="Times New Roman" w:hAnsi="Times New Roman" w:cs="Times New Roman" w:eastAsia="Times New Roman" w:hint="default"/>
                <w:sz w:val="18"/>
                <w:szCs w:val="18"/>
              </w:rPr>
            </w:pPr>
            <w:r>
              <w:rPr>
                <w:rFonts w:ascii="Times New Roman"/>
                <w:sz w:val="18"/>
              </w:rPr>
              <w:t>2,058.65</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0"/>
              <w:jc w:val="right"/>
              <w:rPr>
                <w:rFonts w:ascii="宋体" w:hAnsi="宋体" w:cs="宋体" w:eastAsia="宋体" w:hint="default"/>
                <w:sz w:val="18"/>
                <w:szCs w:val="18"/>
              </w:rPr>
            </w:pPr>
            <w:r>
              <w:rPr>
                <w:rFonts w:ascii="宋体" w:hAnsi="宋体" w:cs="宋体" w:eastAsia="宋体" w:hint="default"/>
                <w:sz w:val="18"/>
                <w:szCs w:val="18"/>
              </w:rPr>
              <w:t>否</w:t>
            </w:r>
          </w:p>
        </w:tc>
        <w:tc>
          <w:tcPr>
            <w:tcW w:w="6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8"/>
              <w:ind w:left="22" w:right="59"/>
              <w:jc w:val="left"/>
              <w:rPr>
                <w:rFonts w:ascii="宋体" w:hAnsi="宋体" w:cs="宋体" w:eastAsia="宋体" w:hint="default"/>
                <w:sz w:val="18"/>
                <w:szCs w:val="18"/>
              </w:rPr>
            </w:pPr>
            <w:r>
              <w:rPr>
                <w:rFonts w:ascii="宋体" w:hAnsi="宋体" w:cs="宋体" w:eastAsia="宋体" w:hint="default"/>
                <w:sz w:val="18"/>
                <w:szCs w:val="18"/>
              </w:rPr>
              <w:t>定期结 算</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1,275.3</w:t>
            </w:r>
          </w:p>
        </w:tc>
        <w:tc>
          <w:tcPr>
            <w:tcW w:w="535"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07" w:lineRule="auto" w:before="4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nfo.com.c n</w:t>
            </w:r>
            <w:r>
              <w:rPr>
                <w:rFonts w:ascii="宋体" w:hAnsi="宋体" w:cs="宋体" w:eastAsia="宋体" w:hint="default"/>
                <w:sz w:val="18"/>
                <w:szCs w:val="18"/>
              </w:rPr>
              <w:t>，公告 编号：</w:t>
            </w:r>
          </w:p>
          <w:p>
            <w:pPr>
              <w:pStyle w:val="TableParagraph"/>
              <w:spacing w:line="240" w:lineRule="auto" w:before="67"/>
              <w:ind w:left="22" w:right="0"/>
              <w:jc w:val="left"/>
              <w:rPr>
                <w:rFonts w:ascii="Times New Roman" w:hAnsi="Times New Roman" w:cs="Times New Roman" w:eastAsia="Times New Roman" w:hint="default"/>
                <w:sz w:val="18"/>
                <w:szCs w:val="18"/>
              </w:rPr>
            </w:pPr>
            <w:r>
              <w:rPr>
                <w:rFonts w:ascii="Times New Roman"/>
                <w:sz w:val="18"/>
              </w:rPr>
              <w:t>2017-</w:t>
            </w:r>
          </w:p>
        </w:tc>
      </w:tr>
      <w:tr>
        <w:trPr>
          <w:trHeight w:val="362" w:hRule="exact"/>
        </w:trPr>
        <w:tc>
          <w:tcPr>
            <w:tcW w:w="992"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63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535"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29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2,857.21</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7,911.61</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46"/>
              <w:jc w:val="right"/>
              <w:rPr>
                <w:rFonts w:ascii="Times New Roman" w:hAnsi="Times New Roman" w:cs="Times New Roman" w:eastAsia="Times New Roman" w:hint="default"/>
                <w:sz w:val="18"/>
                <w:szCs w:val="18"/>
              </w:rPr>
            </w:pPr>
            <w:r>
              <w:rPr>
                <w:rFonts w:ascii="Times New Roman"/>
                <w:sz w:val="18"/>
              </w:rPr>
              <w:t>--</w:t>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59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6" w:hRule="exact"/>
        </w:trPr>
        <w:tc>
          <w:tcPr>
            <w:tcW w:w="2976"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593"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日，公司第三届董事会第十六次会议及第三届监事会第十六次会</w:t>
            </w:r>
          </w:p>
        </w:tc>
      </w:tr>
      <w:tr>
        <w:trPr>
          <w:trHeight w:val="377" w:hRule="exact"/>
        </w:trPr>
        <w:tc>
          <w:tcPr>
            <w:tcW w:w="2976"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 进行总金额预计的，在报告期内的实 际履行情况（如有）</w:t>
            </w:r>
          </w:p>
        </w:tc>
        <w:tc>
          <w:tcPr>
            <w:tcW w:w="6593"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议，审议通过了《关于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年度日常关联交易预计的议案</w:t>
            </w:r>
            <w:r>
              <w:rPr>
                <w:rFonts w:ascii="宋体" w:hAnsi="宋体" w:cs="宋体" w:eastAsia="宋体" w:hint="default"/>
                <w:spacing w:val="-90"/>
                <w:sz w:val="18"/>
                <w:szCs w:val="18"/>
              </w:rPr>
              <w:t>》</w:t>
            </w:r>
            <w:r>
              <w:rPr>
                <w:rFonts w:ascii="宋体" w:hAnsi="宋体" w:cs="宋体" w:eastAsia="宋体" w:hint="default"/>
                <w:sz w:val="18"/>
                <w:szCs w:val="18"/>
              </w:rPr>
              <w:t>，公司采购厦门服云产</w:t>
            </w:r>
          </w:p>
        </w:tc>
      </w:tr>
      <w:tr>
        <w:trPr>
          <w:trHeight w:val="312" w:hRule="exact"/>
        </w:trPr>
        <w:tc>
          <w:tcPr>
            <w:tcW w:w="2976" w:type="dxa"/>
            <w:gridSpan w:val="4"/>
            <w:vMerge/>
            <w:tcBorders>
              <w:left w:val="single" w:sz="4" w:space="0" w:color="000000"/>
              <w:right w:val="single" w:sz="4" w:space="0" w:color="000000"/>
            </w:tcBorders>
            <w:shd w:val="clear" w:color="auto" w:fill="D3D3D3"/>
          </w:tcPr>
          <w:p>
            <w:pPr/>
          </w:p>
        </w:tc>
        <w:tc>
          <w:tcPr>
            <w:tcW w:w="6593"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品，价格参照市场公允价格，预计日常关联交易金额为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万元，报告期内实际发</w:t>
            </w:r>
          </w:p>
        </w:tc>
      </w:tr>
      <w:tr>
        <w:trPr>
          <w:trHeight w:val="327" w:hRule="exact"/>
        </w:trPr>
        <w:tc>
          <w:tcPr>
            <w:tcW w:w="2976" w:type="dxa"/>
            <w:gridSpan w:val="4"/>
            <w:vMerge/>
            <w:tcBorders>
              <w:left w:val="single" w:sz="4" w:space="0" w:color="000000"/>
              <w:bottom w:val="nil" w:sz="6" w:space="0" w:color="auto"/>
              <w:right w:val="single" w:sz="4" w:space="0" w:color="000000"/>
            </w:tcBorders>
            <w:shd w:val="clear" w:color="auto" w:fill="D3D3D3"/>
          </w:tcPr>
          <w:p>
            <w:pPr/>
          </w:p>
        </w:tc>
        <w:tc>
          <w:tcPr>
            <w:tcW w:w="6593"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生关联交易金额未超过上述额度；福建宏创销售公司及子公司产品，价格参照市场</w:t>
            </w:r>
          </w:p>
        </w:tc>
      </w:tr>
      <w:tr>
        <w:trPr>
          <w:trHeight w:val="298" w:hRule="exact"/>
        </w:trPr>
        <w:tc>
          <w:tcPr>
            <w:tcW w:w="2976"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593" w:type="dxa"/>
            <w:gridSpan w:val="10"/>
            <w:tcBorders>
              <w:top w:val="nil" w:sz="6" w:space="0" w:color="auto"/>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18"/>
                <w:szCs w:val="18"/>
              </w:rPr>
            </w:pPr>
            <w:r>
              <w:rPr>
                <w:rFonts w:ascii="宋体" w:hAnsi="宋体" w:cs="宋体" w:eastAsia="宋体" w:hint="default"/>
                <w:sz w:val="18"/>
                <w:szCs w:val="18"/>
              </w:rPr>
              <w:t>公允价格，预计日常关联交易金额为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万元，报告期内实际发生关联交易金额</w:t>
            </w:r>
          </w:p>
        </w:tc>
      </w:tr>
    </w:tbl>
    <w:p>
      <w:pPr>
        <w:spacing w:after="0" w:line="239" w:lineRule="exact"/>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2976"/>
        <w:gridCol w:w="6593"/>
      </w:tblGrid>
      <w:tr>
        <w:trPr>
          <w:trHeight w:val="4418"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77"/>
              <w:jc w:val="left"/>
              <w:rPr>
                <w:rFonts w:ascii="宋体" w:hAnsi="宋体" w:cs="宋体" w:eastAsia="宋体" w:hint="default"/>
                <w:sz w:val="18"/>
                <w:szCs w:val="18"/>
              </w:rPr>
            </w:pPr>
            <w:r>
              <w:rPr>
                <w:rFonts w:ascii="宋体" w:hAnsi="宋体" w:cs="宋体" w:eastAsia="宋体" w:hint="default"/>
                <w:sz w:val="18"/>
                <w:szCs w:val="18"/>
              </w:rPr>
              <w:t>未超过上述额度。公司向巨龙信息采购产品，价格参照市场公允价格，预计日常关 联交易金额为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万元，公司向巨龙信息销售公司及子公司产品，价格参照市场</w:t>
            </w:r>
          </w:p>
          <w:p>
            <w:pPr>
              <w:pStyle w:val="TableParagraph"/>
              <w:spacing w:line="309" w:lineRule="auto"/>
              <w:ind w:left="23" w:right="77"/>
              <w:jc w:val="both"/>
              <w:rPr>
                <w:rFonts w:ascii="宋体" w:hAnsi="宋体" w:cs="宋体" w:eastAsia="宋体" w:hint="default"/>
                <w:sz w:val="18"/>
                <w:szCs w:val="18"/>
              </w:rPr>
            </w:pPr>
            <w:r>
              <w:rPr>
                <w:rFonts w:ascii="宋体" w:hAnsi="宋体" w:cs="宋体" w:eastAsia="宋体" w:hint="default"/>
                <w:sz w:val="18"/>
                <w:szCs w:val="18"/>
              </w:rPr>
              <w:t>公允价格，预计日常关联交易金额为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 </w:t>
            </w:r>
            <w:r>
              <w:rPr>
                <w:rFonts w:ascii="宋体" w:hAnsi="宋体" w:cs="宋体" w:eastAsia="宋体" w:hint="default"/>
                <w:sz w:val="18"/>
                <w:szCs w:val="18"/>
              </w:rPr>
              <w:t>万元；报告期实际发生关联交易金额未超 过上述额度。万诚信用向公司提供市场推广、产品开发服务，价格参照市场公允价 格，预计关联交易金额为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万元，报告期公司实际发生关联交易金额未超过上述</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额度。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日，公司第三届董事会第十七次会议及第三届监事会第十七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次会议，审议通过了《关于新增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日常关联交易预计的公告</w:t>
            </w:r>
            <w:r>
              <w:rPr>
                <w:rFonts w:ascii="宋体" w:hAnsi="宋体" w:cs="宋体" w:eastAsia="宋体" w:hint="default"/>
                <w:spacing w:val="-90"/>
                <w:sz w:val="18"/>
                <w:szCs w:val="18"/>
              </w:rPr>
              <w:t>》</w:t>
            </w:r>
            <w:r>
              <w:rPr>
                <w:rFonts w:ascii="宋体" w:hAnsi="宋体" w:cs="宋体" w:eastAsia="宋体" w:hint="default"/>
                <w:sz w:val="18"/>
                <w:szCs w:val="18"/>
              </w:rPr>
              <w:t>，公司向柏科</w:t>
            </w:r>
          </w:p>
          <w:p>
            <w:pPr>
              <w:pStyle w:val="TableParagraph"/>
              <w:spacing w:line="307" w:lineRule="auto" w:before="63"/>
              <w:ind w:left="23" w:right="32"/>
              <w:jc w:val="left"/>
              <w:rPr>
                <w:rFonts w:ascii="宋体" w:hAnsi="宋体" w:cs="宋体" w:eastAsia="宋体" w:hint="default"/>
                <w:sz w:val="18"/>
                <w:szCs w:val="18"/>
              </w:rPr>
            </w:pPr>
            <w:r>
              <w:rPr>
                <w:rFonts w:ascii="宋体" w:hAnsi="宋体" w:cs="宋体" w:eastAsia="宋体" w:hint="default"/>
                <w:sz w:val="18"/>
                <w:szCs w:val="18"/>
              </w:rPr>
              <w:t>特种车采购产品，价格参照市场公允价格，预计日常关联交易金额为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 司向柏科（常熟）电机采购产品，价格参照市场公允价格，预计日常关联交易金额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万元，报告期公司及子公司实际发生关联交易金额未超过上述额度。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日，公司第三届董事会第二十三次会议审议通过了《关于全资子公司与关 联方发生日常关联交易的议案》公司拟与关联方沈阳城市公共安全科技有限公司签 订总金额为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2058.65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万元，报告期公司全资子公司与该关联方发生交易金额未超过 上述额度。</w:t>
            </w:r>
          </w:p>
        </w:tc>
      </w:tr>
      <w:tr>
        <w:trPr>
          <w:trHeight w:val="714" w:hRule="exact"/>
        </w:trPr>
        <w:tc>
          <w:tcPr>
            <w:tcW w:w="2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 原因（如适用）</w:t>
            </w:r>
          </w:p>
        </w:tc>
        <w:tc>
          <w:tcPr>
            <w:tcW w:w="6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708"/>
        <w:gridCol w:w="2268"/>
        <w:gridCol w:w="852"/>
        <w:gridCol w:w="991"/>
        <w:gridCol w:w="992"/>
        <w:gridCol w:w="1276"/>
        <w:gridCol w:w="1277"/>
        <w:gridCol w:w="1204"/>
      </w:tblGrid>
      <w:tr>
        <w:trPr>
          <w:trHeight w:val="1026" w:hRule="exact"/>
        </w:trPr>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9" w:right="77" w:hanging="90"/>
              <w:jc w:val="left"/>
              <w:rPr>
                <w:rFonts w:ascii="宋体" w:hAnsi="宋体" w:cs="宋体" w:eastAsia="宋体" w:hint="default"/>
                <w:sz w:val="18"/>
                <w:szCs w:val="18"/>
              </w:rPr>
            </w:pPr>
            <w:r>
              <w:rPr>
                <w:rFonts w:ascii="宋体" w:hAnsi="宋体" w:cs="宋体" w:eastAsia="宋体" w:hint="default"/>
                <w:sz w:val="18"/>
                <w:szCs w:val="18"/>
              </w:rPr>
              <w:t>共同投 资方</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59"/>
              <w:jc w:val="left"/>
              <w:rPr>
                <w:rFonts w:ascii="宋体" w:hAnsi="宋体" w:cs="宋体" w:eastAsia="宋体" w:hint="default"/>
                <w:sz w:val="18"/>
                <w:szCs w:val="18"/>
              </w:rPr>
            </w:pPr>
            <w:r>
              <w:rPr>
                <w:rFonts w:ascii="宋体" w:hAnsi="宋体" w:cs="宋体" w:eastAsia="宋体" w:hint="default"/>
                <w:sz w:val="18"/>
                <w:szCs w:val="18"/>
              </w:rPr>
              <w:t>被投资企 业的名称</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被投资企业的 总资产（万 元）</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2"/>
              <w:jc w:val="center"/>
              <w:rPr>
                <w:rFonts w:ascii="宋体" w:hAnsi="宋体" w:cs="宋体" w:eastAsia="宋体" w:hint="default"/>
                <w:sz w:val="18"/>
                <w:szCs w:val="18"/>
              </w:rPr>
            </w:pPr>
            <w:r>
              <w:rPr>
                <w:rFonts w:ascii="宋体" w:hAnsi="宋体" w:cs="宋体" w:eastAsia="宋体" w:hint="default"/>
                <w:sz w:val="18"/>
                <w:szCs w:val="18"/>
              </w:rPr>
              <w:t>被投资企业的 净资产（万 元）</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6" w:right="55"/>
              <w:jc w:val="center"/>
              <w:rPr>
                <w:rFonts w:ascii="宋体" w:hAnsi="宋体" w:cs="宋体" w:eastAsia="宋体" w:hint="default"/>
                <w:sz w:val="18"/>
                <w:szCs w:val="18"/>
              </w:rPr>
            </w:pPr>
            <w:r>
              <w:rPr>
                <w:rFonts w:ascii="宋体" w:hAnsi="宋体" w:cs="宋体" w:eastAsia="宋体" w:hint="default"/>
                <w:sz w:val="18"/>
                <w:szCs w:val="18"/>
              </w:rPr>
              <w:t>被投资企业的 净利润（万 元）</w:t>
            </w:r>
          </w:p>
        </w:tc>
      </w:tr>
      <w:tr>
        <w:trPr>
          <w:trHeight w:val="258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3"/>
              <w:jc w:val="both"/>
              <w:rPr>
                <w:rFonts w:ascii="宋体" w:hAnsi="宋体" w:cs="宋体" w:eastAsia="宋体" w:hint="default"/>
                <w:sz w:val="18"/>
                <w:szCs w:val="18"/>
              </w:rPr>
            </w:pPr>
            <w:r>
              <w:rPr>
                <w:rFonts w:ascii="宋体" w:hAnsi="宋体" w:cs="宋体" w:eastAsia="宋体" w:hint="default"/>
                <w:sz w:val="18"/>
                <w:szCs w:val="18"/>
              </w:rPr>
              <w:t>嘉兴宏 数信息 科技合 伙企业</w:t>
            </w:r>
          </w:p>
          <w:p>
            <w:pPr>
              <w:pStyle w:val="TableParagraph"/>
              <w:spacing w:line="319" w:lineRule="auto" w:before="19"/>
              <w:ind w:left="22" w:right="43"/>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高峰</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公司使用自有资金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元单方面对美亚宏数进行增 资。增资完成后，美亚宏数 的注册资本由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万元，其中公司认</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缴注册资本由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w:t>
            </w:r>
          </w:p>
          <w:p>
            <w:pPr>
              <w:pStyle w:val="TableParagraph"/>
              <w:spacing w:line="302" w:lineRule="auto" w:before="63"/>
              <w:ind w:left="23" w:right="29"/>
              <w:jc w:val="both"/>
              <w:rPr>
                <w:rFonts w:ascii="宋体" w:hAnsi="宋体" w:cs="宋体" w:eastAsia="宋体" w:hint="default"/>
                <w:sz w:val="18"/>
                <w:szCs w:val="18"/>
              </w:rPr>
            </w:pPr>
            <w:r>
              <w:rPr>
                <w:rFonts w:ascii="宋体" w:hAnsi="宋体" w:cs="宋体" w:eastAsia="宋体" w:hint="default"/>
                <w:sz w:val="18"/>
                <w:szCs w:val="18"/>
              </w:rPr>
              <w:t>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万元，持股比例 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变更为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82.27%</w:t>
            </w: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北京美亚 宏数科技 有限责任 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政务大数据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1,650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Times New Roman"/>
                <w:sz w:val="18"/>
              </w:rPr>
              <w:t>604.01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-104.16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-1,761.98</w:t>
            </w:r>
          </w:p>
        </w:tc>
      </w:tr>
      <w:tr>
        <w:trPr>
          <w:trHeight w:val="1026" w:hRule="exact"/>
        </w:trPr>
        <w:tc>
          <w:tcPr>
            <w:tcW w:w="29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被投资企业的重大在建项目的进展情 况（如有）</w:t>
            </w:r>
          </w:p>
        </w:tc>
        <w:tc>
          <w:tcPr>
            <w:tcW w:w="6592" w:type="dxa"/>
            <w:gridSpan w:val="6"/>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21"/>
              <w:jc w:val="left"/>
              <w:rPr>
                <w:rFonts w:ascii="宋体" w:hAnsi="宋体" w:cs="宋体" w:eastAsia="宋体" w:hint="default"/>
                <w:sz w:val="18"/>
                <w:szCs w:val="18"/>
              </w:rPr>
            </w:pPr>
            <w:r>
              <w:rPr>
                <w:rFonts w:ascii="宋体" w:hAnsi="宋体" w:cs="宋体" w:eastAsia="宋体" w:hint="default"/>
                <w:sz w:val="18"/>
                <w:szCs w:val="18"/>
              </w:rPr>
              <w:t>美亚宏数已完成工商变更手续，除注册资本由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万元外，其他 信息不变，美亚宏数工商登记信息可查询北京市企业信用信息网 </w:t>
            </w:r>
            <w:hyperlink r:id="rId17">
              <w:r>
                <w:rPr>
                  <w:rFonts w:ascii="Times New Roman" w:hAnsi="Times New Roman" w:cs="Times New Roman" w:eastAsia="Times New Roman" w:hint="default"/>
                  <w:sz w:val="18"/>
                  <w:szCs w:val="18"/>
                </w:rPr>
                <w:t>http://qyxy.baic.gov.cn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公司报告期不存在关联债权债务往来。</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7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71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十七、社会责任情况</w:t>
      </w:r>
      <w:r>
        <w:rPr>
          <w:b w:val="0"/>
          <w:bCs w:val="0"/>
        </w:rPr>
      </w:r>
    </w:p>
    <w:p>
      <w:pPr>
        <w:pStyle w:val="BodyText"/>
        <w:spacing w:line="690" w:lineRule="exact" w:before="14"/>
        <w:ind w:left="574" w:right="102" w:hanging="421"/>
        <w:jc w:val="left"/>
      </w:pP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spacing w:val="1"/>
          <w:w w:val="99"/>
        </w:rPr>
        <w:t> </w:t>
      </w:r>
      <w:r>
        <w:rPr/>
        <w:t>作为一个社会主体，美亚柏科树立企业公民理念，自觉参与公益事业，勇于履行社会和公众的责任。</w:t>
      </w:r>
    </w:p>
    <w:p>
      <w:pPr>
        <w:pStyle w:val="BodyText"/>
        <w:spacing w:line="408" w:lineRule="auto" w:before="84"/>
        <w:ind w:right="209"/>
        <w:jc w:val="both"/>
      </w:pPr>
      <w:r>
        <w:rPr/>
        <w:t>2010</w:t>
      </w:r>
      <w:r>
        <w:rPr>
          <w:spacing w:val="-44"/>
        </w:rPr>
        <w:t> </w:t>
      </w:r>
      <w:r>
        <w:rPr>
          <w:spacing w:val="-2"/>
        </w:rPr>
        <w:t>年公司与厦门市红十字会及红十字基金合作设立美亚柏科爱心基金，主要用于帮扶困难员工，关爱社</w:t>
      </w:r>
      <w:r>
        <w:rPr/>
        <w:t> </w:t>
      </w:r>
      <w:r>
        <w:rPr>
          <w:spacing w:val="-1"/>
        </w:rPr>
        <w:t>会弱势群体，关注社会治安、维稳一线，因公殉职、因公残疾或遭遇天灾人祸的公安干警，参与国家重大</w:t>
      </w:r>
      <w:r>
        <w:rPr>
          <w:spacing w:val="-83"/>
        </w:rPr>
        <w:t> </w:t>
      </w:r>
      <w:r>
        <w:rPr>
          <w:spacing w:val="-83"/>
        </w:rPr>
      </w:r>
      <w:r>
        <w:rPr/>
        <w:t>灾难救援与重建。公司的公益支持工作主要围绕着教育文化、公益扶住、社会公益等方向。</w:t>
      </w:r>
    </w:p>
    <w:p>
      <w:pPr>
        <w:pStyle w:val="BodyText"/>
        <w:spacing w:line="408" w:lineRule="auto" w:before="87"/>
        <w:ind w:right="209" w:firstLine="420"/>
        <w:jc w:val="both"/>
      </w:pPr>
      <w:r>
        <w:rPr>
          <w:spacing w:val="-1"/>
        </w:rPr>
        <w:t>教育文化方向：美亚柏科在教育方面的公益活动涵盖了一个孩子从小到大、从就学到就业的人生发展</w:t>
      </w:r>
      <w:r>
        <w:rPr/>
        <w:t> </w:t>
      </w:r>
      <w:r>
        <w:rPr>
          <w:spacing w:val="-1"/>
        </w:rPr>
        <w:t>轨迹，不仅从条件改善、物质关怀进行传统公益援助，还重视儿童成长的心理需求和人格培养，使爱与善</w:t>
      </w:r>
      <w:r>
        <w:rPr>
          <w:spacing w:val="-82"/>
        </w:rPr>
        <w:t> </w:t>
      </w:r>
      <w:r>
        <w:rPr>
          <w:spacing w:val="-82"/>
        </w:rPr>
      </w:r>
      <w:r>
        <w:rPr>
          <w:spacing w:val="-1"/>
        </w:rPr>
        <w:t>良的火种生生不息，为社会、为未来输送更多德智双全、品学兼优的新生人才力量。资助方式包括助学圆</w:t>
      </w:r>
      <w:r>
        <w:rPr>
          <w:spacing w:val="-82"/>
        </w:rPr>
        <w:t> </w:t>
      </w:r>
      <w:r>
        <w:rPr>
          <w:spacing w:val="-82"/>
        </w:rPr>
      </w:r>
      <w:r>
        <w:rPr>
          <w:spacing w:val="-1"/>
        </w:rPr>
        <w:t>梦，如关注乡村幼儿教育、关注外来务人员工子女、实现边缘儿童的心愿、关注贫困山区的教育、关注青</w:t>
      </w:r>
      <w:r>
        <w:rPr>
          <w:spacing w:val="-83"/>
        </w:rPr>
        <w:t> </w:t>
      </w:r>
      <w:r>
        <w:rPr>
          <w:spacing w:val="-83"/>
        </w:rPr>
      </w:r>
      <w:r>
        <w:rPr>
          <w:spacing w:val="-1"/>
        </w:rPr>
        <w:t>少年教育）；助力信息安全专业人才培养，通过信息安全竞赛、电子数据取证竞赛等各种形式，助力于信</w:t>
      </w:r>
      <w:r>
        <w:rPr>
          <w:spacing w:val="-83"/>
        </w:rPr>
        <w:t> </w:t>
      </w:r>
      <w:r>
        <w:rPr>
          <w:spacing w:val="-83"/>
        </w:rPr>
      </w:r>
      <w:r>
        <w:rPr/>
        <w:t>息安全专业人才的培养，并与多所高校合作，为众多信息安全专业的学生提供实践岗位。</w:t>
      </w:r>
    </w:p>
    <w:p>
      <w:pPr>
        <w:pStyle w:val="BodyText"/>
        <w:spacing w:line="410" w:lineRule="auto" w:before="84"/>
        <w:ind w:right="211" w:firstLine="420"/>
        <w:jc w:val="both"/>
      </w:pPr>
      <w:r>
        <w:rPr>
          <w:spacing w:val="-1"/>
        </w:rPr>
        <w:t>公益扶助：因公司从事的行业特点，公司更了解公安一线基层民警的不易与困难。公司通过公益扶助</w:t>
      </w:r>
      <w:r>
        <w:rPr/>
        <w:t> </w:t>
      </w:r>
      <w:r>
        <w:rPr>
          <w:spacing w:val="-1"/>
        </w:rPr>
        <w:t>守望正义，褒奖支持“勇于担当、敢于助义”的精神，在弘扬仁义良善的事业上投入最大的热情和最朴实</w:t>
      </w:r>
      <w:r>
        <w:rPr>
          <w:spacing w:val="-83"/>
        </w:rPr>
        <w:t> </w:t>
      </w:r>
      <w:r>
        <w:rPr>
          <w:spacing w:val="-83"/>
        </w:rPr>
      </w:r>
      <w:r>
        <w:rPr/>
        <w:t>的行动。</w:t>
      </w:r>
    </w:p>
    <w:p>
      <w:pPr>
        <w:pStyle w:val="BodyText"/>
        <w:spacing w:line="408" w:lineRule="auto" w:before="82"/>
        <w:ind w:right="102" w:firstLine="420"/>
        <w:jc w:val="left"/>
      </w:pPr>
      <w:r>
        <w:rPr/>
        <w:t>社会公益：妥善处理好新时代我国退役军人就业安置中的各种问题，确保退伍军人稳定至关重要。美 亚柏科计划利用自身行业优势和退伍、转业军人创新创业基金，参与建设具有军民融合格局的众创空间，</w:t>
      </w:r>
      <w:r>
        <w:rPr>
          <w:spacing w:val="-34"/>
        </w:rPr>
        <w:t> </w:t>
      </w:r>
      <w:r>
        <w:rPr>
          <w:spacing w:val="-34"/>
        </w:rPr>
      </w:r>
      <w:r>
        <w:rPr/>
        <w:t>打造汇聚退伍军人的就业创业平台；积极开展退伍军人技能培训和创业辅导，通过创业孵化引导退伍军人</w:t>
      </w:r>
      <w:r>
        <w:rPr/>
        <w:t> 积极投身到围绕国防、网络安全的项目中。在城市灾难救助、支持地方文化品牌建设、关爱特殊行业、特 殊人群上，公司不仅慷慨解囊，更亲身参与，在财力和精神上双重支持。</w:t>
      </w:r>
    </w:p>
    <w:p>
      <w:pPr>
        <w:pStyle w:val="BodyText"/>
        <w:spacing w:line="408" w:lineRule="auto" w:before="85"/>
        <w:ind w:right="209" w:firstLine="420"/>
        <w:jc w:val="both"/>
      </w:pPr>
      <w:r>
        <w:rPr>
          <w:spacing w:val="-1"/>
        </w:rPr>
        <w:t>扶贫计划：美亚柏科始终把提升困难群众发展能力、提高贫困人口素质作为脱贫攻坚的重点工作，注</w:t>
      </w:r>
      <w:r>
        <w:rPr/>
        <w:t> </w:t>
      </w:r>
      <w:r>
        <w:rPr>
          <w:spacing w:val="-1"/>
        </w:rPr>
        <w:t>重扶贫同扶志、扶智相结合，有效整合扶贫、教育、科技等部门的资源。大力开发公益扶助，加大贫困生</w:t>
      </w:r>
      <w:r>
        <w:rPr>
          <w:spacing w:val="-83"/>
        </w:rPr>
        <w:t> </w:t>
      </w:r>
      <w:r>
        <w:rPr>
          <w:spacing w:val="-83"/>
        </w:rPr>
      </w:r>
      <w:r>
        <w:rPr>
          <w:spacing w:val="-1"/>
        </w:rPr>
        <w:t>资助力度。鼓励发展劳务经济，协助地方科学制定劳动力输转规划，将企业超市与地方特色优质产品相结</w:t>
      </w:r>
      <w:r>
        <w:rPr>
          <w:spacing w:val="-83"/>
        </w:rPr>
        <w:t> </w:t>
      </w:r>
      <w:r>
        <w:rPr>
          <w:spacing w:val="-83"/>
        </w:rPr>
      </w:r>
      <w:r>
        <w:rPr/>
        <w:t>合，实现互利共赢的公益模式。</w:t>
      </w:r>
    </w:p>
    <w:p>
      <w:pPr>
        <w:pStyle w:val="BodyText"/>
        <w:spacing w:line="240" w:lineRule="auto" w:before="84"/>
        <w:ind w:left="469" w:right="208"/>
        <w:jc w:val="left"/>
      </w:pPr>
      <w:r>
        <w:rPr/>
        <w:t>企业内部扶贫公益：随着公司的发展，员工的人数不断增加，员工及其家庭的不可预测性变故越来越</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10" w:lineRule="auto" w:before="174"/>
        <w:ind w:right="149"/>
        <w:jc w:val="both"/>
      </w:pPr>
      <w:r>
        <w:rPr>
          <w:spacing w:val="-1"/>
        </w:rPr>
        <w:t>多。公司成立了内部帮扶公益项目“安心计划”，在员工遭遇困难的时候，大家集体慷慨解囊，帮助度过</w:t>
      </w:r>
      <w:r>
        <w:rPr>
          <w:spacing w:val="-83"/>
        </w:rPr>
        <w:t> </w:t>
      </w:r>
      <w:r>
        <w:rPr>
          <w:spacing w:val="-83"/>
        </w:rPr>
      </w:r>
      <w:r>
        <w:rPr>
          <w:spacing w:val="-1"/>
        </w:rPr>
        <w:t>难关。为让公司员工时刻感觉到家的温暖，公司为员工提供了爱心班车、一元爱心早餐爱心超市、公益乐</w:t>
      </w:r>
      <w:r>
        <w:rPr>
          <w:spacing w:val="-82"/>
        </w:rPr>
        <w:t> </w:t>
      </w:r>
      <w:r>
        <w:rPr>
          <w:spacing w:val="-82"/>
        </w:rPr>
      </w:r>
      <w:r>
        <w:rPr/>
        <w:t>淘汇、开心农场等爱心活动。</w:t>
      </w:r>
    </w:p>
    <w:p>
      <w:pPr>
        <w:pStyle w:val="BodyText"/>
        <w:spacing w:line="410" w:lineRule="auto" w:before="82"/>
        <w:ind w:left="153" w:right="0" w:firstLine="420"/>
        <w:jc w:val="left"/>
      </w:pPr>
      <w:r>
        <w:rPr>
          <w:spacing w:val="-6"/>
        </w:rPr>
        <w:t>美亚柏科在成长过程中，不忘初心、牢记使命，以做大做好企业来巩固内部向心力，提高外部竞争力，</w:t>
      </w:r>
      <w:r>
        <w:rPr/>
        <w:t> 为员工提供坚强后盾的同时兼顾社会急难与弱势群体，用实际行动回报社会、回报大众。</w:t>
      </w:r>
    </w:p>
    <w:p>
      <w:pPr>
        <w:spacing w:line="240" w:lineRule="auto" w:before="4"/>
        <w:rPr>
          <w:rFonts w:ascii="宋体" w:hAnsi="宋体" w:cs="宋体" w:eastAsia="宋体" w:hint="default"/>
          <w:sz w:val="20"/>
          <w:szCs w:val="20"/>
        </w:rPr>
      </w:pPr>
    </w:p>
    <w:p>
      <w:pPr>
        <w:pStyle w:val="Heading3"/>
        <w:spacing w:line="504" w:lineRule="auto"/>
        <w:ind w:left="153" w:right="6925"/>
        <w:jc w:val="left"/>
        <w:rPr>
          <w:b w:val="0"/>
          <w:bCs w:val="0"/>
        </w:rPr>
      </w:pPr>
      <w:r>
        <w:rPr>
          <w:rFonts w:ascii="Times New Roman" w:hAnsi="Times New Roman" w:cs="Times New Roman" w:eastAsia="Times New Roman" w:hint="default"/>
        </w:rPr>
        <w:t>2</w:t>
      </w:r>
      <w:r>
        <w:rPr/>
        <w:t>、履行精准扶贫社会责任情况</w:t>
      </w:r>
      <w:r>
        <w:rPr>
          <w:spacing w:val="1"/>
          <w:w w:val="99"/>
        </w:rPr>
        <w:t> </w:t>
      </w:r>
      <w:r>
        <w:rPr/>
        <w:t>无</w:t>
      </w:r>
      <w:r>
        <w:rPr>
          <w:b w:val="0"/>
          <w:bCs w:val="0"/>
        </w:rPr>
      </w:r>
    </w:p>
    <w:p>
      <w:pPr>
        <w:pStyle w:val="Heading3"/>
        <w:spacing w:line="240" w:lineRule="auto" w:before="106"/>
        <w:ind w:left="153" w:right="0"/>
        <w:jc w:val="both"/>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4731"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line="240" w:lineRule="auto" w:before="0"/>
        <w:rPr>
          <w:rFonts w:ascii="宋体" w:hAnsi="宋体" w:cs="宋体" w:eastAsia="宋体" w:hint="default"/>
          <w:sz w:val="18"/>
          <w:szCs w:val="18"/>
        </w:rPr>
      </w:pPr>
    </w:p>
    <w:p>
      <w:pPr>
        <w:pStyle w:val="Heading2"/>
        <w:spacing w:line="240" w:lineRule="auto"/>
        <w:ind w:right="0"/>
        <w:jc w:val="both"/>
        <w:rPr>
          <w:b w:val="0"/>
          <w:bCs w:val="0"/>
        </w:rPr>
      </w:pP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658" w:right="0"/>
        <w:jc w:val="left"/>
      </w:pPr>
      <w:r>
        <w:rPr>
          <w:rFonts w:ascii="Times New Roman" w:hAnsi="Times New Roman" w:cs="Times New Roman" w:eastAsia="Times New Roman" w:hint="default"/>
        </w:rPr>
        <w:t>1</w:t>
      </w:r>
      <w:r>
        <w:rPr/>
        <w:t>、发行股份购买资产之部分限售股份上市流通</w:t>
      </w:r>
    </w:p>
    <w:p>
      <w:pPr>
        <w:pStyle w:val="BodyText"/>
        <w:spacing w:line="386" w:lineRule="auto" w:before="177"/>
        <w:ind w:left="153" w:right="216"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日，中国证监会核准公司向韦玉荣等</w:t>
      </w:r>
      <w:r>
        <w:rPr>
          <w:rFonts w:ascii="Times New Roman" w:hAnsi="Times New Roman" w:cs="Times New Roman" w:eastAsia="Times New Roman" w:hint="default"/>
        </w:rPr>
        <w:t>19</w:t>
      </w:r>
      <w:r>
        <w:rPr/>
        <w:t>人发行股份购买相关资产，韦玉荣等</w:t>
      </w:r>
      <w:r>
        <w:rPr>
          <w:rFonts w:ascii="Times New Roman" w:hAnsi="Times New Roman" w:cs="Times New Roman" w:eastAsia="Times New Roman" w:hint="default"/>
        </w:rPr>
        <w:t>19</w:t>
      </w:r>
      <w:r>
        <w:rPr/>
        <w:t>人履行 了第一期申请解除股份限售的相关承诺，按照规定，公司于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日对韦玉荣等</w:t>
      </w:r>
      <w:r>
        <w:rPr>
          <w:rFonts w:ascii="Times New Roman" w:hAnsi="Times New Roman" w:cs="Times New Roman" w:eastAsia="Times New Roman" w:hint="default"/>
        </w:rPr>
        <w:t>19</w:t>
      </w:r>
      <w:r>
        <w:rPr/>
        <w:t>人持有的部分限 售股份解除限售。本次解除限售的股份数量为</w:t>
      </w:r>
      <w:r>
        <w:rPr>
          <w:rFonts w:ascii="Times New Roman" w:hAnsi="Times New Roman" w:cs="Times New Roman" w:eastAsia="Times New Roman" w:hint="default"/>
        </w:rPr>
        <w:t>10,579,824</w:t>
      </w:r>
      <w:r>
        <w:rPr/>
        <w:t>股，占公司总股本的</w:t>
      </w:r>
      <w:r>
        <w:rPr>
          <w:rFonts w:ascii="Times New Roman" w:hAnsi="Times New Roman" w:cs="Times New Roman" w:eastAsia="Times New Roman" w:hint="default"/>
        </w:rPr>
        <w:t>2.13%</w:t>
      </w:r>
      <w:r>
        <w:rPr/>
        <w:t>；实际可上市流通数 </w:t>
      </w:r>
      <w:r>
        <w:rPr>
          <w:spacing w:val="-1"/>
        </w:rPr>
        <w:t>量为</w:t>
      </w:r>
      <w:r>
        <w:rPr>
          <w:rFonts w:ascii="Times New Roman" w:hAnsi="Times New Roman" w:cs="Times New Roman" w:eastAsia="Times New Roman" w:hint="default"/>
          <w:spacing w:val="-1"/>
        </w:rPr>
        <w:t>9,799,656</w:t>
      </w:r>
      <w:r>
        <w:rPr>
          <w:spacing w:val="-1"/>
        </w:rPr>
        <w:t>股，占公司总股本的</w:t>
      </w:r>
      <w:r>
        <w:rPr>
          <w:rFonts w:ascii="Times New Roman" w:hAnsi="Times New Roman" w:cs="Times New Roman" w:eastAsia="Times New Roman" w:hint="default"/>
          <w:spacing w:val="-1"/>
        </w:rPr>
        <w:t>1.97%</w:t>
      </w:r>
      <w:r>
        <w:rPr>
          <w:spacing w:val="-1"/>
        </w:rPr>
        <w:t>。解除限售股份的上市流通日期为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18</w:t>
      </w:r>
      <w:r>
        <w:rPr>
          <w:spacing w:val="-1"/>
        </w:rPr>
        <w:t>日。详见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0"/>
        </w:rPr>
        <w:t> </w:t>
      </w:r>
      <w:r>
        <w:rPr/>
        <w:t>月</w:t>
      </w:r>
      <w:r>
        <w:rPr>
          <w:rFonts w:ascii="Times New Roman" w:hAnsi="Times New Roman" w:cs="Times New Roman" w:eastAsia="Times New Roman" w:hint="default"/>
        </w:rPr>
        <w:t>13</w:t>
      </w:r>
      <w:r>
        <w:rPr/>
        <w:t>日公司发布于巨潮资讯网</w:t>
      </w:r>
      <w:r>
        <w:rPr>
          <w:spacing w:val="-35"/>
        </w:rPr>
        <w:t> </w:t>
      </w:r>
      <w:hyperlink r:id="rId18">
        <w:r>
          <w:rPr>
            <w:rFonts w:ascii="Times New Roman" w:hAnsi="Times New Roman" w:cs="Times New Roman" w:eastAsia="Times New Roman" w:hint="default"/>
          </w:rPr>
          <w:t>www.cninfo.com.cn</w:t>
        </w:r>
        <w:r>
          <w:rPr/>
          <w:t>的相关公告。</w:t>
        </w:r>
      </w:hyperlink>
    </w:p>
    <w:p>
      <w:pPr>
        <w:pStyle w:val="BodyText"/>
        <w:spacing w:line="386" w:lineRule="auto" w:before="35"/>
        <w:ind w:left="574" w:right="320" w:hanging="1"/>
        <w:jc w:val="left"/>
      </w:pPr>
      <w:r>
        <w:rPr>
          <w:rFonts w:ascii="Times New Roman" w:hAnsi="Times New Roman" w:cs="Times New Roman" w:eastAsia="Times New Roman" w:hint="default"/>
        </w:rPr>
        <w:t>2</w:t>
      </w:r>
      <w:r>
        <w:rPr/>
        <w:t>、受让厦门斯坦道科学仪器股份有限公司</w:t>
      </w:r>
      <w:r>
        <w:rPr>
          <w:rFonts w:ascii="Times New Roman" w:hAnsi="Times New Roman" w:cs="Times New Roman" w:eastAsia="Times New Roman" w:hint="default"/>
        </w:rPr>
        <w:t>10%</w:t>
      </w:r>
      <w:r>
        <w:rPr/>
        <w:t>股权</w:t>
      </w:r>
      <w:r>
        <w:rPr>
          <w:spacing w:val="-2"/>
        </w:rPr>
        <w:t> </w:t>
      </w:r>
      <w:r>
        <w:rPr/>
        <w:t>公司于2017年3月6日召开第三届董事会第十四次会议，审议通过了《关于受让厦门斯坦道科学仪器</w:t>
      </w:r>
    </w:p>
    <w:p>
      <w:pPr>
        <w:pStyle w:val="BodyText"/>
        <w:spacing w:line="408" w:lineRule="auto" w:before="65"/>
        <w:ind w:right="233"/>
        <w:jc w:val="both"/>
      </w:pPr>
      <w:r>
        <w:rPr/>
        <w:t>股份有限公司10%股权的议案》。鉴于公司与斯坦道在产品、技术、市场方面的协同性较强，双方合作， </w:t>
      </w:r>
      <w:r>
        <w:rPr>
          <w:spacing w:val="-1"/>
        </w:rPr>
        <w:t>有利于进行资源共享、优势互补，增强双方的市场竞争力，公司以自有资金1,680万元受让北京国科鼎鑫</w:t>
      </w:r>
      <w:r>
        <w:rPr>
          <w:spacing w:val="-1"/>
        </w:rPr>
        <w:t> </w:t>
      </w:r>
      <w:r>
        <w:rPr/>
        <w:t>投资中心（有限合伙）持有的斯坦道10%股权，斯坦道注册资本3,109万元。详见2017年3月17日公司发布</w:t>
      </w:r>
      <w:r>
        <w:rPr/>
        <w:t> 于巨潮资讯网</w:t>
      </w:r>
      <w:r>
        <w:rPr>
          <w:spacing w:val="-17"/>
        </w:rPr>
        <w:t> </w:t>
      </w:r>
      <w:hyperlink r:id="rId18">
        <w:r>
          <w:rPr>
            <w:spacing w:val="-17"/>
          </w:rPr>
        </w:r>
        <w:r>
          <w:rPr/>
          <w:t>www.cninfo.com.cn的相关公告。</w:t>
        </w:r>
      </w:hyperlink>
    </w:p>
    <w:p>
      <w:pPr>
        <w:pStyle w:val="BodyText"/>
        <w:spacing w:line="386" w:lineRule="auto" w:before="46"/>
        <w:ind w:right="0" w:firstLine="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日，斯坦道股东之一林元利用自有资金对斯坦道新增注册资本</w:t>
      </w:r>
      <w:r>
        <w:rPr>
          <w:rFonts w:ascii="Times New Roman" w:hAnsi="Times New Roman" w:cs="Times New Roman" w:eastAsia="Times New Roman" w:hint="default"/>
        </w:rPr>
        <w:t>75</w:t>
      </w:r>
      <w:r>
        <w:rPr/>
        <w:t>万元，完成增资后，斯 </w:t>
      </w:r>
      <w:r>
        <w:rPr>
          <w:spacing w:val="-1"/>
        </w:rPr>
        <w:t>坦道注册资本由</w:t>
      </w:r>
      <w:r>
        <w:rPr>
          <w:rFonts w:ascii="Times New Roman" w:hAnsi="Times New Roman" w:cs="Times New Roman" w:eastAsia="Times New Roman" w:hint="default"/>
          <w:spacing w:val="-1"/>
        </w:rPr>
        <w:t>3,109</w:t>
      </w:r>
      <w:r>
        <w:rPr>
          <w:spacing w:val="-1"/>
        </w:rPr>
        <w:t>万元变更为</w:t>
      </w:r>
      <w:r>
        <w:rPr>
          <w:rFonts w:ascii="Times New Roman" w:hAnsi="Times New Roman" w:cs="Times New Roman" w:eastAsia="Times New Roman" w:hint="default"/>
          <w:spacing w:val="-1"/>
        </w:rPr>
        <w:t>3,184</w:t>
      </w:r>
      <w:r>
        <w:rPr>
          <w:spacing w:val="-1"/>
        </w:rPr>
        <w:t>万元，公司持有股份由</w:t>
      </w:r>
      <w:r>
        <w:rPr>
          <w:rFonts w:ascii="Times New Roman" w:hAnsi="Times New Roman" w:cs="Times New Roman" w:eastAsia="Times New Roman" w:hint="default"/>
          <w:spacing w:val="-1"/>
        </w:rPr>
        <w:t>10%</w:t>
      </w:r>
      <w:r>
        <w:rPr>
          <w:spacing w:val="-1"/>
        </w:rPr>
        <w:t>变更为</w:t>
      </w:r>
      <w:r>
        <w:rPr>
          <w:rFonts w:ascii="Times New Roman" w:hAnsi="Times New Roman" w:cs="Times New Roman" w:eastAsia="Times New Roman" w:hint="default"/>
          <w:spacing w:val="-1"/>
        </w:rPr>
        <w:t>9.76%</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15</w:t>
      </w:r>
      <w:r>
        <w:rPr>
          <w:spacing w:val="-1"/>
        </w:rPr>
        <w:t>日，斯坦道</w:t>
      </w:r>
      <w:r>
        <w:rPr>
          <w:spacing w:val="-63"/>
        </w:rPr>
        <w:t> </w:t>
      </w:r>
      <w:r>
        <w:rPr>
          <w:spacing w:val="-63"/>
        </w:rPr>
      </w:r>
      <w:r>
        <w:rPr/>
        <w:t>完成了注册资本工商变更手续。</w:t>
      </w:r>
    </w:p>
    <w:p>
      <w:pPr>
        <w:pStyle w:val="BodyText"/>
        <w:spacing w:line="240" w:lineRule="auto" w:before="65"/>
        <w:ind w:left="658" w:right="0"/>
        <w:jc w:val="left"/>
      </w:pPr>
      <w:r>
        <w:rPr>
          <w:rFonts w:ascii="Times New Roman" w:hAnsi="Times New Roman" w:cs="Times New Roman" w:eastAsia="Times New Roman" w:hint="default"/>
        </w:rPr>
        <w:t>3</w:t>
      </w:r>
      <w:r>
        <w:rPr/>
        <w:t>、美亚中敏增资</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153" w:right="0" w:firstLine="420"/>
        <w:jc w:val="left"/>
      </w:pPr>
      <w:r>
        <w:rPr/>
        <w:t>公司于2017年3月6日召开第三届董事会第十四次会议，审议通过了《关于对控股子公司美亚中敏增 </w:t>
      </w:r>
      <w:r>
        <w:rPr>
          <w:spacing w:val="-1"/>
        </w:rPr>
        <w:t>资的议案》。公司以美亚中敏现有注册资本660万元为基础，与美亚中敏原有股东同比例增资，将美亚中</w:t>
      </w:r>
      <w:r>
        <w:rPr>
          <w:spacing w:val="-1"/>
        </w:rPr>
        <w:t> </w:t>
      </w:r>
      <w:r>
        <w:rPr/>
        <w:t>敏认缴注册资本增加至3,001.88万元。其中公司使用自有资金1,586.17万元，增加认缴出资额至</w:t>
      </w:r>
      <w:r>
        <w:rPr/>
        <w:t> 2,033.17万元，持股比例67.73%。各股东完成认缴注册资本增资后，股权比例与增资前保持不变，美亚 中敏仍为公司控股子公司。详见 2017年 3月 </w:t>
      </w:r>
      <w:hyperlink r:id="rId19">
        <w:r>
          <w:rPr/>
          <w:t>7 日公司发布在巨潮资讯网</w:t>
        </w:r>
        <w:r>
          <w:rPr>
            <w:spacing w:val="-19"/>
          </w:rPr>
          <w:t> </w:t>
        </w:r>
        <w:r>
          <w:rPr/>
          <w:t>www.cninfo.com.cn的相关公</w:t>
        </w:r>
      </w:hyperlink>
      <w:r>
        <w:rPr>
          <w:spacing w:val="-1"/>
        </w:rPr>
        <w:t> </w:t>
      </w:r>
      <w:r>
        <w:rPr/>
        <w:t>告。美亚中敏已完成工商变更手续，除注册资本由660万元变更为3001.88万元外，其他信息不变，美亚</w:t>
      </w:r>
      <w:r>
        <w:rPr/>
        <w:t> </w:t>
      </w:r>
      <w:hyperlink r:id="rId20">
        <w:r>
          <w:rPr/>
          <w:t>中敏工商登记信息可查询厦门市商事主体登记及信用信息公示平台www.xiamencr</w:t>
        </w:r>
      </w:hyperlink>
      <w:r>
        <w:rPr/>
        <w:t>edit.gov.cn。</w:t>
      </w:r>
    </w:p>
    <w:p>
      <w:pPr>
        <w:pStyle w:val="BodyText"/>
        <w:spacing w:line="386" w:lineRule="auto" w:before="46"/>
        <w:ind w:left="490" w:right="0" w:firstLine="83"/>
        <w:jc w:val="left"/>
      </w:pPr>
      <w:r>
        <w:rPr>
          <w:rFonts w:ascii="Times New Roman" w:hAnsi="Times New Roman" w:cs="Times New Roman" w:eastAsia="Times New Roman" w:hint="default"/>
        </w:rPr>
        <w:t>4</w:t>
      </w:r>
      <w:r>
        <w:rPr/>
        <w:t>、美亚宏数增资 </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日召开了第三届董事会第十九次会议和</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29</w:t>
      </w:r>
      <w:r>
        <w:rPr>
          <w:spacing w:val="-1"/>
        </w:rPr>
        <w:t>日召开</w:t>
      </w:r>
      <w:r>
        <w:rPr>
          <w:rFonts w:ascii="Times New Roman" w:hAnsi="Times New Roman" w:cs="Times New Roman" w:eastAsia="Times New Roman" w:hint="default"/>
          <w:spacing w:val="-1"/>
        </w:rPr>
        <w:t>2017</w:t>
      </w:r>
      <w:r>
        <w:rPr>
          <w:spacing w:val="-1"/>
        </w:rPr>
        <w:t>年第一次临时股东</w:t>
      </w:r>
    </w:p>
    <w:p>
      <w:pPr>
        <w:pStyle w:val="BodyText"/>
        <w:spacing w:line="386" w:lineRule="auto" w:before="35"/>
        <w:ind w:left="153" w:right="146"/>
        <w:jc w:val="left"/>
      </w:pPr>
      <w:r>
        <w:rPr/>
        <w:t>大会，审议通过了《关于对控股子公司增资暨关联交易的议案》，公司使用自有资金</w:t>
      </w:r>
      <w:r>
        <w:rPr>
          <w:rFonts w:ascii="Times New Roman" w:hAnsi="Times New Roman" w:cs="Times New Roman" w:eastAsia="Times New Roman" w:hint="default"/>
        </w:rPr>
        <w:t>1,000</w:t>
      </w:r>
      <w:r>
        <w:rPr/>
        <w:t>万元单方面对 美亚宏数进行增资，增资完成后，美亚宏数注册资本由</w:t>
      </w:r>
      <w:r>
        <w:rPr>
          <w:rFonts w:ascii="Times New Roman" w:hAnsi="Times New Roman" w:cs="Times New Roman" w:eastAsia="Times New Roman" w:hint="default"/>
        </w:rPr>
        <w:t>650</w:t>
      </w:r>
      <w:r>
        <w:rPr/>
        <w:t>万元变更为</w:t>
      </w:r>
      <w:r>
        <w:rPr>
          <w:rFonts w:ascii="Times New Roman" w:hAnsi="Times New Roman" w:cs="Times New Roman" w:eastAsia="Times New Roman" w:hint="default"/>
        </w:rPr>
        <w:t>1,650</w:t>
      </w:r>
      <w:r>
        <w:rPr/>
        <w:t>万元</w:t>
      </w:r>
      <w:r>
        <w:rPr>
          <w:rFonts w:ascii="Times New Roman" w:hAnsi="Times New Roman" w:cs="Times New Roman" w:eastAsia="Times New Roman" w:hint="default"/>
        </w:rPr>
        <w:t>,</w:t>
      </w:r>
      <w:r>
        <w:rPr/>
        <w:t>公司持股比例由</w:t>
      </w:r>
      <w:r>
        <w:rPr>
          <w:rFonts w:ascii="Times New Roman" w:hAnsi="Times New Roman" w:cs="Times New Roman" w:eastAsia="Times New Roman" w:hint="default"/>
        </w:rPr>
        <w:t>55%</w:t>
      </w:r>
      <w:r>
        <w:rPr/>
        <w:t>变更 为</w:t>
      </w:r>
      <w:r>
        <w:rPr>
          <w:rFonts w:ascii="Times New Roman" w:hAnsi="Times New Roman" w:cs="Times New Roman" w:eastAsia="Times New Roman" w:hint="default"/>
        </w:rPr>
        <w:t>82.27%</w:t>
      </w:r>
      <w:r>
        <w:rPr/>
        <w:t>。详见 </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9</w:t>
      </w:r>
      <w:r>
        <w:rPr/>
        <w:t>月 </w:t>
      </w:r>
      <w:r>
        <w:rPr>
          <w:rFonts w:ascii="Times New Roman" w:hAnsi="Times New Roman" w:cs="Times New Roman" w:eastAsia="Times New Roman" w:hint="default"/>
        </w:rPr>
        <w:t>13 </w:t>
      </w:r>
      <w:r>
        <w:rPr/>
        <w:t>日和</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日公司发布在巨潮资讯网</w:t>
      </w:r>
      <w:r>
        <w:rPr>
          <w:spacing w:val="-71"/>
        </w:rPr>
        <w:t> </w:t>
      </w:r>
      <w:hyperlink r:id="rId18">
        <w:r>
          <w:rPr>
            <w:rFonts w:ascii="Times New Roman" w:hAnsi="Times New Roman" w:cs="Times New Roman" w:eastAsia="Times New Roman" w:hint="default"/>
          </w:rPr>
          <w:t>www.cninfo.com.cn</w:t>
        </w:r>
        <w:r>
          <w:rPr/>
          <w:t>的相关公告。美</w:t>
        </w:r>
      </w:hyperlink>
      <w:r>
        <w:rPr/>
        <w:t> 亚宏数已完成工商变更手续，除注册资本由</w:t>
      </w:r>
      <w:r>
        <w:rPr>
          <w:rFonts w:ascii="Times New Roman" w:hAnsi="Times New Roman" w:cs="Times New Roman" w:eastAsia="Times New Roman" w:hint="default"/>
        </w:rPr>
        <w:t>650</w:t>
      </w:r>
      <w:r>
        <w:rPr/>
        <w:t>万元变更为</w:t>
      </w:r>
      <w:r>
        <w:rPr>
          <w:rFonts w:ascii="Times New Roman" w:hAnsi="Times New Roman" w:cs="Times New Roman" w:eastAsia="Times New Roman" w:hint="default"/>
        </w:rPr>
        <w:t>1,650</w:t>
      </w:r>
      <w:r>
        <w:rPr/>
        <w:t>万元外，其他信息不变，美亚宏数工商登 记信息可查询北京市企业信用信息网</w:t>
      </w:r>
      <w:hyperlink r:id="rId17">
        <w:r>
          <w:rPr>
            <w:rFonts w:ascii="Times New Roman" w:hAnsi="Times New Roman" w:cs="Times New Roman" w:eastAsia="Times New Roman" w:hint="default"/>
          </w:rPr>
          <w:t>http://qyxy.baic.gov.cn</w:t>
        </w:r>
      </w:hyperlink>
      <w:r>
        <w:rPr/>
        <w:t>。</w:t>
      </w:r>
    </w:p>
    <w:p>
      <w:pPr>
        <w:pStyle w:val="BodyText"/>
        <w:spacing w:line="386" w:lineRule="auto" w:before="35"/>
        <w:ind w:left="489" w:right="195" w:firstLine="83"/>
        <w:jc w:val="left"/>
      </w:pPr>
      <w:r>
        <w:rPr>
          <w:rFonts w:ascii="Times New Roman" w:hAnsi="Times New Roman" w:cs="Times New Roman" w:eastAsia="Times New Roman" w:hint="default"/>
        </w:rPr>
        <w:t>5</w:t>
      </w:r>
      <w:r>
        <w:rPr/>
        <w:t>、新设全资子公司美亚天信 培训是公司重要的服务业务之一，为了提升公司培训业务的专业性，有效保障培训服务质量，公司出</w:t>
      </w:r>
    </w:p>
    <w:p>
      <w:pPr>
        <w:pStyle w:val="BodyText"/>
        <w:spacing w:line="386" w:lineRule="auto" w:before="65"/>
        <w:ind w:left="153" w:right="268"/>
        <w:jc w:val="left"/>
      </w:pPr>
      <w:r>
        <w:rPr/>
        <w:t>资</w:t>
      </w:r>
      <w:r>
        <w:rPr>
          <w:rFonts w:ascii="Times New Roman" w:hAnsi="Times New Roman" w:cs="Times New Roman" w:eastAsia="Times New Roman" w:hint="default"/>
        </w:rPr>
        <w:t>1,000</w:t>
      </w:r>
      <w:r>
        <w:rPr/>
        <w:t>万元设立全资子公司厦门美亚天信会议服务有限公司，负责公司培训及培训保障工作。美亚天信 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日完成注册登记手续，具体注册信息如下：</w:t>
      </w:r>
    </w:p>
    <w:p>
      <w:pPr>
        <w:pStyle w:val="BodyText"/>
        <w:spacing w:line="398" w:lineRule="auto" w:before="35"/>
        <w:ind w:left="573" w:right="2421"/>
        <w:jc w:val="left"/>
      </w:pPr>
      <w:r>
        <w:rPr/>
        <w:t>名称：厦门美亚天信会议服务有限公司 统一社会信用代码：</w:t>
      </w:r>
      <w:r>
        <w:rPr>
          <w:rFonts w:ascii="Times New Roman" w:hAnsi="Times New Roman" w:cs="Times New Roman" w:eastAsia="Times New Roman" w:hint="default"/>
        </w:rPr>
        <w:t>91350200MA2YMYEW5T </w:t>
      </w:r>
      <w:r>
        <w:rPr/>
        <w:t>类型：法人商事主体【有限责任公司（非自然人投资或控股的法人独资）】</w:t>
      </w:r>
    </w:p>
    <w:p>
      <w:pPr>
        <w:pStyle w:val="BodyText"/>
        <w:spacing w:line="386" w:lineRule="auto" w:before="54"/>
        <w:ind w:left="573" w:right="566"/>
        <w:jc w:val="left"/>
      </w:pPr>
      <w:r>
        <w:rPr/>
        <w:t>住所：中国（福建）自有贸易试验区厦门片区象屿路</w:t>
      </w:r>
      <w:r>
        <w:rPr>
          <w:rFonts w:ascii="Times New Roman" w:hAnsi="Times New Roman" w:cs="Times New Roman" w:eastAsia="Times New Roman" w:hint="default"/>
        </w:rPr>
        <w:t>97</w:t>
      </w:r>
      <w:r>
        <w:rPr/>
        <w:t>号厦门国家航运中心</w:t>
      </w:r>
      <w:r>
        <w:rPr>
          <w:rFonts w:ascii="Times New Roman" w:hAnsi="Times New Roman" w:cs="Times New Roman" w:eastAsia="Times New Roman" w:hint="default"/>
        </w:rPr>
        <w:t>D</w:t>
      </w:r>
      <w:r>
        <w:rPr/>
        <w:t>栋</w:t>
      </w:r>
      <w:r>
        <w:rPr>
          <w:rFonts w:ascii="Times New Roman" w:hAnsi="Times New Roman" w:cs="Times New Roman" w:eastAsia="Times New Roman" w:hint="default"/>
        </w:rPr>
        <w:t>8</w:t>
      </w:r>
      <w:r>
        <w:rPr/>
        <w:t>层</w:t>
      </w:r>
      <w:r>
        <w:rPr>
          <w:rFonts w:ascii="Times New Roman" w:hAnsi="Times New Roman" w:cs="Times New Roman" w:eastAsia="Times New Roman" w:hint="default"/>
        </w:rPr>
        <w:t>03</w:t>
      </w:r>
      <w:r>
        <w:rPr/>
        <w:t>单元</w:t>
      </w:r>
      <w:r>
        <w:rPr>
          <w:rFonts w:ascii="Times New Roman" w:hAnsi="Times New Roman" w:cs="Times New Roman" w:eastAsia="Times New Roman" w:hint="default"/>
        </w:rPr>
        <w:t>E</w:t>
      </w:r>
      <w:r>
        <w:rPr/>
        <w:t>之三</w:t>
      </w:r>
      <w:r>
        <w:rPr>
          <w:spacing w:val="-2"/>
        </w:rPr>
        <w:t> </w:t>
      </w:r>
      <w:r>
        <w:rPr/>
        <w:t>法定代表人：张高祥</w:t>
      </w:r>
    </w:p>
    <w:p>
      <w:pPr>
        <w:pStyle w:val="BodyText"/>
        <w:spacing w:line="386" w:lineRule="auto" w:before="65"/>
        <w:ind w:left="574" w:right="320"/>
        <w:jc w:val="left"/>
      </w:pPr>
      <w:r>
        <w:rPr/>
        <w:t>营业期限：自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2067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 经营范围：商事主体的经营范围、经营场所、投资者人信息、年报信息和监管信息等请至厦门市商</w:t>
      </w:r>
    </w:p>
    <w:p>
      <w:pPr>
        <w:pStyle w:val="BodyText"/>
        <w:spacing w:line="386" w:lineRule="auto" w:before="65"/>
        <w:ind w:left="153" w:right="0"/>
        <w:jc w:val="left"/>
      </w:pPr>
      <w:r>
        <w:rPr>
          <w:spacing w:val="-1"/>
        </w:rPr>
        <w:t>事主体登记及信用信息公示平台（网址</w:t>
      </w:r>
      <w:hyperlink r:id="rId20">
        <w:r>
          <w:rPr>
            <w:rFonts w:ascii="Times New Roman" w:hAnsi="Times New Roman" w:cs="Times New Roman" w:eastAsia="Times New Roman" w:hint="default"/>
            <w:spacing w:val="-1"/>
          </w:rPr>
          <w:t>:www.x</w:t>
        </w:r>
      </w:hyperlink>
      <w:r>
        <w:rPr>
          <w:rFonts w:ascii="Times New Roman" w:hAnsi="Times New Roman" w:cs="Times New Roman" w:eastAsia="Times New Roman" w:hint="default"/>
          <w:spacing w:val="-1"/>
        </w:rPr>
        <w:t>i</w:t>
      </w:r>
      <w:hyperlink r:id="rId20">
        <w:r>
          <w:rPr>
            <w:rFonts w:ascii="Times New Roman" w:hAnsi="Times New Roman" w:cs="Times New Roman" w:eastAsia="Times New Roman" w:hint="default"/>
            <w:spacing w:val="-1"/>
          </w:rPr>
          <w:t>amencredit.gov.cn</w:t>
        </w:r>
      </w:hyperlink>
      <w:r>
        <w:rPr>
          <w:spacing w:val="-1"/>
        </w:rPr>
        <w:t>）查询。经营范围中涉及许可审批经营项</w:t>
      </w:r>
      <w:r>
        <w:rPr>
          <w:spacing w:val="-67"/>
        </w:rPr>
        <w:t> </w:t>
      </w:r>
      <w:r>
        <w:rPr>
          <w:spacing w:val="-67"/>
        </w:rPr>
      </w:r>
      <w:r>
        <w:rPr/>
        <w:t>目的，应在取得有关部门的许可后方可经营。</w:t>
      </w:r>
    </w:p>
    <w:p>
      <w:pPr>
        <w:pStyle w:val="BodyText"/>
        <w:spacing w:line="386" w:lineRule="auto" w:before="65"/>
        <w:ind w:left="574" w:right="320" w:hanging="1"/>
        <w:jc w:val="left"/>
      </w:pPr>
      <w:r>
        <w:rPr>
          <w:rFonts w:ascii="Times New Roman" w:hAnsi="Times New Roman" w:cs="Times New Roman" w:eastAsia="Times New Roman" w:hint="default"/>
        </w:rPr>
        <w:t>6</w:t>
      </w:r>
      <w:r>
        <w:rPr/>
        <w:t>、美桐产业并购基金进展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日召开第三届董事会第七次会议，审议通过了《关于发起设立产业并购基金的</w:t>
      </w:r>
    </w:p>
    <w:p>
      <w:pPr>
        <w:pStyle w:val="BodyText"/>
        <w:spacing w:line="240" w:lineRule="auto" w:before="35"/>
        <w:ind w:right="0"/>
        <w:jc w:val="left"/>
      </w:pPr>
      <w:r>
        <w:rPr/>
        <w:t>议案》，公司与深圳市前海梧桐并购投资基金管理有限公司（以下统称</w:t>
      </w:r>
      <w:r>
        <w:rPr>
          <w:rFonts w:ascii="Times New Roman" w:hAnsi="Times New Roman" w:cs="Times New Roman" w:eastAsia="Times New Roman" w:hint="default"/>
        </w:rPr>
        <w:t>“</w:t>
      </w:r>
      <w:r>
        <w:rPr/>
        <w:t>合作双方</w:t>
      </w:r>
      <w:r>
        <w:rPr>
          <w:rFonts w:ascii="Times New Roman" w:hAnsi="Times New Roman" w:cs="Times New Roman" w:eastAsia="Times New Roman" w:hint="default"/>
        </w:rPr>
        <w:t>”</w:t>
      </w:r>
      <w:r>
        <w:rPr/>
        <w:t>）拟共同出资发起设立</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93" w:lineRule="auto" w:before="174"/>
        <w:ind w:left="153" w:right="146"/>
        <w:jc w:val="left"/>
      </w:pPr>
      <w:r>
        <w:rPr/>
        <w:pict>
          <v:shape style="position:absolute;margin-left:92.699997pt;margin-top:309.743988pt;width:419.25pt;height:122.2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1"/>
                    <w:gridCol w:w="3258"/>
                    <w:gridCol w:w="2464"/>
                    <w:gridCol w:w="1790"/>
                  </w:tblGrid>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投资项目</w:t>
                        </w:r>
                        <w:r>
                          <w:rPr>
                            <w:rFonts w:ascii="宋体" w:hAnsi="宋体" w:cs="宋体" w:eastAsia="宋体" w:hint="default"/>
                            <w:sz w:val="21"/>
                            <w:szCs w:val="21"/>
                          </w:rPr>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投资领域</w:t>
                        </w:r>
                        <w:r>
                          <w:rPr>
                            <w:rFonts w:ascii="宋体" w:hAnsi="宋体" w:cs="宋体" w:eastAsia="宋体" w:hint="default"/>
                            <w:sz w:val="21"/>
                            <w:szCs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投资金额（万元）</w:t>
                        </w:r>
                        <w:r>
                          <w:rPr>
                            <w:rFonts w:ascii="宋体" w:hAnsi="宋体" w:cs="宋体" w:eastAsia="宋体" w:hint="default"/>
                            <w:sz w:val="21"/>
                            <w:szCs w:val="21"/>
                          </w:rPr>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中科金审（北京）科技有限公司</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经济及政务大数据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2,000</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北京捷兴信源技术有限公司</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移动应用安全</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4,000</w:t>
                        </w:r>
                      </w:p>
                    </w:tc>
                  </w:tr>
                  <w:tr>
                    <w:trPr>
                      <w:trHeight w:val="348"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深圳市恒扬数据股份有限公司</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大数据基础建设</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4,980</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北京志翔科技股份有限公司</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网络空间安全</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1,000</w:t>
                        </w:r>
                      </w:p>
                    </w:tc>
                  </w:tr>
                  <w:tr>
                    <w:trPr>
                      <w:trHeight w:val="347"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32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新译信息科技（深圳）有限公司</w:t>
                        </w:r>
                      </w:p>
                    </w:tc>
                    <w:tc>
                      <w:tcPr>
                        <w:tcW w:w="24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机器翻译（人工智能）</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2,000</w:t>
                        </w:r>
                      </w:p>
                    </w:tc>
                  </w:tr>
                  <w:tr>
                    <w:trPr>
                      <w:trHeight w:val="348" w:hRule="exact"/>
                    </w:trPr>
                    <w:tc>
                      <w:tcPr>
                        <w:tcW w:w="657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总计</w:t>
                        </w:r>
                        <w:r>
                          <w:rPr>
                            <w:rFonts w:ascii="宋体" w:hAnsi="宋体" w:cs="宋体" w:eastAsia="宋体" w:hint="default"/>
                            <w:sz w:val="21"/>
                            <w:szCs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 w:right="0"/>
                          <w:jc w:val="center"/>
                          <w:rPr>
                            <w:rFonts w:ascii="Times New Roman" w:hAnsi="Times New Roman" w:cs="Times New Roman" w:eastAsia="Times New Roman" w:hint="default"/>
                            <w:sz w:val="21"/>
                            <w:szCs w:val="21"/>
                          </w:rPr>
                        </w:pPr>
                        <w:r>
                          <w:rPr>
                            <w:rFonts w:ascii="Times New Roman"/>
                            <w:b/>
                            <w:sz w:val="21"/>
                          </w:rPr>
                          <w:t>13,980</w:t>
                        </w:r>
                        <w:r>
                          <w:rPr>
                            <w:rFonts w:ascii="Times New Roman"/>
                            <w:sz w:val="21"/>
                          </w:rPr>
                        </w:r>
                      </w:p>
                    </w:tc>
                  </w:tr>
                </w:tbl>
                <w:p>
                  <w:pPr/>
                </w:p>
              </w:txbxContent>
            </v:textbox>
            <w10:wrap type="none"/>
          </v:shape>
        </w:pict>
      </w:r>
      <w:r>
        <w:rPr/>
        <w:t>美亚梧桐网络空间安全及大数据产业并购基金（以下简称“美桐产业并购基金”）。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日，因 公司部分董事、高级管理人员及核心员工拟通过成立合伙企业的形式参与认购美桐产业并购基金份额， 公司第三届董事会第八次会议审议通过了《关于公司与董事、高级管理人员参与认购美亚梧桐产业并购 基金暨关联交易的议案》，该议案于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日经公司</w:t>
      </w:r>
      <w:r>
        <w:rPr>
          <w:rFonts w:ascii="Times New Roman" w:hAnsi="Times New Roman" w:cs="Times New Roman" w:eastAsia="Times New Roman" w:hint="default"/>
        </w:rPr>
        <w:t>2016</w:t>
      </w:r>
      <w:r>
        <w:rPr/>
        <w:t>年第一次临时股东大会审议通过。截至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日，合作双方已陆续完成了基金管理人厦门市美亚梧桐投资管理有限公司、厦门市亚桐投资 管理合伙企业（有限合伙）（即</w:t>
      </w:r>
      <w:r>
        <w:rPr>
          <w:rFonts w:ascii="Times New Roman" w:hAnsi="Times New Roman" w:cs="Times New Roman" w:eastAsia="Times New Roman" w:hint="default"/>
        </w:rPr>
        <w:t>SPV</w:t>
      </w:r>
      <w:r>
        <w:rPr/>
        <w:t>）以及厦门市美桐股权投资基金合伙企业（有限合伙）（即美桐产业 并购基金）的工商注册登记。</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日，基金管理人厦门市美亚梧桐投资管理有限公司在中国证券 投资基金业协会完成了私募基金管理人登记。详见公司分别于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2016</w:t>
      </w:r>
      <w:r>
        <w:rPr/>
        <w:t>年 </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日披露在中国证监会指定创业板信息披露网站巨潮资讯网</w:t>
      </w:r>
      <w:hyperlink r:id="rId21">
        <w:r>
          <w:rPr>
            <w:rFonts w:ascii="Times New Roman" w:hAnsi="Times New Roman" w:cs="Times New Roman" w:eastAsia="Times New Roman" w:hint="default"/>
          </w:rPr>
          <w:t>www.cninfo.com.cn</w:t>
        </w:r>
        <w:r>
          <w:rPr/>
          <w:t>的相</w:t>
        </w:r>
      </w:hyperlink>
      <w:r>
        <w:rPr/>
        <w:t> 关公告。美桐产业并购基金于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日关闭，实际募集资金</w:t>
      </w:r>
      <w:r>
        <w:rPr>
          <w:rFonts w:ascii="Times New Roman" w:hAnsi="Times New Roman" w:cs="Times New Roman" w:eastAsia="Times New Roman" w:hint="default"/>
        </w:rPr>
        <w:t>2.23</w:t>
      </w:r>
      <w:r>
        <w:rPr/>
        <w:t>亿元。美桐产业并购基金围绕美亚 柏科在网络安全和大数据信息化领域的产业纵深，先后在公安信息化、舆情分析、反电信诈骗信息化、 公安大数据等子行业进行了拓展，选取了在子行业中的一些领先企业进行了立项以及投资。报告期内， 美桐产业并购基金已投资项目</w:t>
      </w:r>
      <w:r>
        <w:rPr>
          <w:rFonts w:ascii="Times New Roman" w:hAnsi="Times New Roman" w:cs="Times New Roman" w:eastAsia="Times New Roman" w:hint="default"/>
        </w:rPr>
        <w:t>5</w:t>
      </w:r>
      <w:r>
        <w:rPr/>
        <w:t>个，协议金额合计</w:t>
      </w:r>
      <w:r>
        <w:rPr>
          <w:rFonts w:ascii="Times New Roman" w:hAnsi="Times New Roman" w:cs="Times New Roman" w:eastAsia="Times New Roman" w:hint="default"/>
        </w:rPr>
        <w:t>13,980</w:t>
      </w:r>
      <w:r>
        <w:rPr/>
        <w:t>万元</w:t>
      </w:r>
      <w:r>
        <w:rPr>
          <w:rFonts w:ascii="Times New Roman" w:hAnsi="Times New Roman" w:cs="Times New Roman" w:eastAsia="Times New Roman" w:hint="default"/>
        </w:rPr>
        <w:t>,</w:t>
      </w:r>
      <w:r>
        <w:rPr/>
        <w:t>投资项目情况如下：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600" w:right="0"/>
        <w:jc w:val="left"/>
      </w:pPr>
      <w:r>
        <w:rPr/>
        <w:t>其中：新译信息科技（深圳）有限公司主要专注人工智能文本领域，新译科技机器翻译项目评选为</w:t>
      </w:r>
    </w:p>
    <w:p>
      <w:pPr>
        <w:spacing w:line="240" w:lineRule="auto" w:before="10"/>
        <w:rPr>
          <w:rFonts w:ascii="宋体" w:hAnsi="宋体" w:cs="宋体" w:eastAsia="宋体" w:hint="default"/>
          <w:sz w:val="14"/>
          <w:szCs w:val="14"/>
        </w:rPr>
      </w:pPr>
    </w:p>
    <w:p>
      <w:pPr>
        <w:pStyle w:val="BodyText"/>
        <w:spacing w:line="408" w:lineRule="auto"/>
        <w:ind w:right="320"/>
        <w:jc w:val="left"/>
      </w:pPr>
      <w:r>
        <w:rPr/>
        <w:t>《第七届吴文俊人工智能科技进步奖企业技术创新工程项目》，这个奖项的获得，标志着新译科技自然 语言处理相关技术获得国家层面相关技术专家的认可，也是服务</w:t>
      </w:r>
      <w:r>
        <w:rPr>
          <w:rFonts w:ascii="Times New Roman" w:hAnsi="Times New Roman" w:cs="Times New Roman" w:eastAsia="Times New Roman" w:hint="default"/>
        </w:rPr>
        <w:t>B</w:t>
      </w:r>
      <w:r>
        <w:rPr/>
        <w:t>端、</w:t>
      </w:r>
      <w:r>
        <w:rPr>
          <w:rFonts w:ascii="Times New Roman" w:hAnsi="Times New Roman" w:cs="Times New Roman" w:eastAsia="Times New Roman" w:hint="default"/>
        </w:rPr>
        <w:t>G</w:t>
      </w:r>
      <w:r>
        <w:rPr/>
        <w:t>端市场以来最好的褒奖。</w:t>
      </w:r>
    </w:p>
    <w:p>
      <w:pPr>
        <w:spacing w:line="240" w:lineRule="auto" w:before="3"/>
        <w:rPr>
          <w:rFonts w:ascii="宋体" w:hAnsi="宋体" w:cs="宋体" w:eastAsia="宋体" w:hint="default"/>
          <w:sz w:val="16"/>
          <w:szCs w:val="16"/>
        </w:rPr>
      </w:pPr>
    </w:p>
    <w:p>
      <w:pPr>
        <w:pStyle w:val="Heading2"/>
        <w:spacing w:line="240" w:lineRule="auto"/>
        <w:ind w:right="0"/>
        <w:jc w:val="left"/>
        <w:rPr>
          <w:b w:val="0"/>
          <w:bCs w:val="0"/>
        </w:rPr>
      </w:pP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574" w:right="320" w:hanging="1"/>
        <w:jc w:val="left"/>
      </w:pPr>
      <w:r>
        <w:rPr>
          <w:rFonts w:ascii="Times New Roman" w:hAnsi="Times New Roman" w:cs="Times New Roman" w:eastAsia="Times New Roman" w:hint="default"/>
        </w:rPr>
        <w:t>1</w:t>
      </w:r>
      <w:r>
        <w:rPr/>
        <w:t>、控股子公司美亚智讯出资</w:t>
      </w:r>
      <w:r>
        <w:rPr>
          <w:rFonts w:ascii="Times New Roman" w:hAnsi="Times New Roman" w:cs="Times New Roman" w:eastAsia="Times New Roman" w:hint="default"/>
        </w:rPr>
        <w:t>400</w:t>
      </w:r>
      <w:r>
        <w:rPr/>
        <w:t>万元合资设立孙公司沈阳城市公共安全科技有限公司 为更好地抓住辽宁省各个城市对公共安全信息化管理的行业机遇，加强本地化的服务和区域政务大</w:t>
      </w:r>
    </w:p>
    <w:p>
      <w:pPr>
        <w:pStyle w:val="BodyText"/>
        <w:spacing w:line="408" w:lineRule="auto" w:before="65"/>
        <w:ind w:right="320"/>
        <w:jc w:val="left"/>
      </w:pPr>
      <w:r>
        <w:rPr/>
        <w:t>数据经营变现能力，公司控股子公司美亚智讯与沈阳城市公用集团有限公司（以下简称“沈阳公用集 团”、沈阳东网企业投资管理有限公司（以下简称“沈阳东网”）、深圳光启空间技术有限公司（以下 简称“深圳光启”）签订合资协议，各方拟合资设立“沈阳城市公共安全科技有限公司”（以下简称</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86" w:lineRule="auto" w:before="174"/>
        <w:ind w:right="164"/>
        <w:jc w:val="both"/>
      </w:pPr>
      <w:r>
        <w:rPr/>
        <w:t>“合资公司”）。其中美亚智讯出资</w:t>
      </w:r>
      <w:r>
        <w:rPr>
          <w:rFonts w:ascii="Times New Roman" w:hAnsi="Times New Roman" w:cs="Times New Roman" w:eastAsia="Times New Roman" w:hint="default"/>
        </w:rPr>
        <w:t>400</w:t>
      </w:r>
      <w:r>
        <w:rPr/>
        <w:t>万元，持有合资公司</w:t>
      </w:r>
      <w:r>
        <w:rPr>
          <w:rFonts w:ascii="Times New Roman" w:hAnsi="Times New Roman" w:cs="Times New Roman" w:eastAsia="Times New Roman" w:hint="default"/>
        </w:rPr>
        <w:t>40%</w:t>
      </w:r>
      <w:r>
        <w:rPr/>
        <w:t>股权；沈阳公用集团出资</w:t>
      </w:r>
      <w:r>
        <w:rPr>
          <w:rFonts w:ascii="Times New Roman" w:hAnsi="Times New Roman" w:cs="Times New Roman" w:eastAsia="Times New Roman" w:hint="default"/>
        </w:rPr>
        <w:t>200</w:t>
      </w:r>
      <w:r>
        <w:rPr/>
        <w:t>万元，持有 合资公司</w:t>
      </w:r>
      <w:r>
        <w:rPr>
          <w:rFonts w:ascii="Times New Roman" w:hAnsi="Times New Roman" w:cs="Times New Roman" w:eastAsia="Times New Roman" w:hint="default"/>
        </w:rPr>
        <w:t>20%</w:t>
      </w:r>
      <w:r>
        <w:rPr/>
        <w:t>股权；沈阳东网出资</w:t>
      </w:r>
      <w:r>
        <w:rPr>
          <w:rFonts w:ascii="Times New Roman" w:hAnsi="Times New Roman" w:cs="Times New Roman" w:eastAsia="Times New Roman" w:hint="default"/>
        </w:rPr>
        <w:t>200</w:t>
      </w:r>
      <w:r>
        <w:rPr/>
        <w:t>万元，持有合资公司</w:t>
      </w:r>
      <w:r>
        <w:rPr>
          <w:rFonts w:ascii="Times New Roman" w:hAnsi="Times New Roman" w:cs="Times New Roman" w:eastAsia="Times New Roman" w:hint="default"/>
        </w:rPr>
        <w:t>20%</w:t>
      </w:r>
      <w:r>
        <w:rPr/>
        <w:t>股权；深圳光启出资</w:t>
      </w:r>
      <w:r>
        <w:rPr>
          <w:rFonts w:ascii="Times New Roman" w:hAnsi="Times New Roman" w:cs="Times New Roman" w:eastAsia="Times New Roman" w:hint="default"/>
        </w:rPr>
        <w:t>200</w:t>
      </w:r>
      <w:r>
        <w:rPr/>
        <w:t>万元，持有合资公 司</w:t>
      </w:r>
      <w:r>
        <w:rPr>
          <w:rFonts w:ascii="Times New Roman" w:hAnsi="Times New Roman" w:cs="Times New Roman" w:eastAsia="Times New Roman" w:hint="default"/>
        </w:rPr>
        <w:t>20%</w:t>
      </w:r>
      <w:r>
        <w:rPr/>
        <w:t>股权。</w:t>
      </w:r>
    </w:p>
    <w:p>
      <w:pPr>
        <w:pStyle w:val="BodyText"/>
        <w:spacing w:line="408" w:lineRule="auto" w:before="35"/>
        <w:ind w:right="320" w:firstLine="420"/>
        <w:jc w:val="left"/>
      </w:pPr>
      <w:r>
        <w:rPr/>
        <w:t>合资公司将专注于城市公共安全管理平台项目的建设，后期产品升级、维护、技术服务等领域的软 硬件产品研发、销售及提供技术培训服务和综合解决方案。</w:t>
      </w:r>
    </w:p>
    <w:p>
      <w:pPr>
        <w:pStyle w:val="BodyText"/>
        <w:spacing w:line="398" w:lineRule="auto" w:before="46"/>
        <w:ind w:left="153" w:right="179" w:firstLine="420"/>
        <w:jc w:val="left"/>
      </w:pPr>
      <w:r>
        <w:rPr/>
        <w:t>合资方沈阳城市公用集团有限公司是一家根据中国法律成立并存续的有限公司，统一社会信用代码 </w:t>
      </w:r>
      <w:r>
        <w:rPr>
          <w:rFonts w:ascii="Times New Roman" w:hAnsi="Times New Roman" w:cs="Times New Roman" w:eastAsia="Times New Roman" w:hint="default"/>
        </w:rPr>
        <w:t>9121010056944196XT</w:t>
      </w:r>
      <w:r>
        <w:rPr/>
        <w:t>；注册资本</w:t>
      </w:r>
      <w:r>
        <w:rPr>
          <w:rFonts w:ascii="Times New Roman" w:hAnsi="Times New Roman" w:cs="Times New Roman" w:eastAsia="Times New Roman" w:hint="default"/>
        </w:rPr>
        <w:t>103000</w:t>
      </w:r>
      <w:r>
        <w:rPr/>
        <w:t>万人民币；企业住所：沈阳市沈河区万柳塘路</w:t>
      </w:r>
      <w:r>
        <w:rPr>
          <w:rFonts w:ascii="Times New Roman" w:hAnsi="Times New Roman" w:cs="Times New Roman" w:eastAsia="Times New Roman" w:hint="default"/>
        </w:rPr>
        <w:t>36</w:t>
      </w:r>
      <w:r>
        <w:rPr/>
        <w:t>号甲、乙</w:t>
      </w:r>
      <w:r>
        <w:rPr>
          <w:spacing w:val="-33"/>
        </w:rPr>
        <w:t> </w:t>
      </w:r>
      <w:r>
        <w:rPr/>
        <w:t>；法定</w:t>
      </w:r>
      <w:r>
        <w:rPr/>
        <w:t> 代表人：孙连政。</w:t>
      </w:r>
    </w:p>
    <w:p>
      <w:pPr>
        <w:pStyle w:val="BodyText"/>
        <w:spacing w:line="398" w:lineRule="auto" w:before="54"/>
        <w:ind w:left="153" w:right="321" w:firstLine="420"/>
        <w:jc w:val="left"/>
      </w:pPr>
      <w:r>
        <w:rPr/>
        <w:t>合资方沈阳东网企业投资管理有限公司是一家根据中国法律成立并存续的有限公司，注册号： </w:t>
      </w:r>
      <w:r>
        <w:rPr>
          <w:rFonts w:ascii="Times New Roman" w:hAnsi="Times New Roman" w:cs="Times New Roman" w:eastAsia="Times New Roman" w:hint="default"/>
        </w:rPr>
        <w:t>210102000159486</w:t>
      </w:r>
      <w:r>
        <w:rPr/>
        <w:t>；注册资本</w:t>
      </w:r>
      <w:r>
        <w:rPr>
          <w:rFonts w:ascii="Times New Roman" w:hAnsi="Times New Roman" w:cs="Times New Roman" w:eastAsia="Times New Roman" w:hint="default"/>
        </w:rPr>
        <w:t>2000</w:t>
      </w:r>
      <w:r>
        <w:rPr/>
        <w:t>万人民币；企业住所：沈阳市和平区三好街</w:t>
      </w:r>
      <w:r>
        <w:rPr>
          <w:rFonts w:ascii="Times New Roman" w:hAnsi="Times New Roman" w:cs="Times New Roman" w:eastAsia="Times New Roman" w:hint="default"/>
        </w:rPr>
        <w:t>96</w:t>
      </w:r>
      <w:r>
        <w:rPr/>
        <w:t>号</w:t>
      </w:r>
      <w:r>
        <w:rPr>
          <w:rFonts w:ascii="Times New Roman" w:hAnsi="Times New Roman" w:cs="Times New Roman" w:eastAsia="Times New Roman" w:hint="default"/>
        </w:rPr>
        <w:t>5</w:t>
      </w:r>
      <w:r>
        <w:rPr/>
        <w:t>层；法定代表人：杨 保卫。</w:t>
      </w:r>
    </w:p>
    <w:p>
      <w:pPr>
        <w:pStyle w:val="BodyText"/>
        <w:spacing w:line="398" w:lineRule="auto" w:before="54"/>
        <w:ind w:left="153" w:right="321" w:firstLine="420"/>
        <w:jc w:val="left"/>
      </w:pPr>
      <w:r>
        <w:rPr/>
        <w:t>合资方深圳光启空间技术有限公司是一家根据中国法律成立并存续的有限公司，统一社会信用代 码：深圳光启空间技术有限公司；注册资本：</w:t>
      </w:r>
      <w:r>
        <w:rPr>
          <w:rFonts w:ascii="Times New Roman" w:hAnsi="Times New Roman" w:cs="Times New Roman" w:eastAsia="Times New Roman" w:hint="default"/>
        </w:rPr>
        <w:t>5000</w:t>
      </w:r>
      <w:r>
        <w:rPr/>
        <w:t>万美元；企业住所：深圳市龙岗区坂田街道吉华路新 天下华赛工业厂区</w:t>
      </w:r>
      <w:r>
        <w:rPr>
          <w:rFonts w:ascii="Times New Roman" w:hAnsi="Times New Roman" w:cs="Times New Roman" w:eastAsia="Times New Roman" w:hint="default"/>
        </w:rPr>
        <w:t>2</w:t>
      </w:r>
      <w:r>
        <w:rPr/>
        <w:t>号厂房</w:t>
      </w:r>
      <w:r>
        <w:rPr>
          <w:rFonts w:ascii="Times New Roman" w:hAnsi="Times New Roman" w:cs="Times New Roman" w:eastAsia="Times New Roman" w:hint="default"/>
        </w:rPr>
        <w:t>101</w:t>
      </w:r>
      <w:r>
        <w:rPr/>
        <w:t>、（二楼）</w:t>
      </w:r>
      <w:r>
        <w:rPr>
          <w:rFonts w:ascii="Times New Roman" w:hAnsi="Times New Roman" w:cs="Times New Roman" w:eastAsia="Times New Roman" w:hint="default"/>
        </w:rPr>
        <w:t>201</w:t>
      </w:r>
      <w:r>
        <w:rPr/>
        <w:t>；法定代表人：刘若鹏。</w:t>
      </w:r>
    </w:p>
    <w:p>
      <w:pPr>
        <w:pStyle w:val="BodyText"/>
        <w:spacing w:line="408" w:lineRule="auto" w:before="24"/>
        <w:ind w:right="320" w:firstLine="420"/>
        <w:jc w:val="left"/>
      </w:pPr>
      <w:r>
        <w:rPr/>
        <w:t>合资方沈阳公用集团及其股东、合资方沈阳东网及其股东、合资方深圳光启及其股东与美亚柏科不 存在关联关系，该项目由公司总经理审批通过后实施。</w:t>
      </w:r>
    </w:p>
    <w:p>
      <w:pPr>
        <w:pStyle w:val="BodyText"/>
        <w:spacing w:line="386" w:lineRule="auto" w:before="46"/>
        <w:ind w:right="215" w:firstLine="420"/>
        <w:jc w:val="left"/>
      </w:pPr>
      <w:r>
        <w:rPr/>
        <w:t>合资公司已于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日完成工商注册，并取得由沈阳市浑南区市场监督管理局颁发的《营业执 照》，登记信息如下：</w:t>
      </w:r>
    </w:p>
    <w:p>
      <w:pPr>
        <w:pStyle w:val="BodyText"/>
        <w:spacing w:line="396" w:lineRule="auto" w:before="65"/>
        <w:ind w:left="574" w:right="4993"/>
        <w:jc w:val="left"/>
      </w:pPr>
      <w:r>
        <w:rPr/>
        <w:t>企业名称：沈阳城市公共安全科技有限公司 类型：其他有限责任公司 统一社会信用代码：</w:t>
      </w:r>
      <w:r>
        <w:rPr>
          <w:rFonts w:ascii="Times New Roman" w:hAnsi="Times New Roman" w:cs="Times New Roman" w:eastAsia="Times New Roman" w:hint="default"/>
        </w:rPr>
        <w:t>91210112MA0UA2M71W </w:t>
      </w:r>
      <w:r>
        <w:rPr/>
        <w:t>住所：辽宁省沈阳市浑南区创新路</w:t>
      </w:r>
      <w:r>
        <w:rPr>
          <w:rFonts w:ascii="Times New Roman" w:hAnsi="Times New Roman" w:cs="Times New Roman" w:eastAsia="Times New Roman" w:hint="default"/>
        </w:rPr>
        <w:t>155-5</w:t>
      </w:r>
      <w:r>
        <w:rPr/>
        <w:t>号</w:t>
      </w:r>
      <w:r>
        <w:rPr>
          <w:rFonts w:ascii="Times New Roman" w:hAnsi="Times New Roman" w:cs="Times New Roman" w:eastAsia="Times New Roman" w:hint="default"/>
        </w:rPr>
        <w:t>841</w:t>
      </w:r>
      <w:r>
        <w:rPr/>
        <w:t>室 法定代表人：肖直原 注册资本：</w:t>
      </w:r>
      <w:r>
        <w:rPr>
          <w:rFonts w:ascii="Times New Roman" w:hAnsi="Times New Roman" w:cs="Times New Roman" w:eastAsia="Times New Roman" w:hint="default"/>
        </w:rPr>
        <w:t>1000</w:t>
      </w:r>
      <w:r>
        <w:rPr/>
        <w:t>万元人民币 成立日期：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30</w:t>
      </w:r>
      <w:r>
        <w:rPr/>
        <w:t>日 营业期限至：</w:t>
      </w:r>
      <w:r>
        <w:rPr>
          <w:rFonts w:ascii="Times New Roman" w:hAnsi="Times New Roman" w:cs="Times New Roman" w:eastAsia="Times New Roman" w:hint="default"/>
        </w:rPr>
        <w:t>2047</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29</w:t>
      </w:r>
      <w:r>
        <w:rPr/>
        <w:t>日</w:t>
      </w:r>
    </w:p>
    <w:p>
      <w:pPr>
        <w:pStyle w:val="BodyText"/>
        <w:spacing w:line="408" w:lineRule="auto" w:before="26"/>
        <w:ind w:right="320" w:firstLine="420"/>
        <w:jc w:val="left"/>
      </w:pPr>
      <w:r>
        <w:rPr/>
        <w:t>经营范围：城市公共安全平台开发、实施与维护；数据信息技术开发、服务、咨询、成果推广、转 让；应用软件服务、数据处理；基础软件开发服务；计算机系统集成；计算机软件开发；计算机软件及 辅助设备、通讯设备销售；机械设备租赁；经济信息咨询服务；互联网信息服务；会议及展览展示服 务；数据信息项目管理服务；通信网络工程施工。（依法须经批准的项目，经相关部门批准后方可开展</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经营活动。）</w:t>
      </w:r>
    </w:p>
    <w:p>
      <w:pPr>
        <w:spacing w:line="240" w:lineRule="auto" w:before="10"/>
        <w:rPr>
          <w:rFonts w:ascii="宋体" w:hAnsi="宋体" w:cs="宋体" w:eastAsia="宋体" w:hint="default"/>
          <w:sz w:val="14"/>
          <w:szCs w:val="14"/>
        </w:rPr>
      </w:pPr>
    </w:p>
    <w:p>
      <w:pPr>
        <w:pStyle w:val="BodyText"/>
        <w:spacing w:line="386" w:lineRule="auto"/>
        <w:ind w:left="574" w:right="320" w:hanging="1"/>
        <w:jc w:val="left"/>
      </w:pPr>
      <w:r>
        <w:rPr>
          <w:rFonts w:ascii="Times New Roman" w:hAnsi="Times New Roman" w:cs="Times New Roman" w:eastAsia="Times New Roman" w:hint="default"/>
        </w:rPr>
        <w:t>2</w:t>
      </w:r>
      <w:r>
        <w:rPr/>
        <w:t>、新德汇完成增资 新德汇为满足业务开展及资质申请需要，以新德汇未分配利润</w:t>
      </w:r>
      <w:r>
        <w:rPr>
          <w:rFonts w:ascii="Times New Roman" w:hAnsi="Times New Roman" w:cs="Times New Roman" w:eastAsia="Times New Roman" w:hint="default"/>
        </w:rPr>
        <w:t>1000</w:t>
      </w:r>
      <w:r>
        <w:rPr/>
        <w:t>万元转增为注册资本，将注册资</w:t>
      </w:r>
    </w:p>
    <w:p>
      <w:pPr>
        <w:pStyle w:val="BodyText"/>
        <w:spacing w:line="386" w:lineRule="auto" w:before="35"/>
        <w:ind w:right="320"/>
        <w:jc w:val="left"/>
      </w:pPr>
      <w:r>
        <w:rPr/>
        <w:t>本由原来</w:t>
      </w:r>
      <w:r>
        <w:rPr>
          <w:rFonts w:ascii="Times New Roman" w:hAnsi="Times New Roman" w:cs="Times New Roman" w:eastAsia="Times New Roman" w:hint="default"/>
        </w:rPr>
        <w:t>2000</w:t>
      </w:r>
      <w:r>
        <w:rPr/>
        <w:t>万元增加至</w:t>
      </w:r>
      <w:r>
        <w:rPr>
          <w:rFonts w:ascii="Times New Roman" w:hAnsi="Times New Roman" w:cs="Times New Roman" w:eastAsia="Times New Roman" w:hint="default"/>
        </w:rPr>
        <w:t>3000</w:t>
      </w:r>
      <w:r>
        <w:rPr/>
        <w:t>万元，完成上述增资后，新德汇股东及股权结构不发生变化，仍为美亚柏 科的全资子公司。详见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日公司发布在巨潮资讯网</w:t>
      </w:r>
      <w:r>
        <w:rPr>
          <w:spacing w:val="-29"/>
        </w:rPr>
        <w:t> </w:t>
      </w:r>
      <w:hyperlink r:id="rId18">
        <w:r>
          <w:rPr>
            <w:rFonts w:ascii="Times New Roman" w:hAnsi="Times New Roman" w:cs="Times New Roman" w:eastAsia="Times New Roman" w:hint="default"/>
          </w:rPr>
          <w:t>www.cninfo.com.cn</w:t>
        </w:r>
        <w:r>
          <w:rPr/>
          <w:t>的相关公告。</w:t>
        </w:r>
      </w:hyperlink>
    </w:p>
    <w:p>
      <w:pPr>
        <w:pStyle w:val="BodyText"/>
        <w:spacing w:line="386" w:lineRule="auto" w:before="35"/>
        <w:ind w:left="574" w:right="320" w:hanging="1"/>
        <w:jc w:val="left"/>
      </w:pPr>
      <w:r>
        <w:rPr>
          <w:rFonts w:ascii="Times New Roman" w:hAnsi="Times New Roman" w:cs="Times New Roman" w:eastAsia="Times New Roman" w:hint="default"/>
        </w:rPr>
        <w:t>3</w:t>
      </w:r>
      <w:r>
        <w:rPr/>
        <w:t>、美亚宏数放弃国信宏数股权优先受让权及对其进行增资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日召开了第三届董事会第十九次会议和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日召开</w:t>
      </w:r>
      <w:r>
        <w:rPr>
          <w:rFonts w:ascii="Times New Roman" w:hAnsi="Times New Roman" w:cs="Times New Roman" w:eastAsia="Times New Roman" w:hint="default"/>
        </w:rPr>
        <w:t>2017</w:t>
      </w:r>
      <w:r>
        <w:rPr/>
        <w:t>年第一次临时股</w:t>
      </w:r>
    </w:p>
    <w:p>
      <w:pPr>
        <w:pStyle w:val="BodyText"/>
        <w:spacing w:line="398" w:lineRule="auto" w:before="35"/>
        <w:ind w:right="145"/>
        <w:jc w:val="left"/>
      </w:pPr>
      <w:r>
        <w:rPr/>
        <w:t>东大会，审议通过了《关于控股子公司放弃孙公司股权优先受让权及对其进行增资暨关联交易的议 案》，国信宏数股东国信利信将其持有国信宏数</w:t>
      </w:r>
      <w:r>
        <w:rPr>
          <w:rFonts w:ascii="Times New Roman" w:hAnsi="Times New Roman" w:cs="Times New Roman" w:eastAsia="Times New Roman" w:hint="default"/>
        </w:rPr>
        <w:t>40%</w:t>
      </w:r>
      <w:r>
        <w:rPr/>
        <w:t>股份转让给北京数达汇丰信息科技合伙企业（有限合 伙），美亚宏数鉴于国信宏数处于前期投资及业务探索阶段，商业模式尚未固化，股权转让款给出让 方，无法直接协助国信宏数解决企业发展需要资金的问题，同时放弃股权优先受让权。为进一步促进国 信宏数开拓业务市场，对国信宏数增资</w:t>
      </w:r>
      <w:r>
        <w:rPr>
          <w:rFonts w:ascii="Times New Roman" w:hAnsi="Times New Roman" w:cs="Times New Roman" w:eastAsia="Times New Roman" w:hint="default"/>
        </w:rPr>
        <w:t>1,000</w:t>
      </w:r>
      <w:r>
        <w:rPr/>
        <w:t>万元，其中</w:t>
      </w:r>
      <w:r>
        <w:rPr>
          <w:rFonts w:ascii="Times New Roman" w:hAnsi="Times New Roman" w:cs="Times New Roman" w:eastAsia="Times New Roman" w:hint="default"/>
        </w:rPr>
        <w:t>833.33</w:t>
      </w:r>
      <w:r>
        <w:rPr/>
        <w:t>万元进入国信宏数注册资本，</w:t>
      </w:r>
      <w:r>
        <w:rPr>
          <w:rFonts w:ascii="Times New Roman" w:hAnsi="Times New Roman" w:cs="Times New Roman" w:eastAsia="Times New Roman" w:hint="default"/>
        </w:rPr>
        <w:t>166.67</w:t>
      </w:r>
      <w:r>
        <w:rPr/>
        <w:t>万元进 入国信宏数资本公积，美亚宏数持股由</w:t>
      </w:r>
      <w:r>
        <w:rPr>
          <w:rFonts w:ascii="Times New Roman" w:hAnsi="Times New Roman" w:cs="Times New Roman" w:eastAsia="Times New Roman" w:hint="default"/>
        </w:rPr>
        <w:t>60%</w:t>
      </w:r>
      <w:r>
        <w:rPr/>
        <w:t>变为</w:t>
      </w:r>
      <w:r>
        <w:rPr>
          <w:rFonts w:ascii="Times New Roman" w:hAnsi="Times New Roman" w:cs="Times New Roman" w:eastAsia="Times New Roman" w:hint="default"/>
        </w:rPr>
        <w:t>78.18%</w:t>
      </w:r>
      <w:r>
        <w:rPr/>
        <w:t>。详见</w:t>
      </w:r>
      <w:r>
        <w:rPr>
          <w:spacing w:val="-24"/>
        </w:rPr>
        <w:t> </w:t>
      </w:r>
      <w:r>
        <w:rPr>
          <w:rFonts w:ascii="Times New Roman" w:hAnsi="Times New Roman" w:cs="Times New Roman" w:eastAsia="Times New Roman" w:hint="default"/>
        </w:rPr>
        <w:t>2017</w:t>
      </w:r>
      <w:r>
        <w:rPr/>
        <w:t>年</w:t>
      </w:r>
      <w:r>
        <w:rPr>
          <w:spacing w:val="-24"/>
        </w:rPr>
        <w:t> </w:t>
      </w:r>
      <w:r>
        <w:rPr>
          <w:rFonts w:ascii="Times New Roman" w:hAnsi="Times New Roman" w:cs="Times New Roman" w:eastAsia="Times New Roman" w:hint="default"/>
        </w:rPr>
        <w:t>9</w:t>
      </w:r>
      <w:r>
        <w:rPr/>
        <w:t>月</w:t>
      </w:r>
      <w:r>
        <w:rPr>
          <w:spacing w:val="-24"/>
        </w:rPr>
        <w:t> </w:t>
      </w:r>
      <w:r>
        <w:rPr>
          <w:rFonts w:ascii="Times New Roman" w:hAnsi="Times New Roman" w:cs="Times New Roman" w:eastAsia="Times New Roman" w:hint="default"/>
        </w:rPr>
        <w:t>13</w:t>
      </w:r>
      <w:r>
        <w:rPr>
          <w:rFonts w:ascii="Times New Roman" w:hAnsi="Times New Roman" w:cs="Times New Roman" w:eastAsia="Times New Roman" w:hint="default"/>
          <w:spacing w:val="29"/>
        </w:rPr>
        <w:t> </w:t>
      </w:r>
      <w:r>
        <w:rPr/>
        <w:t>日和</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日公司发布在巨 潮资讯网</w:t>
      </w:r>
      <w:r>
        <w:rPr>
          <w:spacing w:val="-33"/>
        </w:rPr>
        <w:t> </w:t>
      </w:r>
      <w:hyperlink r:id="rId18">
        <w:r>
          <w:rPr>
            <w:rFonts w:ascii="Times New Roman" w:hAnsi="Times New Roman" w:cs="Times New Roman" w:eastAsia="Times New Roman" w:hint="default"/>
          </w:rPr>
          <w:t>www.cninfo.com.cn</w:t>
        </w:r>
        <w:r>
          <w:rPr/>
          <w:t>的相关公告。国信宏数已完成工商变更手续，主要工商注册信息如下：</w:t>
        </w:r>
      </w:hyperlink>
    </w:p>
    <w:p>
      <w:pPr>
        <w:pStyle w:val="BodyText"/>
        <w:spacing w:line="400" w:lineRule="auto" w:before="24"/>
        <w:ind w:left="574" w:right="5325"/>
        <w:jc w:val="left"/>
      </w:pPr>
      <w:r>
        <w:rPr/>
        <w:pict>
          <v:shape style="position:absolute;margin-left:57.240002pt;margin-top:138.439774pt;width:481.4pt;height:70.150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6"/>
                    <w:gridCol w:w="2694"/>
                    <w:gridCol w:w="2126"/>
                  </w:tblGrid>
                  <w:tr>
                    <w:trPr>
                      <w:trHeight w:val="347" w:hRule="exact"/>
                    </w:trPr>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持股金额</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股本比例</w:t>
                        </w:r>
                        <w:r>
                          <w:rPr>
                            <w:rFonts w:ascii="宋体" w:hAnsi="宋体" w:cs="宋体" w:eastAsia="宋体" w:hint="default"/>
                            <w:sz w:val="18"/>
                            <w:szCs w:val="18"/>
                          </w:rPr>
                        </w:r>
                      </w:p>
                    </w:tc>
                  </w:tr>
                  <w:tr>
                    <w:trPr>
                      <w:trHeight w:val="347" w:hRule="exact"/>
                    </w:trPr>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北京美亚宏数科技有限责任公司</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1433.33</w:t>
                        </w:r>
                        <w:r>
                          <w:rPr>
                            <w:rFonts w:ascii="宋体" w:hAnsi="宋体" w:cs="宋体" w:eastAsia="宋体" w:hint="default"/>
                            <w:sz w:val="18"/>
                            <w:szCs w:val="18"/>
                          </w:rPr>
                          <w:t>万元</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78.18%</w:t>
                        </w:r>
                      </w:p>
                    </w:tc>
                  </w:tr>
                  <w:tr>
                    <w:trPr>
                      <w:trHeight w:val="347" w:hRule="exact"/>
                    </w:trPr>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北京数达汇丰信息科技合伙企业（有限合伙）</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宋体" w:hAnsi="宋体" w:cs="宋体" w:eastAsia="宋体" w:hint="default"/>
                            <w:sz w:val="18"/>
                            <w:szCs w:val="18"/>
                          </w:rPr>
                          <w:t>万元</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21.82%</w:t>
                        </w:r>
                      </w:p>
                    </w:tc>
                  </w:tr>
                  <w:tr>
                    <w:trPr>
                      <w:trHeight w:val="348" w:hRule="exact"/>
                    </w:trPr>
                    <w:tc>
                      <w:tcPr>
                        <w:tcW w:w="4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1833.33</w:t>
                        </w:r>
                        <w:r>
                          <w:rPr>
                            <w:rFonts w:ascii="宋体" w:hAnsi="宋体" w:cs="宋体" w:eastAsia="宋体" w:hint="default"/>
                            <w:sz w:val="18"/>
                            <w:szCs w:val="18"/>
                          </w:rPr>
                          <w:t>万元</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t>企业名称：北京国信宏数科技有限责任公司 统一社会信用代码：</w:t>
      </w:r>
      <w:r>
        <w:rPr>
          <w:rFonts w:ascii="Times New Roman" w:hAnsi="Times New Roman" w:cs="Times New Roman" w:eastAsia="Times New Roman" w:hint="default"/>
        </w:rPr>
        <w:t>91110108MA0034AE2U </w:t>
      </w:r>
      <w:r>
        <w:rPr/>
        <w:t>类型：其他有限责任公司 注册资本：</w:t>
      </w:r>
      <w:r>
        <w:rPr>
          <w:rFonts w:ascii="Times New Roman" w:hAnsi="Times New Roman" w:cs="Times New Roman" w:eastAsia="Times New Roman" w:hint="default"/>
        </w:rPr>
        <w:t>1833.33</w:t>
      </w:r>
      <w:r>
        <w:rPr/>
        <w:t>万人民币 法定代表人：高峰 营业期限：</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日至</w:t>
      </w:r>
      <w:r>
        <w:rPr>
          <w:rFonts w:ascii="Times New Roman" w:hAnsi="Times New Roman" w:cs="Times New Roman" w:eastAsia="Times New Roman" w:hint="default"/>
        </w:rPr>
        <w:t>2036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86" w:lineRule="auto" w:before="35"/>
        <w:ind w:left="574" w:right="320" w:hanging="1"/>
        <w:jc w:val="left"/>
      </w:pPr>
      <w:r>
        <w:rPr>
          <w:rFonts w:ascii="Times New Roman" w:hAnsi="Times New Roman" w:cs="Times New Roman" w:eastAsia="Times New Roman" w:hint="default"/>
        </w:rPr>
        <w:t>4</w:t>
      </w:r>
      <w:r>
        <w:rPr/>
        <w:t>、珠海新德汇诉讼仲裁进展情况 公司全资子公司珠海新德汇与桑达电子签订多个合同，珠海新德汇按双方所签合同的约定履行完毕</w:t>
      </w:r>
    </w:p>
    <w:p>
      <w:pPr>
        <w:pStyle w:val="BodyText"/>
        <w:spacing w:line="386" w:lineRule="auto" w:before="65"/>
        <w:ind w:right="267"/>
        <w:jc w:val="left"/>
      </w:pPr>
      <w:r>
        <w:rPr/>
        <w:t>全部的合同义务，项目已完成竣工验收，桑达电子拖延支付工程款。珠海新德汇于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月按项目所 属地向珠海市香洲区人民法院和深圳仲裁委员会分别提出诉讼和申请仲裁，截至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日，珠海 新德汇账面应收账款</w:t>
      </w:r>
      <w:r>
        <w:rPr>
          <w:rFonts w:ascii="Times New Roman" w:hAnsi="Times New Roman" w:cs="Times New Roman" w:eastAsia="Times New Roman" w:hint="default"/>
        </w:rPr>
        <w:t>4,228,997.07</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日收到珠海市香洲区人民法院撤销决定书，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16</w:t>
      </w:r>
      <w:r>
        <w:rPr/>
        <w:t>日收到深圳仲裁委员会撤案决定书，双方达成和解，和解金额为</w:t>
      </w:r>
      <w:r>
        <w:rPr>
          <w:rFonts w:ascii="Times New Roman" w:hAnsi="Times New Roman" w:cs="Times New Roman" w:eastAsia="Times New Roman" w:hint="default"/>
        </w:rPr>
        <w:t>7,424,498.84</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日，新德汇收到桑达电子拖欠工程款</w:t>
      </w:r>
      <w:r>
        <w:rPr>
          <w:rFonts w:ascii="Times New Roman" w:hAnsi="Times New Roman" w:cs="Times New Roman" w:eastAsia="Times New Roman" w:hint="default"/>
        </w:rPr>
        <w:t>5,042,998.3</w:t>
      </w:r>
      <w:r>
        <w:rPr/>
        <w:t>元，因最终用户与桑达电子还有</w:t>
      </w:r>
      <w:r>
        <w:rPr>
          <w:rFonts w:ascii="Times New Roman" w:hAnsi="Times New Roman" w:cs="Times New Roman" w:eastAsia="Times New Roman" w:hint="default"/>
        </w:rPr>
        <w:t>2,381,500.54</w:t>
      </w:r>
      <w:r>
        <w:rPr/>
        <w:t>元未结算，</w:t>
      </w:r>
    </w:p>
    <w:p>
      <w:pPr>
        <w:spacing w:after="0" w:line="386" w:lineRule="auto"/>
        <w:jc w:val="left"/>
        <w:sectPr>
          <w:footerReference w:type="default" r:id="rId22"/>
          <w:pgSz w:w="11910" w:h="16840"/>
          <w:pgMar w:footer="982" w:header="747" w:top="1060" w:bottom="1180" w:left="980" w:right="980"/>
          <w:pgNumType w:start="75"/>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待结算完成后，支付给新德汇。</w:t>
      </w:r>
    </w:p>
    <w:p>
      <w:pPr>
        <w:spacing w:line="240" w:lineRule="auto" w:before="10"/>
        <w:rPr>
          <w:rFonts w:ascii="宋体" w:hAnsi="宋体" w:cs="宋体" w:eastAsia="宋体" w:hint="default"/>
          <w:sz w:val="14"/>
          <w:szCs w:val="14"/>
        </w:rPr>
      </w:pPr>
    </w:p>
    <w:p>
      <w:pPr>
        <w:pStyle w:val="BodyText"/>
        <w:spacing w:line="386" w:lineRule="auto"/>
        <w:ind w:left="574" w:right="215" w:hanging="1"/>
        <w:jc w:val="left"/>
      </w:pPr>
      <w:r>
        <w:rPr>
          <w:rFonts w:ascii="Times New Roman" w:hAnsi="Times New Roman" w:cs="Times New Roman" w:eastAsia="Times New Roman" w:hint="default"/>
        </w:rPr>
        <w:t>5</w:t>
      </w:r>
      <w:r>
        <w:rPr/>
        <w:t>、中新赛克深交所上市 公司参股参股公司中新赛克于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日收到中国证券监督管理委员会《关于核准深圳市中新赛</w:t>
      </w:r>
    </w:p>
    <w:p>
      <w:pPr>
        <w:pStyle w:val="BodyText"/>
        <w:spacing w:line="386" w:lineRule="auto" w:before="35"/>
        <w:ind w:right="197"/>
        <w:jc w:val="both"/>
      </w:pPr>
      <w:r>
        <w:rPr/>
        <w:t>克科技股份有限公司首次公开发行股票的批复》（证监许可</w:t>
      </w:r>
      <w:r>
        <w:rPr>
          <w:rFonts w:ascii="Times New Roman" w:hAnsi="Times New Roman" w:cs="Times New Roman" w:eastAsia="Times New Roman" w:hint="default"/>
        </w:rPr>
        <w:t>[2017]1986</w:t>
      </w:r>
      <w:r>
        <w:rPr/>
        <w:t>号），正式核准中新赛克首次公开 发行不超过</w:t>
      </w:r>
      <w:r>
        <w:rPr>
          <w:rFonts w:ascii="Times New Roman" w:hAnsi="Times New Roman" w:cs="Times New Roman" w:eastAsia="Times New Roman" w:hint="default"/>
        </w:rPr>
        <w:t>1,670</w:t>
      </w:r>
      <w:r>
        <w:rPr/>
        <w:t>万股新股。公司持有中新赛克</w:t>
      </w:r>
      <w:r>
        <w:rPr>
          <w:rFonts w:ascii="Times New Roman" w:hAnsi="Times New Roman" w:cs="Times New Roman" w:eastAsia="Times New Roman" w:hint="default"/>
        </w:rPr>
        <w:t>205</w:t>
      </w:r>
      <w:r>
        <w:rPr/>
        <w:t>万股股份，占中新赛克发行前总股本的</w:t>
      </w:r>
      <w:r>
        <w:rPr>
          <w:rFonts w:ascii="Times New Roman" w:hAnsi="Times New Roman" w:cs="Times New Roman" w:eastAsia="Times New Roman" w:hint="default"/>
        </w:rPr>
        <w:t>4.10%</w:t>
      </w:r>
      <w:r>
        <w:rPr/>
        <w:t>。相关公 告详见公司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日披露于中国证监会指定信息披露网站巨潮资讯网公告。</w:t>
      </w:r>
    </w:p>
    <w:p>
      <w:pPr>
        <w:spacing w:after="0" w:line="38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2965" w:right="0"/>
        <w:jc w:val="left"/>
        <w:rPr>
          <w:b w:val="0"/>
          <w:bCs w:val="0"/>
        </w:rPr>
      </w:pPr>
      <w:bookmarkStart w:name="_TOC_250006"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85"/>
        <w:gridCol w:w="1064"/>
        <w:gridCol w:w="823"/>
        <w:gridCol w:w="823"/>
        <w:gridCol w:w="548"/>
        <w:gridCol w:w="568"/>
        <w:gridCol w:w="992"/>
        <w:gridCol w:w="992"/>
        <w:gridCol w:w="982"/>
        <w:gridCol w:w="793"/>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
        </w:tc>
        <w:tc>
          <w:tcPr>
            <w:tcW w:w="18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26"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5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9" w:right="96"/>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215,388,698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913,900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-20,871,111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-19,957,211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195,431,487</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215,209,698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863,900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-20,713,111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-19,849,211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195,360,487</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215,209,698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863,900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-20,713,111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-19,849,211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195,360,487</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280,951,808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20,647,411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20,647,411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301,599,219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280,951,808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20,647,411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20,647,411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301,599,219</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496,340,506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913,900</w:t>
            </w:r>
          </w:p>
        </w:tc>
        <w:tc>
          <w:tcPr>
            <w:tcW w:w="54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-223,700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690,200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497,030,706</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574" w:right="320" w:hanging="1"/>
        <w:jc w:val="left"/>
      </w:pPr>
      <w:r>
        <w:rPr>
          <w:rFonts w:ascii="Times New Roman" w:hAnsi="Times New Roman" w:cs="Times New Roman" w:eastAsia="Times New Roman" w:hint="default"/>
        </w:rPr>
        <w:t>1</w:t>
      </w:r>
      <w:r>
        <w:rPr/>
        <w:t>、部分董事、高级管理人员所持公司股份解锁 公司副董事长郭永芳、高级管理人员吴鸿伟、张雪峰、赵庸、栾江霞、财务总监张乃军所持高管锁</w:t>
      </w:r>
    </w:p>
    <w:p>
      <w:pPr>
        <w:pStyle w:val="BodyText"/>
        <w:spacing w:line="386" w:lineRule="auto" w:before="65"/>
        <w:ind w:left="574" w:right="320" w:hanging="420"/>
        <w:jc w:val="left"/>
      </w:pPr>
      <w:r>
        <w:rPr/>
        <w:t>定股年初按上年末持股总数的</w:t>
      </w:r>
      <w:r>
        <w:rPr>
          <w:rFonts w:ascii="Times New Roman" w:hAnsi="Times New Roman" w:cs="Times New Roman" w:eastAsia="Times New Roman" w:hint="default"/>
        </w:rPr>
        <w:t>25%</w:t>
      </w:r>
      <w:r>
        <w:rPr/>
        <w:t>解锁，共计</w:t>
      </w:r>
      <w:r>
        <w:rPr>
          <w:rFonts w:ascii="Times New Roman" w:hAnsi="Times New Roman" w:cs="Times New Roman" w:eastAsia="Times New Roman" w:hint="default"/>
        </w:rPr>
        <w:t>4,816,124</w:t>
      </w:r>
      <w:r>
        <w:rPr/>
        <w:t>股由高管锁定股转为无限售流通股。 </w:t>
      </w:r>
      <w:r>
        <w:rPr>
          <w:rFonts w:ascii="Times New Roman" w:hAnsi="Times New Roman" w:cs="Times New Roman" w:eastAsia="Times New Roman" w:hint="default"/>
        </w:rPr>
        <w:t>2</w:t>
      </w:r>
      <w:r>
        <w:rPr/>
        <w:t>、非公开发行限售股解禁 公司非公开发行股份购买资产之标的公司江苏税软、新德汇</w:t>
      </w:r>
      <w:r>
        <w:rPr>
          <w:rFonts w:ascii="Times New Roman" w:hAnsi="Times New Roman" w:cs="Times New Roman" w:eastAsia="Times New Roman" w:hint="default"/>
        </w:rPr>
        <w:t>2016</w:t>
      </w:r>
      <w:r>
        <w:rPr/>
        <w:t>年度实现了承诺利润，业绩承诺方</w:t>
      </w:r>
    </w:p>
    <w:p>
      <w:pPr>
        <w:pStyle w:val="BodyText"/>
        <w:spacing w:line="240" w:lineRule="auto" w:before="35"/>
        <w:ind w:right="0"/>
        <w:jc w:val="left"/>
      </w:pPr>
      <w:r>
        <w:rPr/>
        <w:t>履行了业绩承诺。报告期，共有</w:t>
      </w:r>
      <w:r>
        <w:rPr>
          <w:rFonts w:ascii="Times New Roman" w:hAnsi="Times New Roman" w:cs="Times New Roman" w:eastAsia="Times New Roman" w:hint="default"/>
        </w:rPr>
        <w:t>10,579,824</w:t>
      </w:r>
      <w:r>
        <w:rPr/>
        <w:t>股解除限售，由于苏学武和韦玉荣为公司董事，共计</w:t>
      </w:r>
      <w:r>
        <w:rPr>
          <w:rFonts w:ascii="Times New Roman" w:hAnsi="Times New Roman" w:cs="Times New Roman" w:eastAsia="Times New Roman" w:hint="default"/>
        </w:rPr>
        <w:t>670,168</w:t>
      </w:r>
      <w:r>
        <w:rPr/>
        <w:t>股</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86" w:lineRule="auto" w:before="174"/>
        <w:ind w:left="153" w:right="320"/>
        <w:jc w:val="left"/>
      </w:pPr>
      <w:r>
        <w:rPr/>
        <w:t>转为高管锁定股。详见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日公司发布在巨潮资讯网</w:t>
      </w:r>
      <w:r>
        <w:rPr>
          <w:spacing w:val="-28"/>
        </w:rPr>
        <w:t> </w:t>
      </w:r>
      <w:hyperlink r:id="rId24">
        <w:r>
          <w:rPr>
            <w:rFonts w:ascii="Times New Roman" w:hAnsi="Times New Roman" w:cs="Times New Roman" w:eastAsia="Times New Roman" w:hint="default"/>
          </w:rPr>
          <w:t>www.cninfo.com.cn</w:t>
        </w:r>
        <w:r>
          <w:rPr/>
          <w:t>的《关于限售股份上市</w:t>
        </w:r>
      </w:hyperlink>
      <w:r>
        <w:rPr/>
        <w:t> 流通的提示性公告》。</w:t>
      </w:r>
    </w:p>
    <w:p>
      <w:pPr>
        <w:pStyle w:val="BodyText"/>
        <w:spacing w:line="386" w:lineRule="auto" w:before="65"/>
        <w:ind w:left="574" w:right="162" w:hanging="1"/>
        <w:jc w:val="left"/>
      </w:pPr>
      <w:r>
        <w:rPr>
          <w:rFonts w:ascii="Times New Roman" w:hAnsi="Times New Roman" w:cs="Times New Roman" w:eastAsia="Times New Roman" w:hint="default"/>
        </w:rPr>
        <w:t>3</w:t>
      </w:r>
      <w:r>
        <w:rPr/>
        <w:t>、高级管理人员新聘任及离任所持股份变动 公司董事会秘书蔡志评为报告期内新聘任，其持有公司股份有</w:t>
      </w:r>
      <w:r>
        <w:rPr>
          <w:rFonts w:ascii="Times New Roman" w:hAnsi="Times New Roman" w:cs="Times New Roman" w:eastAsia="Times New Roman" w:hint="default"/>
        </w:rPr>
        <w:t>46,600</w:t>
      </w:r>
      <w:r>
        <w:rPr/>
        <w:t>股转为高管锁定股；公司原副总</w:t>
      </w:r>
    </w:p>
    <w:p>
      <w:pPr>
        <w:pStyle w:val="BodyText"/>
        <w:spacing w:line="386" w:lineRule="auto" w:before="35"/>
        <w:ind w:right="215" w:hanging="1"/>
        <w:jc w:val="left"/>
      </w:pPr>
      <w:r>
        <w:rPr/>
        <w:t>经理高峰和吴世雄于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日离任、类高管郭泓于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日离任，三人离任均已满</w:t>
      </w:r>
      <w:r>
        <w:rPr>
          <w:rFonts w:ascii="Times New Roman" w:hAnsi="Times New Roman" w:cs="Times New Roman" w:eastAsia="Times New Roman" w:hint="default"/>
        </w:rPr>
        <w:t>6</w:t>
      </w:r>
      <w:r>
        <w:rPr/>
        <w:t>个月，其 三人所持限售股份总计</w:t>
      </w:r>
      <w:r>
        <w:rPr>
          <w:rFonts w:ascii="Times New Roman" w:hAnsi="Times New Roman" w:cs="Times New Roman" w:eastAsia="Times New Roman" w:hint="default"/>
        </w:rPr>
        <w:t>3,766,500</w:t>
      </w:r>
      <w:r>
        <w:rPr/>
        <w:t>股于报告期内全部解除限售；公司原董事会秘书李滢雪于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 离任，根据相关规定，其所持有股份在任期内及任期届满后</w:t>
      </w:r>
      <w:r>
        <w:rPr>
          <w:rFonts w:ascii="Times New Roman" w:hAnsi="Times New Roman" w:cs="Times New Roman" w:eastAsia="Times New Roman" w:hint="default"/>
        </w:rPr>
        <w:t>6</w:t>
      </w:r>
      <w:r>
        <w:rPr/>
        <w:t>个月内，仍然需要遵守</w:t>
      </w:r>
      <w:r>
        <w:rPr>
          <w:rFonts w:ascii="Times New Roman" w:hAnsi="Times New Roman" w:cs="Times New Roman" w:eastAsia="Times New Roman" w:hint="default"/>
        </w:rPr>
        <w:t>“</w:t>
      </w:r>
      <w:r>
        <w:rPr/>
        <w:t>每年转让的股份不 得超过其所持有公司股份总数的</w:t>
      </w:r>
      <w:r>
        <w:rPr>
          <w:rFonts w:ascii="Times New Roman" w:hAnsi="Times New Roman" w:cs="Times New Roman" w:eastAsia="Times New Roman" w:hint="default"/>
        </w:rPr>
        <w:t>25%”</w:t>
      </w:r>
      <w:r>
        <w:rPr/>
        <w:t>的规定。</w:t>
      </w:r>
    </w:p>
    <w:p>
      <w:pPr>
        <w:pStyle w:val="BodyText"/>
        <w:spacing w:line="386" w:lineRule="auto" w:before="35"/>
        <w:ind w:left="574" w:right="215" w:hanging="1"/>
        <w:jc w:val="left"/>
      </w:pPr>
      <w:r>
        <w:rPr>
          <w:rFonts w:ascii="Times New Roman" w:hAnsi="Times New Roman" w:cs="Times New Roman" w:eastAsia="Times New Roman" w:hint="default"/>
        </w:rPr>
        <w:t>4</w:t>
      </w:r>
      <w:r>
        <w:rPr/>
        <w:t>、第二期限制性股票激励计划预留股份授予 公司第二期限制性股票激励计划预留部分股份于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日上市，目前该部分股份还处于限售阶</w:t>
      </w:r>
    </w:p>
    <w:p>
      <w:pPr>
        <w:pStyle w:val="BodyText"/>
        <w:spacing w:line="386" w:lineRule="auto" w:before="35"/>
        <w:ind w:right="277"/>
        <w:jc w:val="left"/>
      </w:pPr>
      <w:r>
        <w:rPr/>
        <w:t>段，新增限售股份</w:t>
      </w:r>
      <w:r>
        <w:rPr>
          <w:rFonts w:ascii="Times New Roman" w:hAnsi="Times New Roman" w:cs="Times New Roman" w:eastAsia="Times New Roman" w:hint="default"/>
        </w:rPr>
        <w:t>913,900</w:t>
      </w:r>
      <w:r>
        <w:rPr/>
        <w:t>股。详见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日发布在巨潮资讯网</w:t>
      </w:r>
      <w:r>
        <w:rPr>
          <w:spacing w:val="-38"/>
        </w:rPr>
        <w:t> </w:t>
      </w:r>
      <w:hyperlink r:id="rId24">
        <w:r>
          <w:rPr>
            <w:rFonts w:ascii="Times New Roman" w:hAnsi="Times New Roman" w:cs="Times New Roman" w:eastAsia="Times New Roman" w:hint="default"/>
          </w:rPr>
          <w:t>www.cninfo.com.cn</w:t>
        </w:r>
        <w:r>
          <w:rPr/>
          <w:t>的《第二期限制</w:t>
        </w:r>
      </w:hyperlink>
      <w:r>
        <w:rPr/>
        <w:t> 性股票激励计划预留部分授予完成的公告》。</w:t>
      </w:r>
    </w:p>
    <w:p>
      <w:pPr>
        <w:pStyle w:val="BodyText"/>
        <w:spacing w:line="386" w:lineRule="auto" w:before="65"/>
        <w:ind w:left="574" w:right="530" w:hanging="1"/>
        <w:jc w:val="left"/>
      </w:pPr>
      <w:r>
        <w:rPr>
          <w:rFonts w:ascii="Times New Roman" w:hAnsi="Times New Roman" w:cs="Times New Roman" w:eastAsia="Times New Roman" w:hint="default"/>
        </w:rPr>
        <w:t>5</w:t>
      </w:r>
      <w:r>
        <w:rPr/>
        <w:t>、第二期限制性股票激励计划股份回购注销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日在中国证券登记结算有限责任公司深圳分公司完成限制性股票回购注销手</w:t>
      </w:r>
    </w:p>
    <w:p>
      <w:pPr>
        <w:pStyle w:val="BodyText"/>
        <w:spacing w:line="386" w:lineRule="auto" w:before="35"/>
        <w:ind w:right="286"/>
        <w:jc w:val="both"/>
      </w:pPr>
      <w:r>
        <w:rPr/>
        <w:t>续。本次回购的限制性股票涉及股权激励对象</w:t>
      </w:r>
      <w:r>
        <w:rPr>
          <w:rFonts w:ascii="Times New Roman" w:hAnsi="Times New Roman" w:cs="Times New Roman" w:eastAsia="Times New Roman" w:hint="default"/>
        </w:rPr>
        <w:t>18</w:t>
      </w:r>
      <w:r>
        <w:rPr/>
        <w:t>人，回购注销的股权激励限售股份数量为</w:t>
      </w:r>
      <w:r>
        <w:rPr>
          <w:rFonts w:ascii="Times New Roman" w:hAnsi="Times New Roman" w:cs="Times New Roman" w:eastAsia="Times New Roman" w:hint="default"/>
        </w:rPr>
        <w:t>223,700</w:t>
      </w:r>
      <w:r>
        <w:rPr/>
        <w:t>股，详 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日公司发布在巨潮资讯网</w:t>
      </w:r>
      <w:r>
        <w:rPr>
          <w:spacing w:val="-27"/>
        </w:rPr>
        <w:t> </w:t>
      </w:r>
      <w:hyperlink r:id="rId24">
        <w:r>
          <w:rPr>
            <w:rFonts w:ascii="Times New Roman" w:hAnsi="Times New Roman" w:cs="Times New Roman" w:eastAsia="Times New Roman" w:hint="default"/>
          </w:rPr>
          <w:t>www.cninfo.com.cn</w:t>
        </w:r>
        <w:r>
          <w:rPr/>
          <w:t>的《关于部分限制性股票回购注销完成的公</w:t>
        </w:r>
      </w:hyperlink>
      <w:r>
        <w:rPr/>
        <w:t> 告》。</w:t>
      </w:r>
    </w:p>
    <w:p>
      <w:pPr>
        <w:pStyle w:val="BodyText"/>
        <w:spacing w:line="386" w:lineRule="auto" w:before="65"/>
        <w:ind w:left="574" w:right="320"/>
        <w:jc w:val="left"/>
      </w:pPr>
      <w:r>
        <w:rPr>
          <w:rFonts w:ascii="Times New Roman" w:hAnsi="Times New Roman" w:cs="Times New Roman" w:eastAsia="Times New Roman" w:hint="default"/>
        </w:rPr>
        <w:t>6</w:t>
      </w:r>
      <w:r>
        <w:rPr/>
        <w:t>、第二期限制性股票激励计划首次授予部分第一个解锁期解除限售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日召开第三届董事会第二十二次会议，审议通过了《关于公司第二期限制性股</w:t>
      </w:r>
    </w:p>
    <w:p>
      <w:pPr>
        <w:pStyle w:val="BodyText"/>
        <w:spacing w:line="386" w:lineRule="auto" w:before="35"/>
        <w:ind w:right="215"/>
        <w:jc w:val="left"/>
      </w:pPr>
      <w:r>
        <w:rPr/>
        <w:t>票激励计划首次授予部分第一个解锁期解锁条件成就的议案》，本次申请解锁的激励对象共</w:t>
      </w:r>
      <w:r>
        <w:rPr>
          <w:rFonts w:ascii="Times New Roman" w:hAnsi="Times New Roman" w:cs="Times New Roman" w:eastAsia="Times New Roman" w:hint="default"/>
        </w:rPr>
        <w:t>449</w:t>
      </w:r>
      <w:r>
        <w:rPr/>
        <w:t>名，解锁 的限制性股票数量为</w:t>
      </w:r>
      <w:r>
        <w:rPr>
          <w:rFonts w:ascii="Times New Roman" w:hAnsi="Times New Roman" w:cs="Times New Roman" w:eastAsia="Times New Roman" w:hint="default"/>
        </w:rPr>
        <w:t>3,515,760</w:t>
      </w:r>
      <w:r>
        <w:rPr/>
        <w:t>股，实际可上市流通</w:t>
      </w:r>
      <w:r>
        <w:rPr>
          <w:rFonts w:ascii="Times New Roman" w:hAnsi="Times New Roman" w:cs="Times New Roman" w:eastAsia="Times New Roman" w:hint="default"/>
        </w:rPr>
        <w:t>3,408,060</w:t>
      </w:r>
      <w:r>
        <w:rPr/>
        <w:t>股，详见公司于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日发布在巨潮 资讯网</w:t>
      </w:r>
      <w:hyperlink r:id="rId24">
        <w:r>
          <w:rPr>
            <w:rFonts w:ascii="Times New Roman" w:hAnsi="Times New Roman" w:cs="Times New Roman" w:eastAsia="Times New Roman" w:hint="default"/>
          </w:rPr>
          <w:t>www.cninfo.com.cn</w:t>
        </w:r>
        <w:r>
          <w:rPr/>
          <w:t>的《关于公司第二期限制性股票激励计划首次授予部分第一个解锁期解锁条件</w:t>
        </w:r>
      </w:hyperlink>
      <w:r>
        <w:rPr/>
        <w:t> 成就的公告》。</w:t>
      </w:r>
    </w:p>
    <w:p>
      <w:pPr>
        <w:pStyle w:val="BodyText"/>
        <w:spacing w:line="386" w:lineRule="auto" w:before="65"/>
        <w:ind w:left="574" w:right="740" w:hanging="1"/>
        <w:jc w:val="left"/>
      </w:pPr>
      <w:r>
        <w:rPr>
          <w:rFonts w:ascii="Times New Roman" w:hAnsi="Times New Roman" w:cs="Times New Roman" w:eastAsia="Times New Roman" w:hint="default"/>
        </w:rPr>
        <w:t>7</w:t>
      </w:r>
      <w:r>
        <w:rPr/>
        <w:t>、实际控制人、董事长及董事增持 公司实际控制人、董事长滕达先生报告期内通过二级市场增持公司股份总计</w:t>
      </w:r>
      <w:r>
        <w:rPr>
          <w:rFonts w:ascii="Times New Roman" w:hAnsi="Times New Roman" w:cs="Times New Roman" w:eastAsia="Times New Roman" w:hint="default"/>
        </w:rPr>
        <w:t>1,617,451</w:t>
      </w:r>
      <w:r>
        <w:rPr/>
        <w:t>股，其中</w:t>
      </w:r>
    </w:p>
    <w:p>
      <w:pPr>
        <w:pStyle w:val="BodyText"/>
        <w:spacing w:line="386" w:lineRule="auto" w:before="35"/>
        <w:ind w:right="321" w:hanging="1"/>
        <w:jc w:val="left"/>
      </w:pPr>
      <w:r>
        <w:rPr>
          <w:rFonts w:ascii="Times New Roman" w:hAnsi="Times New Roman" w:cs="Times New Roman" w:eastAsia="Times New Roman" w:hint="default"/>
        </w:rPr>
        <w:t>1,213,088</w:t>
      </w:r>
      <w:r>
        <w:rPr/>
        <w:t>股转为高管锁定股；公司董事韦玉荣通过二级市场新增公司股份</w:t>
      </w:r>
      <w:r>
        <w:rPr>
          <w:rFonts w:ascii="Times New Roman" w:hAnsi="Times New Roman" w:cs="Times New Roman" w:eastAsia="Times New Roman" w:hint="default"/>
        </w:rPr>
        <w:t>988</w:t>
      </w:r>
      <w:r>
        <w:rPr/>
        <w:t>股，其中</w:t>
      </w:r>
      <w:r>
        <w:rPr>
          <w:rFonts w:ascii="Times New Roman" w:hAnsi="Times New Roman" w:cs="Times New Roman" w:eastAsia="Times New Roman" w:hint="default"/>
        </w:rPr>
        <w:t>741</w:t>
      </w:r>
      <w:r>
        <w:rPr/>
        <w:t>股转为高管锁 定股。</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3"/>
          <w:pgSz w:w="11910" w:h="16840"/>
          <w:pgMar w:footer="982" w:header="747" w:top="1060" w:bottom="1180" w:left="980" w:right="980"/>
          <w:pgNumType w:start="78"/>
        </w:sectPr>
      </w:pPr>
    </w:p>
    <w:p>
      <w:pPr>
        <w:spacing w:line="240" w:lineRule="auto" w:before="0"/>
        <w:rPr>
          <w:rFonts w:ascii="宋体" w:hAnsi="宋体" w:cs="宋体" w:eastAsia="宋体" w:hint="default"/>
          <w:sz w:val="20"/>
          <w:szCs w:val="20"/>
        </w:rPr>
      </w:pPr>
    </w:p>
    <w:p>
      <w:pPr>
        <w:pStyle w:val="BodyText"/>
        <w:spacing w:line="408" w:lineRule="auto" w:before="174"/>
        <w:ind w:right="338" w:firstLine="420"/>
        <w:jc w:val="both"/>
      </w:pPr>
      <w:r>
        <w:rPr/>
        <w:t>公司总股份发生变动，主要是由于在报告期内，公司实行了第二期限制性股票激励计划预留股份的 授予及对部分离职激励对象未解锁部分股份进行回购注销。相关的审议程序详见“第五节 重要事项</w:t>
      </w:r>
      <w:r>
        <w:rPr>
          <w:spacing w:val="-2"/>
        </w:rPr>
        <w:t> </w:t>
      </w:r>
      <w:r>
        <w:rPr/>
        <w:t>十</w:t>
      </w:r>
      <w:r>
        <w:rPr/>
        <w:t> 四、公司股权激励计划、员工持股计划或其他员工激励措施的实施情况”。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4" w:right="215"/>
        <w:jc w:val="left"/>
      </w:pPr>
      <w:r>
        <w:rPr/>
        <w:t>报告期内，公司共回购注销股份22.37万股，新增股份91.39万股，股份过户情况如下： 2017年12月1日，公司发布了《关于部分限制性股票回购注销完成的公告》，本次回购的限制性股票</w:t>
      </w:r>
    </w:p>
    <w:p>
      <w:pPr>
        <w:pStyle w:val="BodyText"/>
        <w:spacing w:line="408" w:lineRule="auto" w:before="46"/>
        <w:ind w:right="215"/>
        <w:jc w:val="left"/>
      </w:pPr>
      <w:r>
        <w:rPr/>
        <w:t>涉及股权激励对象18人，回购注销的股票数量223,700股。该部分限制性股票于2017年11月29日在中国证 券登记结算有限责任公司深圳分公司完成回购注销手续。本次回购注销完成后，公司总股本由 496,340,506股减至496,116,806股。</w:t>
      </w:r>
    </w:p>
    <w:p>
      <w:pPr>
        <w:pStyle w:val="BodyText"/>
        <w:spacing w:line="408" w:lineRule="auto" w:before="46"/>
        <w:ind w:right="215" w:firstLine="420"/>
        <w:jc w:val="left"/>
      </w:pPr>
      <w:r>
        <w:rPr/>
        <w:t>2017年12月1日，公司发布了《第二期限制性股票激励计划预留部分授予完成的公告》，公司完成了 向101名激励对象授予第二期限制性股票激励计划预留部分91.39万股股份的授予工作。该部分股份上市 日为2017年12月4日，公司总股本由496,116,806股增加至497,030,706股。</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320" w:firstLine="420"/>
        <w:jc w:val="left"/>
      </w:pPr>
      <w:r>
        <w:rPr/>
        <w:t>股份变动后，2017年度公司每股基本收益0.56元，较上年度增长47.37%；稀释每股收益0.55元，较 上年度增长44.74%；归属于公司普通股东的每股净资产4.68元，较上年度增长24.47%。具体指标详见 “第二节公司简介和主要财务指标”之“五、主要会计数据和财务指标”。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960"/>
        <w:gridCol w:w="991"/>
        <w:gridCol w:w="1134"/>
        <w:gridCol w:w="1134"/>
        <w:gridCol w:w="1134"/>
        <w:gridCol w:w="1277"/>
        <w:gridCol w:w="2939"/>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0"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1"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72"/>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33"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0" w:right="0"/>
              <w:jc w:val="left"/>
              <w:rPr>
                <w:rFonts w:ascii="Times New Roman" w:hAnsi="Times New Roman" w:cs="Times New Roman" w:eastAsia="Times New Roman" w:hint="default"/>
                <w:sz w:val="18"/>
                <w:szCs w:val="18"/>
              </w:rPr>
            </w:pPr>
            <w:r>
              <w:rPr>
                <w:rFonts w:ascii="Times New Roman"/>
                <w:sz w:val="18"/>
              </w:rPr>
              <w:t>1,213,088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1,213,088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90,683,967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4,499,999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86,183,968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44,495,325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44,495,325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42"/>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960"/>
        <w:gridCol w:w="991"/>
        <w:gridCol w:w="1134"/>
        <w:gridCol w:w="1134"/>
        <w:gridCol w:w="1134"/>
        <w:gridCol w:w="1277"/>
        <w:gridCol w:w="2939"/>
      </w:tblGrid>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郭泓</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2,902,500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r>
              <w:rPr>
                <w:rFonts w:ascii="Times New Roman" w:hAnsi="Times New Roman" w:cs="Times New Roman" w:eastAsia="Times New Roman" w:hint="default"/>
                <w:sz w:val="18"/>
                <w:szCs w:val="18"/>
              </w:rPr>
              <w:t>, </w:t>
            </w:r>
            <w:r>
              <w:rPr>
                <w:rFonts w:ascii="宋体" w:hAnsi="宋体" w:cs="宋体" w:eastAsia="宋体" w:hint="default"/>
                <w:sz w:val="18"/>
                <w:szCs w:val="18"/>
              </w:rPr>
              <w:t>已解除限 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866,850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773,850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779,250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188,625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r>
              <w:rPr>
                <w:rFonts w:ascii="Times New Roman" w:hAnsi="Times New Roman" w:cs="Times New Roman" w:eastAsia="Times New Roman" w:hint="default"/>
                <w:sz w:val="18"/>
                <w:szCs w:val="18"/>
              </w:rPr>
              <w:t>, </w:t>
            </w:r>
            <w:r>
              <w:rPr>
                <w:rFonts w:ascii="宋体" w:hAnsi="宋体" w:cs="宋体" w:eastAsia="宋体" w:hint="default"/>
                <w:sz w:val="18"/>
                <w:szCs w:val="18"/>
              </w:rPr>
              <w:t>已解除限 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r>
              <w:rPr>
                <w:rFonts w:ascii="Times New Roman" w:hAnsi="Times New Roman" w:cs="Times New Roman" w:eastAsia="Times New Roman" w:hint="default"/>
                <w:sz w:val="18"/>
                <w:szCs w:val="18"/>
              </w:rPr>
              <w:t>, </w:t>
            </w:r>
            <w:r>
              <w:rPr>
                <w:rFonts w:ascii="宋体" w:hAnsi="宋体" w:cs="宋体" w:eastAsia="宋体" w:hint="default"/>
                <w:sz w:val="18"/>
                <w:szCs w:val="18"/>
              </w:rPr>
              <w:t>已解除限 售</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r>
              <w:rPr>
                <w:rFonts w:ascii="Times New Roman" w:hAnsi="Times New Roman" w:cs="Times New Roman" w:eastAsia="Times New Roman" w:hint="default"/>
                <w:sz w:val="18"/>
                <w:szCs w:val="18"/>
              </w:rPr>
              <w:t>,  </w:t>
            </w:r>
            <w:r>
              <w:rPr>
                <w:rFonts w:ascii="宋体" w:hAnsi="宋体" w:cs="宋体" w:eastAsia="宋体" w:hint="default"/>
                <w:sz w:val="18"/>
                <w:szCs w:val="18"/>
              </w:rPr>
              <w:t>在任期届</w:t>
            </w:r>
          </w:p>
          <w:p>
            <w:pPr>
              <w:pStyle w:val="TableParagraph"/>
              <w:spacing w:line="302" w:lineRule="auto" w:before="63"/>
              <w:ind w:left="22" w:right="54"/>
              <w:jc w:val="left"/>
              <w:rPr>
                <w:rFonts w:ascii="宋体" w:hAnsi="宋体" w:cs="宋体" w:eastAsia="宋体" w:hint="default"/>
                <w:sz w:val="18"/>
                <w:szCs w:val="18"/>
              </w:rPr>
            </w:pPr>
            <w:r>
              <w:rPr>
                <w:rFonts w:ascii="宋体" w:hAnsi="宋体" w:cs="宋体" w:eastAsia="宋体" w:hint="default"/>
                <w:sz w:val="18"/>
                <w:szCs w:val="18"/>
              </w:rPr>
              <w:t>满前后半年内，每年年初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 限售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687,368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687,368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韦玉荣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 </w:t>
            </w:r>
            <w:r>
              <w:rPr>
                <w:rFonts w:ascii="Times New Roman" w:hAnsi="Times New Roman" w:cs="Times New Roman" w:eastAsia="Times New Roman" w:hint="default"/>
                <w:sz w:val="18"/>
                <w:szCs w:val="18"/>
              </w:rPr>
              <w:t>25%  </w:t>
            </w:r>
            <w:r>
              <w:rPr>
                <w:rFonts w:ascii="宋体" w:hAnsi="宋体" w:cs="宋体" w:eastAsia="宋体" w:hint="default"/>
                <w:sz w:val="18"/>
                <w:szCs w:val="18"/>
              </w:rPr>
              <w:t>解除限售</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13,618,360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4,085,508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9,532,852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达到业绩承诺条件的，增发股份自本 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4,651,762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4,651,762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达到业绩承诺条件的，增发股份自本 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孙士玉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4,746,696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1,186,674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3,560,022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达到业绩承诺条件的，增发股份自本 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4,651,762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1,162,940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3,488,822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达到业绩承诺条件的，增发股份自本 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韦玉荣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4,651,762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1,162,940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3,488,822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达到业绩承诺条件的，增发股份自本 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卢晓英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4,450,028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1,112,507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3,337,521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达到业绩承诺条件的，增发股份自本 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bl>
    <w:p>
      <w:pPr>
        <w:spacing w:after="0" w:line="309" w:lineRule="auto"/>
        <w:jc w:val="both"/>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960"/>
        <w:gridCol w:w="991"/>
        <w:gridCol w:w="1134"/>
        <w:gridCol w:w="1134"/>
        <w:gridCol w:w="1134"/>
        <w:gridCol w:w="1277"/>
        <w:gridCol w:w="2939"/>
      </w:tblGrid>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黄新</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3,103,153</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775,788</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2,327,365</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安林冲</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445,003</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335,003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仇宏远</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445,003</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3"/>
                <w:sz w:val="18"/>
              </w:rPr>
              <w:t>111,250</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333,753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郭玉智</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445,003</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3"/>
                <w:sz w:val="18"/>
              </w:rPr>
              <w:t>111,250</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333,753</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邓炽成</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402,999</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120,899</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282,100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水军</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402,999</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120,899</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282,100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包志翔</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296,668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74,167</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222,501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韩海青</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296,668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74,167</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222,501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李佳</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296,668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74,167</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222,501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任炜</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296,668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74,167</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222,501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王亚明</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296,668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74,167</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222,501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叶树军</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296,668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74,167</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222,501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358" w:hRule="exact"/>
        </w:trPr>
        <w:tc>
          <w:tcPr>
            <w:tcW w:w="960"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达到业绩承诺条件的，增发股份自本</w:t>
            </w:r>
          </w:p>
        </w:tc>
      </w:tr>
      <w:tr>
        <w:trPr>
          <w:trHeight w:val="31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张红光</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296,668</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74,167</w:t>
            </w:r>
          </w:p>
        </w:tc>
        <w:tc>
          <w:tcPr>
            <w:tcW w:w="1134"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222,501</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年后、</w:t>
            </w:r>
            <w:r>
              <w:rPr>
                <w:rFonts w:ascii="Times New Roman" w:hAnsi="Times New Roman" w:cs="Times New Roman" w:eastAsia="Times New Roman" w:hint="default"/>
                <w:sz w:val="18"/>
                <w:szCs w:val="18"/>
              </w:rPr>
              <w:t>2 </w:t>
            </w:r>
            <w:r>
              <w:rPr>
                <w:rFonts w:ascii="宋体" w:hAnsi="宋体" w:cs="宋体" w:eastAsia="宋体" w:hint="default"/>
                <w:sz w:val="18"/>
                <w:szCs w:val="18"/>
              </w:rPr>
              <w:t>年后、</w:t>
            </w:r>
          </w:p>
        </w:tc>
      </w:tr>
      <w:tr>
        <w:trPr>
          <w:trHeight w:val="351"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年后分别解锁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股权激励对</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9,086,100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3,739,460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5,346,640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根据公司第二期限制性股票激励计划</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960"/>
        <w:gridCol w:w="991"/>
        <w:gridCol w:w="1134"/>
        <w:gridCol w:w="1134"/>
        <w:gridCol w:w="1134"/>
        <w:gridCol w:w="1277"/>
        <w:gridCol w:w="2939"/>
      </w:tblGrid>
      <w:tr>
        <w:trPr>
          <w:trHeight w:val="318" w:hRule="exact"/>
        </w:trPr>
        <w:tc>
          <w:tcPr>
            <w:tcW w:w="9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象（首次）</w:t>
            </w:r>
          </w:p>
        </w:tc>
        <w:tc>
          <w:tcPr>
            <w:tcW w:w="991"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29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（草案）的有关规定执行解锁及回购</w:t>
            </w:r>
          </w:p>
        </w:tc>
      </w:tr>
      <w:tr>
        <w:trPr>
          <w:trHeight w:val="317"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99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注销。报告期内，完成股权激励计划</w:t>
            </w:r>
          </w:p>
        </w:tc>
      </w:tr>
      <w:tr>
        <w:trPr>
          <w:trHeight w:val="311" w:hRule="exact"/>
        </w:trPr>
        <w:tc>
          <w:tcPr>
            <w:tcW w:w="960"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第一次解锁，解锁股份数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3,515,760</w:t>
            </w:r>
          </w:p>
        </w:tc>
      </w:tr>
      <w:tr>
        <w:trPr>
          <w:trHeight w:val="313" w:hRule="exact"/>
        </w:trPr>
        <w:tc>
          <w:tcPr>
            <w:tcW w:w="960"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93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股；回购注销原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名激励对象持有</w:t>
            </w:r>
          </w:p>
        </w:tc>
      </w:tr>
      <w:tr>
        <w:trPr>
          <w:trHeight w:val="352" w:hRule="exact"/>
        </w:trPr>
        <w:tc>
          <w:tcPr>
            <w:tcW w:w="960"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9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的股权激励限售股份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股权激励对 象（预留） 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913,900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根据公司第二期限制性股票激励计划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（草案）的有关规定执行解锁</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215,388,698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22,909,408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2,952,197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195,431,487</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951"/>
        <w:gridCol w:w="1702"/>
        <w:gridCol w:w="991"/>
        <w:gridCol w:w="1277"/>
        <w:gridCol w:w="1559"/>
        <w:gridCol w:w="851"/>
        <w:gridCol w:w="1238"/>
      </w:tblGrid>
      <w:tr>
        <w:trPr>
          <w:trHeight w:val="714" w:hRule="exact"/>
        </w:trPr>
        <w:tc>
          <w:tcPr>
            <w:tcW w:w="1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50"/>
              <w:jc w:val="left"/>
              <w:rPr>
                <w:rFonts w:ascii="宋体" w:hAnsi="宋体" w:cs="宋体" w:eastAsia="宋体" w:hint="default"/>
                <w:sz w:val="18"/>
                <w:szCs w:val="18"/>
              </w:rPr>
            </w:pPr>
            <w:r>
              <w:rPr>
                <w:rFonts w:ascii="宋体" w:hAnsi="宋体" w:cs="宋体" w:eastAsia="宋体" w:hint="default"/>
                <w:spacing w:val="54"/>
                <w:sz w:val="18"/>
                <w:szCs w:val="18"/>
              </w:rPr>
              <w:t>发行价格</w:t>
            </w:r>
            <w:r>
              <w:rPr>
                <w:rFonts w:ascii="宋体" w:hAnsi="宋体" w:cs="宋体" w:eastAsia="宋体" w:hint="default"/>
                <w:spacing w:val="-18"/>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
              <w:jc w:val="left"/>
              <w:rPr>
                <w:rFonts w:ascii="宋体" w:hAnsi="宋体" w:cs="宋体" w:eastAsia="宋体" w:hint="default"/>
                <w:sz w:val="18"/>
                <w:szCs w:val="18"/>
              </w:rPr>
            </w:pPr>
            <w:r>
              <w:rPr>
                <w:rFonts w:ascii="宋体" w:hAnsi="宋体" w:cs="宋体" w:eastAsia="宋体" w:hint="default"/>
                <w:spacing w:val="18"/>
                <w:sz w:val="18"/>
                <w:szCs w:val="18"/>
              </w:rPr>
              <w:t>获准上市</w:t>
            </w:r>
            <w:r>
              <w:rPr>
                <w:rFonts w:ascii="宋体" w:hAnsi="宋体" w:cs="宋体" w:eastAsia="宋体" w:hint="default"/>
                <w:spacing w:val="-87"/>
                <w:sz w:val="18"/>
                <w:szCs w:val="18"/>
              </w:rPr>
              <w:t> </w:t>
            </w:r>
            <w:r>
              <w:rPr>
                <w:rFonts w:ascii="宋体" w:hAnsi="宋体" w:cs="宋体" w:eastAsia="宋体" w:hint="default"/>
                <w:sz w:val="18"/>
                <w:szCs w:val="18"/>
              </w:rPr>
              <w:t>交易数量</w:t>
            </w:r>
          </w:p>
        </w:tc>
        <w:tc>
          <w:tcPr>
            <w:tcW w:w="12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普通股（限制性股票）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9" w:right="0"/>
              <w:jc w:val="left"/>
              <w:rPr>
                <w:rFonts w:ascii="Times New Roman" w:hAnsi="Times New Roman" w:cs="Times New Roman" w:eastAsia="Times New Roman" w:hint="default"/>
                <w:sz w:val="18"/>
                <w:szCs w:val="18"/>
              </w:rPr>
            </w:pPr>
            <w:r>
              <w:rPr>
                <w:rFonts w:ascii="Times New Roman"/>
                <w:sz w:val="18"/>
              </w:rPr>
              <w:t>913,900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0"/>
        <w:rPr>
          <w:rFonts w:ascii="宋体" w:hAnsi="宋体" w:cs="宋体" w:eastAsia="宋体" w:hint="default"/>
          <w:sz w:val="12"/>
          <w:szCs w:val="12"/>
        </w:rPr>
      </w:pPr>
    </w:p>
    <w:p>
      <w:pPr>
        <w:pStyle w:val="BodyText"/>
        <w:spacing w:line="386" w:lineRule="auto"/>
        <w:ind w:left="153" w:right="216" w:firstLine="420"/>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日召开了第三届董事会第二十一次会议，审议通过了《关于向激励对象授予第 二期限制性股票激励计划（预留部分）的议案》，公司向</w:t>
      </w:r>
      <w:r>
        <w:rPr>
          <w:rFonts w:ascii="Times New Roman" w:hAnsi="Times New Roman" w:cs="Times New Roman" w:eastAsia="Times New Roman" w:hint="default"/>
        </w:rPr>
        <w:t>101</w:t>
      </w:r>
      <w:r>
        <w:rPr/>
        <w:t>名激励对象，授予预留部分限制性股票数量 </w:t>
      </w:r>
      <w:r>
        <w:rPr>
          <w:rFonts w:ascii="Times New Roman" w:hAnsi="Times New Roman" w:cs="Times New Roman" w:eastAsia="Times New Roman" w:hint="default"/>
        </w:rPr>
        <w:t>913,900</w:t>
      </w:r>
      <w:r>
        <w:rPr/>
        <w:t>股，授予日期为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日，授予股份的上市日期为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w:t>
      </w:r>
    </w:p>
    <w:p>
      <w:pPr>
        <w:spacing w:line="240" w:lineRule="auto" w:before="9"/>
        <w:rPr>
          <w:rFonts w:ascii="宋体" w:hAnsi="宋体" w:cs="宋体" w:eastAsia="宋体" w:hint="default"/>
          <w:sz w:val="19"/>
          <w:szCs w:val="19"/>
        </w:rPr>
      </w:pPr>
    </w:p>
    <w:p>
      <w:pPr>
        <w:pStyle w:val="Heading3"/>
        <w:spacing w:line="240" w:lineRule="auto"/>
        <w:ind w:left="153"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left="153" w:right="216" w:firstLine="420"/>
        <w:jc w:val="left"/>
      </w:pPr>
      <w:r>
        <w:rPr/>
        <w:t>本报告期期初，公司股份总数</w:t>
      </w:r>
      <w:r>
        <w:rPr>
          <w:rFonts w:ascii="Times New Roman" w:hAnsi="Times New Roman" w:cs="Times New Roman" w:eastAsia="Times New Roman" w:hint="default"/>
        </w:rPr>
        <w:t>496,340,506</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日，公司完成了股权激励计划限制性股 票回购注销手续，共回购注销原激励对象</w:t>
      </w:r>
      <w:r>
        <w:rPr>
          <w:rFonts w:ascii="Times New Roman" w:hAnsi="Times New Roman" w:cs="Times New Roman" w:eastAsia="Times New Roman" w:hint="default"/>
        </w:rPr>
        <w:t>18</w:t>
      </w:r>
      <w:r>
        <w:rPr/>
        <w:t>人持有的股权激励限制性股票</w:t>
      </w:r>
      <w:r>
        <w:rPr>
          <w:rFonts w:ascii="Times New Roman" w:hAnsi="Times New Roman" w:cs="Times New Roman" w:eastAsia="Times New Roman" w:hint="default"/>
        </w:rPr>
        <w:t>223,700</w:t>
      </w:r>
      <w:r>
        <w:rPr/>
        <w:t>股，公司总股本由 </w:t>
      </w:r>
      <w:r>
        <w:rPr>
          <w:rFonts w:ascii="Times New Roman" w:hAnsi="Times New Roman" w:cs="Times New Roman" w:eastAsia="Times New Roman" w:hint="default"/>
        </w:rPr>
        <w:t>496,340,506</w:t>
      </w:r>
      <w:r>
        <w:rPr/>
        <w:t>股减少至</w:t>
      </w:r>
      <w:r>
        <w:rPr>
          <w:rFonts w:ascii="Times New Roman" w:hAnsi="Times New Roman" w:cs="Times New Roman" w:eastAsia="Times New Roman" w:hint="default"/>
        </w:rPr>
        <w:t>496,116,806</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日，公司召开第三届董事会第二十一次会议，审议通 过了《关于向激励对象授予第二期限制性股票激励计划（预留部分）的议案》，共向</w:t>
      </w:r>
      <w:r>
        <w:rPr>
          <w:rFonts w:ascii="Times New Roman" w:hAnsi="Times New Roman" w:cs="Times New Roman" w:eastAsia="Times New Roman" w:hint="default"/>
        </w:rPr>
        <w:t>101</w:t>
      </w:r>
      <w:r>
        <w:rPr/>
        <w:t>名激励对象，授 予限制性股票</w:t>
      </w:r>
      <w:r>
        <w:rPr>
          <w:rFonts w:ascii="Times New Roman" w:hAnsi="Times New Roman" w:cs="Times New Roman" w:eastAsia="Times New Roman" w:hint="default"/>
        </w:rPr>
        <w:t>913,900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日，该部分股份上市，公司总股本由</w:t>
      </w:r>
      <w:r>
        <w:rPr>
          <w:rFonts w:ascii="Times New Roman" w:hAnsi="Times New Roman" w:cs="Times New Roman" w:eastAsia="Times New Roman" w:hint="default"/>
        </w:rPr>
        <w:t>496,116,806</w:t>
      </w:r>
      <w:r>
        <w:rPr/>
        <w:t>股增加至 </w:t>
      </w:r>
      <w:r>
        <w:rPr>
          <w:rFonts w:ascii="Times New Roman" w:hAnsi="Times New Roman" w:cs="Times New Roman" w:eastAsia="Times New Roman" w:hint="default"/>
        </w:rPr>
        <w:t>497,030,706</w:t>
      </w:r>
      <w:r>
        <w:rPr/>
        <w:t>股。</w:t>
      </w:r>
    </w:p>
    <w:p>
      <w:pPr>
        <w:spacing w:after="0" w:line="38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560"/>
        <w:gridCol w:w="570"/>
        <w:gridCol w:w="421"/>
        <w:gridCol w:w="693"/>
        <w:gridCol w:w="347"/>
        <w:gridCol w:w="661"/>
        <w:gridCol w:w="534"/>
        <w:gridCol w:w="456"/>
        <w:gridCol w:w="846"/>
        <w:gridCol w:w="289"/>
        <w:gridCol w:w="800"/>
        <w:gridCol w:w="476"/>
        <w:gridCol w:w="850"/>
        <w:gridCol w:w="426"/>
        <w:gridCol w:w="636"/>
      </w:tblGrid>
      <w:tr>
        <w:trPr>
          <w:trHeight w:val="1339"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5"/>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35,409</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33,551</w:t>
            </w:r>
          </w:p>
        </w:tc>
        <w:tc>
          <w:tcPr>
            <w:tcW w:w="13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97"/>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6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59" w:right="62"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0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36"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9"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1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2" w:right="20"/>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27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93" w:right="91"/>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191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3D3D3"/>
          </w:tcPr>
          <w:p>
            <w:pPr/>
          </w:p>
        </w:tc>
        <w:tc>
          <w:tcPr>
            <w:tcW w:w="992" w:type="dxa"/>
            <w:gridSpan w:val="2"/>
            <w:vMerge/>
            <w:tcBorders>
              <w:left w:val="single" w:sz="4" w:space="0" w:color="000000"/>
              <w:bottom w:val="single" w:sz="4" w:space="0" w:color="000000"/>
              <w:right w:val="single" w:sz="4" w:space="0" w:color="000000"/>
            </w:tcBorders>
            <w:shd w:val="clear" w:color="auto" w:fill="D3D3D3"/>
          </w:tcPr>
          <w:p>
            <w:pPr/>
          </w:p>
        </w:tc>
        <w:tc>
          <w:tcPr>
            <w:tcW w:w="693" w:type="dxa"/>
            <w:vMerge/>
            <w:tcBorders>
              <w:left w:val="single" w:sz="4" w:space="0" w:color="000000"/>
              <w:bottom w:val="single" w:sz="4" w:space="0" w:color="000000"/>
              <w:right w:val="single" w:sz="4" w:space="0" w:color="000000"/>
            </w:tcBorders>
            <w:shd w:val="clear" w:color="auto" w:fill="D3D3D3"/>
          </w:tcPr>
          <w:p>
            <w:pPr/>
          </w:p>
        </w:tc>
        <w:tc>
          <w:tcPr>
            <w:tcW w:w="1009" w:type="dxa"/>
            <w:gridSpan w:val="2"/>
            <w:vMerge/>
            <w:tcBorders>
              <w:left w:val="single" w:sz="4" w:space="0" w:color="000000"/>
              <w:bottom w:val="single" w:sz="4" w:space="0" w:color="000000"/>
              <w:right w:val="single" w:sz="4" w:space="0" w:color="000000"/>
            </w:tcBorders>
            <w:shd w:val="clear" w:color="auto" w:fill="D3D3D3"/>
          </w:tcPr>
          <w:p>
            <w:pPr/>
          </w:p>
        </w:tc>
        <w:tc>
          <w:tcPr>
            <w:tcW w:w="990" w:type="dxa"/>
            <w:gridSpan w:val="2"/>
            <w:vMerge/>
            <w:tcBorders>
              <w:left w:val="single" w:sz="4" w:space="0" w:color="000000"/>
              <w:bottom w:val="single" w:sz="4" w:space="0" w:color="000000"/>
              <w:right w:val="single" w:sz="4" w:space="0" w:color="000000"/>
            </w:tcBorders>
            <w:shd w:val="clear" w:color="auto" w:fill="D3D3D3"/>
          </w:tcPr>
          <w:p>
            <w:pPr/>
          </w:p>
        </w:tc>
        <w:tc>
          <w:tcPr>
            <w:tcW w:w="1135" w:type="dxa"/>
            <w:gridSpan w:val="2"/>
            <w:vMerge/>
            <w:tcBorders>
              <w:left w:val="single" w:sz="4" w:space="0" w:color="000000"/>
              <w:bottom w:val="single" w:sz="4" w:space="0" w:color="000000"/>
              <w:right w:val="single" w:sz="4" w:space="0" w:color="000000"/>
            </w:tcBorders>
            <w:shd w:val="clear" w:color="auto" w:fill="D3D3D3"/>
          </w:tcPr>
          <w:p>
            <w:pPr/>
          </w:p>
        </w:tc>
        <w:tc>
          <w:tcPr>
            <w:tcW w:w="1277" w:type="dxa"/>
            <w:gridSpan w:val="2"/>
            <w:vMerge/>
            <w:tcBorders>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18"/>
                <w:szCs w:val="18"/>
              </w:rPr>
            </w:pPr>
            <w:r>
              <w:rPr>
                <w:rFonts w:ascii="Times New Roman"/>
                <w:sz w:val="18"/>
              </w:rPr>
              <w:t>23.12%</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114,911,958</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2" w:right="0"/>
              <w:jc w:val="left"/>
              <w:rPr>
                <w:rFonts w:ascii="Times New Roman" w:hAnsi="Times New Roman" w:cs="Times New Roman" w:eastAsia="Times New Roman" w:hint="default"/>
                <w:sz w:val="18"/>
                <w:szCs w:val="18"/>
              </w:rPr>
            </w:pPr>
            <w:r>
              <w:rPr>
                <w:rFonts w:ascii="Times New Roman"/>
                <w:sz w:val="18"/>
              </w:rPr>
              <w:t>86,183,968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28,727,990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8"/>
                <w:szCs w:val="18"/>
              </w:rPr>
            </w:pPr>
            <w:r>
              <w:rPr>
                <w:rFonts w:ascii="Times New Roman"/>
                <w:sz w:val="18"/>
              </w:rPr>
              <w:t>18,350,000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right"/>
              <w:rPr>
                <w:rFonts w:ascii="Times New Roman" w:hAnsi="Times New Roman" w:cs="Times New Roman" w:eastAsia="Times New Roman" w:hint="default"/>
                <w:sz w:val="18"/>
                <w:szCs w:val="18"/>
              </w:rPr>
            </w:pPr>
            <w:r>
              <w:rPr>
                <w:rFonts w:ascii="Times New Roman"/>
                <w:spacing w:val="-2"/>
                <w:sz w:val="18"/>
              </w:rPr>
              <w:t>11.94%</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59,327,100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2" w:right="0"/>
              <w:jc w:val="left"/>
              <w:rPr>
                <w:rFonts w:ascii="Times New Roman" w:hAnsi="Times New Roman" w:cs="Times New Roman" w:eastAsia="Times New Roman" w:hint="default"/>
                <w:sz w:val="18"/>
                <w:szCs w:val="18"/>
              </w:rPr>
            </w:pPr>
            <w:r>
              <w:rPr>
                <w:rFonts w:ascii="Times New Roman"/>
                <w:sz w:val="18"/>
              </w:rPr>
              <w:t>44,495,325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4" w:right="0"/>
              <w:jc w:val="left"/>
              <w:rPr>
                <w:rFonts w:ascii="Times New Roman" w:hAnsi="Times New Roman" w:cs="Times New Roman" w:eastAsia="Times New Roman" w:hint="default"/>
                <w:sz w:val="18"/>
                <w:szCs w:val="18"/>
              </w:rPr>
            </w:pPr>
            <w:r>
              <w:rPr>
                <w:rFonts w:ascii="Times New Roman"/>
                <w:sz w:val="18"/>
              </w:rPr>
              <w:t>14,831,775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4,560,000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18"/>
                <w:szCs w:val="18"/>
              </w:rPr>
            </w:pPr>
            <w:r>
              <w:rPr>
                <w:rFonts w:ascii="Times New Roman"/>
                <w:sz w:val="18"/>
              </w:rPr>
              <w:t>5.15%</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25,600,000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2" w:right="0"/>
              <w:jc w:val="left"/>
              <w:rPr>
                <w:rFonts w:ascii="Times New Roman" w:hAnsi="Times New Roman" w:cs="Times New Roman" w:eastAsia="Times New Roman" w:hint="default"/>
                <w:sz w:val="18"/>
                <w:szCs w:val="18"/>
              </w:rPr>
            </w:pPr>
            <w:r>
              <w:rPr>
                <w:rFonts w:ascii="Times New Roman"/>
                <w:sz w:val="18"/>
              </w:rPr>
              <w:t>19,200,000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6,400,000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卓桂英</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18"/>
                <w:szCs w:val="18"/>
              </w:rPr>
            </w:pPr>
            <w:r>
              <w:rPr>
                <w:rFonts w:ascii="Times New Roman"/>
                <w:sz w:val="18"/>
              </w:rPr>
              <w:t>5.15%</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25,600,000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4" w:right="0"/>
              <w:jc w:val="left"/>
              <w:rPr>
                <w:rFonts w:ascii="Times New Roman" w:hAnsi="Times New Roman" w:cs="Times New Roman" w:eastAsia="Times New Roman" w:hint="default"/>
                <w:sz w:val="18"/>
                <w:szCs w:val="18"/>
              </w:rPr>
            </w:pPr>
            <w:r>
              <w:rPr>
                <w:rFonts w:ascii="Times New Roman"/>
                <w:sz w:val="18"/>
              </w:rPr>
              <w:t>25,600,000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18"/>
                <w:szCs w:val="18"/>
              </w:rPr>
            </w:pPr>
            <w:r>
              <w:rPr>
                <w:rFonts w:ascii="Times New Roman"/>
                <w:sz w:val="18"/>
              </w:rPr>
              <w:t>2.75%</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13,661,360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2" w:right="0"/>
              <w:jc w:val="left"/>
              <w:rPr>
                <w:rFonts w:ascii="Times New Roman" w:hAnsi="Times New Roman" w:cs="Times New Roman" w:eastAsia="Times New Roman" w:hint="default"/>
                <w:sz w:val="18"/>
                <w:szCs w:val="18"/>
              </w:rPr>
            </w:pPr>
            <w:r>
              <w:rPr>
                <w:rFonts w:ascii="Times New Roman"/>
                <w:sz w:val="18"/>
              </w:rPr>
              <w:t>10,246,020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3,415,340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5,060,000</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5"/>
              <w:jc w:val="both"/>
              <w:rPr>
                <w:rFonts w:ascii="宋体" w:hAnsi="宋体" w:cs="宋体" w:eastAsia="宋体" w:hint="default"/>
                <w:sz w:val="18"/>
                <w:szCs w:val="18"/>
              </w:rPr>
            </w:pPr>
            <w:r>
              <w:rPr>
                <w:rFonts w:ascii="宋体" w:hAnsi="宋体" w:cs="宋体" w:eastAsia="宋体" w:hint="default"/>
                <w:sz w:val="18"/>
                <w:szCs w:val="18"/>
              </w:rPr>
              <w:t>中国工商银行－嘉 实策略增长混合型 证券投资基金</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1.07%</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5,294,104</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5,294,104</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5,294,104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5"/>
              <w:jc w:val="both"/>
              <w:rPr>
                <w:rFonts w:ascii="宋体" w:hAnsi="宋体" w:cs="宋体" w:eastAsia="宋体" w:hint="default"/>
                <w:sz w:val="18"/>
                <w:szCs w:val="18"/>
              </w:rPr>
            </w:pPr>
            <w:r>
              <w:rPr>
                <w:rFonts w:ascii="宋体" w:hAnsi="宋体" w:cs="宋体" w:eastAsia="宋体" w:hint="default"/>
                <w:sz w:val="18"/>
                <w:szCs w:val="18"/>
              </w:rPr>
              <w:t>中国工商银行股份 有限公司－富国文 体健康股票型证券 投资基金</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1.00%</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4,986,634</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535,787</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4,986,634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孙士玉</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18"/>
                <w:szCs w:val="18"/>
              </w:rPr>
            </w:pPr>
            <w:r>
              <w:rPr>
                <w:rFonts w:ascii="Times New Roman"/>
                <w:sz w:val="18"/>
              </w:rPr>
              <w:t>0.96%</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4" w:right="0"/>
              <w:jc w:val="left"/>
              <w:rPr>
                <w:rFonts w:ascii="Times New Roman" w:hAnsi="Times New Roman" w:cs="Times New Roman" w:eastAsia="Times New Roman" w:hint="default"/>
                <w:sz w:val="18"/>
                <w:szCs w:val="18"/>
              </w:rPr>
            </w:pPr>
            <w:r>
              <w:rPr>
                <w:rFonts w:ascii="Times New Roman"/>
                <w:sz w:val="18"/>
              </w:rPr>
              <w:t>4,746,696</w:t>
            </w:r>
          </w:p>
        </w:tc>
        <w:tc>
          <w:tcPr>
            <w:tcW w:w="990" w:type="dxa"/>
            <w:gridSpan w:val="2"/>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2" w:right="0"/>
              <w:jc w:val="left"/>
              <w:rPr>
                <w:rFonts w:ascii="Times New Roman" w:hAnsi="Times New Roman" w:cs="Times New Roman" w:eastAsia="Times New Roman" w:hint="default"/>
                <w:sz w:val="18"/>
                <w:szCs w:val="18"/>
              </w:rPr>
            </w:pPr>
            <w:r>
              <w:rPr>
                <w:rFonts w:ascii="Times New Roman"/>
                <w:sz w:val="18"/>
              </w:rPr>
              <w:t>3,560,022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3" w:right="0"/>
              <w:jc w:val="left"/>
              <w:rPr>
                <w:rFonts w:ascii="Times New Roman" w:hAnsi="Times New Roman" w:cs="Times New Roman" w:eastAsia="Times New Roman" w:hint="default"/>
                <w:sz w:val="18"/>
                <w:szCs w:val="18"/>
              </w:rPr>
            </w:pPr>
            <w:r>
              <w:rPr>
                <w:rFonts w:ascii="Times New Roman"/>
                <w:sz w:val="18"/>
              </w:rPr>
              <w:t>1,186,674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韦玉荣</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18"/>
                <w:szCs w:val="18"/>
              </w:rPr>
            </w:pPr>
            <w:r>
              <w:rPr>
                <w:rFonts w:ascii="Times New Roman"/>
                <w:sz w:val="18"/>
              </w:rPr>
              <w:t>0.94%</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4" w:right="0"/>
              <w:jc w:val="left"/>
              <w:rPr>
                <w:rFonts w:ascii="Times New Roman" w:hAnsi="Times New Roman" w:cs="Times New Roman" w:eastAsia="Times New Roman" w:hint="default"/>
                <w:sz w:val="18"/>
                <w:szCs w:val="18"/>
              </w:rPr>
            </w:pPr>
            <w:r>
              <w:rPr>
                <w:rFonts w:ascii="Times New Roman"/>
                <w:sz w:val="18"/>
              </w:rPr>
              <w:t>4,652,750</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988</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2" w:right="0"/>
              <w:jc w:val="left"/>
              <w:rPr>
                <w:rFonts w:ascii="Times New Roman" w:hAnsi="Times New Roman" w:cs="Times New Roman" w:eastAsia="Times New Roman" w:hint="default"/>
                <w:sz w:val="18"/>
                <w:szCs w:val="18"/>
              </w:rPr>
            </w:pPr>
            <w:r>
              <w:rPr>
                <w:rFonts w:ascii="Times New Roman"/>
                <w:sz w:val="18"/>
              </w:rPr>
              <w:t>3,489,563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1,163,187</w:t>
            </w:r>
          </w:p>
        </w:tc>
        <w:tc>
          <w:tcPr>
            <w:tcW w:w="850"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陈燕</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
              <w:jc w:val="right"/>
              <w:rPr>
                <w:rFonts w:ascii="Times New Roman" w:hAnsi="Times New Roman" w:cs="Times New Roman" w:eastAsia="Times New Roman" w:hint="default"/>
                <w:sz w:val="18"/>
                <w:szCs w:val="18"/>
              </w:rPr>
            </w:pPr>
            <w:r>
              <w:rPr>
                <w:rFonts w:ascii="Times New Roman"/>
                <w:sz w:val="18"/>
              </w:rPr>
              <w:t>0.94%</w:t>
            </w:r>
          </w:p>
        </w:tc>
        <w:tc>
          <w:tcPr>
            <w:tcW w:w="1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4" w:right="0"/>
              <w:jc w:val="left"/>
              <w:rPr>
                <w:rFonts w:ascii="Times New Roman" w:hAnsi="Times New Roman" w:cs="Times New Roman" w:eastAsia="Times New Roman" w:hint="default"/>
                <w:sz w:val="18"/>
                <w:szCs w:val="18"/>
              </w:rPr>
            </w:pPr>
            <w:r>
              <w:rPr>
                <w:rFonts w:ascii="Times New Roman"/>
                <w:sz w:val="18"/>
              </w:rPr>
              <w:t>4,652,362</w:t>
            </w:r>
          </w:p>
        </w:tc>
        <w:tc>
          <w:tcPr>
            <w:tcW w:w="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2" w:right="0"/>
              <w:jc w:val="left"/>
              <w:rPr>
                <w:rFonts w:ascii="Times New Roman" w:hAnsi="Times New Roman" w:cs="Times New Roman" w:eastAsia="Times New Roman" w:hint="default"/>
                <w:sz w:val="18"/>
                <w:szCs w:val="18"/>
              </w:rPr>
            </w:pPr>
            <w:r>
              <w:rPr>
                <w:rFonts w:ascii="Times New Roman"/>
                <w:sz w:val="18"/>
              </w:rPr>
              <w:t>4,651,762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8" w:right="0"/>
              <w:jc w:val="left"/>
              <w:rPr>
                <w:rFonts w:ascii="Times New Roman" w:hAnsi="Times New Roman" w:cs="Times New Roman" w:eastAsia="Times New Roman" w:hint="default"/>
                <w:sz w:val="18"/>
                <w:szCs w:val="18"/>
              </w:rPr>
            </w:pPr>
            <w:r>
              <w:rPr>
                <w:rFonts w:ascii="Times New Roman"/>
                <w:sz w:val="18"/>
              </w:rPr>
              <w:t>2,771,000</w:t>
            </w:r>
          </w:p>
        </w:tc>
      </w:tr>
      <w:tr>
        <w:trPr>
          <w:trHeight w:val="1026" w:hRule="exact"/>
        </w:trPr>
        <w:tc>
          <w:tcPr>
            <w:tcW w:w="25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76"/>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15" w:type="dxa"/>
            <w:gridSpan w:val="12"/>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5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5" w:type="dxa"/>
            <w:gridSpan w:val="12"/>
            <w:tcBorders>
              <w:top w:val="single" w:sz="4" w:space="0" w:color="000000"/>
              <w:left w:val="single" w:sz="13" w:space="0" w:color="D3D3D3"/>
              <w:bottom w:val="single" w:sz="4" w:space="0" w:color="000000"/>
              <w:right w:val="single" w:sz="4" w:space="0" w:color="000000"/>
            </w:tcBorders>
          </w:tcPr>
          <w:p>
            <w:pPr>
              <w:pStyle w:val="TableParagraph"/>
              <w:spacing w:line="300" w:lineRule="auto" w:before="52"/>
              <w:ind w:left="11" w:right="140"/>
              <w:jc w:val="left"/>
              <w:rPr>
                <w:rFonts w:ascii="宋体" w:hAnsi="宋体" w:cs="宋体" w:eastAsia="宋体" w:hint="default"/>
                <w:sz w:val="18"/>
                <w:szCs w:val="18"/>
              </w:rPr>
            </w:pPr>
            <w:r>
              <w:rPr>
                <w:rFonts w:ascii="宋体" w:hAnsi="宋体" w:cs="宋体" w:eastAsia="宋体" w:hint="default"/>
                <w:sz w:val="18"/>
                <w:szCs w:val="18"/>
              </w:rPr>
              <w:t>上述股东中，</w:t>
            </w:r>
            <w:r>
              <w:rPr>
                <w:rFonts w:ascii="Times New Roman" w:hAnsi="Times New Roman" w:cs="Times New Roman" w:eastAsia="Times New Roman" w:hint="default"/>
                <w:sz w:val="18"/>
                <w:szCs w:val="18"/>
              </w:rPr>
              <w:t>1</w:t>
            </w:r>
            <w:r>
              <w:rPr>
                <w:rFonts w:ascii="宋体" w:hAnsi="宋体" w:cs="宋体" w:eastAsia="宋体" w:hint="default"/>
                <w:sz w:val="18"/>
                <w:szCs w:val="18"/>
              </w:rPr>
              <w:t>、刘冬颖与卓桂英为母女关系；</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、其他股东之间，未知是否存在关联关 系，或属于《上述公司股东持股变动信息披露管理办法》中规定的一致行动人。</w:t>
            </w:r>
          </w:p>
        </w:tc>
      </w:tr>
      <w:tr>
        <w:trPr>
          <w:trHeight w:val="402" w:hRule="exact"/>
        </w:trPr>
        <w:tc>
          <w:tcPr>
            <w:tcW w:w="9566"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3244"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2845"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3478" w:type="dxa"/>
            <w:gridSpan w:val="6"/>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26"/>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3244" w:type="dxa"/>
            <w:gridSpan w:val="4"/>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6"/>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45"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478" w:type="dxa"/>
            <w:gridSpan w:val="6"/>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244" w:type="dxa"/>
            <w:gridSpan w:val="4"/>
            <w:vMerge/>
            <w:tcBorders>
              <w:left w:val="single" w:sz="4" w:space="0" w:color="000000"/>
              <w:bottom w:val="nil" w:sz="6" w:space="0" w:color="auto"/>
              <w:right w:val="single" w:sz="4" w:space="0" w:color="000000"/>
            </w:tcBorders>
            <w:shd w:val="clear" w:color="auto" w:fill="D3D3D3"/>
          </w:tcPr>
          <w:p>
            <w:pPr/>
          </w:p>
        </w:tc>
        <w:tc>
          <w:tcPr>
            <w:tcW w:w="2845" w:type="dxa"/>
            <w:gridSpan w:val="5"/>
            <w:vMerge/>
            <w:tcBorders>
              <w:left w:val="single" w:sz="4" w:space="0" w:color="000000"/>
              <w:bottom w:val="nil" w:sz="6" w:space="0" w:color="auto"/>
              <w:right w:val="single" w:sz="4" w:space="0" w:color="000000"/>
            </w:tcBorders>
            <w:shd w:val="clear" w:color="auto" w:fill="D3D3D3"/>
          </w:tcPr>
          <w:p>
            <w:pPr/>
          </w:p>
        </w:tc>
        <w:tc>
          <w:tcPr>
            <w:tcW w:w="2416"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25"/>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06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244"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2845"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2416" w:type="dxa"/>
            <w:gridSpan w:val="4"/>
            <w:vMerge/>
            <w:tcBorders>
              <w:left w:val="single" w:sz="4" w:space="0" w:color="000000"/>
              <w:bottom w:val="single" w:sz="4" w:space="0" w:color="000000"/>
              <w:right w:val="single" w:sz="4" w:space="0" w:color="000000"/>
            </w:tcBorders>
            <w:shd w:val="clear" w:color="auto" w:fill="D3D3D3"/>
          </w:tcPr>
          <w:p>
            <w:pPr/>
          </w:p>
        </w:tc>
        <w:tc>
          <w:tcPr>
            <w:tcW w:w="1062" w:type="dxa"/>
            <w:gridSpan w:val="2"/>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228"/>
        <w:gridCol w:w="2834"/>
        <w:gridCol w:w="2442"/>
        <w:gridCol w:w="1062"/>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28,727,990</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28,727,990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卓桂英</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25,600,000</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25,600,000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14,831,775</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14,831,775</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6,400,000</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6,400,000</w:t>
            </w:r>
          </w:p>
        </w:tc>
      </w:tr>
      <w:tr>
        <w:trPr>
          <w:trHeight w:val="714"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中国工商银行－嘉实策略增长混合型证 券投资基金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5,294,104</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5,294,104</w:t>
            </w:r>
          </w:p>
        </w:tc>
      </w:tr>
      <w:tr>
        <w:trPr>
          <w:trHeight w:val="714"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中国工商银行股份有限公司－富国文体 健康股票型证券投资基金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4,986,634</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4,986,634</w:t>
            </w:r>
          </w:p>
        </w:tc>
      </w:tr>
      <w:tr>
        <w:trPr>
          <w:trHeight w:val="714"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中国建设银行股份有限公司－富国国家 安全主题混合型证券投资基金</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4,020,659</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4,020,659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王建祥</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3,776,900</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3,776,900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3,415,340</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3,415,340</w:t>
            </w:r>
          </w:p>
        </w:tc>
      </w:tr>
      <w:tr>
        <w:trPr>
          <w:trHeight w:val="714"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中国人寿保险股份有限公司－传统－普 通保险产品</w:t>
            </w:r>
            <w:r>
              <w:rPr>
                <w:rFonts w:ascii="Times New Roman" w:hAnsi="Times New Roman" w:cs="Times New Roman" w:eastAsia="Times New Roman" w:hint="default"/>
                <w:sz w:val="18"/>
                <w:szCs w:val="18"/>
              </w:rPr>
              <w:t>-005L-CT001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深</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3,378,490</w:t>
            </w:r>
          </w:p>
        </w:tc>
        <w:tc>
          <w:tcPr>
            <w:tcW w:w="2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3,378,490</w:t>
            </w:r>
          </w:p>
        </w:tc>
      </w:tr>
      <w:tr>
        <w:trPr>
          <w:trHeight w:val="1026" w:hRule="exact"/>
        </w:trPr>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302" w:lineRule="auto" w:before="63"/>
              <w:ind w:left="22"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之间关联关系或一致行动的说明</w:t>
            </w:r>
          </w:p>
        </w:tc>
        <w:tc>
          <w:tcPr>
            <w:tcW w:w="633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上述股东中，</w:t>
            </w:r>
            <w:r>
              <w:rPr>
                <w:rFonts w:ascii="Times New Roman" w:hAnsi="Times New Roman" w:cs="Times New Roman" w:eastAsia="Times New Roman" w:hint="default"/>
                <w:sz w:val="18"/>
                <w:szCs w:val="18"/>
              </w:rPr>
              <w:t>1</w:t>
            </w:r>
            <w:r>
              <w:rPr>
                <w:rFonts w:ascii="宋体" w:hAnsi="宋体" w:cs="宋体" w:eastAsia="宋体" w:hint="default"/>
                <w:sz w:val="18"/>
                <w:szCs w:val="18"/>
              </w:rPr>
              <w:t>、刘冬颖与卓桂英为母女关系；</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、其他股东之间，未知是否 存在关联关系，或属于《上述公司股东持股变动信息披露管理办法》中规定的 一致行动人。</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11"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82" w:type="dxa"/>
        <w:tblLayout w:type="fixed"/>
        <w:tblCellMar>
          <w:top w:w="0" w:type="dxa"/>
          <w:left w:w="0" w:type="dxa"/>
          <w:bottom w:w="0" w:type="dxa"/>
          <w:right w:w="0" w:type="dxa"/>
        </w:tblCellMar>
        <w:tblLook w:val="01E0"/>
      </w:tblPr>
      <w:tblGrid>
        <w:gridCol w:w="3416"/>
        <w:gridCol w:w="2030"/>
        <w:gridCol w:w="4120"/>
      </w:tblGrid>
      <w:tr>
        <w:trPr>
          <w:trHeight w:val="402"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日起至今任公司董事会副董事长。</w:t>
            </w:r>
          </w:p>
        </w:tc>
      </w:tr>
      <w:tr>
        <w:trPr>
          <w:trHeight w:val="714"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431"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p>
      <w:pPr>
        <w:spacing w:after="0" w:line="36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日起至今任公司董事会副董事长。滕达，</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日任公司董事、总经理，现任公司董事长。</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58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公司报告期实际控制人未发生变更。</w:t>
      </w:r>
      <w:r>
        <w:rPr>
          <w:rFonts w:ascii="宋体" w:hAnsi="宋体" w:cs="宋体" w:eastAsia="宋体" w:hint="default"/>
          <w:w w:val="99"/>
          <w:sz w:val="18"/>
          <w:szCs w:val="18"/>
        </w:rPr>
        <w:t> </w:t>
      </w:r>
      <w:r>
        <w:rPr>
          <w:rFonts w:ascii="宋体" w:hAnsi="宋体" w:cs="宋体" w:eastAsia="宋体" w:hint="default"/>
          <w:sz w:val="18"/>
          <w:szCs w:val="18"/>
        </w:rPr>
        <w:t>公司与实际控制人之间的产权及控制关系的方框图</w:t>
      </w:r>
    </w:p>
    <w:p>
      <w:pPr>
        <w:spacing w:line="240" w:lineRule="auto" w:before="12"/>
        <w:rPr>
          <w:rFonts w:ascii="宋体" w:hAnsi="宋体" w:cs="宋体" w:eastAsia="宋体" w:hint="default"/>
          <w:sz w:val="15"/>
          <w:szCs w:val="15"/>
        </w:rPr>
      </w:pPr>
    </w:p>
    <w:p>
      <w:pPr>
        <w:spacing w:line="3062" w:lineRule="exact"/>
        <w:ind w:left="1928"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870931" cy="194462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5" cstate="print"/>
                    <a:stretch>
                      <a:fillRect/>
                    </a:stretch>
                  </pic:blipFill>
                  <pic:spPr>
                    <a:xfrm>
                      <a:off x="0" y="0"/>
                      <a:ext cx="3870931" cy="1944624"/>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8"/>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9"/>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pStyle w:val="BodyText"/>
        <w:spacing w:line="386" w:lineRule="auto" w:before="153"/>
        <w:ind w:left="679" w:right="215" w:hanging="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、实际控制人、董事长滕达先生关于增持股份的承诺</w:t>
      </w:r>
      <w:r>
        <w:rPr>
          <w:w w:val="99"/>
        </w:rPr>
        <w:t> </w:t>
      </w:r>
      <w:r>
        <w:rPr/>
        <w:t>公司实际控制人、董事长滕达先生基于对公司未来发展的信心和长期价值的认可，计划自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p>
    <w:p>
      <w:pPr>
        <w:pStyle w:val="BodyText"/>
        <w:spacing w:line="386" w:lineRule="auto" w:before="35"/>
        <w:ind w:right="0"/>
        <w:jc w:val="left"/>
      </w:pPr>
      <w:r>
        <w:rPr/>
        <w:t>月</w:t>
      </w:r>
      <w:r>
        <w:rPr>
          <w:rFonts w:ascii="Times New Roman" w:hAnsi="Times New Roman" w:cs="Times New Roman" w:eastAsia="Times New Roman" w:hint="default"/>
        </w:rPr>
        <w:t>1</w:t>
      </w:r>
      <w:r>
        <w:rPr/>
        <w:t>日起六个月内择机通过法律法规允许的方式增持公司股票，增持金额不低于人民币</w:t>
      </w:r>
      <w:r>
        <w:rPr>
          <w:rFonts w:ascii="Times New Roman" w:hAnsi="Times New Roman" w:cs="Times New Roman" w:eastAsia="Times New Roman" w:hint="default"/>
        </w:rPr>
        <w:t>3,000</w:t>
      </w:r>
      <w:r>
        <w:rPr/>
        <w:t>万元。截至</w:t>
      </w:r>
      <w:r>
        <w:rPr>
          <w:w w:val="99"/>
        </w:rPr>
        <w:t> </w:t>
      </w:r>
      <w:r>
        <w:rPr>
          <w:rFonts w:ascii="Times New Roman" w:hAnsi="Times New Roman" w:cs="Times New Roman" w:eastAsia="Times New Roman" w:hint="default"/>
          <w:w w:val="95"/>
        </w:rPr>
        <w:t>2017</w:t>
      </w:r>
      <w:r>
        <w:rPr>
          <w:w w:val="95"/>
        </w:rPr>
        <w:t>年</w:t>
      </w:r>
      <w:r>
        <w:rPr>
          <w:rFonts w:ascii="Times New Roman" w:hAnsi="Times New Roman" w:cs="Times New Roman" w:eastAsia="Times New Roman" w:hint="default"/>
          <w:w w:val="95"/>
        </w:rPr>
        <w:t>11</w:t>
      </w:r>
      <w:r>
        <w:rPr>
          <w:w w:val="95"/>
        </w:rPr>
        <w:t>月</w:t>
      </w:r>
      <w:r>
        <w:rPr>
          <w:rFonts w:ascii="Times New Roman" w:hAnsi="Times New Roman" w:cs="Times New Roman" w:eastAsia="Times New Roman" w:hint="default"/>
          <w:w w:val="95"/>
        </w:rPr>
        <w:t>29</w:t>
      </w:r>
      <w:r>
        <w:rPr>
          <w:w w:val="95"/>
        </w:rPr>
        <w:t>日，上述增持计划已执行完毕，滕达先生共计增持金额</w:t>
      </w:r>
      <w:r>
        <w:rPr>
          <w:rFonts w:ascii="Times New Roman" w:hAnsi="Times New Roman" w:cs="Times New Roman" w:eastAsia="Times New Roman" w:hint="default"/>
          <w:w w:val="95"/>
        </w:rPr>
        <w:t>30,011,226.41</w:t>
      </w:r>
      <w:r>
        <w:rPr>
          <w:w w:val="95"/>
        </w:rPr>
        <w:t>元。滕达先生承诺：在</w:t>
      </w:r>
      <w:r>
        <w:rPr>
          <w:spacing w:val="62"/>
          <w:w w:val="95"/>
        </w:rPr>
        <w:t> </w:t>
      </w:r>
      <w:r>
        <w:rPr>
          <w:spacing w:val="62"/>
          <w:w w:val="95"/>
        </w:rPr>
      </w:r>
      <w:r>
        <w:rPr/>
        <w:t>增持完成后六个月内不转让本次所增持的美亚柏科股份。</w:t>
      </w:r>
    </w:p>
    <w:p>
      <w:pPr>
        <w:pStyle w:val="BodyText"/>
        <w:spacing w:line="240" w:lineRule="auto" w:before="65"/>
        <w:ind w:left="679" w:right="0"/>
        <w:jc w:val="left"/>
      </w:pPr>
      <w:r>
        <w:rPr>
          <w:rFonts w:ascii="Times New Roman" w:hAnsi="Times New Roman" w:cs="Times New Roman" w:eastAsia="Times New Roman" w:hint="default"/>
        </w:rPr>
        <w:t>2</w:t>
      </w:r>
      <w:r>
        <w:rPr/>
        <w:t>、重组方江苏税软交易对方的锁定期安排</w:t>
      </w:r>
    </w:p>
    <w:p>
      <w:pPr>
        <w:pStyle w:val="BodyText"/>
        <w:spacing w:line="240" w:lineRule="auto" w:before="177"/>
        <w:ind w:left="469" w:right="0"/>
        <w:jc w:val="left"/>
      </w:pPr>
      <w:r>
        <w:rPr/>
        <w:t>（1）江苏税软交易对方通过本次交易获得的美亚柏科股份自上市公司向江苏税软交易对方发行股份</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74" w:right="215" w:hanging="420"/>
        <w:jc w:val="left"/>
      </w:pPr>
      <w:r>
        <w:rPr/>
        <w:t>完成之日起12个月内不得转让；自该等法定限售期届满之日起，应当按照如下方式进行股份解锁： a）自上市公司向江苏税软交易对方发行股份完成之日起12个月后至24个月内，累计可转让股票数量</w:t>
      </w:r>
    </w:p>
    <w:p>
      <w:pPr>
        <w:pStyle w:val="BodyText"/>
        <w:spacing w:line="408" w:lineRule="auto" w:before="46"/>
        <w:ind w:left="574" w:right="215" w:hanging="420"/>
        <w:jc w:val="left"/>
      </w:pPr>
      <w:r>
        <w:rPr/>
        <w:t>不超过其在本次发行中所认购股份总数的25%； b）自上市公司向江苏税软交易对方发行股份完成之日起12个月后至36个月内，累计可转让股票数量</w:t>
      </w:r>
    </w:p>
    <w:p>
      <w:pPr>
        <w:pStyle w:val="BodyText"/>
        <w:spacing w:line="408" w:lineRule="auto" w:before="46"/>
        <w:ind w:left="574" w:right="215" w:hanging="420"/>
        <w:jc w:val="left"/>
      </w:pPr>
      <w:r>
        <w:rPr/>
        <w:t>不超过其在本次发行中所认购股份总数的50%； c）自上市公司向江苏税软交易对方发行股份完成之日起36个月后，可自由转让其在本次发行中所认</w:t>
      </w:r>
    </w:p>
    <w:p>
      <w:pPr>
        <w:pStyle w:val="BodyText"/>
        <w:spacing w:line="240" w:lineRule="auto" w:before="46"/>
        <w:ind w:right="0"/>
        <w:jc w:val="left"/>
      </w:pPr>
      <w:r>
        <w:rPr/>
        <w:t>购的全部股份。</w:t>
      </w:r>
    </w:p>
    <w:p>
      <w:pPr>
        <w:spacing w:line="240" w:lineRule="auto" w:before="10"/>
        <w:rPr>
          <w:rFonts w:ascii="宋体" w:hAnsi="宋体" w:cs="宋体" w:eastAsia="宋体" w:hint="default"/>
          <w:sz w:val="14"/>
          <w:szCs w:val="14"/>
        </w:rPr>
      </w:pPr>
    </w:p>
    <w:p>
      <w:pPr>
        <w:pStyle w:val="BodyText"/>
        <w:spacing w:line="408" w:lineRule="auto"/>
        <w:ind w:right="338" w:firstLine="315"/>
        <w:jc w:val="both"/>
      </w:pPr>
      <w:r>
        <w:rPr/>
        <w:t>（2）实际解锁股份数须扣除因盈利预测补偿而需由美亚柏科回购的股份数（若有）。本次交易实施 完成后，江苏税软交易对方由于美亚柏科配股、转增股本等原因增持的美亚柏科股份，亦应遵守上述股 份锁定的规定。</w:t>
      </w:r>
    </w:p>
    <w:p>
      <w:pPr>
        <w:pStyle w:val="BodyText"/>
        <w:spacing w:line="408" w:lineRule="auto" w:before="46"/>
        <w:ind w:right="338" w:firstLine="315"/>
        <w:jc w:val="both"/>
      </w:pPr>
      <w:r>
        <w:rPr/>
        <w:t>（3）任一江苏税软交易对方如在本次交易完成后担任美亚柏科董事、监事或高级管理人员的，还需 遵守上市公司章程以及《中华人民共和国公司法》、《中华人民共和国证券法》、《深圳证券交易所创 业板股票上市规则》等法律、法规、规章、规范性文件有关股份有限公司及上市公司董事、监事、高级 管理人员买卖公司股票的限制性规定。</w:t>
      </w:r>
    </w:p>
    <w:p>
      <w:pPr>
        <w:pStyle w:val="BodyText"/>
        <w:spacing w:line="408" w:lineRule="auto" w:before="46"/>
        <w:ind w:right="338" w:firstLine="315"/>
        <w:jc w:val="both"/>
      </w:pPr>
      <w:r>
        <w:rPr/>
        <w:t>（4）任一江苏税软交易对方，如其取得本次发行中所认购股份时，对其用于认购公司股份的资产持 续拥有权益的时间不足12个月，则其因本次交易获得的上市公司股份从本次发行完成日起36个月内不得 转让。上述所谓“持续拥有权益的时间”应为自该江苏税软交易对方取得该等江苏税软股权之日（以江 苏税软就该等交易办理完毕工商变更登记之日为准）起，至股份登记机构将本次交易中所发行的对价股 份登记于该江苏税软交易对方名下之日止的期间。</w:t>
      </w:r>
    </w:p>
    <w:p>
      <w:pPr>
        <w:pStyle w:val="BodyText"/>
        <w:spacing w:line="408" w:lineRule="auto" w:before="46"/>
        <w:ind w:right="338" w:firstLine="315"/>
        <w:jc w:val="both"/>
      </w:pPr>
      <w:r>
        <w:rPr/>
        <w:t>（5）锁定期届满后，交易对方在本次发行中认购的美亚柏科股份的转让将按照届时有效的相关法律 法规、规章和深交所的规则办理。</w:t>
      </w:r>
    </w:p>
    <w:p>
      <w:pPr>
        <w:pStyle w:val="BodyText"/>
        <w:spacing w:line="240" w:lineRule="auto" w:before="46"/>
        <w:ind w:left="679" w:right="0"/>
        <w:jc w:val="left"/>
      </w:pPr>
      <w:r>
        <w:rPr>
          <w:rFonts w:ascii="Times New Roman" w:hAnsi="Times New Roman" w:cs="Times New Roman" w:eastAsia="Times New Roman" w:hint="default"/>
        </w:rPr>
        <w:t>3</w:t>
      </w:r>
      <w:r>
        <w:rPr/>
        <w:t>、重组方新德汇交易对方的锁定期安排</w:t>
      </w:r>
    </w:p>
    <w:p>
      <w:pPr>
        <w:pStyle w:val="BodyText"/>
        <w:spacing w:line="408" w:lineRule="auto" w:before="177"/>
        <w:ind w:right="338" w:firstLine="315"/>
        <w:jc w:val="both"/>
      </w:pPr>
      <w:r>
        <w:rPr/>
        <w:t>（1）新德汇交易对方通过本次交易获得的美亚柏科股份自上市公司向新德汇交易对方发行股份完成 之日起12个月内不得转让；自该等法定限售期届满之日起，应当按照如下方式进行股份解锁：</w:t>
      </w:r>
    </w:p>
    <w:p>
      <w:pPr>
        <w:pStyle w:val="BodyText"/>
        <w:spacing w:line="408" w:lineRule="auto" w:before="46"/>
        <w:ind w:right="215" w:firstLine="420"/>
        <w:jc w:val="left"/>
      </w:pPr>
      <w:r>
        <w:rPr/>
        <w:t>a）自上市公司向新德汇交易对方发行股份完成之日起12个月后至24个月内，累计可转让股票数量不 超过其在本次发行中所认购股份总数的30%；</w:t>
      </w:r>
    </w:p>
    <w:p>
      <w:pPr>
        <w:pStyle w:val="BodyText"/>
        <w:spacing w:line="408" w:lineRule="auto" w:before="46"/>
        <w:ind w:right="215" w:firstLine="420"/>
        <w:jc w:val="left"/>
      </w:pPr>
      <w:r>
        <w:rPr/>
        <w:t>b）自上市公司向新德汇交易对方发行股份完成之日起12个月后至36个月内，累计可转让股票数量不 超过其在本次发行中所认购股份总数的60%；</w:t>
      </w:r>
    </w:p>
    <w:p>
      <w:pPr>
        <w:pStyle w:val="BodyText"/>
        <w:spacing w:line="408" w:lineRule="auto" w:before="46"/>
        <w:ind w:right="215" w:firstLine="420"/>
        <w:jc w:val="left"/>
      </w:pPr>
      <w:r>
        <w:rPr/>
        <w:t>c）自上市公司向新德汇交易对方发行股份完成之日起36个月后，可自由转让其在本次发行中所认购 的全部股份。</w:t>
      </w:r>
    </w:p>
    <w:p>
      <w:pPr>
        <w:spacing w:after="0" w:line="408"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153" w:right="338" w:firstLine="315"/>
        <w:jc w:val="both"/>
      </w:pPr>
      <w:r>
        <w:rPr/>
        <w:t>（2）实际解锁股份数须扣除因盈利预测补偿而需由美亚柏科回购的股份数（若有）。本次发行实施 完成后，新德汇交易对方由于美亚柏科配股、转增股本等原因增持的美亚柏科股份，亦应遵守上述股份 锁定的规定。</w:t>
      </w:r>
    </w:p>
    <w:p>
      <w:pPr>
        <w:pStyle w:val="BodyText"/>
        <w:spacing w:line="408" w:lineRule="auto" w:before="46"/>
        <w:ind w:left="153" w:right="338" w:firstLine="315"/>
        <w:jc w:val="both"/>
      </w:pPr>
      <w:r>
        <w:rPr/>
        <w:t>（3）任一新德汇交易对方如在本次交易完成后担任美亚柏科董事、监事或高级管理人员的，还需遵 守上市公司章程以及《中华人民共和国公司法》、《中华人民共和国证券法》、《深圳证券交易所创业 板股票上市规则》等法律、法规、规章、规范性文件有关股份有限公司及上市公司董事、监事、高级管 理人员买卖公司股票的限制性规定。</w:t>
      </w:r>
    </w:p>
    <w:p>
      <w:pPr>
        <w:pStyle w:val="BodyText"/>
        <w:spacing w:line="408" w:lineRule="auto" w:before="46"/>
        <w:ind w:left="153" w:right="338" w:firstLine="315"/>
        <w:jc w:val="both"/>
      </w:pPr>
      <w:r>
        <w:rPr/>
        <w:t>（4）锁定期届满后，交易对方在本次发行中认购的美亚柏科股份的转让将按照届时有效的相关法律 法规、规章和深交所的规则办理。</w:t>
      </w:r>
    </w:p>
    <w:p>
      <w:pPr>
        <w:spacing w:after="0" w:line="408"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1"/>
        <w:spacing w:line="240" w:lineRule="auto"/>
        <w:ind w:left="3286" w:right="0"/>
        <w:jc w:val="left"/>
        <w:rPr>
          <w:b w:val="0"/>
          <w:bCs w:val="0"/>
        </w:rPr>
      </w:pPr>
      <w:bookmarkStart w:name="_TOC_250005"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spacing w:line="340" w:lineRule="auto" w:before="44"/>
        <w:ind w:left="154" w:right="7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8"/>
      <w:r>
        <w:rPr/>
        <w:t>第八节</w:t>
      </w:r>
      <w:r>
        <w:rPr>
          <w:spacing w:val="-17"/>
        </w:rPr>
        <w:t> </w:t>
      </w:r>
      <w:r>
        <w:rPr/>
        <w:t>董事、监事、高级管理人员和员工情况</w:t>
      </w:r>
      <w:bookmarkEnd w:id="8"/>
      <w:r>
        <w:rPr>
          <w:b w:val="0"/>
          <w:bCs w:val="0"/>
        </w:rPr>
      </w:r>
    </w:p>
    <w:p>
      <w:pPr>
        <w:spacing w:line="240" w:lineRule="auto" w:before="9"/>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708"/>
        <w:gridCol w:w="852"/>
        <w:gridCol w:w="566"/>
        <w:gridCol w:w="425"/>
        <w:gridCol w:w="425"/>
        <w:gridCol w:w="1560"/>
        <w:gridCol w:w="851"/>
        <w:gridCol w:w="991"/>
        <w:gridCol w:w="799"/>
        <w:gridCol w:w="761"/>
        <w:gridCol w:w="566"/>
        <w:gridCol w:w="1067"/>
      </w:tblGrid>
      <w:tr>
        <w:trPr>
          <w:trHeight w:val="1650" w:hRule="exact"/>
        </w:trPr>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4"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4" w:right="104"/>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0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9"/>
              <w:ind w:left="98"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滕达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1,617,451</w:t>
            </w: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1,617,451</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郭永芳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114,911,958</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114,911,958</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申强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1,039,000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李国林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59,327,100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59,327,100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韦玉荣</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4,651,762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988</w:t>
            </w: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4,652,750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苏学武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13,661,360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13,661,360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蔡志平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卢永华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曲晓辉</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仲丽华</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1" w:right="59" w:hanging="270"/>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屈文洲</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刘冬颖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25,600,000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25,600,000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吴鸿伟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1,055,800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张雪峰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30,000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784,500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942,000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栾江霞</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534,000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张乃军</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葛鹏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周成祖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w:t>
            </w:r>
          </w:p>
        </w:tc>
      </w:tr>
      <w:tr>
        <w:trPr>
          <w:trHeight w:val="71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蔡志评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31" w:right="59" w:hanging="270"/>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128,800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128,800</w:t>
            </w:r>
          </w:p>
        </w:tc>
      </w:tr>
      <w:tr>
        <w:trPr>
          <w:trHeight w:val="10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吴世雄</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242,000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364,700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355,300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82" w:type="dxa"/>
        <w:tblLayout w:type="fixed"/>
        <w:tblCellMar>
          <w:top w:w="0" w:type="dxa"/>
          <w:left w:w="0" w:type="dxa"/>
          <w:bottom w:w="0" w:type="dxa"/>
          <w:right w:w="0" w:type="dxa"/>
        </w:tblCellMar>
        <w:tblLook w:val="01E0"/>
      </w:tblPr>
      <w:tblGrid>
        <w:gridCol w:w="708"/>
        <w:gridCol w:w="852"/>
        <w:gridCol w:w="566"/>
        <w:gridCol w:w="425"/>
        <w:gridCol w:w="425"/>
        <w:gridCol w:w="1560"/>
        <w:gridCol w:w="851"/>
        <w:gridCol w:w="991"/>
        <w:gridCol w:w="799"/>
        <w:gridCol w:w="761"/>
        <w:gridCol w:w="566"/>
        <w:gridCol w:w="1067"/>
      </w:tblGrid>
      <w:tr>
        <w:trPr>
          <w:trHeight w:val="674"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9"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1" w:right="59" w:hanging="270"/>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16"/>
              <w:jc w:val="right"/>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114,000</w:t>
            </w:r>
          </w:p>
        </w:tc>
      </w:tr>
      <w:tr>
        <w:trPr>
          <w:trHeight w:val="402" w:hRule="exact"/>
        </w:trPr>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46"/>
              <w:jc w:val="right"/>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224,532,280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1,618,439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left"/>
              <w:rPr>
                <w:rFonts w:ascii="Times New Roman" w:hAnsi="Times New Roman" w:cs="Times New Roman" w:eastAsia="Times New Roman" w:hint="default"/>
                <w:sz w:val="18"/>
                <w:szCs w:val="18"/>
              </w:rPr>
            </w:pPr>
            <w:r>
              <w:rPr>
                <w:rFonts w:ascii="Times New Roman"/>
                <w:sz w:val="18"/>
              </w:rPr>
              <w:t>364,700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80,000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225,866,019</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1328"/>
        <w:gridCol w:w="2357"/>
        <w:gridCol w:w="1417"/>
        <w:gridCol w:w="1843"/>
        <w:gridCol w:w="2621"/>
      </w:tblGrid>
      <w:tr>
        <w:trPr>
          <w:trHeight w:val="401" w:hRule="exact"/>
        </w:trPr>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周成祖</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新聘任</w:t>
            </w:r>
          </w:p>
        </w:tc>
      </w:tr>
      <w:tr>
        <w:trPr>
          <w:trHeight w:val="402"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新聘任</w:t>
            </w:r>
          </w:p>
        </w:tc>
      </w:tr>
      <w:tr>
        <w:trPr>
          <w:trHeight w:val="402"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3"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2"/>
        <w:rPr>
          <w:rFonts w:ascii="宋体" w:hAnsi="宋体" w:cs="宋体" w:eastAsia="宋体" w:hint="default"/>
          <w:sz w:val="17"/>
          <w:szCs w:val="17"/>
        </w:rPr>
      </w:pPr>
    </w:p>
    <w:p>
      <w:pPr>
        <w:pStyle w:val="Heading2"/>
        <w:spacing w:line="240" w:lineRule="auto" w:before="26"/>
        <w:ind w:right="0"/>
        <w:jc w:val="both"/>
        <w:rPr>
          <w:b w:val="0"/>
          <w:bCs w:val="0"/>
        </w:rPr>
      </w:pPr>
      <w:r>
        <w:rPr/>
        <w:t>三、任职情况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2"/>
        <w:rPr>
          <w:rFonts w:ascii="宋体" w:hAnsi="宋体" w:cs="宋体" w:eastAsia="宋体" w:hint="default"/>
          <w:sz w:val="12"/>
          <w:szCs w:val="12"/>
        </w:rPr>
      </w:pPr>
    </w:p>
    <w:p>
      <w:pPr>
        <w:pStyle w:val="BodyText"/>
        <w:spacing w:line="240" w:lineRule="auto"/>
        <w:ind w:left="574" w:right="0"/>
        <w:jc w:val="left"/>
      </w:pPr>
      <w:r>
        <w:rPr/>
        <w:t>公司第三届董事会共由</w:t>
      </w:r>
      <w:r>
        <w:rPr>
          <w:rFonts w:ascii="Times New Roman" w:hAnsi="Times New Roman" w:cs="Times New Roman" w:eastAsia="Times New Roman" w:hint="default"/>
        </w:rPr>
        <w:t>9</w:t>
      </w:r>
      <w:r>
        <w:rPr/>
        <w:t>名董事组成，其中独立董事</w:t>
      </w:r>
      <w:r>
        <w:rPr>
          <w:rFonts w:ascii="Times New Roman" w:hAnsi="Times New Roman" w:cs="Times New Roman" w:eastAsia="Times New Roman" w:hint="default"/>
        </w:rPr>
        <w:t>3</w:t>
      </w:r>
      <w:r>
        <w:rPr/>
        <w:t>名。第三届监事会由</w:t>
      </w:r>
      <w:r>
        <w:rPr>
          <w:rFonts w:ascii="Times New Roman" w:hAnsi="Times New Roman" w:cs="Times New Roman" w:eastAsia="Times New Roman" w:hint="default"/>
        </w:rPr>
        <w:t>3</w:t>
      </w:r>
      <w:r>
        <w:rPr/>
        <w:t>名监事组成。</w:t>
      </w:r>
    </w:p>
    <w:p>
      <w:pPr>
        <w:pStyle w:val="BodyText"/>
        <w:spacing w:line="588" w:lineRule="exact" w:before="71"/>
        <w:ind w:left="566" w:right="431" w:firstLine="9"/>
        <w:jc w:val="left"/>
      </w:pPr>
      <w:r>
        <w:rPr>
          <w:rFonts w:ascii="Times New Roman" w:hAnsi="Times New Roman" w:cs="Times New Roman" w:eastAsia="Times New Roman" w:hint="default"/>
          <w:b/>
          <w:bCs/>
        </w:rPr>
        <w:t>1</w:t>
      </w:r>
      <w:r>
        <w:rPr>
          <w:rFonts w:ascii="宋体" w:hAnsi="宋体" w:cs="宋体" w:eastAsia="宋体" w:hint="default"/>
          <w:b/>
          <w:bCs/>
        </w:rPr>
        <w:t>、董事</w:t>
      </w:r>
      <w:r>
        <w:rPr>
          <w:rFonts w:ascii="宋体" w:hAnsi="宋体" w:cs="宋体" w:eastAsia="宋体" w:hint="default"/>
          <w:b/>
          <w:bCs/>
          <w:spacing w:val="1"/>
          <w:w w:val="99"/>
        </w:rPr>
        <w:t> </w:t>
      </w:r>
      <w:r>
        <w:rPr>
          <w:rFonts w:ascii="宋体" w:hAnsi="宋体" w:cs="宋体" w:eastAsia="宋体" w:hint="default"/>
          <w:b/>
          <w:bCs/>
        </w:rPr>
        <w:t>滕达</w:t>
      </w:r>
      <w:r>
        <w:rPr/>
        <w:t>，男，</w:t>
      </w:r>
      <w:r>
        <w:rPr>
          <w:rFonts w:ascii="Times New Roman" w:hAnsi="Times New Roman" w:cs="Times New Roman" w:eastAsia="Times New Roman" w:hint="default"/>
        </w:rPr>
        <w:t>1970</w:t>
      </w:r>
      <w:r>
        <w:rPr/>
        <w:t>年出生，中国国籍，硕士研究生学历。于</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月毕业于厦门大学电子工程系；</w:t>
      </w:r>
    </w:p>
    <w:p>
      <w:pPr>
        <w:pStyle w:val="BodyText"/>
        <w:spacing w:line="386" w:lineRule="auto" w:before="105"/>
        <w:ind w:right="339" w:hanging="1"/>
        <w:jc w:val="both"/>
      </w:pP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8</w:t>
      </w:r>
      <w:r>
        <w:rPr>
          <w:spacing w:val="-1"/>
        </w:rPr>
        <w:t>月任厦门必可电子有限公司工程师；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月任厦门市美亚柏科资讯</w:t>
      </w:r>
      <w:r>
        <w:rPr>
          <w:spacing w:val="-68"/>
        </w:rPr>
        <w:t> </w:t>
      </w:r>
      <w:r>
        <w:rPr>
          <w:spacing w:val="-68"/>
        </w:rPr>
      </w:r>
      <w:r>
        <w:rPr/>
        <w:t>科技有限公司总经理；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日历任公司董事会董事、总经理，现任公司第三 届董事会董事长。</w:t>
      </w:r>
    </w:p>
    <w:p>
      <w:pPr>
        <w:spacing w:line="240" w:lineRule="auto" w:before="2"/>
        <w:rPr>
          <w:rFonts w:ascii="宋体" w:hAnsi="宋体" w:cs="宋体" w:eastAsia="宋体" w:hint="default"/>
          <w:sz w:val="14"/>
          <w:szCs w:val="14"/>
        </w:rPr>
      </w:pPr>
    </w:p>
    <w:p>
      <w:pPr>
        <w:pStyle w:val="BodyText"/>
        <w:spacing w:line="386" w:lineRule="auto"/>
        <w:ind w:right="340" w:firstLine="400"/>
        <w:jc w:val="both"/>
      </w:pPr>
      <w:r>
        <w:rPr>
          <w:rFonts w:ascii="宋体" w:hAnsi="宋体" w:cs="宋体" w:eastAsia="宋体" w:hint="default"/>
          <w:b/>
          <w:bCs/>
        </w:rPr>
        <w:t>郭永芳</w:t>
      </w:r>
      <w:r>
        <w:rPr/>
        <w:t>，女，</w:t>
      </w:r>
      <w:r>
        <w:rPr>
          <w:rFonts w:ascii="Times New Roman" w:hAnsi="Times New Roman" w:cs="Times New Roman" w:eastAsia="Times New Roman" w:hint="default"/>
        </w:rPr>
        <w:t>1945</w:t>
      </w:r>
      <w:r>
        <w:rPr/>
        <w:t>年出生，中国国籍。</w:t>
      </w:r>
      <w:r>
        <w:rPr>
          <w:rFonts w:ascii="Times New Roman" w:hAnsi="Times New Roman" w:cs="Times New Roman" w:eastAsia="Times New Roman" w:hint="default"/>
        </w:rPr>
        <w:t>1968</w:t>
      </w:r>
      <w:r>
        <w:rPr/>
        <w:t>年毕业于福建师范大学数学系。</w:t>
      </w:r>
      <w:r>
        <w:rPr>
          <w:rFonts w:ascii="Times New Roman" w:hAnsi="Times New Roman" w:cs="Times New Roman" w:eastAsia="Times New Roman" w:hint="default"/>
        </w:rPr>
        <w:t>1968</w:t>
      </w:r>
      <w:r>
        <w:rPr/>
        <w:t>年到</w:t>
      </w:r>
      <w:r>
        <w:rPr>
          <w:rFonts w:ascii="Times New Roman" w:hAnsi="Times New Roman" w:cs="Times New Roman" w:eastAsia="Times New Roman" w:hint="default"/>
        </w:rPr>
        <w:t>1975</w:t>
      </w:r>
      <w:r>
        <w:rPr/>
        <w:t>年在福建 漳浦赤湖中学任教；</w:t>
      </w:r>
      <w:r>
        <w:rPr>
          <w:rFonts w:ascii="Times New Roman" w:hAnsi="Times New Roman" w:cs="Times New Roman" w:eastAsia="Times New Roman" w:hint="default"/>
        </w:rPr>
        <w:t>1975</w:t>
      </w:r>
      <w:r>
        <w:rPr/>
        <w:t>年到</w:t>
      </w:r>
      <w:r>
        <w:rPr>
          <w:rFonts w:ascii="Times New Roman" w:hAnsi="Times New Roman" w:cs="Times New Roman" w:eastAsia="Times New Roman" w:hint="default"/>
        </w:rPr>
        <w:t>2000</w:t>
      </w:r>
      <w:r>
        <w:rPr/>
        <w:t>年间在厦门一中任教；</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2009</w:t>
      </w:r>
      <w:r>
        <w:rPr/>
        <w:t>年任厦门市美亚柏科资讯科技有 限公司执行董事；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日起至今任公司董事会副董事长。</w:t>
      </w:r>
    </w:p>
    <w:p>
      <w:pPr>
        <w:pStyle w:val="BodyText"/>
        <w:spacing w:line="386" w:lineRule="auto" w:before="155"/>
        <w:ind w:right="355" w:firstLine="400"/>
        <w:jc w:val="both"/>
      </w:pPr>
      <w:r>
        <w:rPr>
          <w:rFonts w:ascii="宋体" w:hAnsi="宋体" w:cs="宋体" w:eastAsia="宋体" w:hint="default"/>
          <w:b/>
          <w:bCs/>
        </w:rPr>
        <w:t>李国林</w:t>
      </w:r>
      <w:r>
        <w:rPr/>
        <w:t>，男，</w:t>
      </w:r>
      <w:r>
        <w:rPr>
          <w:rFonts w:ascii="Times New Roman" w:hAnsi="Times New Roman" w:cs="Times New Roman" w:eastAsia="Times New Roman" w:hint="default"/>
        </w:rPr>
        <w:t>1968</w:t>
      </w:r>
      <w:r>
        <w:rPr/>
        <w:t>年出生，中国国籍，无永久境外居留权。</w:t>
      </w:r>
      <w:r>
        <w:rPr>
          <w:rFonts w:ascii="Times New Roman" w:hAnsi="Times New Roman" w:cs="Times New Roman" w:eastAsia="Times New Roman" w:hint="default"/>
        </w:rPr>
        <w:t>2000</w:t>
      </w:r>
      <w:r>
        <w:rPr/>
        <w:t>年至今任美亚长城传媒（北京）有 限公司（原西安美亚文化传播有限公司）董事长。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日起至今任公司董事会董事。</w:t>
      </w:r>
    </w:p>
    <w:p>
      <w:pPr>
        <w:pStyle w:val="BodyText"/>
        <w:spacing w:line="386" w:lineRule="auto" w:before="155"/>
        <w:ind w:right="254" w:firstLine="406"/>
        <w:jc w:val="both"/>
      </w:pPr>
      <w:r>
        <w:rPr>
          <w:rFonts w:ascii="宋体" w:hAnsi="宋体" w:cs="宋体" w:eastAsia="宋体" w:hint="default"/>
          <w:b/>
          <w:bCs/>
        </w:rPr>
        <w:t>申强</w:t>
      </w:r>
      <w:r>
        <w:rPr/>
        <w:t>，男，</w:t>
      </w:r>
      <w:r>
        <w:rPr>
          <w:rFonts w:ascii="Times New Roman" w:hAnsi="Times New Roman" w:cs="Times New Roman" w:eastAsia="Times New Roman" w:hint="default"/>
        </w:rPr>
        <w:t>1969</w:t>
      </w:r>
      <w:r>
        <w:rPr/>
        <w:t>年出生，中国国籍，无永久境外居留权。</w:t>
      </w:r>
      <w:r>
        <w:rPr>
          <w:rFonts w:ascii="Times New Roman" w:hAnsi="Times New Roman" w:cs="Times New Roman" w:eastAsia="Times New Roman" w:hint="default"/>
        </w:rPr>
        <w:t>1992</w:t>
      </w:r>
      <w:r>
        <w:rPr/>
        <w:t>年毕业于西北师范大学外语系；</w:t>
      </w:r>
      <w:r>
        <w:rPr>
          <w:rFonts w:ascii="Times New Roman" w:hAnsi="Times New Roman" w:cs="Times New Roman" w:eastAsia="Times New Roman" w:hint="default"/>
        </w:rPr>
        <w:t>1992</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月西北师大外事办任助理翻译；</w:t>
      </w:r>
      <w:r>
        <w:rPr>
          <w:rFonts w:ascii="Times New Roman" w:hAnsi="Times New Roman" w:cs="Times New Roman" w:eastAsia="Times New Roman" w:hint="default"/>
        </w:rPr>
        <w:t>2001</w:t>
      </w:r>
      <w:r>
        <w:rPr/>
        <w:t>年至今，历任公司营销中心总监、副总经理、常务</w:t>
      </w:r>
    </w:p>
    <w:p>
      <w:pPr>
        <w:spacing w:after="0" w:line="38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208"/>
        <w:jc w:val="left"/>
      </w:pPr>
      <w:r>
        <w:rPr/>
        <w:t>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日起至今任公司总经理。</w:t>
      </w:r>
    </w:p>
    <w:p>
      <w:pPr>
        <w:spacing w:line="240" w:lineRule="auto" w:before="9"/>
        <w:rPr>
          <w:rFonts w:ascii="宋体" w:hAnsi="宋体" w:cs="宋体" w:eastAsia="宋体" w:hint="default"/>
          <w:sz w:val="22"/>
          <w:szCs w:val="22"/>
        </w:rPr>
      </w:pPr>
    </w:p>
    <w:p>
      <w:pPr>
        <w:pStyle w:val="BodyText"/>
        <w:spacing w:line="386" w:lineRule="auto"/>
        <w:ind w:left="153" w:right="205" w:firstLine="480"/>
        <w:jc w:val="both"/>
      </w:pPr>
      <w:r>
        <w:rPr>
          <w:rFonts w:ascii="宋体" w:hAnsi="宋体" w:cs="宋体" w:eastAsia="宋体" w:hint="default"/>
          <w:b/>
          <w:bCs/>
          <w:spacing w:val="-7"/>
        </w:rPr>
        <w:t>韦玉荣</w:t>
      </w:r>
      <w:r>
        <w:rPr>
          <w:spacing w:val="-7"/>
        </w:rPr>
        <w:t>，男，</w:t>
      </w:r>
      <w:r>
        <w:rPr>
          <w:rFonts w:ascii="Times New Roman" w:hAnsi="Times New Roman" w:cs="Times New Roman" w:eastAsia="Times New Roman" w:hint="default"/>
          <w:spacing w:val="-7"/>
        </w:rPr>
        <w:t>1972</w:t>
      </w:r>
      <w:r>
        <w:rPr>
          <w:spacing w:val="-7"/>
        </w:rPr>
        <w:t>年出生，中国国籍，无永久境外居留权。</w:t>
      </w:r>
      <w:r>
        <w:rPr>
          <w:rFonts w:ascii="Times New Roman" w:hAnsi="Times New Roman" w:cs="Times New Roman" w:eastAsia="Times New Roman" w:hint="default"/>
          <w:spacing w:val="-7"/>
        </w:rPr>
        <w:t>1994</w:t>
      </w:r>
      <w:r>
        <w:rPr>
          <w:spacing w:val="-7"/>
        </w:rPr>
        <w:t>年毕业于哈尔滨理工大学电算化专业。</w:t>
      </w:r>
      <w:r>
        <w:rPr/>
        <w:t> </w:t>
      </w:r>
      <w:r>
        <w:rPr>
          <w:rFonts w:ascii="Times New Roman" w:hAnsi="Times New Roman" w:cs="Times New Roman" w:eastAsia="Times New Roman" w:hint="default"/>
          <w:spacing w:val="-1"/>
        </w:rPr>
        <w:t>1994</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10</w:t>
      </w:r>
      <w:r>
        <w:rPr>
          <w:spacing w:val="-1"/>
        </w:rPr>
        <w:t>月任无锡二橡胶股份有限公司会计；</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11</w:t>
      </w:r>
      <w:r>
        <w:rPr>
          <w:spacing w:val="-1"/>
        </w:rPr>
        <w:t>月至</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4</w:t>
      </w:r>
      <w:r>
        <w:rPr>
          <w:spacing w:val="-1"/>
        </w:rPr>
        <w:t>月任无锡市旭日科技有限</w:t>
      </w:r>
      <w:r>
        <w:rPr>
          <w:spacing w:val="-89"/>
        </w:rPr>
        <w:t> </w:t>
      </w:r>
      <w:r>
        <w:rPr>
          <w:spacing w:val="-89"/>
        </w:rPr>
      </w:r>
      <w:r>
        <w:rPr>
          <w:spacing w:val="3"/>
        </w:rPr>
        <w:t>公司总经理；</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10</w:t>
      </w:r>
      <w:r>
        <w:rPr>
          <w:spacing w:val="3"/>
        </w:rPr>
        <w:t>月任金蝶国际软件集团有限公司无锡分公司市场经理；</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w:t>
      </w:r>
      <w:r>
        <w:rPr>
          <w:spacing w:val="3"/>
        </w:rPr>
        <w:t>月至</w:t>
      </w:r>
      <w:r>
        <w:rPr>
          <w:spacing w:val="4"/>
        </w:rPr>
        <w:t> </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2</w:t>
      </w:r>
      <w:r>
        <w:rPr>
          <w:spacing w:val="-1"/>
        </w:rPr>
        <w:t>月任无锡市启元科技有限公司市场经理；</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月任无锡市奇星软件科技有限公司</w:t>
      </w:r>
      <w:r>
        <w:rPr>
          <w:spacing w:val="-87"/>
        </w:rPr>
        <w:t> </w:t>
      </w:r>
      <w:r>
        <w:rPr>
          <w:spacing w:val="-1"/>
        </w:rPr>
        <w:t>总经理；</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月至今任公司全资子公司江苏税软软件科技有限公司总经理。</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18</w:t>
      </w:r>
      <w:r>
        <w:rPr>
          <w:spacing w:val="-1"/>
        </w:rPr>
        <w:t>日至今任公司</w:t>
      </w:r>
      <w:r>
        <w:rPr>
          <w:spacing w:val="-85"/>
        </w:rPr>
        <w:t> </w:t>
      </w:r>
      <w:r>
        <w:rPr>
          <w:spacing w:val="-85"/>
        </w:rPr>
      </w:r>
      <w:r>
        <w:rPr/>
        <w:t>董事会董事。</w:t>
      </w:r>
    </w:p>
    <w:p>
      <w:pPr>
        <w:pStyle w:val="BodyText"/>
        <w:spacing w:line="386" w:lineRule="auto" w:before="65"/>
        <w:ind w:left="153" w:right="206" w:firstLine="480"/>
        <w:jc w:val="both"/>
      </w:pPr>
      <w:r>
        <w:rPr>
          <w:rFonts w:ascii="宋体" w:hAnsi="宋体" w:cs="宋体" w:eastAsia="宋体" w:hint="default"/>
          <w:b/>
          <w:bCs/>
          <w:spacing w:val="-2"/>
        </w:rPr>
        <w:t>苏学武</w:t>
      </w:r>
      <w:r>
        <w:rPr>
          <w:spacing w:val="-2"/>
        </w:rPr>
        <w:t>：男，</w:t>
      </w:r>
      <w:r>
        <w:rPr>
          <w:rFonts w:ascii="Times New Roman" w:hAnsi="Times New Roman" w:cs="Times New Roman" w:eastAsia="Times New Roman" w:hint="default"/>
          <w:spacing w:val="-2"/>
        </w:rPr>
        <w:t>1970</w:t>
      </w:r>
      <w:r>
        <w:rPr>
          <w:spacing w:val="-2"/>
        </w:rPr>
        <w:t>年出生，中国国籍，无永久境外居留权。</w:t>
      </w:r>
      <w:r>
        <w:rPr>
          <w:rFonts w:ascii="Times New Roman" w:hAnsi="Times New Roman" w:cs="Times New Roman" w:eastAsia="Times New Roman" w:hint="default"/>
          <w:spacing w:val="-2"/>
        </w:rPr>
        <w:t>1992</w:t>
      </w:r>
      <w:r>
        <w:rPr>
          <w:spacing w:val="-2"/>
        </w:rPr>
        <w:t>年毕业于贵州大学数学系。</w:t>
      </w:r>
      <w:r>
        <w:rPr>
          <w:rFonts w:ascii="Times New Roman" w:hAnsi="Times New Roman" w:cs="Times New Roman" w:eastAsia="Times New Roman" w:hint="default"/>
          <w:spacing w:val="-2"/>
        </w:rPr>
        <w:t>1992</w:t>
      </w:r>
      <w:r>
        <w:rPr>
          <w:spacing w:val="-2"/>
        </w:rPr>
        <w:t>年至</w:t>
      </w:r>
      <w:r>
        <w:rPr>
          <w:spacing w:val="1"/>
        </w:rPr>
        <w:t> </w:t>
      </w:r>
      <w:r>
        <w:rPr>
          <w:rFonts w:ascii="Times New Roman" w:hAnsi="Times New Roman" w:cs="Times New Roman" w:eastAsia="Times New Roman" w:hint="default"/>
          <w:spacing w:val="-1"/>
        </w:rPr>
        <w:t>1995</w:t>
      </w:r>
      <w:r>
        <w:rPr>
          <w:spacing w:val="-1"/>
        </w:rPr>
        <w:t>年任中国建筑第四工程局公司工程师，</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5</w:t>
      </w:r>
      <w:r>
        <w:rPr>
          <w:spacing w:val="-1"/>
        </w:rPr>
        <w:t>月至</w:t>
      </w:r>
      <w:r>
        <w:rPr>
          <w:rFonts w:ascii="Times New Roman" w:hAnsi="Times New Roman" w:cs="Times New Roman" w:eastAsia="Times New Roman" w:hint="default"/>
          <w:spacing w:val="-1"/>
        </w:rPr>
        <w:t>1995</w:t>
      </w:r>
      <w:r>
        <w:rPr>
          <w:spacing w:val="-1"/>
        </w:rPr>
        <w:t>年</w:t>
      </w:r>
      <w:r>
        <w:rPr>
          <w:rFonts w:ascii="Times New Roman" w:hAnsi="Times New Roman" w:cs="Times New Roman" w:eastAsia="Times New Roman" w:hint="default"/>
          <w:spacing w:val="-1"/>
        </w:rPr>
        <w:t>9</w:t>
      </w:r>
      <w:r>
        <w:rPr>
          <w:spacing w:val="-1"/>
        </w:rPr>
        <w:t>月任珠海市经济特区新德汇企业有限公司</w:t>
      </w:r>
      <w:r>
        <w:rPr>
          <w:spacing w:val="-85"/>
        </w:rPr>
        <w:t> </w:t>
      </w:r>
      <w:r>
        <w:rPr>
          <w:spacing w:val="-85"/>
        </w:rPr>
      </w:r>
      <w:r>
        <w:rPr>
          <w:spacing w:val="-3"/>
        </w:rPr>
        <w:t>市场经理，</w:t>
      </w:r>
      <w:r>
        <w:rPr>
          <w:rFonts w:ascii="Times New Roman" w:hAnsi="Times New Roman" w:cs="Times New Roman" w:eastAsia="Times New Roman" w:hint="default"/>
          <w:spacing w:val="-3"/>
        </w:rPr>
        <w:t>1995</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8</w:t>
      </w:r>
      <w:r>
        <w:rPr>
          <w:spacing w:val="-3"/>
        </w:rPr>
        <w:t>月，任珠海市新德汇信息技术有限公司董事长兼总经理。</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8</w:t>
      </w:r>
      <w:r>
        <w:rPr>
          <w:spacing w:val="-3"/>
        </w:rPr>
        <w:t>月至今，</w:t>
      </w:r>
      <w:r>
        <w:rPr>
          <w:spacing w:val="-82"/>
        </w:rPr>
        <w:t> </w:t>
      </w:r>
      <w:r>
        <w:rPr/>
        <w:t>任公司全资子公司珠海市新德汇信息技术有限公司副董事长兼总经理。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日至今任公司董事会</w:t>
      </w:r>
      <w:r>
        <w:rPr>
          <w:spacing w:val="-37"/>
        </w:rPr>
        <w:t> </w:t>
      </w:r>
      <w:r>
        <w:rPr>
          <w:spacing w:val="-37"/>
        </w:rPr>
      </w:r>
      <w:r>
        <w:rPr/>
        <w:t>董事。</w:t>
      </w:r>
    </w:p>
    <w:p>
      <w:pPr>
        <w:spacing w:line="240" w:lineRule="auto" w:before="2"/>
        <w:rPr>
          <w:rFonts w:ascii="宋体" w:hAnsi="宋体" w:cs="宋体" w:eastAsia="宋体" w:hint="default"/>
          <w:sz w:val="14"/>
          <w:szCs w:val="14"/>
        </w:rPr>
      </w:pPr>
    </w:p>
    <w:p>
      <w:pPr>
        <w:pStyle w:val="BodyText"/>
        <w:spacing w:line="398" w:lineRule="auto"/>
        <w:ind w:left="153" w:right="102" w:firstLine="406"/>
        <w:jc w:val="left"/>
      </w:pPr>
      <w:r>
        <w:rPr>
          <w:rFonts w:ascii="宋体" w:hAnsi="宋体" w:cs="宋体" w:eastAsia="宋体" w:hint="default"/>
          <w:b/>
          <w:bCs/>
        </w:rPr>
        <w:t>曲晓辉，</w:t>
      </w:r>
      <w:r>
        <w:rPr/>
        <w:t>女，</w:t>
      </w:r>
      <w:r>
        <w:rPr>
          <w:rFonts w:ascii="Times New Roman" w:hAnsi="Times New Roman" w:cs="Times New Roman" w:eastAsia="Times New Roman" w:hint="default"/>
        </w:rPr>
        <w:t>1954</w:t>
      </w:r>
      <w:r>
        <w:rPr/>
        <w:t>年出生，中国国籍，经济学博士，会计学教授，博士生导师，无永久境外居留权。 曲晓辉女士是中国第一位会计学女博士和第一位会计学博士生女导师，全国会计硕士专业学位（</w:t>
      </w:r>
      <w:r>
        <w:rPr>
          <w:rFonts w:ascii="Times New Roman" w:hAnsi="Times New Roman" w:cs="Times New Roman" w:eastAsia="Times New Roman" w:hint="default"/>
        </w:rPr>
        <w:t>MPAcc</w:t>
      </w:r>
      <w:r>
        <w:rPr/>
        <w:t>）</w:t>
      </w:r>
      <w:r>
        <w:rPr>
          <w:spacing w:val="-51"/>
        </w:rPr>
        <w:t> </w:t>
      </w:r>
      <w:r>
        <w:rPr/>
        <w:t>论证发起人，厦门大学社会科学学部委员，财政部会计准则委员会咨询专家、全国会计专业学位教育指导</w:t>
      </w:r>
      <w:r>
        <w:rPr/>
        <w:t> 委员会委员兼学位论文指导工作分委员会主任，国家社科基金项目评委，教育部社会科学委员会管理学部 </w:t>
      </w:r>
      <w:r>
        <w:rPr>
          <w:spacing w:val="-3"/>
        </w:rPr>
        <w:t>委员，教育部中外合作办学项目评审专家。</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5</w:t>
      </w:r>
      <w:r>
        <w:rPr>
          <w:spacing w:val="-3"/>
        </w:rPr>
        <w:t>月获美国富布莱特基金会授予富布莱特学者称号。曲晓</w:t>
      </w:r>
      <w:r>
        <w:rPr>
          <w:spacing w:val="-89"/>
        </w:rPr>
        <w:t> </w:t>
      </w:r>
      <w:r>
        <w:rPr>
          <w:spacing w:val="-89"/>
        </w:rPr>
      </w:r>
      <w:r>
        <w:rPr/>
        <w:t>辉女士曾任厦门大学研究生院副院长、厦门大学会计发展研究中心主任、厦门大学财务管理与会计研究院</w:t>
      </w:r>
      <w:r>
        <w:rPr/>
        <w:t> 院长。现兼任国投资本股份有限公司、中国人民财产保险股份有限公司和三棵树涂料股份有限公司独立董 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日起至今任公司第三届董事会独立董事。</w:t>
      </w:r>
    </w:p>
    <w:p>
      <w:pPr>
        <w:pStyle w:val="BodyText"/>
        <w:spacing w:line="393" w:lineRule="auto" w:before="144"/>
        <w:ind w:left="153" w:right="102" w:firstLine="406"/>
        <w:jc w:val="left"/>
      </w:pPr>
      <w:r>
        <w:rPr>
          <w:rFonts w:ascii="宋体" w:hAnsi="宋体" w:cs="宋体" w:eastAsia="宋体" w:hint="default"/>
          <w:b/>
          <w:bCs/>
          <w:spacing w:val="-7"/>
        </w:rPr>
        <w:t>卢永华</w:t>
      </w:r>
      <w:r>
        <w:rPr>
          <w:spacing w:val="-7"/>
        </w:rPr>
        <w:t>，男，</w:t>
      </w:r>
      <w:r>
        <w:rPr>
          <w:rFonts w:ascii="Times New Roman" w:hAnsi="Times New Roman" w:cs="Times New Roman" w:eastAsia="Times New Roman" w:hint="default"/>
          <w:spacing w:val="-7"/>
        </w:rPr>
        <w:t>1954</w:t>
      </w:r>
      <w:r>
        <w:rPr>
          <w:spacing w:val="-7"/>
        </w:rPr>
        <w:t>年出生，中国国籍，会计学博士，会计学教授，无永久境外居留权。</w:t>
      </w:r>
      <w:r>
        <w:rPr>
          <w:rFonts w:ascii="Times New Roman" w:hAnsi="Times New Roman" w:cs="Times New Roman" w:eastAsia="Times New Roman" w:hint="default"/>
          <w:spacing w:val="-7"/>
        </w:rPr>
        <w:t>1980</w:t>
      </w:r>
      <w:r>
        <w:rPr>
          <w:spacing w:val="-7"/>
        </w:rPr>
        <w:t>年</w:t>
      </w:r>
      <w:r>
        <w:rPr>
          <w:rFonts w:ascii="Times New Roman" w:hAnsi="Times New Roman" w:cs="Times New Roman" w:eastAsia="Times New Roman" w:hint="default"/>
          <w:spacing w:val="-7"/>
        </w:rPr>
        <w:t>9</w:t>
      </w:r>
      <w:r>
        <w:rPr>
          <w:spacing w:val="-7"/>
        </w:rPr>
        <w:t>月至</w:t>
      </w:r>
      <w:r>
        <w:rPr>
          <w:rFonts w:ascii="Times New Roman" w:hAnsi="Times New Roman" w:cs="Times New Roman" w:eastAsia="Times New Roman" w:hint="default"/>
          <w:spacing w:val="-7"/>
        </w:rPr>
        <w:t>1984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w:t>
      </w:r>
      <w:r>
        <w:rPr/>
        <w:t>月，在厦门大学会计学专业就读，获学士学位；</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月厦门大学会计系毕业留校后一直从事会计教 学、科研工作；期间于</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7</w:t>
      </w:r>
      <w:r>
        <w:rPr/>
        <w:t>月获得厦门大学会计系硕士学位；</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月获厦门大学管理学（会计学）</w:t>
      </w:r>
      <w:r>
        <w:rPr>
          <w:spacing w:val="-40"/>
        </w:rPr>
        <w:t> </w:t>
      </w:r>
      <w:r>
        <w:rPr>
          <w:spacing w:val="-40"/>
        </w:rPr>
      </w:r>
      <w:r>
        <w:rPr/>
        <w:t>博士学位。历任厦门大学会计系助教、厦门大学会计系讲师、厦门大学会计系副教授、厦门大学会计系党</w:t>
      </w:r>
      <w:r>
        <w:rPr/>
        <w:t> 总支副书记、厦门大学会计系副主任。卢永华先生现兼任厦门合兴包装印刷股份有限公司和福建龙溪轴承 </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股份有限公司、舒华股份有限公司、吉比特网络技术股份有限公司的独立董事。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日起至 今任公司第三届董事会独立董事。</w:t>
      </w:r>
    </w:p>
    <w:p>
      <w:pPr>
        <w:pStyle w:val="BodyText"/>
        <w:spacing w:line="386" w:lineRule="auto" w:before="178"/>
        <w:ind w:left="153" w:right="208" w:firstLine="406"/>
        <w:jc w:val="left"/>
      </w:pPr>
      <w:r>
        <w:rPr>
          <w:rFonts w:ascii="宋体" w:hAnsi="宋体" w:cs="宋体" w:eastAsia="宋体" w:hint="default"/>
          <w:b/>
          <w:bCs/>
          <w:spacing w:val="-1"/>
        </w:rPr>
        <w:t>蔡志平</w:t>
      </w:r>
      <w:r>
        <w:rPr>
          <w:spacing w:val="-1"/>
        </w:rPr>
        <w:t>：男，</w:t>
      </w:r>
      <w:r>
        <w:rPr>
          <w:rFonts w:ascii="Times New Roman" w:hAnsi="Times New Roman" w:cs="Times New Roman" w:eastAsia="Times New Roman" w:hint="default"/>
          <w:spacing w:val="-1"/>
        </w:rPr>
        <w:t>1965</w:t>
      </w:r>
      <w:r>
        <w:rPr>
          <w:spacing w:val="-1"/>
        </w:rPr>
        <w:t>年出生，中国国籍，博士，教授。</w:t>
      </w:r>
      <w:r>
        <w:rPr>
          <w:rFonts w:ascii="Times New Roman" w:hAnsi="Times New Roman" w:cs="Times New Roman" w:eastAsia="Times New Roman" w:hint="default"/>
          <w:spacing w:val="-1"/>
        </w:rPr>
        <w:t>1985</w:t>
      </w:r>
      <w:r>
        <w:rPr>
          <w:spacing w:val="-1"/>
        </w:rPr>
        <w:t>年毕业于厦门大学物理系半导体物理与器件</w:t>
      </w:r>
      <w:r>
        <w:rPr/>
        <w:t> </w:t>
      </w:r>
      <w:r>
        <w:rPr>
          <w:spacing w:val="-1"/>
        </w:rPr>
        <w:t>专业，先后于</w:t>
      </w:r>
      <w:r>
        <w:rPr>
          <w:rFonts w:ascii="Times New Roman" w:hAnsi="Times New Roman" w:cs="Times New Roman" w:eastAsia="Times New Roman" w:hint="default"/>
          <w:spacing w:val="-1"/>
        </w:rPr>
        <w:t>1987</w:t>
      </w:r>
      <w:r>
        <w:rPr>
          <w:spacing w:val="-1"/>
        </w:rPr>
        <w:t>年和</w:t>
      </w:r>
      <w:r>
        <w:rPr>
          <w:rFonts w:ascii="Times New Roman" w:hAnsi="Times New Roman" w:cs="Times New Roman" w:eastAsia="Times New Roman" w:hint="default"/>
          <w:spacing w:val="-1"/>
        </w:rPr>
        <w:t>1989</w:t>
      </w:r>
      <w:r>
        <w:rPr>
          <w:spacing w:val="-1"/>
        </w:rPr>
        <w:t>年在法国尼斯大学物理系获硕士、博士学位，从事稀土掺杂光纤线性与非线性</w:t>
      </w:r>
    </w:p>
    <w:p>
      <w:pPr>
        <w:spacing w:after="0" w:line="386"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93" w:lineRule="auto" w:before="174"/>
        <w:ind w:left="153" w:right="147"/>
        <w:jc w:val="both"/>
      </w:pPr>
      <w:r>
        <w:rPr/>
        <w:t>光学性质研究。</w:t>
      </w:r>
      <w:r>
        <w:rPr>
          <w:rFonts w:ascii="Times New Roman" w:hAnsi="Times New Roman" w:cs="Times New Roman" w:eastAsia="Times New Roman" w:hint="default"/>
        </w:rPr>
        <w:t>1989</w:t>
      </w:r>
      <w:r>
        <w:rPr/>
        <w:t>年回厦门大学物理系任教，</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月起担任厦门大学计算机与信息工程学院电子工</w:t>
      </w:r>
      <w:r>
        <w:rPr>
          <w:spacing w:val="-41"/>
        </w:rPr>
        <w:t> </w:t>
      </w:r>
      <w:r>
        <w:rPr>
          <w:spacing w:val="-41"/>
        </w:rPr>
      </w:r>
      <w:r>
        <w:rPr>
          <w:spacing w:val="-1"/>
        </w:rPr>
        <w:t>程系主任、学院教授委员会副主任、电子工程系教授委员会主任。现任中国光学学会纤维光学与集成光学</w:t>
      </w:r>
      <w:r>
        <w:rPr>
          <w:spacing w:val="-83"/>
        </w:rPr>
        <w:t> </w:t>
      </w:r>
      <w:r>
        <w:rPr>
          <w:spacing w:val="-83"/>
        </w:rPr>
      </w:r>
      <w:r>
        <w:rPr/>
        <w:t>专业委员会委员，教育部电子科学与技术教学指导分委会委员。</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日起至今任公司第三届董事</w:t>
      </w:r>
      <w:r>
        <w:rPr>
          <w:spacing w:val="-38"/>
        </w:rPr>
        <w:t> </w:t>
      </w:r>
      <w:r>
        <w:rPr>
          <w:spacing w:val="-38"/>
        </w:rPr>
      </w:r>
      <w:r>
        <w:rPr/>
        <w:t>会独立董事。</w:t>
      </w:r>
    </w:p>
    <w:p>
      <w:pPr>
        <w:pStyle w:val="Heading3"/>
        <w:spacing w:line="240" w:lineRule="auto" w:before="178"/>
        <w:ind w:left="576" w:right="0"/>
        <w:jc w:val="left"/>
        <w:rPr>
          <w:b w:val="0"/>
          <w:bCs w:val="0"/>
        </w:rPr>
      </w:pPr>
      <w:r>
        <w:rPr>
          <w:rFonts w:ascii="Times New Roman" w:hAnsi="Times New Roman" w:cs="Times New Roman" w:eastAsia="Times New Roman" w:hint="default"/>
        </w:rPr>
        <w:t>2</w:t>
      </w:r>
      <w:r>
        <w:rPr/>
        <w:t>、监事</w:t>
      </w:r>
      <w:r>
        <w:rPr>
          <w:b w:val="0"/>
          <w:bCs w:val="0"/>
        </w:rPr>
      </w:r>
    </w:p>
    <w:p>
      <w:pPr>
        <w:spacing w:line="240" w:lineRule="auto" w:before="9"/>
        <w:rPr>
          <w:rFonts w:ascii="宋体" w:hAnsi="宋体" w:cs="宋体" w:eastAsia="宋体" w:hint="default"/>
          <w:b/>
          <w:bCs/>
          <w:sz w:val="22"/>
          <w:szCs w:val="22"/>
        </w:rPr>
      </w:pPr>
    </w:p>
    <w:p>
      <w:pPr>
        <w:pStyle w:val="BodyText"/>
        <w:spacing w:line="386" w:lineRule="auto"/>
        <w:ind w:left="153" w:right="216" w:firstLine="422"/>
        <w:jc w:val="left"/>
      </w:pPr>
      <w:r>
        <w:rPr>
          <w:rFonts w:ascii="宋体" w:hAnsi="宋体" w:cs="宋体" w:eastAsia="宋体" w:hint="default"/>
          <w:b/>
          <w:bCs/>
        </w:rPr>
        <w:t>仲丽华</w:t>
      </w:r>
      <w:r>
        <w:rPr/>
        <w:t>，女，</w:t>
      </w:r>
      <w:r>
        <w:rPr>
          <w:rFonts w:ascii="Times New Roman" w:hAnsi="Times New Roman" w:cs="Times New Roman" w:eastAsia="Times New Roman" w:hint="default"/>
        </w:rPr>
        <w:t>1976</w:t>
      </w:r>
      <w:r>
        <w:rPr/>
        <w:t>年出生，中国国籍，硕士研究生学历，毕业于厦门大学，无永久境外居留权。 </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月至今，历任公司中证研究所网络维权部副经理、经理、数字法律服务中心副总监，总监。</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日起至今任公司监事会职工代表监事、监事会主席。</w:t>
      </w:r>
    </w:p>
    <w:p>
      <w:pPr>
        <w:pStyle w:val="BodyText"/>
        <w:spacing w:line="386" w:lineRule="auto" w:before="155"/>
        <w:ind w:left="153" w:right="333" w:firstLine="422"/>
        <w:jc w:val="both"/>
      </w:pPr>
      <w:r>
        <w:rPr>
          <w:rFonts w:ascii="宋体" w:hAnsi="宋体" w:cs="宋体" w:eastAsia="宋体" w:hint="default"/>
          <w:b/>
          <w:bCs/>
        </w:rPr>
        <w:t>屈文洲</w:t>
      </w:r>
      <w:r>
        <w:rPr/>
        <w:t>，男，</w:t>
      </w:r>
      <w:r>
        <w:rPr>
          <w:rFonts w:ascii="Times New Roman" w:hAnsi="Times New Roman" w:cs="Times New Roman" w:eastAsia="Times New Roman" w:hint="default"/>
        </w:rPr>
        <w:t>1972</w:t>
      </w:r>
      <w:r>
        <w:rPr/>
        <w:t>年出生，中国国籍，无永久境外居留权。经济学（金融学）博士、清华大学经济 管理学院博士后，</w:t>
      </w:r>
      <w:r>
        <w:rPr>
          <w:rFonts w:ascii="Times New Roman" w:hAnsi="Times New Roman" w:cs="Times New Roman" w:eastAsia="Times New Roman" w:hint="default"/>
        </w:rPr>
        <w:t>2005</w:t>
      </w:r>
      <w:r>
        <w:rPr/>
        <w:t>年至今就职于厦门大学管理学院，现任厦门大学财务管理与会计研究院副院长、 厦门大学中国资本市场研究中心主任，财务学与金融学教授、博士生导师、美国特许金融分析师</w:t>
      </w:r>
    </w:p>
    <w:p>
      <w:pPr>
        <w:pStyle w:val="BodyText"/>
        <w:spacing w:line="405" w:lineRule="auto" w:before="65"/>
        <w:ind w:right="134" w:hanging="1"/>
        <w:jc w:val="left"/>
      </w:pPr>
      <w:r>
        <w:rPr/>
        <w:t>（</w:t>
      </w:r>
      <w:r>
        <w:rPr>
          <w:rFonts w:ascii="Times New Roman" w:hAnsi="Times New Roman" w:cs="Times New Roman" w:eastAsia="Times New Roman" w:hint="default"/>
        </w:rPr>
        <w:t>CFA</w:t>
      </w:r>
      <w:r>
        <w:rPr/>
        <w:t>）、中国注册会计师（</w:t>
      </w:r>
      <w:r>
        <w:rPr>
          <w:rFonts w:ascii="Times New Roman" w:hAnsi="Times New Roman" w:cs="Times New Roman" w:eastAsia="Times New Roman" w:hint="default"/>
        </w:rPr>
        <w:t>CPA</w:t>
      </w:r>
      <w:r>
        <w:rPr/>
        <w:t>）。兼任清华大学博士后校友联络会福建分会副会长，第六届国务院学 位委员会学科评议组（工商管理组）秘书，第十一届全国青联委员、福建省青联常委，厦门市青联特邀 副主席，国家自然科学基金和国家社会科学基金的通讯评审专家，中国管理现代化研究会财务与会计专 业委员会副主任委员，中国管理现代化研究会青年工作委员会副主任委员，厦门大学社科联常委，《经 济研究》、《管理科学学报》、《金融研究》、《南开管理评论》、《金融学季刊》和《中国金融评 论》审稿人，广东宝丽华新能源股份有限公司、洲际油气股份有限公司、福建广生堂药业股份有限公 司、瑞达期货股份有限公司独立董事。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日起至今任公司监事会非职工代表监事。</w:t>
      </w:r>
    </w:p>
    <w:p>
      <w:pPr>
        <w:pStyle w:val="BodyText"/>
        <w:spacing w:line="386" w:lineRule="auto" w:before="137"/>
        <w:ind w:left="153" w:right="216" w:firstLine="422"/>
        <w:jc w:val="left"/>
      </w:pPr>
      <w:r>
        <w:rPr>
          <w:rFonts w:ascii="宋体" w:hAnsi="宋体" w:cs="宋体" w:eastAsia="宋体" w:hint="default"/>
          <w:b/>
          <w:bCs/>
        </w:rPr>
        <w:t>刘冬颖，</w:t>
      </w:r>
      <w:r>
        <w:rPr/>
        <w:t>女，</w:t>
      </w:r>
      <w:r>
        <w:rPr>
          <w:rFonts w:ascii="Times New Roman" w:hAnsi="Times New Roman" w:cs="Times New Roman" w:eastAsia="Times New Roman" w:hint="default"/>
        </w:rPr>
        <w:t>1976</w:t>
      </w:r>
      <w:r>
        <w:rPr/>
        <w:t>年出生，中国国籍，硕士学历，无永久境外居留权。</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2001</w:t>
      </w:r>
      <w:r>
        <w:rPr/>
        <w:t>年就职于厦门 天健会计师事务所有限公司从事审计工作；</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2007</w:t>
      </w:r>
      <w:r>
        <w:rPr/>
        <w:t>年就职于厦门</w:t>
      </w:r>
      <w:r>
        <w:rPr>
          <w:rFonts w:ascii="Times New Roman" w:hAnsi="Times New Roman" w:cs="Times New Roman" w:eastAsia="Times New Roman" w:hint="default"/>
        </w:rPr>
        <w:t>ABB</w:t>
      </w:r>
      <w:r>
        <w:rPr/>
        <w:t>低压电器设备有限公司财务 部从事财务管理工作；</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2010</w:t>
      </w:r>
      <w:r>
        <w:rPr/>
        <w:t>年就职于厦门稻香村贸易有限公司任职财务总监；</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 就职于厦门刘老师空中花果园有限公司任职财务总监。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日起至今任公司监事会非职工代表监 事。</w:t>
      </w:r>
    </w:p>
    <w:p>
      <w:pPr>
        <w:spacing w:line="240" w:lineRule="auto" w:before="2"/>
        <w:rPr>
          <w:rFonts w:ascii="宋体" w:hAnsi="宋体" w:cs="宋体" w:eastAsia="宋体" w:hint="default"/>
          <w:sz w:val="14"/>
          <w:szCs w:val="14"/>
        </w:rPr>
      </w:pPr>
    </w:p>
    <w:p>
      <w:pPr>
        <w:spacing w:line="484" w:lineRule="auto" w:before="0"/>
        <w:ind w:left="576" w:right="6406"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spacing w:val="1"/>
          <w:w w:val="99"/>
          <w:sz w:val="21"/>
          <w:szCs w:val="21"/>
        </w:rPr>
        <w:t> </w:t>
      </w:r>
      <w:r>
        <w:rPr>
          <w:rFonts w:ascii="宋体" w:hAnsi="宋体" w:cs="宋体" w:eastAsia="宋体" w:hint="default"/>
          <w:b/>
          <w:bCs/>
          <w:sz w:val="21"/>
          <w:szCs w:val="21"/>
        </w:rPr>
        <w:t>申强</w:t>
      </w:r>
      <w:r>
        <w:rPr>
          <w:rFonts w:ascii="宋体" w:hAnsi="宋体" w:cs="宋体" w:eastAsia="宋体" w:hint="default"/>
          <w:sz w:val="21"/>
          <w:szCs w:val="21"/>
        </w:rPr>
        <w:t>，详见“董事任职情况”。</w:t>
      </w:r>
    </w:p>
    <w:p>
      <w:pPr>
        <w:pStyle w:val="BodyText"/>
        <w:spacing w:line="386" w:lineRule="auto" w:before="99"/>
        <w:ind w:right="315" w:firstLine="422"/>
        <w:jc w:val="left"/>
      </w:pPr>
      <w:r>
        <w:rPr>
          <w:rFonts w:ascii="宋体" w:hAnsi="宋体" w:cs="宋体" w:eastAsia="宋体" w:hint="default"/>
          <w:b/>
          <w:bCs/>
        </w:rPr>
        <w:t>吴鸿伟，</w:t>
      </w:r>
      <w:r>
        <w:rPr/>
        <w:t>男，</w:t>
      </w:r>
      <w:r>
        <w:rPr>
          <w:rFonts w:ascii="Times New Roman" w:hAnsi="Times New Roman" w:cs="Times New Roman" w:eastAsia="Times New Roman" w:hint="default"/>
        </w:rPr>
        <w:t>1976</w:t>
      </w:r>
      <w:r>
        <w:rPr/>
        <w:t>年出生，中国国籍，研究生学历、系统分析员，无永久境外居留权。</w:t>
      </w:r>
      <w:r>
        <w:rPr>
          <w:rFonts w:ascii="Times New Roman" w:hAnsi="Times New Roman" w:cs="Times New Roman" w:eastAsia="Times New Roman" w:hint="default"/>
        </w:rPr>
        <w:t>2004</w:t>
      </w:r>
      <w:r>
        <w:rPr/>
        <w:t>年毕业 于厦门大学系统工程专业。</w:t>
      </w:r>
      <w:r>
        <w:rPr>
          <w:rFonts w:ascii="Times New Roman" w:hAnsi="Times New Roman" w:cs="Times New Roman" w:eastAsia="Times New Roman" w:hint="default"/>
        </w:rPr>
        <w:t>2004</w:t>
      </w:r>
      <w:r>
        <w:rPr/>
        <w:t>至今，历任公司技术总监、副总经理。现任公司副总经理。</w:t>
      </w:r>
    </w:p>
    <w:p>
      <w:pPr>
        <w:spacing w:after="0" w:line="386"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91" w:lineRule="auto" w:before="174"/>
        <w:ind w:right="211" w:firstLine="422"/>
        <w:jc w:val="left"/>
      </w:pPr>
      <w:r>
        <w:rPr>
          <w:rFonts w:ascii="宋体" w:hAnsi="宋体" w:cs="宋体" w:eastAsia="宋体" w:hint="default"/>
          <w:b/>
          <w:bCs/>
        </w:rPr>
        <w:t>赵庸</w:t>
      </w:r>
      <w:r>
        <w:rPr/>
        <w:t>，男，</w:t>
      </w:r>
      <w:r>
        <w:rPr>
          <w:rFonts w:ascii="Times New Roman" w:hAnsi="Times New Roman" w:cs="Times New Roman" w:eastAsia="Times New Roman" w:hint="default"/>
        </w:rPr>
        <w:t>1968</w:t>
      </w:r>
      <w:r>
        <w:rPr/>
        <w:t>年出生，中国国籍，研究生学历、工程师，无永久境外居留权。</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2000</w:t>
      </w:r>
      <w:r>
        <w:rPr/>
        <w:t>年 </w:t>
      </w:r>
      <w:r>
        <w:rPr>
          <w:rFonts w:ascii="Times New Roman" w:hAnsi="Times New Roman" w:cs="Times New Roman" w:eastAsia="Times New Roman" w:hint="default"/>
        </w:rPr>
        <w:t>8</w:t>
      </w:r>
      <w:r>
        <w:rPr/>
        <w:t>月，中国人民解放军青海省军区服役；</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月，就读解放军信息工程大学，获硕士学 位；</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月至今，历任公司培训讲师、电子数据取证鉴定员、中证司法鉴定中心主任、副总经理。兼 任中国电子学会高级会员、中国电子学会计算机取证专家委员会专家委员、福建警察学院客座教授。现 任公司副总经理。</w:t>
      </w:r>
    </w:p>
    <w:p>
      <w:pPr>
        <w:spacing w:line="240" w:lineRule="auto" w:before="11"/>
        <w:rPr>
          <w:rFonts w:ascii="宋体" w:hAnsi="宋体" w:cs="宋体" w:eastAsia="宋体" w:hint="default"/>
          <w:sz w:val="13"/>
          <w:szCs w:val="13"/>
        </w:rPr>
      </w:pPr>
    </w:p>
    <w:p>
      <w:pPr>
        <w:pStyle w:val="BodyText"/>
        <w:spacing w:line="386" w:lineRule="auto"/>
        <w:ind w:left="153" w:right="334" w:firstLine="422"/>
        <w:jc w:val="both"/>
      </w:pPr>
      <w:r>
        <w:rPr>
          <w:rFonts w:ascii="宋体" w:hAnsi="宋体" w:cs="宋体" w:eastAsia="宋体" w:hint="default"/>
          <w:b/>
          <w:bCs/>
        </w:rPr>
        <w:t>张雪峰</w:t>
      </w:r>
      <w:r>
        <w:rPr/>
        <w:t>，男，</w:t>
      </w:r>
      <w:r>
        <w:rPr>
          <w:rFonts w:ascii="Times New Roman" w:hAnsi="Times New Roman" w:cs="Times New Roman" w:eastAsia="Times New Roman" w:hint="default"/>
        </w:rPr>
        <w:t>1974</w:t>
      </w:r>
      <w:r>
        <w:rPr/>
        <w:t>年出生，中国国籍，本科学历，无永久境外居留权。</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2002</w:t>
      </w:r>
      <w:r>
        <w:rPr/>
        <w:t>年，历任厦门 智业软件公司项目经理与销售副总经理；</w:t>
      </w:r>
      <w:r>
        <w:rPr>
          <w:rFonts w:ascii="Times New Roman" w:hAnsi="Times New Roman" w:cs="Times New Roman" w:eastAsia="Times New Roman" w:hint="default"/>
        </w:rPr>
        <w:t>2002</w:t>
      </w:r>
      <w:r>
        <w:rPr/>
        <w:t>年至今，历任公司硬件研制中心总监、副总经理。现任公 司副总经理。</w:t>
      </w:r>
    </w:p>
    <w:p>
      <w:pPr>
        <w:spacing w:line="240" w:lineRule="auto" w:before="2"/>
        <w:rPr>
          <w:rFonts w:ascii="宋体" w:hAnsi="宋体" w:cs="宋体" w:eastAsia="宋体" w:hint="default"/>
          <w:sz w:val="14"/>
          <w:szCs w:val="14"/>
        </w:rPr>
      </w:pPr>
    </w:p>
    <w:p>
      <w:pPr>
        <w:pStyle w:val="BodyText"/>
        <w:spacing w:line="386" w:lineRule="auto"/>
        <w:ind w:left="153" w:right="216" w:firstLine="422"/>
        <w:jc w:val="left"/>
      </w:pPr>
      <w:r>
        <w:rPr>
          <w:rFonts w:ascii="宋体" w:hAnsi="宋体" w:cs="宋体" w:eastAsia="宋体" w:hint="default"/>
          <w:b/>
          <w:bCs/>
        </w:rPr>
        <w:t>栾江霞，</w:t>
      </w:r>
      <w:r>
        <w:rPr/>
        <w:t>女，</w:t>
      </w:r>
      <w:r>
        <w:rPr>
          <w:rFonts w:ascii="Times New Roman" w:hAnsi="Times New Roman" w:cs="Times New Roman" w:eastAsia="Times New Roman" w:hint="default"/>
        </w:rPr>
        <w:t>1974</w:t>
      </w:r>
      <w:r>
        <w:rPr/>
        <w:t>年出生，中国国籍，工程师、研究生学历、毕业于浙江大学，无永久境外居留 权。</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月，历任厦门雅迅网络股份有限公司系统工程部经理、技管办主任和网络业务 事业部总经理；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月，任公司拓展中心总监。现任公司副总经理。</w:t>
      </w:r>
    </w:p>
    <w:p>
      <w:pPr>
        <w:pStyle w:val="BodyText"/>
        <w:spacing w:line="386" w:lineRule="auto" w:before="155"/>
        <w:ind w:right="320" w:firstLine="422"/>
        <w:jc w:val="left"/>
      </w:pPr>
      <w:r>
        <w:rPr>
          <w:rFonts w:ascii="宋体" w:hAnsi="宋体" w:cs="宋体" w:eastAsia="宋体" w:hint="default"/>
          <w:b/>
          <w:bCs/>
        </w:rPr>
        <w:t>葛鹏</w:t>
      </w:r>
      <w:r>
        <w:rPr/>
        <w:t>，男，</w:t>
      </w:r>
      <w:r>
        <w:rPr>
          <w:rFonts w:ascii="Times New Roman" w:hAnsi="Times New Roman" w:cs="Times New Roman" w:eastAsia="Times New Roman" w:hint="default"/>
        </w:rPr>
        <w:t>1968</w:t>
      </w:r>
      <w:r>
        <w:rPr/>
        <w:t>年出生，中国国籍，大专学历，无永久境外居留权。</w:t>
      </w:r>
      <w:r>
        <w:rPr>
          <w:rFonts w:ascii="Times New Roman" w:hAnsi="Times New Roman" w:cs="Times New Roman" w:eastAsia="Times New Roman" w:hint="default"/>
        </w:rPr>
        <w:t>1991</w:t>
      </w:r>
      <w:r>
        <w:rPr/>
        <w:t>年毕业于北京邮电大学无 线电工程系；</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月中国民用航空局任工程师；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月，北京鼎永泰克 科技有限公司任总经理；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月至今任香港鼎永泰克公司总经理。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日起任公司副总经 理。</w:t>
      </w:r>
    </w:p>
    <w:p>
      <w:pPr>
        <w:spacing w:line="240" w:lineRule="auto" w:before="2"/>
        <w:rPr>
          <w:rFonts w:ascii="宋体" w:hAnsi="宋体" w:cs="宋体" w:eastAsia="宋体" w:hint="default"/>
          <w:sz w:val="14"/>
          <w:szCs w:val="14"/>
        </w:rPr>
      </w:pPr>
    </w:p>
    <w:p>
      <w:pPr>
        <w:pStyle w:val="BodyText"/>
        <w:spacing w:line="386" w:lineRule="auto"/>
        <w:ind w:left="153" w:right="333" w:firstLine="422"/>
        <w:jc w:val="both"/>
      </w:pPr>
      <w:r>
        <w:rPr>
          <w:rFonts w:ascii="宋体" w:hAnsi="宋体" w:cs="宋体" w:eastAsia="宋体" w:hint="default"/>
          <w:b/>
          <w:bCs/>
        </w:rPr>
        <w:t>张乃军</w:t>
      </w:r>
      <w:r>
        <w:rPr/>
        <w:t>，男，</w:t>
      </w:r>
      <w:r>
        <w:rPr>
          <w:rFonts w:ascii="Times New Roman" w:hAnsi="Times New Roman" w:cs="Times New Roman" w:eastAsia="Times New Roman" w:hint="default"/>
        </w:rPr>
        <w:t>1971</w:t>
      </w:r>
      <w:r>
        <w:rPr/>
        <w:t>年出生，中国国籍，研究生，高级会计师，无永久境外居留权。</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2000</w:t>
      </w:r>
      <w:r>
        <w:rPr/>
        <w:t>年 任厦门物资集团公司出纳、会计、主办会计；</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2003</w:t>
      </w:r>
      <w:r>
        <w:rPr/>
        <w:t>年任厦门外商投资企业物资公司财务经理； </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2005</w:t>
      </w:r>
      <w:r>
        <w:rPr/>
        <w:t>年任厦门银池资产管理有限公司财务经理；</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2007</w:t>
      </w:r>
      <w:r>
        <w:rPr/>
        <w:t>年任厦门新世基集团财务经理；</w:t>
      </w:r>
    </w:p>
    <w:p>
      <w:pPr>
        <w:pStyle w:val="BodyText"/>
        <w:spacing w:line="240" w:lineRule="auto" w:before="35"/>
        <w:ind w:left="153" w:right="0"/>
        <w:jc w:val="left"/>
      </w:pPr>
      <w:r>
        <w:rPr>
          <w:rFonts w:ascii="Times New Roman" w:hAnsi="Times New Roman" w:cs="Times New Roman" w:eastAsia="Times New Roman" w:hint="default"/>
        </w:rPr>
        <w:t>2007</w:t>
      </w:r>
      <w:r>
        <w:rPr/>
        <w:t>年至今，历任公司财务副总监、财务总监。现任公司财务总监。</w:t>
      </w:r>
    </w:p>
    <w:p>
      <w:pPr>
        <w:spacing w:line="240" w:lineRule="auto" w:before="9"/>
        <w:rPr>
          <w:rFonts w:ascii="宋体" w:hAnsi="宋体" w:cs="宋体" w:eastAsia="宋体" w:hint="default"/>
          <w:sz w:val="22"/>
          <w:szCs w:val="22"/>
        </w:rPr>
      </w:pPr>
    </w:p>
    <w:p>
      <w:pPr>
        <w:pStyle w:val="BodyText"/>
        <w:spacing w:line="386" w:lineRule="auto"/>
        <w:ind w:left="153" w:right="199" w:firstLine="422"/>
        <w:jc w:val="left"/>
      </w:pPr>
      <w:r>
        <w:rPr>
          <w:rFonts w:ascii="宋体" w:hAnsi="宋体" w:cs="宋体" w:eastAsia="宋体" w:hint="default"/>
          <w:b/>
          <w:bCs/>
        </w:rPr>
        <w:t>周成祖</w:t>
      </w:r>
      <w:r>
        <w:rPr/>
        <w:t>，男，</w:t>
      </w:r>
      <w:r>
        <w:rPr>
          <w:rFonts w:ascii="Times New Roman" w:hAnsi="Times New Roman" w:cs="Times New Roman" w:eastAsia="Times New Roman" w:hint="default"/>
        </w:rPr>
        <w:t>1983</w:t>
      </w:r>
      <w:r>
        <w:rPr/>
        <w:t>年出生，中国国籍，研究生学历，无永久境外居留权。</w:t>
      </w:r>
      <w:r>
        <w:rPr>
          <w:rFonts w:ascii="Times New Roman" w:hAnsi="Times New Roman" w:cs="Times New Roman" w:eastAsia="Times New Roman" w:hint="default"/>
        </w:rPr>
        <w:t>2008</w:t>
      </w:r>
      <w:r>
        <w:rPr/>
        <w:t>年毕业于比利时鲁汶 理工学院（现比利时鲁汶大学</w:t>
      </w:r>
      <w:r>
        <w:rPr>
          <w:rFonts w:ascii="Times New Roman" w:hAnsi="Times New Roman" w:cs="Times New Roman" w:eastAsia="Times New Roman" w:hint="default"/>
        </w:rPr>
        <w:t>GroupT</w:t>
      </w:r>
      <w:r>
        <w:rPr/>
        <w:t>学院）</w:t>
      </w:r>
      <w:r>
        <w:rPr>
          <w:rFonts w:ascii="Times New Roman" w:hAnsi="Times New Roman" w:cs="Times New Roman" w:eastAsia="Times New Roman" w:hint="default"/>
        </w:rPr>
        <w:t>E-Media</w:t>
      </w:r>
      <w:r>
        <w:rPr/>
        <w:t>专业和北京交通大学软件工程专业。</w:t>
      </w:r>
      <w:r>
        <w:rPr>
          <w:rFonts w:ascii="Times New Roman" w:hAnsi="Times New Roman" w:cs="Times New Roman" w:eastAsia="Times New Roman" w:hint="default"/>
        </w:rPr>
        <w:t>2010</w:t>
      </w:r>
      <w:r>
        <w:rPr/>
        <w:t>年至今，历 任公司项目管理部经理、总监、第一研究院副院长。</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日起任公司副总经理。</w:t>
      </w:r>
    </w:p>
    <w:p>
      <w:pPr>
        <w:pStyle w:val="BodyText"/>
        <w:spacing w:line="386" w:lineRule="auto" w:before="155"/>
        <w:ind w:left="153" w:right="216" w:firstLine="422"/>
        <w:jc w:val="left"/>
      </w:pPr>
      <w:r>
        <w:rPr>
          <w:rFonts w:ascii="宋体" w:hAnsi="宋体" w:cs="宋体" w:eastAsia="宋体" w:hint="default"/>
          <w:b/>
          <w:bCs/>
        </w:rPr>
        <w:t>蔡志评</w:t>
      </w:r>
      <w:r>
        <w:rPr/>
        <w:t>，男，</w:t>
      </w:r>
      <w:r>
        <w:rPr>
          <w:rFonts w:ascii="Times New Roman" w:hAnsi="Times New Roman" w:cs="Times New Roman" w:eastAsia="Times New Roman" w:hint="default"/>
        </w:rPr>
        <w:t>1974</w:t>
      </w:r>
      <w:r>
        <w:rPr/>
        <w:t>年出生，中国国籍，毕业于武汉大学电子学与信息系统专业，目前为厦门大学 </w:t>
      </w:r>
      <w:r>
        <w:rPr>
          <w:rFonts w:ascii="Times New Roman" w:hAnsi="Times New Roman" w:cs="Times New Roman" w:eastAsia="Times New Roman" w:hint="default"/>
        </w:rPr>
        <w:t>MBA</w:t>
      </w:r>
      <w:r>
        <w:rPr/>
        <w:t>和资本运营总裁班学员，无永久境外居留权。</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月在厦门邮电纵横和移动分公司 担任工程师；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月在华为技术有限公司担任高级工程师；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月在东 南融通（中国）系统工程有限公司先后担任质量管理部经理和并购整合高级经理等职务；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 历任厦门市美亚柏科信息股份有限公司投资部经理和投资总监。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日起任公司副总经理，董事 会秘书。</w:t>
      </w:r>
    </w:p>
    <w:p>
      <w:pPr>
        <w:spacing w:after="0" w:line="386"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6"/>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851"/>
        <w:gridCol w:w="3368"/>
        <w:gridCol w:w="1734"/>
        <w:gridCol w:w="1559"/>
        <w:gridCol w:w="709"/>
        <w:gridCol w:w="1346"/>
      </w:tblGrid>
      <w:tr>
        <w:trPr>
          <w:trHeight w:val="713"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0" w:right="77"/>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27" w:right="37"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厦门美亚中敏科技有限公司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珠海新德汇信息技术有限公司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北京美亚智讯信息技术有限公司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北京国信宏数科技有限责任公司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美亚长城传媒（北京）有限公司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法定代表人、执行董 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珠海新德汇信息技术有限公司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北京美亚智讯信息技术有限公司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厦门美亚商鼎信息科技有限公司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副董事长兼总经理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珠海市汇智德辰数据科技有限公司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珠海汇智德辰投资中心（有限合伙）</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执行人及普通合伙人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珠海众寻科技信息交流中心</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韦玉荣</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韦玉荣</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无锡奇星资产管理有限公司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韦玉荣</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蔡志平</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厦门大学电子工程系</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厦门大学会计系</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厦门合兴包装印刷股份有限公司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851"/>
        <w:gridCol w:w="3368"/>
        <w:gridCol w:w="1734"/>
        <w:gridCol w:w="1559"/>
        <w:gridCol w:w="709"/>
        <w:gridCol w:w="1346"/>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福建龙溪轴承（集团）股份有限公司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舒华股份有限公司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吉比特网络技术股份有限公司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厦门大学会计系</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国投资本股份有限公司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中国人民财产保险股份有限公司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三棵树涂料股份有限公司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厦门大学管理学院</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广东宝丽华新能源股份有限公司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洲际油气股份有限公司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63" w:hRule="exact"/>
        </w:trPr>
        <w:tc>
          <w:tcPr>
            <w:tcW w:w="851" w:type="dxa"/>
            <w:tcBorders>
              <w:top w:val="single" w:sz="4" w:space="0" w:color="000000"/>
              <w:left w:val="single" w:sz="4" w:space="0" w:color="000000"/>
              <w:bottom w:val="nil" w:sz="6" w:space="0" w:color="auto"/>
              <w:right w:val="single" w:sz="4" w:space="0" w:color="000000"/>
            </w:tcBorders>
          </w:tcPr>
          <w:p>
            <w:pPr/>
          </w:p>
        </w:tc>
        <w:tc>
          <w:tcPr>
            <w:tcW w:w="3368" w:type="dxa"/>
            <w:tcBorders>
              <w:top w:val="single" w:sz="4" w:space="0" w:color="000000"/>
              <w:left w:val="single" w:sz="4" w:space="0" w:color="000000"/>
              <w:bottom w:val="nil" w:sz="6" w:space="0" w:color="auto"/>
              <w:right w:val="single" w:sz="4" w:space="0" w:color="000000"/>
            </w:tcBorders>
          </w:tcPr>
          <w:p>
            <w:pPr/>
          </w:p>
        </w:tc>
        <w:tc>
          <w:tcPr>
            <w:tcW w:w="1734"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6"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3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福建广生堂药业股份有限公司</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tc>
        <w:tc>
          <w:tcPr>
            <w:tcW w:w="13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1" w:hRule="exact"/>
        </w:trPr>
        <w:tc>
          <w:tcPr>
            <w:tcW w:w="851" w:type="dxa"/>
            <w:tcBorders>
              <w:top w:val="nil" w:sz="6" w:space="0" w:color="auto"/>
              <w:left w:val="single" w:sz="4" w:space="0" w:color="000000"/>
              <w:bottom w:val="single" w:sz="4" w:space="0" w:color="000000"/>
              <w:right w:val="single" w:sz="4" w:space="0" w:color="000000"/>
            </w:tcBorders>
          </w:tcPr>
          <w:p>
            <w:pPr/>
          </w:p>
        </w:tc>
        <w:tc>
          <w:tcPr>
            <w:tcW w:w="3368" w:type="dxa"/>
            <w:tcBorders>
              <w:top w:val="nil" w:sz="6" w:space="0" w:color="auto"/>
              <w:left w:val="single" w:sz="4" w:space="0" w:color="000000"/>
              <w:bottom w:val="single" w:sz="4" w:space="0" w:color="000000"/>
              <w:right w:val="single" w:sz="4" w:space="0" w:color="000000"/>
            </w:tcBorders>
          </w:tcPr>
          <w:p>
            <w:pPr/>
          </w:p>
        </w:tc>
        <w:tc>
          <w:tcPr>
            <w:tcW w:w="1734"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瑞达期货股份有限公司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厦门刘老师空中花果园有限公司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武汉大千信息技术有限公司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厦门美亚商鼎信息科技有限公司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法定代表人及董事长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厦门安胜网络科技有限公司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厦门美亚天信会议服务有限公司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周成祖</w:t>
            </w:r>
          </w:p>
        </w:tc>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8"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在其他单</w:t>
            </w:r>
          </w:p>
        </w:tc>
        <w:tc>
          <w:tcPr>
            <w:tcW w:w="8717" w:type="dxa"/>
            <w:gridSpan w:val="5"/>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位任职情</w:t>
            </w:r>
          </w:p>
        </w:tc>
        <w:tc>
          <w:tcPr>
            <w:tcW w:w="8717"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况的说明</w:t>
            </w:r>
          </w:p>
        </w:tc>
        <w:tc>
          <w:tcPr>
            <w:tcW w:w="8717" w:type="dxa"/>
            <w:gridSpan w:val="5"/>
            <w:tcBorders>
              <w:top w:val="nil" w:sz="6" w:space="0" w:color="auto"/>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7"/>
        <w:rPr>
          <w:rFonts w:ascii="宋体" w:hAnsi="宋体" w:cs="宋体" w:eastAsia="宋体" w:hint="default"/>
          <w:sz w:val="23"/>
          <w:szCs w:val="23"/>
        </w:rPr>
      </w:pPr>
    </w:p>
    <w:p>
      <w:pPr>
        <w:pStyle w:val="Heading2"/>
        <w:spacing w:line="240" w:lineRule="auto" w:before="26"/>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44"/>
        <w:ind w:left="0" w:right="121" w:firstLine="0"/>
        <w:jc w:val="right"/>
        <w:rPr>
          <w:rFonts w:ascii="宋体" w:hAnsi="宋体" w:cs="宋体" w:eastAsia="宋体" w:hint="default"/>
          <w:sz w:val="18"/>
          <w:szCs w:val="18"/>
        </w:rPr>
      </w:pPr>
      <w:r>
        <w:rPr/>
        <w:pict>
          <v:shape style="position:absolute;margin-left:57.240002pt;margin-top:-17.167944pt;width:479.5pt;height:158.4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7440"/>
                  </w:tblGrid>
                  <w:tr>
                    <w:trPr>
                      <w:trHeight w:val="1363" w:hRule="exact"/>
                    </w:trPr>
                    <w:tc>
                      <w:tcPr>
                        <w:tcW w:w="21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报酬的决策程序</w:t>
                        </w:r>
                      </w:p>
                    </w:tc>
                    <w:tc>
                      <w:tcPr>
                        <w:tcW w:w="74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pacing w:val="-4"/>
                            <w:sz w:val="18"/>
                            <w:szCs w:val="18"/>
                          </w:rPr>
                          <w:t>公司独立董事、外部董事和非职工监事依据公司《董事、监事津贴制度》领取津贴，津贴额度由</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股东大会审批决定；公司内部董事和职工监事依据公司《董事、监事薪酬管理制度》领取薪酬</w:t>
                        </w:r>
                        <w:r>
                          <w:rPr>
                            <w:rFonts w:ascii="宋体" w:hAnsi="宋体" w:cs="宋体" w:eastAsia="宋体" w:hint="default"/>
                            <w:sz w:val="18"/>
                            <w:szCs w:val="18"/>
                          </w:rPr>
                          <w:t> 该制度由股东大会审批决定；公司高级管理人员依据公司《高管薪酬管理制度》领取薪酬，该</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制度由董事会审批决定。</w:t>
                        </w:r>
                      </w:p>
                    </w:tc>
                  </w:tr>
                  <w:tr>
                    <w:trPr>
                      <w:trHeight w:val="1051" w:hRule="exact"/>
                    </w:trPr>
                    <w:tc>
                      <w:tcPr>
                        <w:tcW w:w="21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报酬确定依据</w:t>
                        </w:r>
                      </w:p>
                    </w:tc>
                    <w:tc>
                      <w:tcPr>
                        <w:tcW w:w="74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公司独立董事、外部董事和非职工监事领取津贴额度由股东大会审批决定；公司内部董事、职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工监事和高级管理人员薪酬包含基本薪酬和绩效薪酬两部分，基本薪酬依据岗位级别按月发放</w:t>
                        </w:r>
                        <w:r>
                          <w:rPr>
                            <w:rFonts w:ascii="宋体" w:hAnsi="宋体" w:cs="宋体" w:eastAsia="宋体" w:hint="default"/>
                            <w:sz w:val="18"/>
                            <w:szCs w:val="18"/>
                          </w:rPr>
                          <w:t> 绩效薪酬依据年度目标完成情况由董事会薪酬与考核委员会进行考核评定。</w:t>
                        </w:r>
                      </w:p>
                    </w:tc>
                  </w:tr>
                  <w:tr>
                    <w:trPr>
                      <w:trHeight w:val="739" w:hRule="exact"/>
                    </w:trPr>
                    <w:tc>
                      <w:tcPr>
                        <w:tcW w:w="212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5"/>
                            <w:sz w:val="18"/>
                            <w:szCs w:val="18"/>
                          </w:rPr>
                          <w:t>董事、监事和高级管理人员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报酬的实际支付情况</w:t>
                        </w:r>
                      </w:p>
                    </w:tc>
                    <w:tc>
                      <w:tcPr>
                        <w:tcW w:w="7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pacing w:val="-4"/>
                            <w:sz w:val="18"/>
                            <w:szCs w:val="18"/>
                          </w:rPr>
                          <w:t>报告期内在公司领取报酬的董事、监事、高级管理人员共</w:t>
                        </w:r>
                        <w:r>
                          <w:rPr>
                            <w:rFonts w:ascii="Times New Roman" w:hAnsi="Times New Roman" w:cs="Times New Roman" w:eastAsia="Times New Roman" w:hint="default"/>
                            <w:spacing w:val="-4"/>
                            <w:sz w:val="18"/>
                            <w:szCs w:val="18"/>
                          </w:rPr>
                          <w:t>23</w:t>
                        </w:r>
                        <w:r>
                          <w:rPr>
                            <w:rFonts w:ascii="宋体" w:hAnsi="宋体" w:cs="宋体" w:eastAsia="宋体" w:hint="default"/>
                            <w:spacing w:val="-4"/>
                            <w:sz w:val="18"/>
                            <w:szCs w:val="18"/>
                          </w:rPr>
                          <w:t>计人，</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年度实际支付</w:t>
                        </w:r>
                        <w:r>
                          <w:rPr>
                            <w:rFonts w:ascii="Times New Roman" w:hAnsi="Times New Roman" w:cs="Times New Roman" w:eastAsia="Times New Roman" w:hint="default"/>
                            <w:spacing w:val="-4"/>
                            <w:sz w:val="18"/>
                            <w:szCs w:val="18"/>
                          </w:rPr>
                          <w:t>828.26</w:t>
                        </w:r>
                        <w:r>
                          <w:rPr>
                            <w:rFonts w:ascii="宋体" w:hAnsi="宋体" w:cs="宋体" w:eastAsia="宋体" w:hint="default"/>
                            <w:spacing w:val="-4"/>
                            <w:sz w:val="18"/>
                            <w:szCs w:val="18"/>
                          </w:rPr>
                          <w:t>万元</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44"/>
        <w:ind w:left="0" w:right="12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44"/>
        <w:ind w:left="0" w:right="12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992"/>
        <w:gridCol w:w="1417"/>
        <w:gridCol w:w="1276"/>
        <w:gridCol w:w="992"/>
        <w:gridCol w:w="1700"/>
        <w:gridCol w:w="1825"/>
        <w:gridCol w:w="1367"/>
      </w:tblGrid>
      <w:tr>
        <w:trPr>
          <w:trHeight w:val="713" w:hRule="exact"/>
        </w:trPr>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8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8" w:right="95" w:hanging="540"/>
              <w:jc w:val="left"/>
              <w:rPr>
                <w:rFonts w:ascii="宋体" w:hAnsi="宋体" w:cs="宋体" w:eastAsia="宋体" w:hint="default"/>
                <w:sz w:val="18"/>
                <w:szCs w:val="18"/>
              </w:rPr>
            </w:pPr>
            <w:r>
              <w:rPr>
                <w:rFonts w:ascii="宋体" w:hAnsi="宋体" w:cs="宋体" w:eastAsia="宋体" w:hint="default"/>
                <w:sz w:val="18"/>
                <w:szCs w:val="18"/>
              </w:rPr>
              <w:t>从公司获得的税前报 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韦玉荣</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蔡志平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周成祖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992"/>
        <w:gridCol w:w="1417"/>
        <w:gridCol w:w="1276"/>
        <w:gridCol w:w="992"/>
        <w:gridCol w:w="1700"/>
        <w:gridCol w:w="1825"/>
        <w:gridCol w:w="1367"/>
      </w:tblGrid>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828.26</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655" w:space="4264"/>
            <w:col w:w="1031"/>
          </w:cols>
        </w:sectPr>
      </w:pP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864"/>
        <w:gridCol w:w="1121"/>
        <w:gridCol w:w="619"/>
        <w:gridCol w:w="869"/>
        <w:gridCol w:w="870"/>
        <w:gridCol w:w="870"/>
        <w:gridCol w:w="870"/>
        <w:gridCol w:w="870"/>
        <w:gridCol w:w="870"/>
        <w:gridCol w:w="870"/>
        <w:gridCol w:w="870"/>
      </w:tblGrid>
      <w:tr>
        <w:trPr>
          <w:trHeight w:val="1650"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5"/>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数行权价 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44" w:right="45"/>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周成祖</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1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w:t>
            </w: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61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蔡志评</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书、副总经</w:t>
            </w:r>
          </w:p>
        </w:tc>
        <w:tc>
          <w:tcPr>
            <w:tcW w:w="61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20,000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12.19</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30,000</w:t>
            </w:r>
          </w:p>
        </w:tc>
      </w:tr>
      <w:tr>
        <w:trPr>
          <w:trHeight w:val="353" w:hRule="exact"/>
        </w:trPr>
        <w:tc>
          <w:tcPr>
            <w:tcW w:w="864"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1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64"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原董事会秘</w:t>
            </w:r>
          </w:p>
        </w:tc>
        <w:tc>
          <w:tcPr>
            <w:tcW w:w="61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书、副总经</w:t>
            </w:r>
          </w:p>
        </w:tc>
        <w:tc>
          <w:tcPr>
            <w:tcW w:w="61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12.19</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30,000</w:t>
            </w:r>
          </w:p>
        </w:tc>
      </w:tr>
      <w:tr>
        <w:trPr>
          <w:trHeight w:val="353" w:hRule="exact"/>
        </w:trPr>
        <w:tc>
          <w:tcPr>
            <w:tcW w:w="864"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1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145,200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277,800</w:t>
            </w:r>
          </w:p>
        </w:tc>
      </w:tr>
      <w:tr>
        <w:trPr>
          <w:trHeight w:val="362" w:hRule="exact"/>
        </w:trPr>
        <w:tc>
          <w:tcPr>
            <w:tcW w:w="8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699"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日召开第三届董事会第二十一次会议，审议通过了《关于向激励对象授予第二期限</w:t>
            </w:r>
          </w:p>
        </w:tc>
      </w:tr>
      <w:tr>
        <w:trPr>
          <w:trHeight w:val="311"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
        </w:tc>
        <w:tc>
          <w:tcPr>
            <w:tcW w:w="86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制性股票激励计划（预留部分）的议案</w:t>
            </w:r>
            <w:r>
              <w:rPr>
                <w:rFonts w:ascii="宋体" w:hAnsi="宋体" w:cs="宋体" w:eastAsia="宋体" w:hint="default"/>
                <w:spacing w:val="-90"/>
                <w:sz w:val="18"/>
                <w:szCs w:val="18"/>
              </w:rPr>
              <w:t>》</w:t>
            </w:r>
            <w:r>
              <w:rPr>
                <w:rFonts w:ascii="宋体" w:hAnsi="宋体" w:cs="宋体" w:eastAsia="宋体" w:hint="default"/>
                <w:sz w:val="18"/>
                <w:szCs w:val="18"/>
              </w:rPr>
              <w:t>，本次授予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位</w:t>
            </w:r>
            <w:r>
              <w:rPr>
                <w:rFonts w:ascii="宋体" w:hAnsi="宋体" w:cs="宋体" w:eastAsia="宋体" w:hint="default"/>
                <w:sz w:val="18"/>
                <w:szCs w:val="18"/>
              </w:rPr>
              <w:t>高管张雪峰限制性股票共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万股，授予股份上市日期</w:t>
            </w:r>
          </w:p>
        </w:tc>
      </w:tr>
      <w:tr>
        <w:trPr>
          <w:trHeight w:val="313"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
        </w:tc>
        <w:tc>
          <w:tcPr>
            <w:tcW w:w="86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日。本次预留股份授予完成情况详见公司于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日发布于巨潮资讯网《第二期限制性股</w:t>
            </w: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
        </w:tc>
        <w:tc>
          <w:tcPr>
            <w:tcW w:w="86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票激励计划预留部分授予完成的公告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2017-77</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22"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
        </w:tc>
        <w:tc>
          <w:tcPr>
            <w:tcW w:w="86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日召开第三届董事会第二十二次会议，审议通过了《关于公司第二期限制性股票激</w:t>
            </w:r>
          </w:p>
        </w:tc>
      </w:tr>
      <w:tr>
        <w:trPr>
          <w:trHeight w:val="312"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备注（如</w:t>
            </w:r>
          </w:p>
        </w:tc>
        <w:tc>
          <w:tcPr>
            <w:tcW w:w="86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励计划首次授予部分第一个解锁期解锁条件成就的议案</w:t>
            </w:r>
            <w:r>
              <w:rPr>
                <w:rFonts w:ascii="宋体" w:hAnsi="宋体" w:cs="宋体" w:eastAsia="宋体" w:hint="default"/>
                <w:spacing w:val="-90"/>
                <w:sz w:val="18"/>
                <w:szCs w:val="18"/>
              </w:rPr>
              <w:t>》</w:t>
            </w:r>
            <w:r>
              <w:rPr>
                <w:rFonts w:ascii="宋体" w:hAnsi="宋体" w:cs="宋体" w:eastAsia="宋体" w:hint="default"/>
                <w:sz w:val="18"/>
                <w:szCs w:val="18"/>
              </w:rPr>
              <w:t>。首次授予股份董监高解锁股份数共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21.78</w:t>
            </w:r>
          </w:p>
        </w:tc>
      </w:tr>
      <w:tr>
        <w:trPr>
          <w:trHeight w:val="322"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86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万股尚未解锁。本次解锁的限制性股票上市流通日为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日。本次限制性股票解锁完成情况详见公</w:t>
            </w:r>
          </w:p>
        </w:tc>
      </w:tr>
      <w:tr>
        <w:trPr>
          <w:trHeight w:val="313"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
        </w:tc>
        <w:tc>
          <w:tcPr>
            <w:tcW w:w="86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日发布于巨潮资讯网《关于公司第二期限制性股票激励计划首次授予部分第一个解锁期解</w:t>
            </w:r>
          </w:p>
        </w:tc>
      </w:tr>
      <w:tr>
        <w:trPr>
          <w:trHeight w:val="332"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
        </w:tc>
        <w:tc>
          <w:tcPr>
            <w:tcW w:w="86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锁股份上市流通的提示性公告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2017-85</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31"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
        </w:tc>
        <w:tc>
          <w:tcPr>
            <w:tcW w:w="86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、原董事会秘书、副总经理李滢雪于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日离职，公司于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w:t>
            </w:r>
          </w:p>
        </w:tc>
      </w:tr>
      <w:tr>
        <w:trPr>
          <w:trHeight w:val="307" w:hRule="exact"/>
        </w:trPr>
        <w:tc>
          <w:tcPr>
            <w:tcW w:w="864" w:type="dxa"/>
            <w:tcBorders>
              <w:top w:val="nil" w:sz="6" w:space="0" w:color="auto"/>
              <w:left w:val="single" w:sz="4" w:space="0" w:color="000000"/>
              <w:bottom w:val="nil" w:sz="6" w:space="0" w:color="auto"/>
              <w:right w:val="single" w:sz="4" w:space="0" w:color="000000"/>
            </w:tcBorders>
            <w:shd w:val="clear" w:color="auto" w:fill="D3D3D3"/>
          </w:tcPr>
          <w:p>
            <w:pPr/>
          </w:p>
        </w:tc>
        <w:tc>
          <w:tcPr>
            <w:tcW w:w="8699"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二十一次会议，审议通过了《关于回购注销部分离职激励对象已获授尚未解锁的限制性股票的议案</w:t>
            </w:r>
            <w:r>
              <w:rPr>
                <w:rFonts w:ascii="宋体" w:hAnsi="宋体" w:cs="宋体" w:eastAsia="宋体" w:hint="default"/>
                <w:spacing w:val="-90"/>
                <w:sz w:val="18"/>
                <w:szCs w:val="18"/>
              </w:rPr>
              <w:t>》</w:t>
            </w:r>
            <w:r>
              <w:rPr>
                <w:rFonts w:ascii="宋体" w:hAnsi="宋体" w:cs="宋体" w:eastAsia="宋体" w:hint="default"/>
                <w:sz w:val="18"/>
                <w:szCs w:val="18"/>
              </w:rPr>
              <w:t>，对其持</w:t>
            </w:r>
          </w:p>
        </w:tc>
      </w:tr>
      <w:tr>
        <w:trPr>
          <w:trHeight w:val="317" w:hRule="exact"/>
        </w:trPr>
        <w:tc>
          <w:tcPr>
            <w:tcW w:w="8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699"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有的限制性股票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万股进行了回购，期末未持有限制性股票。详见公司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日发布于巨潮资讯网</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2"/>
        <w:rPr>
          <w:rFonts w:ascii="宋体" w:hAnsi="宋体" w:cs="宋体" w:eastAsia="宋体" w:hint="default"/>
          <w:sz w:val="28"/>
          <w:szCs w:val="28"/>
        </w:rPr>
      </w:pPr>
    </w:p>
    <w:p>
      <w:pPr>
        <w:spacing w:line="381" w:lineRule="exact"/>
        <w:ind w:left="17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1pt;height:19.1pt;mso-position-horizontal-relative:char;mso-position-vertical-relative:line" coordorigin="0,0" coordsize="9582,382">
            <v:group style="position:absolute;left:14;top:14;width:855;height:353" coordorigin="14,14" coordsize="855,353">
              <v:shape style="position:absolute;left:14;top:14;width:855;height:353" coordorigin="14,14" coordsize="855,353" path="m14,367l869,367,869,14,14,14,14,367xe" filled="true" fillcolor="#d3d3d3" stroked="false">
                <v:path arrowok="t"/>
                <v:fill type="solid"/>
              </v:shape>
            </v:group>
            <v:group style="position:absolute;left:5;top:10;width:9573;height:2" coordorigin="5,10" coordsize="9573,2">
              <v:shape style="position:absolute;left:5;top:10;width:9573;height:2" coordorigin="5,10" coordsize="9573,0" path="m5,10l9577,10e" filled="false" stroked="true" strokeweight=".48004pt" strokecolor="#000000">
                <v:path arrowok="t"/>
              </v:shape>
            </v:group>
            <v:group style="position:absolute;left:10;top:5;width:2;height:372" coordorigin="10,5" coordsize="2,372">
              <v:shape style="position:absolute;left:10;top:5;width:2;height:372" coordorigin="10,5" coordsize="0,372" path="m10,5l10,377e" filled="false" stroked="true" strokeweight=".48pt" strokecolor="#000000">
                <v:path arrowok="t"/>
              </v:shape>
            </v:group>
            <v:group style="position:absolute;left:5;top:372;width:864;height:2" coordorigin="5,372" coordsize="864,2">
              <v:shape style="position:absolute;left:5;top:372;width:864;height:2" coordorigin="5,372" coordsize="864,0" path="m5,372l869,372e" filled="false" stroked="true" strokeweight=".48004pt" strokecolor="#000000">
                <v:path arrowok="t"/>
              </v:shape>
            </v:group>
            <v:group style="position:absolute;left:874;top:14;width:2;height:363" coordorigin="874,14" coordsize="2,363">
              <v:shape style="position:absolute;left:874;top:14;width:2;height:363" coordorigin="874,14" coordsize="0,363" path="m874,14l874,377e" filled="false" stroked="true" strokeweight=".48pt" strokecolor="#000000">
                <v:path arrowok="t"/>
              </v:shape>
            </v:group>
            <v:group style="position:absolute;left:878;top:372;width:8690;height:2" coordorigin="878,372" coordsize="8690,2">
              <v:shape style="position:absolute;left:878;top:372;width:8690;height:2" coordorigin="878,372" coordsize="8690,0" path="m878,372l9568,372e" filled="false" stroked="true" strokeweight=".48004pt" strokecolor="#000000">
                <v:path arrowok="t"/>
              </v:shape>
            </v:group>
            <v:group style="position:absolute;left:9572;top:5;width:2;height:372" coordorigin="9572,5" coordsize="2,372">
              <v:shape style="position:absolute;left:9572;top:5;width:2;height:372" coordorigin="9572,5" coordsize="0,372" path="m9572,5l9572,377e" filled="false" stroked="true" strokeweight=".47998pt" strokecolor="#000000">
                <v:path arrowok="t"/>
              </v:shape>
              <v:shape style="position:absolute;left:874;top:10;width:8699;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《关于回购注销部分离职激励对象已获授尚未解锁的限制性股票的议案</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2017-73</w:t>
                      </w:r>
                      <w:r>
                        <w:rPr>
                          <w:rFonts w:ascii="宋体" w:hAnsi="宋体" w:cs="宋体" w:eastAsia="宋体" w:hint="default"/>
                          <w:spacing w:val="-90"/>
                          <w:sz w:val="18"/>
                          <w:szCs w:val="18"/>
                        </w:rPr>
                        <w:t>）</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7"/>
          <w:sz w:val="20"/>
          <w:szCs w:val="20"/>
        </w:rPr>
      </w:r>
    </w:p>
    <w:p>
      <w:pPr>
        <w:spacing w:line="240" w:lineRule="auto" w:before="8"/>
        <w:rPr>
          <w:rFonts w:ascii="宋体" w:hAnsi="宋体" w:cs="宋体" w:eastAsia="宋体" w:hint="default"/>
          <w:sz w:val="17"/>
          <w:szCs w:val="17"/>
        </w:rPr>
      </w:pPr>
    </w:p>
    <w:p>
      <w:pPr>
        <w:pStyle w:val="Heading2"/>
        <w:spacing w:line="240" w:lineRule="auto" w:before="26"/>
        <w:ind w:right="0"/>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1,347</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2,382</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2,382</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3" w:right="338" w:firstLine="420"/>
        <w:jc w:val="both"/>
      </w:pPr>
      <w:r>
        <w:rPr/>
        <w:t>公司按照《中华人民共和国劳动合同法》和国家及地方其他有关劳动法律、法规的规定，与员工签 订劳动合同，公司严格执行国家相关劳动用工和社会保障规章制度，按照国家规定为员工缴纳社会保险 和公积金，缴交企业年金、补偿商业保险。公司为保持良好的薪酬环境，参照市场行业水平，实施公平 的绩效考核机制，每年调整员工薪资幅度，为员工提供有竞争力的薪资报酬。</w:t>
      </w:r>
    </w:p>
    <w:p>
      <w:pPr>
        <w:spacing w:after="0" w:line="408"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5" w:lineRule="auto"/>
        <w:ind w:left="153" w:right="134" w:firstLine="420"/>
        <w:jc w:val="left"/>
      </w:pPr>
      <w:r>
        <w:rPr/>
        <w:t>公司十分注重员工培训和职业规划，针对不同的岗位、职能需求，制定了年度培训计划。针对入职 新人，开展新员工培训和拓展，培训内容包括企业文化培训、保密培训及公司产品讲解和工作环境参观 等一系列全方位培训课程。针对应届毕业生，公司推出了“金种子培训班”计划，表现优秀的学员可以 留在公司任职。针对核心管理人员，公司与厦门大学联合举办了</w:t>
      </w:r>
      <w:r>
        <w:rPr>
          <w:rFonts w:ascii="Times New Roman" w:hAnsi="Times New Roman" w:cs="Times New Roman" w:eastAsia="Times New Roman" w:hint="default"/>
        </w:rPr>
        <w:t>EDP</w:t>
      </w:r>
      <w:r>
        <w:rPr/>
        <w:t>美亚柏科定制研修班，提高公司核心 管理人员的管理意识、技巧和领导水平。针对技术岗位人员，公司不定期组织技术研讨培训，技术大比 武，提升技术人员专业技术能力。公司开展美亚柏科智慧大讲堂，邀请公司副总级领导担任每期主讲 人，跟员工一起分享工作、生活，以及学习方面的经验和感悟，加强管理层与员工之间的沟通交流，受 到员工一致好评。</w:t>
      </w:r>
    </w:p>
    <w:p>
      <w:pPr>
        <w:pStyle w:val="BodyText"/>
        <w:spacing w:line="240" w:lineRule="auto" w:before="48"/>
        <w:ind w:left="573" w:right="0"/>
        <w:jc w:val="left"/>
      </w:pPr>
      <w:r>
        <w:rPr/>
        <w:t>公司推出线上学习平台“美课”</w:t>
      </w:r>
      <w:r>
        <w:rPr>
          <w:rFonts w:ascii="Times New Roman" w:hAnsi="Times New Roman" w:cs="Times New Roman" w:eastAsia="Times New Roman" w:hint="default"/>
        </w:rPr>
        <w:t>+</w:t>
      </w:r>
      <w:r>
        <w:rPr/>
        <w:t>线下实战实操培训，丰富培训模式，为培训提供信息化支撑。</w:t>
      </w:r>
    </w:p>
    <w:p>
      <w:pPr>
        <w:spacing w:line="240" w:lineRule="auto" w:before="7"/>
        <w:rPr>
          <w:rFonts w:ascii="宋体" w:hAnsi="宋体" w:cs="宋体" w:eastAsia="宋体" w:hint="default"/>
          <w:sz w:val="30"/>
          <w:szCs w:val="30"/>
        </w:rPr>
      </w:pPr>
    </w:p>
    <w:p>
      <w:pPr>
        <w:pStyle w:val="Heading3"/>
        <w:spacing w:line="240" w:lineRule="auto"/>
        <w:ind w:left="153"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675"/>
        <w:jc w:val="center"/>
        <w:rPr>
          <w:b w:val="0"/>
          <w:bCs w:val="0"/>
        </w:rPr>
      </w:pPr>
      <w:bookmarkStart w:name="_TOC_250003"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338" w:firstLine="420"/>
        <w:jc w:val="both"/>
      </w:pPr>
      <w:r>
        <w:rPr/>
        <w:t>报告期内，公司严格按照《公司法》、《证券法》、《上市公司治理准则》、《深圳证券交易所创 业板股票上市规则》、《深圳证券交易所创业板上市公司规范运作指引》等相关法律法规、规范性文件 和《公司章程》的要求，不断完善公司法人治理结构，建立健全公司内部管理和内控制度，持续深入开 展公司治理活动，进一步提升公司治理水平。截至报告期末，公司治理状况符合《公司法》和中国证监 会、深圳证券交易所等发布的法律法规和规范性文件的要求。</w:t>
      </w:r>
    </w:p>
    <w:p>
      <w:pPr>
        <w:pStyle w:val="BodyText"/>
        <w:spacing w:line="408" w:lineRule="auto" w:before="46"/>
        <w:ind w:left="573" w:right="321"/>
        <w:jc w:val="left"/>
      </w:pPr>
      <w:r>
        <w:rPr/>
        <w:t>1、关于股东与股东大会 报告期内，公司共召开两次次股东大会，其中一次年度股东大会，一次临时股东大会。各次会议公</w:t>
      </w:r>
    </w:p>
    <w:p>
      <w:pPr>
        <w:pStyle w:val="BodyText"/>
        <w:spacing w:line="408" w:lineRule="auto" w:before="46"/>
        <w:ind w:left="153" w:right="338"/>
        <w:jc w:val="both"/>
      </w:pPr>
      <w:r>
        <w:rPr/>
        <w:t>司均严格按照《公司法》、《上市公司股东大会规则》、《公司章程》、《股东大会议事规则》等规定 和要求，规范地召集、召开，平等对待所有股东，为股东参加股东大会提供便利，使其充分行使股东权 利，不存在损害股东利益的情形。</w:t>
      </w:r>
    </w:p>
    <w:p>
      <w:pPr>
        <w:pStyle w:val="BodyText"/>
        <w:spacing w:line="408" w:lineRule="auto" w:before="46"/>
        <w:ind w:left="573" w:right="321"/>
        <w:jc w:val="left"/>
      </w:pPr>
      <w:r>
        <w:rPr/>
        <w:t>2、关于公司与控股股东 公司控股股东为郭永芳女士。郭永芳女士现任公司副董事长，与公司董事长滕达先生为母子关系，</w:t>
      </w:r>
    </w:p>
    <w:p>
      <w:pPr>
        <w:pStyle w:val="BodyText"/>
        <w:spacing w:line="408" w:lineRule="auto" w:before="46"/>
        <w:ind w:left="153" w:right="321"/>
        <w:jc w:val="left"/>
      </w:pPr>
      <w:r>
        <w:rPr/>
        <w:t>共同构成公司实际控制人。报告期内，公司控股股东严格按照《上市公司治理准则》、《深圳证券交易 所创业板股票上市规则》、《深圳证券交易所创业板上市公司规范运指引》、《公司章程》等规定和要 求，依法行使其权利并承担相应义务，不存在超越股东大会直接或间接干预公司决策和经营活动的行 为。公司拥有独立完整的业务和自主经营能力，在业务、人员、资产、机构、财务上独立于控股股东， 公司董事会、监事会和内部机构独立运作。</w:t>
      </w:r>
    </w:p>
    <w:p>
      <w:pPr>
        <w:pStyle w:val="BodyText"/>
        <w:spacing w:line="408" w:lineRule="auto" w:before="46"/>
        <w:ind w:left="573" w:right="531"/>
        <w:jc w:val="left"/>
      </w:pPr>
      <w:r>
        <w:rPr/>
        <w:t>3、关于董事和董事会 公司董事会设董事9名，其中独立董事3名，董事会的人数及人员构成符合法律、法规和《公司章</w:t>
      </w:r>
    </w:p>
    <w:p>
      <w:pPr>
        <w:pStyle w:val="BodyText"/>
        <w:spacing w:line="408" w:lineRule="auto" w:before="46"/>
        <w:ind w:left="153" w:right="321"/>
        <w:jc w:val="left"/>
      </w:pPr>
      <w:r>
        <w:rPr/>
        <w:t>程》的要求。报告期内，公司共召开10次董事会，会议的召集、召开、决议内容及签署合法、合规、真 实、有效。各位董事能够依据《深圳证券交易所创业板上市公司规范运作指引》、《董事会议事规 则》、《独立董事制度》等规定开展工作，出席董事会和股东大会，勤勉尽责地履行职责和义务，同时 积极参加相关培训，熟悉相关法律法规。</w:t>
      </w:r>
    </w:p>
    <w:p>
      <w:pPr>
        <w:pStyle w:val="BodyText"/>
        <w:spacing w:line="408" w:lineRule="auto" w:before="46"/>
        <w:ind w:left="153" w:right="216" w:firstLine="420"/>
        <w:jc w:val="left"/>
      </w:pPr>
      <w:r>
        <w:rPr/>
        <w:t>公司董事会下设战略委员会、审计委员会、提名委员会及薪酬与考核委员会4个专门委员会，除战略 委员会外，其他委员会中独立董事占比均超过1/2，为董事会的决策提供了科学和专业的意见和参考。各</w:t>
      </w:r>
    </w:p>
    <w:p>
      <w:pPr>
        <w:spacing w:after="0" w:line="408" w:lineRule="auto"/>
        <w:jc w:val="left"/>
        <w:sectPr>
          <w:footerReference w:type="default" r:id="rId26"/>
          <w:pgSz w:w="11910" w:h="16840"/>
          <w:pgMar w:footer="982" w:header="747"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left="574" w:right="320" w:hanging="420"/>
        <w:jc w:val="left"/>
      </w:pPr>
      <w:r>
        <w:rPr/>
        <w:t>委员会依据《公司章程》和各委员会工作细则的规定履行职权，不受公司其他部门和个人的干预。 4、关于监事和监事会 公司监事会设监事3名，其中职工代表监事1名，监事会的人数及人员构成符合法律、法规和《公司</w:t>
      </w:r>
    </w:p>
    <w:p>
      <w:pPr>
        <w:pStyle w:val="BodyText"/>
        <w:spacing w:line="408" w:lineRule="auto" w:before="46"/>
        <w:ind w:right="338"/>
        <w:jc w:val="both"/>
      </w:pPr>
      <w:r>
        <w:rPr/>
        <w:t>章程》的要求。报告期内，公司共召开10次监事会会议，会议的召集、召开、决议内容及签署合法、合 规、真实、有效。各位监事能够按照《公司章程》、《监事会议事规则》等规定的要求，认真履行自己 的职责，对公司重大事项、关联交易、财务状况以及董事、高级管理人员履行职责的合法合规性进行监 督。</w:t>
      </w:r>
    </w:p>
    <w:p>
      <w:pPr>
        <w:pStyle w:val="BodyText"/>
        <w:spacing w:line="408" w:lineRule="auto" w:before="46"/>
        <w:ind w:left="574" w:right="320"/>
        <w:jc w:val="left"/>
      </w:pPr>
      <w:r>
        <w:rPr/>
        <w:t>5、关于绩效评价与激励约束机制 公司董事会下设的薪酬与考核委员会负责对公司的董事、监事、高级管理人员进行绩效考核，建立</w:t>
      </w:r>
    </w:p>
    <w:p>
      <w:pPr>
        <w:pStyle w:val="BodyText"/>
        <w:spacing w:line="408" w:lineRule="auto" w:before="46"/>
        <w:ind w:right="338"/>
        <w:jc w:val="both"/>
      </w:pPr>
      <w:r>
        <w:rPr/>
        <w:t>并逐步完善公正透明的董事、监事和高级管理人员的绩效评价标准和激励约束机制。公司高级管理人员 的聘任公开、透明，符合法律、法规的规定，现有的考核及激励约束机制符合公司的发展情况。公司实 施了第二期限制性股票激励计划，完善了公司长效激励机制。</w:t>
      </w:r>
    </w:p>
    <w:p>
      <w:pPr>
        <w:pStyle w:val="BodyText"/>
        <w:spacing w:line="408" w:lineRule="auto" w:before="46"/>
        <w:ind w:left="574" w:right="320"/>
        <w:jc w:val="left"/>
      </w:pPr>
      <w:r>
        <w:rPr/>
        <w:t>6、关于相关利益者 公司充分尊重和维护相关利益者的合法权益，积极与相关利益者合作，加强与各方的沟通和交流，</w:t>
      </w:r>
    </w:p>
    <w:p>
      <w:pPr>
        <w:pStyle w:val="BodyText"/>
        <w:spacing w:line="408" w:lineRule="auto" w:before="46"/>
        <w:ind w:left="574" w:right="740" w:hanging="420"/>
        <w:jc w:val="left"/>
      </w:pPr>
      <w:r>
        <w:rPr/>
        <w:t>实现股东、员工、社会等各方利益的协调平衡，共同推动公司持续、健康的发展。 7、关于信息披露与透明度 公司严格按照《上市公司信息披露管理办法》、《深圳证券交易所创业板上市公司规范运作指</w:t>
      </w:r>
    </w:p>
    <w:p>
      <w:pPr>
        <w:pStyle w:val="BodyText"/>
        <w:spacing w:line="408" w:lineRule="auto" w:before="46"/>
        <w:ind w:right="320"/>
        <w:jc w:val="left"/>
      </w:pPr>
      <w:r>
        <w:rPr/>
        <w:t>引》、公司的《信息披露管理制度》等相关法律、法规和规范性文件的要求，真实、准确、完整、及 时、公平地披露有关信息，指定公司董事会秘书负责信息披露工作，协调公司与投资者的关系，接待股 东来访、机构调研，回答投资者的咨询，向投资者提供公司已披露的资料；并指定《证券时报》、《中 国证券报》、《证券日报》、《上海证券报》和中国证监会创业板指定信息披露网站（巨潮资讯网</w:t>
      </w:r>
      <w:hyperlink r:id="rId11">
        <w:r>
          <w:rPr/>
          <w:t> www.cninfo.com.cn）为</w:t>
        </w:r>
      </w:hyperlink>
      <w:r>
        <w:rPr/>
        <w:t>公司定期报告披露的指定报刊和网站，确保公司所有投资者能够平等地获得信</w:t>
      </w:r>
      <w:r>
        <w:rPr/>
        <w:t> 息。</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25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26" w:firstLine="514"/>
        <w:jc w:val="left"/>
      </w:pPr>
      <w:r>
        <w:rPr/>
        <w:t>公司控股股东严格按照《公司法》、《上市公司治理准则》、《深圳证券交易所创业板股票上市规 则》、《深圳证券交易所创业板上市公司规范运作指引》及《公司章程》等规定和要求，严格规范自身</w:t>
      </w:r>
    </w:p>
    <w:p>
      <w:pPr>
        <w:spacing w:after="0" w:line="408" w:lineRule="auto"/>
        <w:jc w:val="left"/>
        <w:sectPr>
          <w:footerReference w:type="default" r:id="rId27"/>
          <w:pgSz w:w="11910" w:h="16840"/>
          <w:pgMar w:footer="982" w:header="747" w:top="1060" w:bottom="1180" w:left="980" w:right="980"/>
          <w:pgNumType w:start="101"/>
        </w:sectPr>
      </w:pPr>
    </w:p>
    <w:p>
      <w:pPr>
        <w:spacing w:line="240" w:lineRule="auto" w:before="0"/>
        <w:rPr>
          <w:rFonts w:ascii="宋体" w:hAnsi="宋体" w:cs="宋体" w:eastAsia="宋体" w:hint="default"/>
          <w:sz w:val="20"/>
          <w:szCs w:val="20"/>
        </w:rPr>
      </w:pPr>
    </w:p>
    <w:p>
      <w:pPr>
        <w:pStyle w:val="BodyText"/>
        <w:spacing w:line="408" w:lineRule="auto" w:before="174"/>
        <w:ind w:right="338"/>
        <w:jc w:val="both"/>
      </w:pPr>
      <w:r>
        <w:rPr/>
        <w:t>行为，不存在超越公司股东大会直接或间接干预公司的决策和经营活动的行为，未损害公司及其他股东 的利益，不存在控股股东占用公司资金的现象，公司亦无为控股股东提供担保的情形。公司拥有独立完 整的业务和自主经营能力，在业务、资产、人员、机构、财务上独立于控股股东。</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3"/>
          <w:szCs w:val="23"/>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276"/>
        <w:gridCol w:w="1276"/>
        <w:gridCol w:w="1417"/>
        <w:gridCol w:w="1560"/>
        <w:gridCol w:w="1842"/>
        <w:gridCol w:w="219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both"/>
              <w:rPr>
                <w:rFonts w:ascii="宋体" w:hAnsi="宋体" w:cs="宋体" w:eastAsia="宋体" w:hint="default"/>
                <w:sz w:val="18"/>
                <w:szCs w:val="18"/>
              </w:rPr>
            </w:pPr>
            <w:r>
              <w:rPr>
                <w:rFonts w:ascii="宋体" w:hAnsi="宋体" w:cs="宋体" w:eastAsia="宋体" w:hint="default"/>
                <w:spacing w:val="-9"/>
                <w:sz w:val="18"/>
                <w:szCs w:val="18"/>
              </w:rPr>
              <w:t>巨潮资讯网，《</w:t>
            </w:r>
            <w:r>
              <w:rPr>
                <w:rFonts w:ascii="Times New Roman" w:hAnsi="Times New Roman" w:cs="Times New Roman" w:eastAsia="Times New Roman" w:hint="default"/>
                <w:spacing w:val="-9"/>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 </w:t>
            </w:r>
            <w:r>
              <w:rPr>
                <w:rFonts w:ascii="宋体" w:hAnsi="宋体" w:cs="宋体" w:eastAsia="宋体" w:hint="default"/>
                <w:spacing w:val="-8"/>
                <w:sz w:val="18"/>
                <w:szCs w:val="18"/>
              </w:rPr>
              <w:t>股东大会决议公告》（公告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2017-24</w:t>
            </w:r>
            <w:r>
              <w:rPr>
                <w:rFonts w:ascii="宋体" w:hAnsi="宋体" w:cs="宋体" w:eastAsia="宋体" w:hint="default"/>
                <w:sz w:val="18"/>
                <w:szCs w:val="18"/>
              </w:rPr>
              <w:t>）</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11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0"/>
              <w:jc w:val="left"/>
              <w:rPr>
                <w:rFonts w:ascii="宋体" w:hAnsi="宋体" w:cs="宋体" w:eastAsia="宋体" w:hint="default"/>
                <w:sz w:val="18"/>
                <w:szCs w:val="18"/>
              </w:rPr>
            </w:pPr>
            <w:r>
              <w:rPr>
                <w:rFonts w:ascii="宋体" w:hAnsi="宋体" w:cs="宋体" w:eastAsia="宋体" w:hint="default"/>
                <w:spacing w:val="-9"/>
                <w:sz w:val="18"/>
                <w:szCs w:val="18"/>
              </w:rPr>
              <w:t>巨潮资讯网，《</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w:t>
            </w:r>
            <w:r>
              <w:rPr>
                <w:rFonts w:ascii="宋体" w:hAnsi="宋体" w:cs="宋体" w:eastAsia="宋体" w:hint="default"/>
                <w:spacing w:val="-82"/>
                <w:sz w:val="18"/>
                <w:szCs w:val="18"/>
              </w:rPr>
              <w:t> </w:t>
            </w:r>
            <w:r>
              <w:rPr>
                <w:rFonts w:ascii="宋体" w:hAnsi="宋体" w:cs="宋体" w:eastAsia="宋体" w:hint="default"/>
                <w:sz w:val="18"/>
                <w:szCs w:val="18"/>
              </w:rPr>
              <w:t>次临时股东大会决议公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2017-63</w:t>
            </w:r>
            <w:r>
              <w:rPr>
                <w:rFonts w:ascii="宋体" w:hAnsi="宋体" w:cs="宋体" w:eastAsia="宋体" w:hint="default"/>
                <w:spacing w:val="-6"/>
                <w:sz w:val="18"/>
                <w:szCs w:val="18"/>
              </w:rPr>
              <w:t>）</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134"/>
        <w:gridCol w:w="1276"/>
        <w:gridCol w:w="992"/>
        <w:gridCol w:w="1276"/>
        <w:gridCol w:w="1134"/>
        <w:gridCol w:w="992"/>
        <w:gridCol w:w="1602"/>
        <w:gridCol w:w="1164"/>
      </w:tblGrid>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1" w:right="110" w:hanging="360"/>
              <w:jc w:val="left"/>
              <w:rPr>
                <w:rFonts w:ascii="宋体" w:hAnsi="宋体" w:cs="宋体" w:eastAsia="宋体" w:hint="default"/>
                <w:sz w:val="18"/>
                <w:szCs w:val="18"/>
              </w:rPr>
            </w:pPr>
            <w:r>
              <w:rPr>
                <w:rFonts w:ascii="宋体" w:hAnsi="宋体" w:cs="宋体" w:eastAsia="宋体" w:hint="default"/>
                <w:sz w:val="18"/>
                <w:szCs w:val="18"/>
              </w:rPr>
              <w:t>独立董事姓 名</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30" w:right="41"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1" w:right="110"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0" w:right="41"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4"/>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97"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蔡志平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bl>
    <w:p>
      <w:pPr>
        <w:spacing w:line="357" w:lineRule="auto" w:before="51"/>
        <w:ind w:left="153" w:right="7071"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2"/>
        <w:ind w:right="320" w:firstLine="420"/>
        <w:jc w:val="left"/>
      </w:pPr>
      <w:r>
        <w:rPr/>
        <w:t>报告期内，公司独立董事根据《公司法》、《证券法》、《深圳证券交易所创业板上市公司规范运 作指引》、《深圳证券交易所创业板股票上市规则》、《关于在上市公司建立独立董事制度的指导意 见》等有关法律法规及《公司章程》、《独立董事制度》的有关要求，勤勉尽责，积极利用参加股东大 会、董事会的机会，结合自身的专业特长，对公司的制度完善和日常经营决策等方面提出了很多宝贵的 专业性建议，对报告期内公司发生的利润分配、聘请年报财务审计机构、公司关联交易事项、对外投资 等事项发表了独立、公正的意见，为完善公司监督机制，维护公司和全体股东的合法权益起到了应有的 作用。</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320" w:firstLine="420"/>
        <w:jc w:val="left"/>
      </w:pPr>
      <w:r>
        <w:rPr/>
        <w:t>公司董事会下设审计委员会、战略委员会、薪酬与考核委员会及提名委员会。各专门委员会在报告 期内的履职情况如下：</w:t>
      </w:r>
    </w:p>
    <w:p>
      <w:pPr>
        <w:pStyle w:val="BodyText"/>
        <w:spacing w:line="408" w:lineRule="auto" w:before="46"/>
        <w:ind w:left="574" w:right="320"/>
        <w:jc w:val="left"/>
      </w:pPr>
      <w:r>
        <w:rPr/>
        <w:t>(一)审计委员会的履职情况： 报告期内，董事会审计委员会严格按照《董事会审计委员会工作细则》的相关要求，共召开审计委</w:t>
      </w:r>
    </w:p>
    <w:p>
      <w:pPr>
        <w:pStyle w:val="BodyText"/>
        <w:spacing w:line="408" w:lineRule="auto" w:before="46"/>
        <w:ind w:right="215"/>
        <w:jc w:val="left"/>
      </w:pPr>
      <w:r>
        <w:rPr/>
        <w:t>员会会议4次，对公司全年生产经营情况、内控制度体系建立情况、财务信息等进行了审核和监督，审议 了定期报告、内部控制自我评价报告、会计政策变更等事项，并保持与年审会计师的沟通，切实履行了 审计委员会工作职责。</w:t>
      </w:r>
    </w:p>
    <w:p>
      <w:pPr>
        <w:pStyle w:val="BodyText"/>
        <w:spacing w:line="408" w:lineRule="auto" w:before="46"/>
        <w:ind w:left="574" w:right="320" w:firstLine="105"/>
        <w:jc w:val="left"/>
      </w:pPr>
      <w:r>
        <w:rPr/>
        <w:t>(二)</w:t>
      </w:r>
      <w:r>
        <w:rPr>
          <w:spacing w:val="-1"/>
        </w:rPr>
        <w:t> </w:t>
      </w:r>
      <w:r>
        <w:rPr/>
        <w:t>战略委员会履职情况：</w:t>
      </w:r>
      <w:r>
        <w:rPr/>
        <w:t> 报告期内，董事会战略委员会严格按照《董事会战略委员会工作细则》的相关要求，共召开战略委</w:t>
      </w:r>
    </w:p>
    <w:p>
      <w:pPr>
        <w:pStyle w:val="BodyText"/>
        <w:spacing w:line="408" w:lineRule="auto" w:before="46"/>
        <w:ind w:right="215"/>
        <w:jc w:val="left"/>
      </w:pPr>
      <w:r>
        <w:rPr/>
        <w:t>员会会议1次，结合公司所处行业发展情况及公司自身发展状况，对公司长期发展战略和重大投资决策进 行审议并提出建议。</w:t>
      </w:r>
    </w:p>
    <w:p>
      <w:pPr>
        <w:pStyle w:val="BodyText"/>
        <w:spacing w:line="408" w:lineRule="auto" w:before="46"/>
        <w:ind w:left="574" w:right="320" w:firstLine="105"/>
        <w:jc w:val="left"/>
      </w:pPr>
      <w:r>
        <w:rPr/>
        <w:t>(三)薪酬与考核委员会履职情况： 报告期内，董事会薪酬与考核委员会严格按照《董事会薪酬与考核委员会工作细则》的相关要求，</w:t>
      </w:r>
    </w:p>
    <w:p>
      <w:pPr>
        <w:pStyle w:val="BodyText"/>
        <w:spacing w:line="408" w:lineRule="auto" w:before="46"/>
        <w:ind w:right="215"/>
        <w:jc w:val="left"/>
      </w:pPr>
      <w:r>
        <w:rPr/>
        <w:t>共召开薪酬与考核委员会会议3次，对公司2017年度董监高的薪酬及第二期限制性股票激励计划等事项进 行了审议并提出建议，切实履行了薪酬与考核委员会的职能。</w:t>
      </w:r>
    </w:p>
    <w:p>
      <w:pPr>
        <w:pStyle w:val="BodyText"/>
        <w:spacing w:line="240" w:lineRule="auto" w:before="46"/>
        <w:ind w:left="574" w:right="0"/>
        <w:jc w:val="left"/>
      </w:pPr>
      <w:r>
        <w:rPr/>
        <w:t>(四)</w:t>
      </w:r>
      <w:r>
        <w:rPr>
          <w:spacing w:val="-2"/>
        </w:rPr>
        <w:t> </w:t>
      </w:r>
      <w:r>
        <w:rPr/>
        <w:t>提名委员会履职情况：</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320" w:firstLine="420"/>
        <w:jc w:val="left"/>
      </w:pPr>
      <w:r>
        <w:rPr/>
        <w:t>报告期内，董事会提名委员会严格按照《董事会提名委员会工作细则》的相关要求召开专业委员会 会议2次，对公司选举的高级管理人员的任职资格进行了审查，切实履行了提名委员会的职能。</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七、监事会工作情况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217" w:firstLine="420"/>
        <w:jc w:val="left"/>
      </w:pPr>
      <w:r>
        <w:rPr/>
        <w:t>公司按照《高级管理人员薪酬管理制度》建立了完善的高级管理人员绩效考评体系和激励约束制机 制，高级管理人员的工作绩效与其收入直接挂钩。高级管理人员的聘任公开、透明，符合法律、法规的 规定。公司董事会下设的薪酬和考核委员会负责对公司董事及高级管理人员进行绩效考核。高级管理人 员的激励情况详见“第八节</w:t>
      </w:r>
      <w:r>
        <w:rPr>
          <w:spacing w:val="-2"/>
        </w:rPr>
        <w:t> </w:t>
      </w:r>
      <w:r>
        <w:rPr/>
        <w:t>董事、监事、高级管理人员和员工情况”之“四、董事、监事、高级管理人</w:t>
      </w:r>
      <w:r>
        <w:rPr/>
        <w:t> 员报酬情况”相关内容。</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694"/>
        <w:gridCol w:w="3542"/>
        <w:gridCol w:w="3331"/>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74" w:type="dxa"/>
            <w:gridSpan w:val="2"/>
            <w:vMerge w:val="restart"/>
            <w:tcBorders>
              <w:top w:val="single" w:sz="4" w:space="0" w:color="000000"/>
              <w:left w:val="single" w:sz="4" w:space="0" w:color="000000"/>
              <w:right w:val="single" w:sz="4" w:space="0" w:color="000000"/>
            </w:tcBorders>
          </w:tcPr>
          <w:p>
            <w:pPr>
              <w:pStyle w:val="TableParagraph"/>
              <w:spacing w:line="300" w:lineRule="auto" w:before="51"/>
              <w:ind w:left="22" w:right="315"/>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日在巨潮资讯网刊登的《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 告》</w:t>
            </w:r>
          </w:p>
        </w:tc>
      </w:tr>
      <w:tr>
        <w:trPr>
          <w:trHeight w:val="39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74" w:type="dxa"/>
            <w:gridSpan w:val="2"/>
            <w:vMerge/>
            <w:tcBorders>
              <w:left w:val="single" w:sz="4" w:space="0" w:color="000000"/>
              <w:right w:val="single" w:sz="4" w:space="0" w:color="000000"/>
            </w:tcBorders>
          </w:tcPr>
          <w:p>
            <w:pPr/>
          </w:p>
        </w:tc>
      </w:tr>
      <w:tr>
        <w:trPr>
          <w:trHeight w:val="161"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74" w:type="dxa"/>
            <w:gridSpan w:val="2"/>
            <w:vMerge/>
            <w:tcBorders>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74"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74"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5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08"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542"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①具有以下特征之一的缺陷，应认定为重大 缺陷：该缺陷涉及董事、监事和高级管理人 员舞弊；控制环境无效；注册会计师发现当 期财务报表存在重大错报，而内部控制在运 行过程中未能发现该错报；公司审计委员会</w:t>
            </w:r>
          </w:p>
        </w:tc>
        <w:tc>
          <w:tcPr>
            <w:tcW w:w="333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56"/>
              <w:jc w:val="both"/>
              <w:rPr>
                <w:rFonts w:ascii="宋体" w:hAnsi="宋体" w:cs="宋体" w:eastAsia="宋体" w:hint="default"/>
                <w:sz w:val="18"/>
                <w:szCs w:val="18"/>
              </w:rPr>
            </w:pPr>
            <w:r>
              <w:rPr>
                <w:rFonts w:ascii="宋体" w:hAnsi="宋体" w:cs="宋体" w:eastAsia="宋体" w:hint="default"/>
                <w:sz w:val="18"/>
                <w:szCs w:val="18"/>
              </w:rPr>
              <w:t>①重大缺陷：严重违犯国家法律、行政法 规和规范性文件；关键岗位管理人员和技 术人员流失严重；媒体负面报道频现经查 属实；涉及公司生产经营的重要业务缺乏 制度控制或制度系统失效；信息披露内部</w:t>
            </w:r>
          </w:p>
        </w:tc>
      </w:tr>
      <w:tr>
        <w:trPr>
          <w:trHeight w:val="39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42" w:type="dxa"/>
            <w:vMerge/>
            <w:tcBorders>
              <w:left w:val="single" w:sz="4" w:space="0" w:color="000000"/>
              <w:right w:val="single" w:sz="4" w:space="0" w:color="000000"/>
            </w:tcBorders>
          </w:tcPr>
          <w:p>
            <w:pPr/>
          </w:p>
        </w:tc>
        <w:tc>
          <w:tcPr>
            <w:tcW w:w="3331" w:type="dxa"/>
            <w:vMerge/>
            <w:tcBorders>
              <w:left w:val="single" w:sz="4" w:space="0" w:color="000000"/>
              <w:right w:val="single" w:sz="4" w:space="0" w:color="000000"/>
            </w:tcBorders>
          </w:tcPr>
          <w:p>
            <w:pPr/>
          </w:p>
        </w:tc>
      </w:tr>
      <w:tr>
        <w:trPr>
          <w:trHeight w:val="610"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542" w:type="dxa"/>
            <w:vMerge/>
            <w:tcBorders>
              <w:left w:val="single" w:sz="4" w:space="0" w:color="000000"/>
              <w:bottom w:val="single" w:sz="4" w:space="0" w:color="000000"/>
              <w:right w:val="single" w:sz="4" w:space="0" w:color="000000"/>
            </w:tcBorders>
          </w:tcPr>
          <w:p>
            <w:pPr/>
          </w:p>
        </w:tc>
        <w:tc>
          <w:tcPr>
            <w:tcW w:w="333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82" w:type="dxa"/>
        <w:tblLayout w:type="fixed"/>
        <w:tblCellMar>
          <w:top w:w="0" w:type="dxa"/>
          <w:left w:w="0" w:type="dxa"/>
          <w:bottom w:w="0" w:type="dxa"/>
          <w:right w:w="0" w:type="dxa"/>
        </w:tblCellMar>
        <w:tblLook w:val="01E0"/>
      </w:tblPr>
      <w:tblGrid>
        <w:gridCol w:w="2693"/>
        <w:gridCol w:w="3543"/>
        <w:gridCol w:w="3331"/>
      </w:tblGrid>
      <w:tr>
        <w:trPr>
          <w:trHeight w:val="317" w:hRule="exact"/>
        </w:trPr>
        <w:tc>
          <w:tcPr>
            <w:tcW w:w="2693" w:type="dxa"/>
            <w:vMerge w:val="restart"/>
            <w:tcBorders>
              <w:top w:val="single" w:sz="4" w:space="0" w:color="000000"/>
              <w:left w:val="single" w:sz="4" w:space="0" w:color="000000"/>
              <w:right w:val="single" w:sz="4" w:space="0" w:color="000000"/>
            </w:tcBorders>
            <w:shd w:val="clear" w:color="auto" w:fill="D3D3D3"/>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和内部审计机构对内部控制的监督无效。</w:t>
            </w:r>
          </w:p>
        </w:tc>
        <w:tc>
          <w:tcPr>
            <w:tcW w:w="333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控制失效，导致公司被监管部门公开谴</w:t>
            </w:r>
          </w:p>
        </w:tc>
      </w:tr>
      <w:tr>
        <w:trPr>
          <w:trHeight w:val="312" w:hRule="exact"/>
        </w:trPr>
        <w:tc>
          <w:tcPr>
            <w:tcW w:w="2693" w:type="dxa"/>
            <w:vMerge/>
            <w:tcBorders>
              <w:left w:val="single" w:sz="4" w:space="0" w:color="000000"/>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②具有以下情况之一的，应认定为重要缺</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责；内部控制评价的结果特别是重大缺陷</w:t>
            </w:r>
          </w:p>
        </w:tc>
      </w:tr>
      <w:tr>
        <w:trPr>
          <w:trHeight w:val="312" w:hRule="exact"/>
        </w:trPr>
        <w:tc>
          <w:tcPr>
            <w:tcW w:w="2693" w:type="dxa"/>
            <w:vMerge/>
            <w:tcBorders>
              <w:left w:val="single" w:sz="4" w:space="0" w:color="000000"/>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陷：沟通后的重要缺陷没有在合理的期间得</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或重要缺陷未得到整改。②重要缺陷：一</w:t>
            </w:r>
          </w:p>
        </w:tc>
      </w:tr>
      <w:tr>
        <w:trPr>
          <w:trHeight w:val="312" w:hRule="exact"/>
        </w:trPr>
        <w:tc>
          <w:tcPr>
            <w:tcW w:w="2693" w:type="dxa"/>
            <w:vMerge/>
            <w:tcBorders>
              <w:left w:val="single" w:sz="4" w:space="0" w:color="000000"/>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到纠正；更正已经公布的财务报表；公司内</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个或多个缺陷组合，其严重程度和经济后</w:t>
            </w:r>
          </w:p>
        </w:tc>
      </w:tr>
      <w:tr>
        <w:trPr>
          <w:trHeight w:val="312" w:hRule="exact"/>
        </w:trPr>
        <w:tc>
          <w:tcPr>
            <w:tcW w:w="2693" w:type="dxa"/>
            <w:vMerge/>
            <w:tcBorders>
              <w:left w:val="single" w:sz="4" w:space="0" w:color="000000"/>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部审计职能无效；对于是否根据一般公认会</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果低于重大缺陷，但仍可能导致公司偏离</w:t>
            </w:r>
          </w:p>
        </w:tc>
      </w:tr>
      <w:tr>
        <w:trPr>
          <w:trHeight w:val="312" w:hRule="exact"/>
        </w:trPr>
        <w:tc>
          <w:tcPr>
            <w:tcW w:w="2693" w:type="dxa"/>
            <w:vMerge/>
            <w:tcBorders>
              <w:left w:val="single" w:sz="4" w:space="0" w:color="000000"/>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计原则对会计政策进行选择和应用的控制无</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控制目标的缺陷。③一般缺陷：不构成重</w:t>
            </w:r>
          </w:p>
        </w:tc>
      </w:tr>
      <w:tr>
        <w:trPr>
          <w:trHeight w:val="313" w:hRule="exact"/>
        </w:trPr>
        <w:tc>
          <w:tcPr>
            <w:tcW w:w="2693" w:type="dxa"/>
            <w:vMerge/>
            <w:tcBorders>
              <w:left w:val="single" w:sz="4" w:space="0" w:color="000000"/>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效。③一般缺陷：除上述重大缺陷、重要缺</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大缺陷或重要缺陷的其他内部控制缺陷。</w:t>
            </w:r>
          </w:p>
        </w:tc>
      </w:tr>
      <w:tr>
        <w:trPr>
          <w:trHeight w:val="356" w:hRule="exact"/>
        </w:trPr>
        <w:tc>
          <w:tcPr>
            <w:tcW w:w="2693" w:type="dxa"/>
            <w:vMerge/>
            <w:tcBorders>
              <w:left w:val="single" w:sz="4" w:space="0" w:color="000000"/>
              <w:bottom w:val="single" w:sz="4" w:space="0" w:color="000000"/>
              <w:right w:val="single" w:sz="4" w:space="0" w:color="000000"/>
            </w:tcBorders>
            <w:shd w:val="clear" w:color="auto" w:fill="D3D3D3"/>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陷外的其他控制缺陷。</w:t>
            </w:r>
          </w:p>
        </w:tc>
        <w:tc>
          <w:tcPr>
            <w:tcW w:w="3331"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693" w:type="dxa"/>
            <w:tcBorders>
              <w:top w:val="single" w:sz="4" w:space="0" w:color="000000"/>
              <w:left w:val="single" w:sz="4" w:space="0" w:color="000000"/>
              <w:bottom w:val="nil" w:sz="6" w:space="0" w:color="auto"/>
              <w:right w:val="single" w:sz="4" w:space="0" w:color="000000"/>
            </w:tcBorders>
            <w:shd w:val="clear" w:color="auto" w:fill="D3D3D3"/>
          </w:tcPr>
          <w:p>
            <w:pPr/>
          </w:p>
        </w:tc>
        <w:tc>
          <w:tcPr>
            <w:tcW w:w="35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、符合下列条件之一的，认定为重大缺</w:t>
            </w:r>
          </w:p>
        </w:tc>
        <w:tc>
          <w:tcPr>
            <w:tcW w:w="3331"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陷：涉及资产、负债的错报 ，错报金额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并报表最近一个会计年度经审计资产总额</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 涉及净资产的错报，错报金额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报表最近一个会计年度经审计净资产总额</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；涉及损益的错报 ，错报金额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表最近一个会计年度经审计收入总额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、符合下列条件之一的，认定为重要缺</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陷：涉及资产、负债的错报 ，合并报表最</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近一个会计年度经审计资产总额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、重大缺陷：缺陷导致的直接损失金额</w:t>
            </w:r>
            <w:r>
              <w:rPr>
                <w:rFonts w:ascii="Times New Roman" w:hAnsi="Times New Roman" w:cs="Times New Roman" w:eastAsia="Times New Roman" w:hint="default"/>
                <w:sz w:val="18"/>
                <w:szCs w:val="18"/>
              </w:rPr>
              <w:t>&gt;</w:t>
            </w:r>
          </w:p>
        </w:tc>
      </w:tr>
      <w:tr>
        <w:trPr>
          <w:trHeight w:val="311"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合并报表最近一个会计年度经审计资产</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合并报表最近一期经审计净资产的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12"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总额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；涉及净资产的错报，合并报表最</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、重要缺陷：合并报表最近一期经审计</w:t>
            </w:r>
          </w:p>
        </w:tc>
      </w:tr>
      <w:tr>
        <w:trPr>
          <w:trHeight w:val="312"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近一个会计年度经审计净资产总额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5%&lt;</w:t>
            </w:r>
            <w:r>
              <w:rPr>
                <w:rFonts w:ascii="宋体" w:hAnsi="宋体" w:cs="宋体" w:eastAsia="宋体" w:hint="default"/>
                <w:sz w:val="18"/>
                <w:szCs w:val="18"/>
              </w:rPr>
              <w:t>缺陷导致的直接损失金额</w:t>
            </w:r>
            <w:r>
              <w:rPr>
                <w:rFonts w:ascii="Times New Roman" w:hAnsi="Times New Roman" w:cs="Times New Roman" w:eastAsia="Times New Roman" w:hint="default"/>
                <w:sz w:val="18"/>
                <w:szCs w:val="18"/>
              </w:rPr>
              <w:t>≤</w:t>
            </w:r>
          </w:p>
        </w:tc>
      </w:tr>
      <w:tr>
        <w:trPr>
          <w:trHeight w:val="312"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合并报表最近一个会计年度经审计净</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合并报表最近一期经审计净资产的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r>
      <w:tr>
        <w:trPr>
          <w:trHeight w:val="312"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资产总额 </w:t>
            </w:r>
            <w:r>
              <w:rPr>
                <w:rFonts w:ascii="Times New Roman" w:hAnsi="Times New Roman" w:cs="Times New Roman" w:eastAsia="Times New Roman" w:hint="default"/>
                <w:sz w:val="18"/>
                <w:szCs w:val="18"/>
              </w:rPr>
              <w:t>5%  </w:t>
            </w:r>
            <w:r>
              <w:rPr>
                <w:rFonts w:ascii="宋体" w:hAnsi="宋体" w:cs="宋体" w:eastAsia="宋体" w:hint="default"/>
                <w:sz w:val="18"/>
                <w:szCs w:val="18"/>
              </w:rPr>
              <w:t>；涉及损益的错报</w:t>
            </w:r>
            <w:r>
              <w:rPr>
                <w:rFonts w:ascii="宋体" w:hAnsi="宋体" w:cs="宋体" w:eastAsia="宋体" w:hint="default"/>
                <w:spacing w:val="-46"/>
                <w:sz w:val="18"/>
                <w:szCs w:val="18"/>
              </w:rPr>
              <w:t> </w:t>
            </w:r>
            <w:r>
              <w:rPr>
                <w:rFonts w:ascii="宋体" w:hAnsi="宋体" w:cs="宋体" w:eastAsia="宋体" w:hint="default"/>
                <w:sz w:val="18"/>
                <w:szCs w:val="18"/>
              </w:rPr>
              <w:t>，合并报</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、一般缺陷：缺陷导致的直接损失金额</w:t>
            </w:r>
            <w:r>
              <w:rPr>
                <w:rFonts w:ascii="Times New Roman" w:hAnsi="Times New Roman" w:cs="Times New Roman" w:eastAsia="Times New Roman" w:hint="default"/>
                <w:sz w:val="18"/>
                <w:szCs w:val="18"/>
              </w:rPr>
              <w:t>≤</w:t>
            </w:r>
          </w:p>
        </w:tc>
      </w:tr>
      <w:tr>
        <w:trPr>
          <w:trHeight w:val="313"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表最近一个会计年度经审计收入总额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w:t>
            </w:r>
          </w:p>
        </w:tc>
        <w:tc>
          <w:tcPr>
            <w:tcW w:w="333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合并报表最近一期经审计净资产的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r>
        <w:trPr>
          <w:trHeight w:val="311"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合并报表最近一个会计年度经审计</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收入总额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、符合下列条件之一的，</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认定为一般缺陷：涉及资产、负债的错</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1"/>
                <w:sz w:val="18"/>
                <w:szCs w:val="18"/>
              </w:rPr>
              <w: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经审计资产总额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；涉及净资产的错报，</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计净资产总额 </w:t>
            </w:r>
            <w:r>
              <w:rPr>
                <w:rFonts w:ascii="Times New Roman" w:hAnsi="Times New Roman" w:cs="Times New Roman" w:eastAsia="Times New Roman" w:hint="default"/>
                <w:sz w:val="18"/>
                <w:szCs w:val="18"/>
              </w:rPr>
              <w:t>3%  </w:t>
            </w:r>
            <w:r>
              <w:rPr>
                <w:rFonts w:ascii="宋体" w:hAnsi="宋体" w:cs="宋体" w:eastAsia="宋体" w:hint="default"/>
                <w:sz w:val="18"/>
                <w:szCs w:val="18"/>
              </w:rPr>
              <w:t>；涉及损益的错报</w:t>
            </w:r>
            <w:r>
              <w:rPr>
                <w:rFonts w:ascii="宋体" w:hAnsi="宋体" w:cs="宋体" w:eastAsia="宋体" w:hint="default"/>
                <w:spacing w:val="-46"/>
                <w:sz w:val="18"/>
                <w:szCs w:val="18"/>
              </w:rPr>
              <w:t> </w:t>
            </w:r>
            <w:r>
              <w:rPr>
                <w:rFonts w:ascii="宋体" w:hAnsi="宋体" w:cs="宋体" w:eastAsia="宋体" w:hint="default"/>
                <w:sz w:val="18"/>
                <w:szCs w:val="18"/>
              </w:rPr>
              <w:t>，错</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693" w:type="dxa"/>
            <w:tcBorders>
              <w:top w:val="nil" w:sz="6" w:space="0" w:color="auto"/>
              <w:left w:val="single" w:sz="4" w:space="0" w:color="000000"/>
              <w:bottom w:val="nil" w:sz="6" w:space="0" w:color="auto"/>
              <w:right w:val="single" w:sz="4" w:space="0" w:color="000000"/>
            </w:tcBorders>
            <w:shd w:val="clear" w:color="auto" w:fill="D3D3D3"/>
          </w:tcPr>
          <w:p>
            <w:pPr/>
          </w:p>
        </w:tc>
        <w:tc>
          <w:tcPr>
            <w:tcW w:w="35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合并报表最近一个会计年度经审计</w:t>
            </w:r>
          </w:p>
        </w:tc>
        <w:tc>
          <w:tcPr>
            <w:tcW w:w="333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693" w:type="dxa"/>
            <w:tcBorders>
              <w:top w:val="nil" w:sz="6" w:space="0" w:color="auto"/>
              <w:left w:val="single" w:sz="4" w:space="0" w:color="000000"/>
              <w:bottom w:val="single" w:sz="4" w:space="0" w:color="000000"/>
              <w:right w:val="single" w:sz="4" w:space="0" w:color="000000"/>
            </w:tcBorders>
            <w:shd w:val="clear" w:color="auto" w:fill="D3D3D3"/>
          </w:tcPr>
          <w:p>
            <w:pPr/>
          </w:p>
        </w:tc>
        <w:tc>
          <w:tcPr>
            <w:tcW w:w="35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收入总额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tc>
        <w:tc>
          <w:tcPr>
            <w:tcW w:w="3331"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t>内部控制鉴证报告</w:t>
      </w:r>
    </w:p>
    <w:p>
      <w:pPr>
        <w:spacing w:after="0" w:line="240" w:lineRule="auto"/>
        <w:jc w:val="lef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美亚柏科公司于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日在所有重大方面有效地保持了按照《企业内部控制基本规范》建立的与财务报表相关 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披露于巨潮资讯网</w:t>
            </w:r>
            <w:r>
              <w:rPr>
                <w:rFonts w:ascii="宋体" w:hAnsi="宋体" w:cs="宋体" w:eastAsia="宋体" w:hint="default"/>
                <w:spacing w:val="-53"/>
                <w:sz w:val="18"/>
                <w:szCs w:val="18"/>
              </w:rPr>
              <w:t> </w:t>
            </w:r>
            <w:hyperlink r:id="rId11">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《内部控制鉴证报告》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360" w:lineRule="auto" w:before="51"/>
        <w:ind w:left="153" w:right="4191" w:firstLine="0"/>
        <w:jc w:val="left"/>
        <w:rPr>
          <w:rFonts w:ascii="宋体" w:hAnsi="宋体" w:cs="宋体" w:eastAsia="宋体" w:hint="default"/>
          <w:sz w:val="18"/>
          <w:szCs w:val="18"/>
        </w:rPr>
      </w:pPr>
      <w:r>
        <w:rPr>
          <w:rFonts w:ascii="宋体" w:hAnsi="宋体" w:cs="宋体" w:eastAsia="宋体" w:hint="default"/>
          <w:sz w:val="18"/>
          <w:szCs w:val="18"/>
        </w:rPr>
        <w:t>注：披露索引可以披露公告的编号、公告名称、公告披露的网站名称。 会计师事务所是否出具非标准意见的内部控制鉴证报告</w:t>
      </w:r>
    </w:p>
    <w:p>
      <w:pPr>
        <w:spacing w:line="360" w:lineRule="auto" w:before="26"/>
        <w:ind w:left="153" w:right="5271"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会计师事务所出具非标准意见的内部控制鉴证报告的说明</w:t>
      </w:r>
    </w:p>
    <w:p>
      <w:pPr>
        <w:spacing w:before="26"/>
        <w:ind w:left="153" w:right="0" w:firstLine="0"/>
        <w:jc w:val="left"/>
        <w:rPr>
          <w:rFonts w:ascii="宋体" w:hAnsi="宋体" w:cs="宋体" w:eastAsia="宋体" w:hint="default"/>
          <w:sz w:val="18"/>
          <w:szCs w:val="18"/>
        </w:rPr>
      </w:pPr>
      <w:r>
        <w:rPr>
          <w:rFonts w:ascii="宋体" w:hAnsi="宋体" w:cs="宋体" w:eastAsia="宋体" w:hint="default"/>
          <w:sz w:val="18"/>
          <w:szCs w:val="18"/>
        </w:rPr>
        <w:t>会计师事务所出具的内部控制鉴证报告与董事会的自我评价报告意见是否一致</w:t>
      </w:r>
    </w:p>
    <w:p>
      <w:pPr>
        <w:spacing w:line="360" w:lineRule="auto" w:before="116"/>
        <w:ind w:left="153" w:right="2931" w:firstLine="0"/>
        <w:jc w:val="left"/>
        <w:rPr>
          <w:rFonts w:ascii="宋体" w:hAnsi="宋体" w:cs="宋体" w:eastAsia="宋体" w:hint="default"/>
          <w:sz w:val="18"/>
          <w:szCs w:val="18"/>
        </w:rPr>
      </w:pPr>
      <w:r>
        <w:rPr>
          <w:rFonts w:ascii="宋体" w:hAnsi="宋体" w:cs="宋体" w:eastAsia="宋体" w:hint="default"/>
          <w:sz w:val="18"/>
          <w:szCs w:val="18"/>
        </w:rPr>
        <w:t>√ 是 □ 否 会计师事务所出具的内部控制鉴证报告与董事会的自我评价报告意见不一致的原因说明</w:t>
      </w:r>
    </w:p>
    <w:p>
      <w:pPr>
        <w:spacing w:after="0" w:line="36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0"/>
      <w:r>
        <w:rPr/>
        <w:t>第十节</w:t>
      </w:r>
      <w:r>
        <w:rPr>
          <w:spacing w:val="-9"/>
        </w:rPr>
        <w:t> </w:t>
      </w:r>
      <w:r>
        <w:rPr/>
        <w:t>公司债券相关情况</w:t>
      </w:r>
      <w:bookmarkEnd w:id="10"/>
      <w:r>
        <w:rPr>
          <w:b w:val="0"/>
          <w:bCs w:val="0"/>
        </w:rPr>
      </w:r>
    </w:p>
    <w:p>
      <w:pPr>
        <w:spacing w:line="240" w:lineRule="auto" w:before="8"/>
        <w:rPr>
          <w:rFonts w:ascii="宋体" w:hAnsi="宋体" w:cs="宋体" w:eastAsia="宋体" w:hint="default"/>
          <w:b/>
          <w:bCs/>
          <w:sz w:val="42"/>
          <w:szCs w:val="42"/>
        </w:rPr>
      </w:pPr>
    </w:p>
    <w:p>
      <w:pPr>
        <w:spacing w:line="357" w:lineRule="auto" w:before="0"/>
        <w:ind w:left="153" w:right="1131"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675"/>
        <w:jc w:val="center"/>
        <w:rPr>
          <w:b w:val="0"/>
          <w:bCs w:val="0"/>
        </w:rPr>
      </w:pPr>
      <w:bookmarkStart w:name="_TOC_250001" w:id="11"/>
      <w:r>
        <w:rPr/>
        <w:t>第十一节</w:t>
      </w:r>
      <w:r>
        <w:rPr>
          <w:spacing w:val="-7"/>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350ZA0135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周俊超、余道前</w:t>
            </w:r>
          </w:p>
        </w:tc>
      </w:tr>
    </w:tbl>
    <w:p>
      <w:pPr>
        <w:spacing w:before="51"/>
        <w:ind w:left="676" w:right="674"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3"/>
        <w:rPr>
          <w:rFonts w:ascii="宋体" w:hAnsi="宋体" w:cs="宋体" w:eastAsia="宋体" w:hint="default"/>
          <w:sz w:val="10"/>
          <w:szCs w:val="10"/>
        </w:rPr>
      </w:pPr>
    </w:p>
    <w:p>
      <w:pPr>
        <w:pStyle w:val="BodyText"/>
        <w:spacing w:line="240" w:lineRule="auto" w:before="35"/>
        <w:ind w:left="0" w:right="148"/>
        <w:jc w:val="right"/>
      </w:pPr>
      <w:r>
        <w:rPr>
          <w:spacing w:val="-1"/>
        </w:rPr>
        <w:t>致同审字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350ZA0135</w:t>
      </w:r>
      <w:r>
        <w:rPr>
          <w:spacing w:val="-1"/>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3"/>
        <w:spacing w:line="513" w:lineRule="auto" w:before="35"/>
        <w:ind w:left="636" w:right="5555" w:hanging="483"/>
        <w:jc w:val="left"/>
        <w:rPr>
          <w:b w:val="0"/>
          <w:bCs w:val="0"/>
        </w:rPr>
      </w:pPr>
      <w:r>
        <w:rPr/>
        <w:t>厦门市美亚柏科信息股份有限公司全体股东：</w:t>
      </w:r>
      <w:r>
        <w:rPr>
          <w:w w:val="99"/>
        </w:rPr>
        <w:t> </w:t>
      </w:r>
      <w:r>
        <w:rPr/>
        <w:t>一、审计意见</w:t>
      </w:r>
      <w:r>
        <w:rPr>
          <w:b w:val="0"/>
          <w:bCs w:val="0"/>
        </w:rPr>
      </w:r>
    </w:p>
    <w:p>
      <w:pPr>
        <w:pStyle w:val="BodyText"/>
        <w:spacing w:line="386" w:lineRule="auto" w:before="73"/>
        <w:ind w:right="149" w:firstLine="480"/>
        <w:jc w:val="both"/>
      </w:pPr>
      <w:r>
        <w:rPr>
          <w:spacing w:val="-2"/>
        </w:rPr>
        <w:t>我们审计了厦门市美亚柏科信息股份有限公司（以下简称美亚柏科公司）财务报表，包括</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t> </w:t>
      </w: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2017</w:t>
      </w:r>
      <w:r>
        <w:rPr>
          <w:spacing w:val="-1"/>
        </w:rPr>
        <w:t>年度的合并及公司利润表、合并及公司现金流量表、合并及公司股东</w:t>
      </w:r>
      <w:r>
        <w:rPr>
          <w:spacing w:val="-86"/>
        </w:rPr>
        <w:t> </w:t>
      </w:r>
      <w:r>
        <w:rPr>
          <w:spacing w:val="-86"/>
        </w:rPr>
      </w:r>
      <w:r>
        <w:rPr/>
        <w:t>权益变动表以及相关财务报表附注。</w:t>
      </w:r>
    </w:p>
    <w:p>
      <w:pPr>
        <w:spacing w:line="240" w:lineRule="auto" w:before="2"/>
        <w:rPr>
          <w:rFonts w:ascii="宋体" w:hAnsi="宋体" w:cs="宋体" w:eastAsia="宋体" w:hint="default"/>
          <w:sz w:val="14"/>
          <w:szCs w:val="14"/>
        </w:rPr>
      </w:pPr>
    </w:p>
    <w:p>
      <w:pPr>
        <w:pStyle w:val="BodyText"/>
        <w:spacing w:line="240" w:lineRule="auto"/>
        <w:ind w:left="634" w:right="0"/>
        <w:jc w:val="left"/>
      </w:pPr>
      <w:r>
        <w:rPr/>
        <w:t>我们认为，后附的财务报表在所有重大方面按照企业会计准则的规定编制，公允反映了美亚柏科公司</w:t>
      </w:r>
    </w:p>
    <w:p>
      <w:pPr>
        <w:spacing w:line="240" w:lineRule="auto" w:before="10"/>
        <w:rPr>
          <w:rFonts w:ascii="宋体" w:hAnsi="宋体" w:cs="宋体" w:eastAsia="宋体" w:hint="default"/>
          <w:sz w:val="14"/>
          <w:szCs w:val="14"/>
        </w:rPr>
      </w:pPr>
    </w:p>
    <w:p>
      <w:pPr>
        <w:pStyle w:val="BodyText"/>
        <w:spacing w:line="484" w:lineRule="auto"/>
        <w:ind w:left="636" w:right="0" w:hanging="483"/>
        <w:jc w:val="left"/>
        <w:rPr>
          <w:rFonts w:ascii="宋体" w:hAnsi="宋体" w:cs="宋体" w:eastAsia="宋体"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2017</w:t>
      </w:r>
      <w:r>
        <w:rPr/>
        <w:t>年度的合并及公司的经营成果和现金流量。 </w:t>
      </w:r>
      <w:r>
        <w:rPr>
          <w:rFonts w:ascii="宋体" w:hAnsi="宋体" w:cs="宋体" w:eastAsia="宋体" w:hint="default"/>
          <w:b/>
          <w:bCs/>
        </w:rPr>
        <w:t>二、形成审计意见的基础</w:t>
      </w:r>
      <w:r>
        <w:rPr>
          <w:rFonts w:ascii="宋体" w:hAnsi="宋体" w:cs="宋体" w:eastAsia="宋体" w:hint="default"/>
        </w:rPr>
      </w:r>
    </w:p>
    <w:p>
      <w:pPr>
        <w:pStyle w:val="BodyText"/>
        <w:spacing w:line="393" w:lineRule="auto" w:before="99"/>
        <w:ind w:right="149" w:firstLine="495"/>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 </w:t>
      </w:r>
      <w:r>
        <w:rPr>
          <w:spacing w:val="-3"/>
        </w:rPr>
        <w:t>的责任</w:t>
      </w:r>
      <w:r>
        <w:rPr>
          <w:rFonts w:ascii="Times New Roman" w:hAnsi="Times New Roman" w:cs="Times New Roman" w:eastAsia="Times New Roman" w:hint="default"/>
          <w:spacing w:val="-3"/>
        </w:rPr>
        <w:t>”</w:t>
      </w:r>
      <w:r>
        <w:rPr>
          <w:spacing w:val="-3"/>
        </w:rPr>
        <w:t>部分进一步阐述了我们在这些准则下的责任。按照中国注册会计师职业道德守则，我们独立于美亚</w:t>
      </w:r>
      <w:r>
        <w:rPr>
          <w:spacing w:val="-80"/>
        </w:rPr>
        <w:t> </w:t>
      </w:r>
      <w:r>
        <w:rPr>
          <w:spacing w:val="-80"/>
        </w:rPr>
      </w:r>
      <w:r>
        <w:rPr>
          <w:spacing w:val="-1"/>
        </w:rPr>
        <w:t>柏科公司，并履行了职业道德方面的其他责任。我们相信，我们获取的审计证据是充分、适当的，为发表</w:t>
      </w:r>
      <w:r>
        <w:rPr>
          <w:spacing w:val="-83"/>
        </w:rPr>
        <w:t> </w:t>
      </w:r>
      <w:r>
        <w:rPr>
          <w:spacing w:val="-83"/>
        </w:rPr>
      </w:r>
      <w:r>
        <w:rPr/>
        <w:t>审计意见提供了基础。</w:t>
      </w:r>
    </w:p>
    <w:p>
      <w:pPr>
        <w:pStyle w:val="Heading3"/>
        <w:spacing w:line="240" w:lineRule="auto" w:before="178"/>
        <w:ind w:left="636" w:right="0"/>
        <w:jc w:val="left"/>
        <w:rPr>
          <w:b w:val="0"/>
          <w:bCs w:val="0"/>
        </w:rPr>
      </w:pPr>
      <w:r>
        <w:rPr/>
        <w:t>三、关键审计事项</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151" w:firstLine="495"/>
        <w:jc w:val="both"/>
      </w:pPr>
      <w:r>
        <w:rPr>
          <w:spacing w:val="-3"/>
        </w:rPr>
        <w:t>关键审计事项是我们根据职业判断，认为对本期财务报表审计最为重要的事项。这些事项的应对以对</w:t>
      </w:r>
      <w:r>
        <w:rPr/>
        <w:t> 财务报表整体进行审计并形成审计意见为背景，我们不对这些事项单独发表意见。</w:t>
      </w:r>
    </w:p>
    <w:p>
      <w:pPr>
        <w:pStyle w:val="BodyText"/>
        <w:spacing w:line="240" w:lineRule="auto" w:before="166"/>
        <w:ind w:left="649" w:right="0"/>
        <w:jc w:val="left"/>
      </w:pPr>
      <w:r>
        <w:rPr/>
        <w:t>（一）应收账款减值准备</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left="649" w:right="208"/>
        <w:jc w:val="left"/>
      </w:pPr>
      <w:r>
        <w:rPr/>
        <w:t>相关信息披露详见财务报表附注五之11应收款项政策、七之</w:t>
      </w:r>
      <w:r>
        <w:rPr>
          <w:rFonts w:ascii="Times New Roman" w:hAnsi="Times New Roman" w:cs="Times New Roman" w:eastAsia="Times New Roman" w:hint="default"/>
        </w:rPr>
        <w:t>5</w:t>
      </w:r>
      <w:r>
        <w:rPr/>
        <w:t>应收账款。</w:t>
      </w:r>
    </w:p>
    <w:p>
      <w:pPr>
        <w:spacing w:line="240" w:lineRule="auto" w:before="9"/>
        <w:rPr>
          <w:rFonts w:ascii="宋体" w:hAnsi="宋体" w:cs="宋体" w:eastAsia="宋体" w:hint="default"/>
          <w:sz w:val="22"/>
          <w:szCs w:val="22"/>
        </w:rPr>
      </w:pPr>
    </w:p>
    <w:p>
      <w:pPr>
        <w:pStyle w:val="BodyText"/>
        <w:spacing w:line="484" w:lineRule="auto"/>
        <w:ind w:left="649" w:right="208" w:hanging="1"/>
        <w:jc w:val="left"/>
      </w:pPr>
      <w:r>
        <w:rPr>
          <w:rFonts w:ascii="Times New Roman" w:hAnsi="Times New Roman" w:cs="Times New Roman" w:eastAsia="Times New Roman" w:hint="default"/>
        </w:rPr>
        <w:t>1</w:t>
      </w:r>
      <w:r>
        <w:rPr/>
        <w:t>、事项描述 美亚柏科公司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日应收账款金额</w:t>
      </w:r>
      <w:r>
        <w:rPr>
          <w:rFonts w:ascii="Times New Roman" w:hAnsi="Times New Roman" w:cs="Times New Roman" w:eastAsia="Times New Roman" w:hint="default"/>
        </w:rPr>
        <w:t>393,064,898.7</w:t>
      </w:r>
      <w:r>
        <w:rPr/>
        <w:t>4元，坏账准备金额53,134,433.58元。 </w:t>
      </w:r>
      <w:r>
        <w:rPr>
          <w:spacing w:val="2"/>
        </w:rPr>
        <w:t>当存在客观证据表明应收款项存在减值时，管理层根据预计未来现金流量现值低于账面价值的差额</w:t>
      </w:r>
    </w:p>
    <w:p>
      <w:pPr>
        <w:pStyle w:val="BodyText"/>
        <w:spacing w:line="254" w:lineRule="exact"/>
        <w:ind w:right="102"/>
        <w:jc w:val="left"/>
      </w:pPr>
      <w:r>
        <w:rPr/>
        <w:t>计提单项减值准备。对于不存在减值客观证据的应收款项，管理层根据信用风险特征将其按账龄组合进行</w:t>
      </w:r>
    </w:p>
    <w:p>
      <w:pPr>
        <w:spacing w:line="240" w:lineRule="auto" w:before="10"/>
        <w:rPr>
          <w:rFonts w:ascii="宋体" w:hAnsi="宋体" w:cs="宋体" w:eastAsia="宋体" w:hint="default"/>
          <w:sz w:val="14"/>
          <w:szCs w:val="14"/>
        </w:rPr>
      </w:pPr>
    </w:p>
    <w:p>
      <w:pPr>
        <w:pStyle w:val="BodyText"/>
        <w:spacing w:line="408" w:lineRule="auto"/>
        <w:ind w:right="102"/>
        <w:jc w:val="left"/>
      </w:pPr>
      <w:r>
        <w:rPr/>
        <w:t>评估。管理层根据以前年度与之具有类似信用风险特征的应收账款组合的实际损失率及账龄分析为基础，</w:t>
      </w:r>
      <w:r>
        <w:rPr>
          <w:spacing w:val="-34"/>
        </w:rPr>
        <w:t> </w:t>
      </w:r>
      <w:r>
        <w:rPr>
          <w:spacing w:val="-34"/>
        </w:rPr>
      </w:r>
      <w:r>
        <w:rPr/>
        <w:t>结合现时情况确定应计提的坏账准备。</w:t>
      </w:r>
    </w:p>
    <w:p>
      <w:pPr>
        <w:pStyle w:val="BodyText"/>
        <w:spacing w:line="408" w:lineRule="auto" w:before="166"/>
        <w:ind w:right="208" w:firstLine="495"/>
        <w:jc w:val="left"/>
      </w:pPr>
      <w:r>
        <w:rPr>
          <w:spacing w:val="-3"/>
        </w:rPr>
        <w:t>由于应收款项金额重大，且管理层在确定应收款项减值时需做出重大判断，我们将应收款项的减值确</w:t>
      </w:r>
      <w:r>
        <w:rPr/>
        <w:t> 定为关键审计事项。</w:t>
      </w:r>
    </w:p>
    <w:p>
      <w:pPr>
        <w:pStyle w:val="BodyText"/>
        <w:spacing w:line="484" w:lineRule="auto" w:before="166"/>
        <w:ind w:left="649" w:right="5135" w:hanging="1"/>
        <w:jc w:val="left"/>
      </w:pPr>
      <w:r>
        <w:rPr>
          <w:rFonts w:ascii="Times New Roman" w:hAnsi="Times New Roman" w:cs="Times New Roman" w:eastAsia="Times New Roman" w:hint="default"/>
        </w:rPr>
        <w:t>2</w:t>
      </w:r>
      <w:r>
        <w:rPr/>
        <w:t>、审计应对 我们执行了下列程序以应对该关键审计事项：</w:t>
      </w:r>
    </w:p>
    <w:p>
      <w:pPr>
        <w:pStyle w:val="BodyText"/>
        <w:spacing w:line="408" w:lineRule="auto" w:before="99"/>
        <w:ind w:right="208" w:firstLine="495"/>
        <w:jc w:val="left"/>
      </w:pPr>
      <w:r>
        <w:rPr>
          <w:spacing w:val="-3"/>
        </w:rPr>
        <w:t>我们评价并测试了管理层复核、评估和确定应收账款减值的内部控制，包括有关识别减值客观证据和</w:t>
      </w:r>
      <w:r>
        <w:rPr/>
        <w:t> 计算减值准备的控制；</w:t>
      </w:r>
    </w:p>
    <w:p>
      <w:pPr>
        <w:pStyle w:val="BodyText"/>
        <w:spacing w:line="408" w:lineRule="auto" w:before="166"/>
        <w:ind w:right="102" w:firstLine="495"/>
        <w:jc w:val="left"/>
      </w:pPr>
      <w:r>
        <w:rPr>
          <w:spacing w:val="-5"/>
        </w:rPr>
        <w:t>我们选取金额重大或高风险的应收账款，独立测试了其可收回性。我们在评估应收账款的可回收性时，</w:t>
      </w:r>
      <w:r>
        <w:rPr/>
        <w:t> 检查了相关的支持性证据，包括期后收款、客户的信用历史、经营情况和还款能力，以及外部律师询证函 回函；</w:t>
      </w:r>
    </w:p>
    <w:p>
      <w:pPr>
        <w:pStyle w:val="BodyText"/>
        <w:spacing w:line="408" w:lineRule="auto" w:before="166"/>
        <w:ind w:right="208" w:firstLine="495"/>
        <w:jc w:val="left"/>
      </w:pPr>
      <w:r>
        <w:rPr>
          <w:spacing w:val="2"/>
        </w:rPr>
        <w:t>我们通过考虑历史上同类应收账款组合的实际坏账发生金额及情况，结合客户信用和市场条件等因</w:t>
      </w:r>
      <w:r>
        <w:rPr/>
        <w:t> 素，评估了管理层将应收账款划分为若干组合进行减值评估的方法和计算是否适当；</w:t>
      </w:r>
    </w:p>
    <w:p>
      <w:pPr>
        <w:pStyle w:val="BodyText"/>
        <w:spacing w:line="240" w:lineRule="auto" w:before="166"/>
        <w:ind w:left="649" w:right="208"/>
        <w:jc w:val="left"/>
      </w:pPr>
      <w:r>
        <w:rPr/>
        <w:t>我们选取样本检查管理层编制的应收账款账龄分析表的准确性。</w:t>
      </w:r>
    </w:p>
    <w:p>
      <w:pPr>
        <w:spacing w:line="240" w:lineRule="auto" w:before="12"/>
        <w:rPr>
          <w:rFonts w:ascii="宋体" w:hAnsi="宋体" w:cs="宋体" w:eastAsia="宋体" w:hint="default"/>
          <w:sz w:val="23"/>
          <w:szCs w:val="23"/>
        </w:rPr>
      </w:pPr>
    </w:p>
    <w:p>
      <w:pPr>
        <w:pStyle w:val="BodyText"/>
        <w:spacing w:line="499" w:lineRule="auto"/>
        <w:ind w:left="649" w:right="3035"/>
        <w:jc w:val="left"/>
      </w:pPr>
      <w:r>
        <w:rPr/>
        <w:t>（二）商誉减值 相关信息披露详见财务报表五之22长期资产减值、附注七之</w:t>
      </w:r>
      <w:r>
        <w:rPr>
          <w:rFonts w:ascii="Times New Roman" w:hAnsi="Times New Roman" w:cs="Times New Roman" w:eastAsia="Times New Roman" w:hint="default"/>
        </w:rPr>
        <w:t>27</w:t>
      </w:r>
      <w:r>
        <w:rPr/>
        <w:t>商誉。 </w:t>
      </w:r>
      <w:r>
        <w:rPr>
          <w:rFonts w:ascii="Times New Roman" w:hAnsi="Times New Roman" w:cs="Times New Roman" w:eastAsia="Times New Roman" w:hint="default"/>
        </w:rPr>
        <w:t>1</w:t>
      </w:r>
      <w:r>
        <w:rPr/>
        <w:t>、事项描述</w:t>
      </w:r>
    </w:p>
    <w:p>
      <w:pPr>
        <w:pStyle w:val="BodyText"/>
        <w:spacing w:line="386" w:lineRule="auto" w:before="46"/>
        <w:ind w:right="208" w:firstLine="495"/>
        <w:jc w:val="left"/>
      </w:pPr>
      <w:r>
        <w:rPr>
          <w:spacing w:val="-2"/>
        </w:rPr>
        <w:t>美亚柏科公司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日的商誉金额</w:t>
      </w:r>
      <w:r>
        <w:rPr>
          <w:rFonts w:ascii="Times New Roman" w:hAnsi="Times New Roman" w:cs="Times New Roman" w:eastAsia="Times New Roman" w:hint="default"/>
          <w:spacing w:val="-2"/>
        </w:rPr>
        <w:t>542,202,213.88</w:t>
      </w:r>
      <w:r>
        <w:rPr>
          <w:spacing w:val="-2"/>
        </w:rPr>
        <w:t>元，已计提商誉减值准备</w:t>
      </w:r>
      <w:r>
        <w:rPr>
          <w:rFonts w:ascii="Times New Roman" w:hAnsi="Times New Roman" w:cs="Times New Roman" w:eastAsia="Times New Roman" w:hint="default"/>
          <w:spacing w:val="-2"/>
        </w:rPr>
        <w:t>23,426,464.98</w:t>
      </w:r>
      <w:r>
        <w:rPr>
          <w:spacing w:val="-2"/>
        </w:rPr>
        <w:t>元，商</w:t>
      </w:r>
      <w:r>
        <w:rPr/>
        <w:t> 誉金额占总资产金额</w:t>
      </w:r>
      <w:r>
        <w:rPr>
          <w:rFonts w:ascii="Times New Roman" w:hAnsi="Times New Roman" w:cs="Times New Roman" w:eastAsia="Times New Roman" w:hint="default"/>
        </w:rPr>
        <w:t>17.42%</w:t>
      </w:r>
      <w:r>
        <w:rPr/>
        <w:t>。</w:t>
      </w:r>
    </w:p>
    <w:p>
      <w:pPr>
        <w:pStyle w:val="BodyText"/>
        <w:spacing w:line="340" w:lineRule="auto" w:before="153"/>
        <w:ind w:right="208" w:firstLine="420"/>
        <w:jc w:val="left"/>
      </w:pPr>
      <w:r>
        <w:rPr>
          <w:spacing w:val="-1"/>
        </w:rPr>
        <w:t>管理层聘请第三方评估师对收购的子公司的股东权益价值进行了评估，以协助管理层对公司商誉进行</w:t>
      </w:r>
      <w:r>
        <w:rPr/>
        <w:t> </w:t>
      </w:r>
      <w:r>
        <w:rPr>
          <w:spacing w:val="-1"/>
        </w:rPr>
        <w:t>减值测试。管理层根据包含分摊的商誉的资产组或资产组组合的可收回金额低于其账面价值的部分，确认</w:t>
      </w:r>
    </w:p>
    <w:p>
      <w:pPr>
        <w:spacing w:after="0" w:line="340"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7"/>
          <w:szCs w:val="27"/>
        </w:rPr>
      </w:pPr>
    </w:p>
    <w:p>
      <w:pPr>
        <w:pStyle w:val="BodyText"/>
        <w:spacing w:line="477" w:lineRule="auto" w:before="35"/>
        <w:ind w:left="574" w:right="530" w:hanging="420"/>
        <w:jc w:val="left"/>
      </w:pPr>
      <w:r>
        <w:rPr/>
        <w:t>相应的减值准备。商誉减值评估涉及的关键假设包括收入增长率、毛利率、费用率及折现率。 由于上述商誉的减值测试涉及复杂及重大的判断，因此我们将商誉的减值认定为关键审计事项。 </w:t>
      </w:r>
      <w:r>
        <w:rPr>
          <w:rFonts w:ascii="Times New Roman" w:hAnsi="Times New Roman" w:cs="Times New Roman" w:eastAsia="Times New Roman" w:hint="default"/>
        </w:rPr>
        <w:t>2</w:t>
      </w:r>
      <w:r>
        <w:rPr/>
        <w:t>、审计应对</w:t>
      </w:r>
    </w:p>
    <w:p>
      <w:pPr>
        <w:pStyle w:val="BodyText"/>
        <w:spacing w:line="240" w:lineRule="auto" w:before="67"/>
        <w:ind w:left="649" w:right="0"/>
        <w:jc w:val="left"/>
      </w:pPr>
      <w:r>
        <w:rPr/>
        <w:t>我们执行了下列程序以应对该关键审计事项：</w:t>
      </w:r>
    </w:p>
    <w:p>
      <w:pPr>
        <w:spacing w:line="240" w:lineRule="auto" w:before="12"/>
        <w:rPr>
          <w:rFonts w:ascii="宋体" w:hAnsi="宋体" w:cs="宋体" w:eastAsia="宋体" w:hint="default"/>
          <w:sz w:val="23"/>
          <w:szCs w:val="23"/>
        </w:rPr>
      </w:pPr>
    </w:p>
    <w:p>
      <w:pPr>
        <w:pStyle w:val="BodyText"/>
        <w:spacing w:line="240" w:lineRule="auto"/>
        <w:ind w:left="649" w:right="0"/>
        <w:jc w:val="left"/>
      </w:pPr>
      <w:r>
        <w:rPr>
          <w:spacing w:val="2"/>
        </w:rPr>
        <w:t>评估及测试了与商誉减值测试相关的内部控制的设计及执行有效性，包括减值计提金额的复核及审</w:t>
      </w:r>
    </w:p>
    <w:p>
      <w:pPr>
        <w:spacing w:line="240" w:lineRule="auto" w:before="10"/>
        <w:rPr>
          <w:rFonts w:ascii="宋体" w:hAnsi="宋体" w:cs="宋体" w:eastAsia="宋体" w:hint="default"/>
          <w:sz w:val="14"/>
          <w:szCs w:val="14"/>
        </w:rPr>
      </w:pPr>
    </w:p>
    <w:p>
      <w:pPr>
        <w:pStyle w:val="BodyText"/>
        <w:spacing w:line="240" w:lineRule="auto"/>
        <w:ind w:right="0"/>
        <w:jc w:val="left"/>
      </w:pPr>
      <w:r>
        <w:rPr/>
        <w:t>批；</w:t>
      </w:r>
    </w:p>
    <w:p>
      <w:pPr>
        <w:pStyle w:val="BodyText"/>
        <w:spacing w:line="590" w:lineRule="atLeast"/>
        <w:ind w:left="649" w:right="0"/>
        <w:jc w:val="left"/>
      </w:pPr>
      <w:r>
        <w:rPr/>
        <w:t>评价管理层委聘的外部估值专家的胜任能力、专业素质和客观性； </w:t>
      </w:r>
      <w:r>
        <w:rPr>
          <w:spacing w:val="-3"/>
        </w:rPr>
        <w:t>评价评估中采用的方法和关键假设；了解关键参数，包括预测收入、毛利率、增长率、折现率等的取</w:t>
      </w:r>
    </w:p>
    <w:p>
      <w:pPr>
        <w:spacing w:line="240" w:lineRule="auto" w:before="10"/>
        <w:rPr>
          <w:rFonts w:ascii="宋体" w:hAnsi="宋体" w:cs="宋体" w:eastAsia="宋体" w:hint="default"/>
          <w:sz w:val="14"/>
          <w:szCs w:val="14"/>
        </w:rPr>
      </w:pPr>
    </w:p>
    <w:p>
      <w:pPr>
        <w:pStyle w:val="BodyText"/>
        <w:spacing w:line="240" w:lineRule="auto"/>
        <w:ind w:right="0"/>
        <w:jc w:val="left"/>
      </w:pPr>
      <w:r>
        <w:rPr/>
        <w:t>数来源；</w:t>
      </w:r>
    </w:p>
    <w:p>
      <w:pPr>
        <w:spacing w:line="240" w:lineRule="auto" w:before="12"/>
        <w:rPr>
          <w:rFonts w:ascii="宋体" w:hAnsi="宋体" w:cs="宋体" w:eastAsia="宋体" w:hint="default"/>
          <w:sz w:val="23"/>
          <w:szCs w:val="23"/>
        </w:rPr>
      </w:pPr>
    </w:p>
    <w:p>
      <w:pPr>
        <w:pStyle w:val="BodyText"/>
        <w:spacing w:line="408" w:lineRule="auto"/>
        <w:ind w:right="0" w:firstLine="495"/>
        <w:jc w:val="left"/>
      </w:pPr>
      <w:r>
        <w:rPr>
          <w:spacing w:val="-3"/>
        </w:rPr>
        <w:t>评价评估报告中的未来现金流量的合理性，将2017年预测数据与实际情况进行对比，评价评估数据是</w:t>
      </w:r>
      <w:r>
        <w:rPr/>
        <w:t> 否存在管理层偏向的迹象。</w:t>
      </w:r>
    </w:p>
    <w:p>
      <w:pPr>
        <w:pStyle w:val="Heading3"/>
        <w:spacing w:line="240" w:lineRule="auto" w:before="166"/>
        <w:ind w:left="636" w:right="0"/>
        <w:jc w:val="left"/>
        <w:rPr>
          <w:b w:val="0"/>
          <w:bCs w:val="0"/>
        </w:rPr>
      </w:pPr>
      <w:r>
        <w:rPr/>
        <w:t>四、其他信息</w:t>
      </w:r>
      <w:r>
        <w:rPr>
          <w:b w:val="0"/>
          <w:bCs w:val="0"/>
        </w:rPr>
      </w:r>
    </w:p>
    <w:p>
      <w:pPr>
        <w:spacing w:line="240" w:lineRule="auto" w:before="12"/>
        <w:rPr>
          <w:rFonts w:ascii="宋体" w:hAnsi="宋体" w:cs="宋体" w:eastAsia="宋体" w:hint="default"/>
          <w:b/>
          <w:bCs/>
          <w:sz w:val="23"/>
          <w:szCs w:val="23"/>
        </w:rPr>
      </w:pPr>
    </w:p>
    <w:p>
      <w:pPr>
        <w:pStyle w:val="BodyText"/>
        <w:spacing w:line="386" w:lineRule="auto"/>
        <w:ind w:right="0" w:firstLine="495"/>
        <w:jc w:val="left"/>
      </w:pPr>
      <w:r>
        <w:rPr>
          <w:spacing w:val="-3"/>
        </w:rPr>
        <w:t>美亚柏科公司管理层（以下简称管理层）对其他信息负责。其他信息包括美亚柏科公司</w:t>
      </w:r>
      <w:r>
        <w:rPr>
          <w:rFonts w:ascii="Times New Roman" w:hAnsi="Times New Roman" w:cs="Times New Roman" w:eastAsia="Times New Roman" w:hint="default"/>
          <w:spacing w:val="-3"/>
        </w:rPr>
        <w:t>2017</w:t>
      </w:r>
      <w:r>
        <w:rPr>
          <w:spacing w:val="-3"/>
        </w:rPr>
        <w:t>年年度报</w:t>
      </w:r>
      <w:r>
        <w:rPr/>
        <w:t> 告中涵盖的信息，但不包括财务报表和我们的审计报告。</w:t>
      </w:r>
    </w:p>
    <w:p>
      <w:pPr>
        <w:spacing w:line="240" w:lineRule="auto" w:before="2"/>
        <w:rPr>
          <w:rFonts w:ascii="宋体" w:hAnsi="宋体" w:cs="宋体" w:eastAsia="宋体" w:hint="default"/>
          <w:sz w:val="14"/>
          <w:szCs w:val="14"/>
        </w:rPr>
      </w:pPr>
    </w:p>
    <w:p>
      <w:pPr>
        <w:pStyle w:val="BodyText"/>
        <w:spacing w:line="240" w:lineRule="auto"/>
        <w:ind w:left="649" w:right="0"/>
        <w:jc w:val="left"/>
      </w:pPr>
      <w:r>
        <w:rPr/>
        <w:t>我们对财务报表发表的审计意见不涵盖其他信息，我们也不对其他信息发表任何形式的鉴证结论。</w:t>
      </w:r>
    </w:p>
    <w:p>
      <w:pPr>
        <w:spacing w:line="240" w:lineRule="auto" w:before="12"/>
        <w:rPr>
          <w:rFonts w:ascii="宋体" w:hAnsi="宋体" w:cs="宋体" w:eastAsia="宋体" w:hint="default"/>
          <w:sz w:val="23"/>
          <w:szCs w:val="23"/>
        </w:rPr>
      </w:pPr>
    </w:p>
    <w:p>
      <w:pPr>
        <w:pStyle w:val="BodyText"/>
        <w:spacing w:line="408" w:lineRule="auto"/>
        <w:ind w:right="0" w:firstLine="495"/>
        <w:jc w:val="left"/>
      </w:pPr>
      <w:r>
        <w:rPr>
          <w:spacing w:val="-3"/>
        </w:rPr>
        <w:t>结合我们对财务报表的审计，我们的责任是阅读其他信息，在此过程中，考虑其他信息是否与财务报</w:t>
      </w:r>
      <w:r>
        <w:rPr/>
        <w:t> 表或我们在审计过程中了解到的情况存在重大不一致或者似乎存在重大错报。</w:t>
      </w:r>
    </w:p>
    <w:p>
      <w:pPr>
        <w:pStyle w:val="BodyText"/>
        <w:spacing w:line="408" w:lineRule="auto" w:before="166"/>
        <w:ind w:right="0" w:firstLine="495"/>
        <w:jc w:val="left"/>
      </w:pPr>
      <w:r>
        <w:rPr>
          <w:spacing w:val="-3"/>
        </w:rPr>
        <w:t>基于我们已执行的工作，如果我们确定其他信息存在重大错报，我们应当报告该事实。在这方面，我</w:t>
      </w:r>
      <w:r>
        <w:rPr/>
        <w:t> 们无任何事项需要报告。</w:t>
      </w:r>
    </w:p>
    <w:p>
      <w:pPr>
        <w:pStyle w:val="Heading3"/>
        <w:spacing w:line="240" w:lineRule="auto" w:before="166"/>
        <w:ind w:left="636" w:right="0"/>
        <w:jc w:val="left"/>
        <w:rPr>
          <w:b w:val="0"/>
          <w:bCs w:val="0"/>
        </w:rPr>
      </w:pPr>
      <w:r>
        <w:rPr/>
        <w:t>五、管理层和治理层对财务报表的责任</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left="153" w:right="0" w:firstLine="495"/>
        <w:jc w:val="left"/>
      </w:pPr>
      <w:r>
        <w:rPr>
          <w:spacing w:val="-3"/>
        </w:rPr>
        <w:t>美亚柏科公司管理层负责按照企业会计准则的规定编制财务报表，使其实现公允反映，并设计、执行</w:t>
      </w:r>
      <w:r>
        <w:rPr/>
        <w:t> 和维护必要的内部控制，以使财务报表不存在由于舞弊或错误导致的重大错报。</w:t>
      </w:r>
    </w:p>
    <w:p>
      <w:pPr>
        <w:pStyle w:val="BodyText"/>
        <w:spacing w:line="408" w:lineRule="auto" w:before="166"/>
        <w:ind w:left="153" w:right="0" w:firstLine="495"/>
        <w:jc w:val="left"/>
      </w:pPr>
      <w:r>
        <w:rPr>
          <w:spacing w:val="-3"/>
        </w:rPr>
        <w:t>在编制财务报表时，管理层负责评估美亚柏科公司的持续经营能力，披露与持续经营相关的事项（如</w:t>
      </w:r>
      <w:r>
        <w:rPr/>
        <w:t> 适用），并运用持续经营假设，除非管理层计划清算美亚柏科公司、终止运营或别无其他现实的选择。</w:t>
      </w:r>
    </w:p>
    <w:p>
      <w:pPr>
        <w:pStyle w:val="BodyText"/>
        <w:spacing w:line="240" w:lineRule="auto" w:before="166"/>
        <w:ind w:left="649" w:right="0"/>
        <w:jc w:val="left"/>
      </w:pPr>
      <w:r>
        <w:rPr/>
        <w:t>治理层负责监督美亚柏科公司的财务报告过程。</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Heading3"/>
        <w:spacing w:line="240" w:lineRule="auto" w:before="174"/>
        <w:ind w:left="636" w:right="208"/>
        <w:jc w:val="left"/>
        <w:rPr>
          <w:b w:val="0"/>
          <w:bCs w:val="0"/>
        </w:rPr>
      </w:pPr>
      <w:r>
        <w:rPr/>
        <w:t>六、注册会计师对财务报表审计的责任</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left="153" w:right="211" w:firstLine="495"/>
        <w:jc w:val="both"/>
      </w:pPr>
      <w:r>
        <w:rPr>
          <w:spacing w:val="2"/>
        </w:rPr>
        <w:t>我们的目标是对财务报表整体是否不存在由于舞弊或错误导致的重大错报获取合理保证，并出具包</w:t>
      </w:r>
      <w:r>
        <w:rPr/>
        <w:t> </w:t>
      </w:r>
      <w:r>
        <w:rPr>
          <w:spacing w:val="-1"/>
        </w:rPr>
        <w:t>含审计意见的审计报告。合理保证是高水平的保证，但并不能保证按照审计准则执行的审计在某一重大错</w:t>
      </w:r>
      <w:r>
        <w:rPr>
          <w:spacing w:val="-81"/>
        </w:rPr>
        <w:t> </w:t>
      </w:r>
      <w:r>
        <w:rPr>
          <w:spacing w:val="-81"/>
        </w:rPr>
      </w:r>
      <w:r>
        <w:rPr>
          <w:spacing w:val="-1"/>
        </w:rPr>
        <w:t>报存在时总能发现。错报可能由于舞弊或错误导致，如果合理预期错报单独或汇总起来可能影响财务报表</w:t>
      </w:r>
      <w:r>
        <w:rPr>
          <w:spacing w:val="-81"/>
        </w:rPr>
        <w:t> </w:t>
      </w:r>
      <w:r>
        <w:rPr>
          <w:spacing w:val="-81"/>
        </w:rPr>
      </w:r>
      <w:r>
        <w:rPr/>
        <w:t>使用者依据财务报表作出的经济决策，则通常认为错报是重大的。</w:t>
      </w:r>
    </w:p>
    <w:p>
      <w:pPr>
        <w:pStyle w:val="BodyText"/>
        <w:spacing w:line="408" w:lineRule="auto" w:before="166"/>
        <w:ind w:left="153" w:right="208" w:firstLine="495"/>
        <w:jc w:val="left"/>
      </w:pPr>
      <w:r>
        <w:rPr>
          <w:spacing w:val="-3"/>
        </w:rPr>
        <w:t>在按照审计准则执行审计工作的过程中，我们运用职业判断，并保持职业怀疑。同时，我们也执行以</w:t>
      </w:r>
      <w:r>
        <w:rPr/>
        <w:t> 下工作：</w:t>
      </w:r>
    </w:p>
    <w:p>
      <w:pPr>
        <w:pStyle w:val="BodyText"/>
        <w:spacing w:line="400" w:lineRule="auto" w:before="166"/>
        <w:ind w:left="153" w:right="208" w:firstLine="495"/>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 </w:t>
      </w:r>
      <w:r>
        <w:rPr>
          <w:spacing w:val="-5"/>
        </w:rPr>
        <w:t>险，并获取充分、适当的审计证据，作为发表审计意见的基础。由于舞弊可能涉及串通、伪造、故意遗漏、</w:t>
      </w:r>
      <w:r>
        <w:rPr/>
        <w:t> </w:t>
      </w:r>
      <w:r>
        <w:rPr>
          <w:spacing w:val="-1"/>
        </w:rPr>
        <w:t>虚假陈述或凌驾于内部控制之上，未能发现由于舞弊导致的重大错报的风险高于未能发现由于错误导致的</w:t>
      </w:r>
      <w:r>
        <w:rPr>
          <w:spacing w:val="-81"/>
        </w:rPr>
        <w:t> </w:t>
      </w:r>
      <w:r>
        <w:rPr>
          <w:spacing w:val="-81"/>
        </w:rPr>
      </w:r>
      <w:r>
        <w:rPr/>
        <w:t>重大错报的风险。</w:t>
      </w:r>
    </w:p>
    <w:p>
      <w:pPr>
        <w:pStyle w:val="BodyText"/>
        <w:spacing w:line="240" w:lineRule="auto" w:before="172"/>
        <w:ind w:left="649" w:right="102"/>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p>
    <w:p>
      <w:pPr>
        <w:pStyle w:val="BodyText"/>
        <w:spacing w:line="240" w:lineRule="auto" w:before="177"/>
        <w:ind w:left="153" w:right="208"/>
        <w:jc w:val="left"/>
      </w:pPr>
      <w:r>
        <w:rPr/>
        <w:t>见。</w:t>
      </w:r>
    </w:p>
    <w:p>
      <w:pPr>
        <w:spacing w:line="240" w:lineRule="auto" w:before="12"/>
        <w:rPr>
          <w:rFonts w:ascii="宋体" w:hAnsi="宋体" w:cs="宋体" w:eastAsia="宋体" w:hint="default"/>
          <w:sz w:val="23"/>
          <w:szCs w:val="23"/>
        </w:rPr>
      </w:pPr>
    </w:p>
    <w:p>
      <w:pPr>
        <w:pStyle w:val="BodyText"/>
        <w:spacing w:line="240" w:lineRule="auto"/>
        <w:ind w:left="649" w:right="208"/>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9"/>
        <w:rPr>
          <w:rFonts w:ascii="宋体" w:hAnsi="宋体" w:cs="宋体" w:eastAsia="宋体" w:hint="default"/>
          <w:sz w:val="22"/>
          <w:szCs w:val="22"/>
        </w:rPr>
      </w:pPr>
    </w:p>
    <w:p>
      <w:pPr>
        <w:pStyle w:val="BodyText"/>
        <w:spacing w:line="403" w:lineRule="auto"/>
        <w:ind w:right="102" w:firstLine="495"/>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）对管理层使用持续经营假设的恰当性得出结论。同时，根据获取的审计证据，就可能导致对美 亚柏科公司的持续经营能力产生重大疑虑的事项或情况是否存在重大不确定性得出结论。如果我们得出结 论认为存在重大不确定性，审计准则要求我们在审计报告中提请报表使用者注意财务报表中的相关披露；</w:t>
      </w:r>
      <w:r>
        <w:rPr>
          <w:spacing w:val="-34"/>
        </w:rPr>
        <w:t> </w:t>
      </w:r>
      <w:r>
        <w:rPr>
          <w:spacing w:val="-34"/>
        </w:rPr>
      </w:r>
      <w:r>
        <w:rPr/>
        <w:t>如果披露不充分，我们应当发表非无保留意见。我们的结论基于截至审计报告日可获得的信息。然而，未</w:t>
      </w:r>
      <w:r>
        <w:rPr/>
        <w:t> 来的事项或情况可能导致美亚柏科公司不能持续经营。</w:t>
      </w:r>
    </w:p>
    <w:p>
      <w:pPr>
        <w:pStyle w:val="BodyText"/>
        <w:spacing w:line="386" w:lineRule="auto" w:before="170"/>
        <w:ind w:right="200" w:firstLine="495"/>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 和事项。</w:t>
      </w:r>
    </w:p>
    <w:p>
      <w:pPr>
        <w:spacing w:line="240" w:lineRule="auto" w:before="2"/>
        <w:rPr>
          <w:rFonts w:ascii="宋体" w:hAnsi="宋体" w:cs="宋体" w:eastAsia="宋体" w:hint="default"/>
          <w:sz w:val="14"/>
          <w:szCs w:val="14"/>
        </w:rPr>
      </w:pPr>
    </w:p>
    <w:p>
      <w:pPr>
        <w:pStyle w:val="BodyText"/>
        <w:spacing w:line="386" w:lineRule="auto"/>
        <w:ind w:right="200" w:firstLine="495"/>
        <w:jc w:val="left"/>
      </w:pPr>
      <w:r>
        <w:rPr/>
        <w:t>（</w:t>
      </w:r>
      <w:r>
        <w:rPr>
          <w:rFonts w:ascii="Times New Roman" w:hAnsi="Times New Roman" w:cs="Times New Roman" w:eastAsia="Times New Roman" w:hint="default"/>
        </w:rPr>
        <w:t>6</w:t>
      </w:r>
      <w:r>
        <w:rPr/>
        <w:t>）就美亚柏科公司中实体或业务活动的财务信息获取充分、适当的审计证据，以对财务报表发表 意见。我们负责指导、监督和执行集团审计，并对审计意见承担全部责任。</w:t>
      </w:r>
    </w:p>
    <w:p>
      <w:pPr>
        <w:spacing w:line="240" w:lineRule="auto" w:before="2"/>
        <w:rPr>
          <w:rFonts w:ascii="宋体" w:hAnsi="宋体" w:cs="宋体" w:eastAsia="宋体" w:hint="default"/>
          <w:sz w:val="14"/>
          <w:szCs w:val="14"/>
        </w:rPr>
      </w:pPr>
    </w:p>
    <w:p>
      <w:pPr>
        <w:pStyle w:val="BodyText"/>
        <w:spacing w:line="408" w:lineRule="auto"/>
        <w:ind w:right="208" w:firstLine="495"/>
        <w:jc w:val="left"/>
      </w:pPr>
      <w:r>
        <w:rPr>
          <w:spacing w:val="-3"/>
        </w:rPr>
        <w:t>我们与治理层就计划的审计范围、时间安排和重大审计发现等事项进行沟通，包括沟通我们在审计中</w:t>
      </w:r>
      <w:r>
        <w:rPr/>
        <w:t> 识别出的值得关注的内部控制缺陷。</w:t>
      </w:r>
    </w:p>
    <w:p>
      <w:pPr>
        <w:pStyle w:val="BodyText"/>
        <w:spacing w:line="408" w:lineRule="auto" w:before="166"/>
        <w:ind w:right="208" w:firstLine="495"/>
        <w:jc w:val="left"/>
      </w:pPr>
      <w:r>
        <w:rPr>
          <w:spacing w:val="2"/>
        </w:rPr>
        <w:t>我们还就已遵守与独立性相关的职业道德要求向治理层提供声明，并与治理层沟通可能被合理认为</w:t>
      </w:r>
      <w:r>
        <w:rPr/>
        <w:t> 影响我们独立性的所有关系和其他事项，以及相关的防范措施（如适用）。</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150" w:firstLine="495"/>
        <w:jc w:val="both"/>
      </w:pPr>
      <w:r>
        <w:rPr>
          <w:spacing w:val="-3"/>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2"/>
        </w:rPr>
        <w:t> </w:t>
      </w:r>
      <w:r>
        <w:rPr>
          <w:spacing w:val="-82"/>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982" w:top="1060" w:bottom="1180" w:left="980" w:right="980"/>
        </w:sectPr>
      </w:pPr>
    </w:p>
    <w:p>
      <w:pPr>
        <w:pStyle w:val="BodyText"/>
        <w:spacing w:line="240" w:lineRule="auto" w:before="35"/>
        <w:ind w:left="174" w:right="-20"/>
        <w:jc w:val="left"/>
      </w:pPr>
      <w:r>
        <w:rPr/>
        <w:t>致同会计师事务所</w:t>
      </w:r>
    </w:p>
    <w:p>
      <w:pPr>
        <w:spacing w:line="240" w:lineRule="auto" w:before="10"/>
        <w:rPr>
          <w:rFonts w:ascii="宋体" w:hAnsi="宋体" w:cs="宋体" w:eastAsia="宋体" w:hint="default"/>
          <w:sz w:val="14"/>
          <w:szCs w:val="14"/>
        </w:rPr>
      </w:pPr>
    </w:p>
    <w:p>
      <w:pPr>
        <w:pStyle w:val="BodyText"/>
        <w:spacing w:line="240" w:lineRule="auto"/>
        <w:ind w:left="174" w:right="-20"/>
        <w:jc w:val="left"/>
      </w:pPr>
      <w:r>
        <w:rPr/>
        <w:t>（特殊普通合伙）</w:t>
      </w:r>
    </w:p>
    <w:p>
      <w:pPr>
        <w:pStyle w:val="BodyText"/>
        <w:spacing w:line="240" w:lineRule="auto" w:before="35"/>
        <w:ind w:left="174" w:right="0"/>
        <w:jc w:val="left"/>
      </w:pPr>
      <w:r>
        <w:rPr/>
        <w:br w:type="column"/>
      </w:r>
      <w:r>
        <w:rPr/>
        <w:t>中国注册会计师</w:t>
      </w:r>
    </w:p>
    <w:p>
      <w:pPr>
        <w:spacing w:line="240" w:lineRule="auto" w:before="10"/>
        <w:rPr>
          <w:rFonts w:ascii="宋体" w:hAnsi="宋体" w:cs="宋体" w:eastAsia="宋体" w:hint="default"/>
          <w:sz w:val="14"/>
          <w:szCs w:val="14"/>
        </w:rPr>
      </w:pPr>
    </w:p>
    <w:p>
      <w:pPr>
        <w:pStyle w:val="BodyText"/>
        <w:spacing w:line="240" w:lineRule="auto"/>
        <w:ind w:left="174" w:right="0"/>
        <w:jc w:val="left"/>
      </w:pPr>
      <w:r>
        <w:rPr/>
        <w:t>（项目合伙人）</w:t>
      </w:r>
      <w:r>
        <w:rPr>
          <w:spacing w:val="-86"/>
        </w:rPr>
        <w:t> </w:t>
      </w:r>
      <w:r>
        <w:rPr/>
        <w:t>周俊超</w:t>
      </w:r>
    </w:p>
    <w:p>
      <w:pPr>
        <w:spacing w:after="0" w:line="240" w:lineRule="auto"/>
        <w:jc w:val="left"/>
        <w:sectPr>
          <w:type w:val="continuous"/>
          <w:pgSz w:w="11910" w:h="16840"/>
          <w:pgMar w:top="1060" w:bottom="1180" w:left="980" w:right="980"/>
          <w:cols w:num="2" w:equalWidth="0">
            <w:col w:w="1855" w:space="3000"/>
            <w:col w:w="5095"/>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left="5029" w:right="0"/>
        <w:jc w:val="left"/>
      </w:pPr>
      <w:r>
        <w:rPr/>
        <w:t>中国注册会计师</w:t>
      </w:r>
      <w:r>
        <w:rPr>
          <w:spacing w:val="34"/>
        </w:rPr>
        <w:t> </w:t>
      </w:r>
      <w:r>
        <w:rPr/>
        <w:t>余道前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4602" w:val="left" w:leader="none"/>
        </w:tabs>
        <w:spacing w:line="240" w:lineRule="auto" w:before="35"/>
        <w:ind w:left="174" w:right="0"/>
        <w:jc w:val="left"/>
      </w:pPr>
      <w:r>
        <w:rPr>
          <w:spacing w:val="-1"/>
        </w:rPr>
        <w:t>中国</w:t>
      </w:r>
      <w:r>
        <w:rPr>
          <w:rFonts w:ascii="Times New Roman" w:hAnsi="Times New Roman" w:cs="Times New Roman" w:eastAsia="Times New Roman" w:hint="default"/>
          <w:spacing w:val="-1"/>
        </w:rPr>
        <w:t>·</w:t>
      </w:r>
      <w:r>
        <w:rPr>
          <w:spacing w:val="-1"/>
        </w:rPr>
        <w:t>北京</w:t>
        <w:tab/>
      </w:r>
      <w:r>
        <w:rPr/>
        <w:t>二Ｏ一八年</w:t>
      </w:r>
      <w:r>
        <w:rPr>
          <w:spacing w:val="-21"/>
        </w:rPr>
        <w:t> </w:t>
      </w:r>
      <w:r>
        <w:rPr/>
        <w:t>三月二十一日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1"/>
          <w:szCs w:val="31"/>
        </w:rPr>
      </w:pPr>
    </w:p>
    <w:p>
      <w:pPr>
        <w:pStyle w:val="Heading2"/>
        <w:spacing w:line="240" w:lineRule="auto"/>
        <w:ind w:right="0"/>
        <w:jc w:val="left"/>
        <w:rPr>
          <w:b w:val="0"/>
          <w:bCs w:val="0"/>
        </w:rPr>
      </w:pPr>
      <w:r>
        <w:rPr/>
        <w:t>二、财务报表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编制单位：厦门市美亚柏科信息股份有限公司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5102"/>
        <w:gridCol w:w="2128"/>
        <w:gridCol w:w="2338"/>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1,084,633,528.50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968,371,815.85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335,945.60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332,100.00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339,930,465.16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263,180,585.91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102"/>
        <w:gridCol w:w="2128"/>
        <w:gridCol w:w="2338"/>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36,847,711.88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26,785,834.04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2,902,673.90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1,524,155.26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46,741,026.17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42,829,838.68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353,862,129.55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288,242,593.13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18,924,521.13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1,620,078.10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1,884,178,001.89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1,592,887,000.97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290,305,000.00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91,861,350.00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811,671.78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8,787,819.02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6,225,370.99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8,180,253.57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273,135,664.77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263,108,815.28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3,348,997.68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48,156,697.58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42,313,669.27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11,206,152.76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6,693,341.05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542,202,213.88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562,721,678.86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13,993,392.51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2,263,617.96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39,973,886.38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46,337,211.59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1,227,760,826.90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1,033,865,978.03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3,111,938,828.79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2,626,752,979.00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102"/>
        <w:gridCol w:w="2128"/>
        <w:gridCol w:w="2338"/>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5,805,800.00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4,617,320.00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144,970,165.62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95,986,803.32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318,267,807.88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350,474,048.13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100,734,648.29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84,899,697.95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65,178,834.98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52,168,339.07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86,384,353.54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121,875,318.32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721,341,610.31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710,021,526.79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102"/>
        <w:gridCol w:w="2128"/>
        <w:gridCol w:w="2338"/>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21,669,515.04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23,571,758.93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18,527,410.00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544,567.50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40,196,925.04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24,116,326.43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761,538,535.35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734,137,853.22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497,030,706.00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496,340,506.00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867,218,308.83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857,267,145.67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73,899,618.00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110,759,559.00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163,479,285.00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75,039,885.37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57,142,499.12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797,752,846.82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566,397,841.60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2,326,621,414.02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1,866,388,433.39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23,778,879.42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26,226,692.39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2,350,400,293.44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1,892,615,125.78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3,111,938,828.79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2,626,752,979.00</w:t>
            </w:r>
          </w:p>
        </w:tc>
      </w:tr>
    </w:tbl>
    <w:p>
      <w:pPr>
        <w:spacing w:line="240" w:lineRule="auto" w:before="3"/>
        <w:rPr>
          <w:rFonts w:ascii="Times New Roman" w:hAnsi="Times New Roman" w:cs="Times New Roman" w:eastAsia="Times New Roman" w:hint="default"/>
          <w:sz w:val="23"/>
          <w:szCs w:val="23"/>
        </w:rPr>
      </w:pPr>
    </w:p>
    <w:p>
      <w:pPr>
        <w:tabs>
          <w:tab w:pos="3329" w:val="left" w:leader="none"/>
          <w:tab w:pos="7559" w:val="left" w:leader="none"/>
        </w:tabs>
        <w:spacing w:before="44"/>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法定代表人：滕达</w:t>
        <w:tab/>
        <w:t>主管会计工作负责人：张乃军</w:t>
        <w:tab/>
        <w:t>会计机构负责人：陈志友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5102"/>
        <w:gridCol w:w="2128"/>
        <w:gridCol w:w="2338"/>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811,616,351.46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777,907,372.59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335,945.60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332,100.00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209,564,300.57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151,589,977.92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31,321,578.82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20,077,669.30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2,691,528.53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1,524,155.26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102"/>
        <w:gridCol w:w="2128"/>
        <w:gridCol w:w="2338"/>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45,702,288.01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30,025,981.65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268,349,813.66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224,764,747.24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15,741,220.33</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1,385,323,026.98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1,206,222,003.96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290,305,000.00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91,861,350.00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925,099,754.03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935,407,584.85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20,130,904.31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27,752,503.20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242,578,287.39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235,557,718.03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3,307,440.41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38,222,861.96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36,036,611.12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9,556,084.17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4,537,352.66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1,208,132.10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1,188,405.72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23,183,017.88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26,865,063.06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1,550,284,041.84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1,362,514,029.05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2,935,607,068.82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2,568,736,033.01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5,805,800.00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4,617,320.00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108,621,819.87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74,884,324.30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265,111,411.70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301,476,260.89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102"/>
        <w:gridCol w:w="2128"/>
        <w:gridCol w:w="2338"/>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69,079,935.83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57,945,134.19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26,080,999.43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20,436,089.77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80,338,199.68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119,022,767.36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555,038,166.51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578,381,896.51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16,669,515.04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19,851,758.93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18,164,365.00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34,833,880.04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19,851,758.93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589,872,046.55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598,233,655.44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497,030,706.00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496,340,506.00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1,093,447,268.51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1,078,364,292.09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73,899,618.00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110,759,559.00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163,479,285.00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2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75,039,885.37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57,142,499.12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590,637,495.39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449,414,639.36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102"/>
        <w:gridCol w:w="2128"/>
        <w:gridCol w:w="2338"/>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2,345,735,022.27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1,970,502,377.57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2,935,607,068.82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2,568,736,033.01</w:t>
            </w: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5102"/>
        <w:gridCol w:w="2410"/>
        <w:gridCol w:w="2054"/>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1,336,640,411.37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997,908,503.38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1,336,640,411.37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997,908,503.38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1,111,209,943.25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854,161,236.54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478,816,760.55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345,345,654.73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15,813,959.47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14,505,850.55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197,741,086.53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143,206,377.43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369,924,397.94</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321,119,211.61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-12,193,954.25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-6,555,688.28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61,107,693.01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36,539,830.50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28"/>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-811,155.33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-3,515,692.37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09"/>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-2,690,548.33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-6,211,637.58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3,433.41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72,445,403.42</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297,068,149.62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140,235,074.47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1,007,751.12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62,851,540.08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1,241,182.76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1,531,978.17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5102"/>
        <w:gridCol w:w="2410"/>
        <w:gridCol w:w="2054"/>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296,834,717.98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201,554,636.38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34,529,844.40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22,811,817.32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262,304,873.58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178,742,819.06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262,304,873.58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178,742,819.06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271,716,271.45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182,624,041.44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-9,411,397.87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-3,881,222.38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410"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410" w:type="dxa"/>
            <w:tcBorders>
              <w:top w:val="single" w:sz="4" w:space="0" w:color="000000"/>
              <w:left w:val="single" w:sz="13" w:space="0" w:color="D3D3D3"/>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425,784,158.58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178,742,819.06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435,195,556.45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182,624,041.44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-9,411,397.87</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-3,881,222.38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bl>
    <w:p>
      <w:pPr>
        <w:tabs>
          <w:tab w:pos="3483" w:val="left" w:leader="none"/>
          <w:tab w:pos="7713" w:val="left" w:leader="none"/>
        </w:tabs>
        <w:spacing w:line="592" w:lineRule="auto" w:before="51"/>
        <w:ind w:left="153" w:right="248"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 法定代表人：滕达</w:t>
        <w:tab/>
        <w:t>主管会计工作负责人：张乃军</w:t>
        <w:tab/>
        <w:t>会计机构负责人：陈志友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5102"/>
        <w:gridCol w:w="2410"/>
        <w:gridCol w:w="2056"/>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102"/>
        <w:gridCol w:w="2410"/>
        <w:gridCol w:w="2056"/>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939,988,382.84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681,843,295.33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404,067,231.13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285,521,743.12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10,100,951.81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9,682,007.45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124,835,165.72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91,296,491.55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211,449,839.91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201,571,554.16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-10,121,589.74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-5,336,030.05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53,587,832.61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27,755,206.19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365,565.82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-3,561,637.58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-1,513,827.18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-6,211,637.58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50,634,143.60</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197,068,660.82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67,790,685.33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800,843.33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48,043,808.08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1,026,022.36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628,844.44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196,843,481.79</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115,205,648.97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17,869,619.27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15,606,212.60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178,973,862.52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99,599,436.37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178,973,862.52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99,599,436.37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410" w:type="dxa"/>
            <w:tcBorders>
              <w:top w:val="single" w:sz="4" w:space="0" w:color="000000"/>
              <w:left w:val="single" w:sz="13" w:space="0" w:color="D3D3D3"/>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410" w:type="dxa"/>
            <w:tcBorders>
              <w:top w:val="single" w:sz="4" w:space="0" w:color="000000"/>
              <w:left w:val="single" w:sz="13" w:space="0" w:color="D3D3D3"/>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163,479,285.00</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342,453,147.52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99,599,436.37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102"/>
        <w:gridCol w:w="2410"/>
        <w:gridCol w:w="2056"/>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5102"/>
        <w:gridCol w:w="2410"/>
        <w:gridCol w:w="2056"/>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1,403,740,916.86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1,264,162,295.28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09"/>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09"/>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 加额</w:t>
            </w:r>
          </w:p>
        </w:tc>
        <w:tc>
          <w:tcPr>
            <w:tcW w:w="2410" w:type="dxa"/>
            <w:tcBorders>
              <w:top w:val="single" w:sz="4" w:space="0" w:color="000000"/>
              <w:left w:val="single" w:sz="13" w:space="0" w:color="D3D3D3"/>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48,567,466.40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47,890,078.89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30,605,491.77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46,771,693.01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1,482,913,875.03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1,358,824,067.18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Narrow" w:hAnsi="Arial Narrow" w:cs="Arial Narrow" w:eastAsia="Arial Narrow" w:hint="default"/>
                <w:sz w:val="18"/>
                <w:szCs w:val="18"/>
              </w:rPr>
            </w:pPr>
            <w:r>
              <w:rPr>
                <w:rFonts w:ascii="Arial Narrow"/>
                <w:spacing w:val="-1"/>
                <w:sz w:val="18"/>
              </w:rPr>
              <w:t>616,167,821.72</w:t>
            </w:r>
            <w:r>
              <w:rPr>
                <w:rFonts w:ascii="Arial Narrow"/>
                <w:sz w:val="18"/>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428,375,135.64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09"/>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09"/>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349,694,307.55</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266,130,301.82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167,335,607.01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183,687,227.46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Narrow" w:hAnsi="Arial Narrow" w:cs="Arial Narrow" w:eastAsia="Arial Narrow" w:hint="default"/>
                <w:sz w:val="18"/>
                <w:szCs w:val="18"/>
              </w:rPr>
            </w:pPr>
            <w:r>
              <w:rPr>
                <w:rFonts w:ascii="Arial Narrow"/>
                <w:spacing w:val="-1"/>
                <w:sz w:val="18"/>
              </w:rPr>
              <w:t>149,771,950.74</w:t>
            </w:r>
            <w:r>
              <w:rPr>
                <w:rFonts w:ascii="Arial Narrow"/>
                <w:sz w:val="18"/>
              </w:rPr>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136,007,752.89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1,282,969,687.02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1,014,200,417.81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199,944,188.01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344,623,649.37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5102"/>
        <w:gridCol w:w="2410"/>
        <w:gridCol w:w="2056"/>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862,815,899.17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314,529,542.91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10,637,354.70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6,690,536.11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118,637.00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873,469,253.87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321,338,716.02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78,985,034.81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65,354,461.19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960,386,968.80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758,835,849.66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-1,773,335.42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1,039,372,003.61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822,416,975.43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-165,902,749.74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-501,078,259.41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22,102,942.00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121,789,559.00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11,030,000.00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22,102,942.00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121,789,559.00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19,853,620.24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23,204,427.76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8,586,795.58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5,158,385.00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13,850,420.00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25,012,005.24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37,054,847.76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-2,909,063.24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84,734,711.24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-593,134.06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350,099.66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30,539,240.97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-71,369,799.14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223,466,500.95</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294,836,300.09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254,005,741.92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223,466,500.95</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5102"/>
        <w:gridCol w:w="2410"/>
        <w:gridCol w:w="2056"/>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102"/>
        <w:gridCol w:w="2410"/>
        <w:gridCol w:w="2056"/>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960,707,959.28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977,818,689.47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32,211,550.79</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35,261,473.57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20,685,600.46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34,252,675.25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1,013,605,110.53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1,047,332,838.29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518,729,639.85</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354,918,554.12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200,901,666.92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165,295,649.77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91,782,154.86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129,926,093.00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88,776,802.90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77,405,977.04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900,190,264.53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727,546,273.93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113,414,846.00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319,786,564.36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693,869,857.67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259,089,214.95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9,478,504.86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7,439,709.51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118,637.00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703,358,362.53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266,647,561.46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60,167,125.05</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57,743,562.84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733,710,000.00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667,493,117.57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793,877,125.05</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725,236,680.41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-90,518,762.52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-458,589,118.95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8,937,942.00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110,759,559.00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8,937,942.00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110,759,559.00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19,853,620.24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14,617,632.18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8,082,085.00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13,850,420.00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27,935,705.24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28,468,052.18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5102"/>
        <w:gridCol w:w="2410"/>
        <w:gridCol w:w="2056"/>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-18,997,763.24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82,291,506.82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-466,144.65</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255,222.51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3,432,175.59</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-56,255,825.26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152,804,140.78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209,059,966.04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156,236,316.37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152,804,140.78</w:t>
            </w: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2"/>
        <w:gridCol w:w="530"/>
        <w:gridCol w:w="532"/>
        <w:gridCol w:w="664"/>
        <w:gridCol w:w="665"/>
        <w:gridCol w:w="665"/>
        <w:gridCol w:w="666"/>
        <w:gridCol w:w="664"/>
        <w:gridCol w:w="665"/>
        <w:gridCol w:w="665"/>
        <w:gridCol w:w="665"/>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496,34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0,506.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857,267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,145.67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110,759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57,142,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499.12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566,397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,841.60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692.39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15,125.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496,34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0,506.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857,267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,145.67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110,759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57,142,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499.12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566,397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,841.60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26,226,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692.39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15,125.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690,20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9,951,1</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63.16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1" w:right="21" w:firstLine="480"/>
              <w:jc w:val="left"/>
              <w:rPr>
                <w:rFonts w:ascii="Times New Roman" w:hAnsi="Times New Roman" w:cs="Times New Roman" w:eastAsia="Times New Roman" w:hint="default"/>
                <w:sz w:val="18"/>
                <w:szCs w:val="18"/>
              </w:rPr>
            </w:pPr>
            <w:r>
              <w:rPr>
                <w:rFonts w:ascii="Times New Roman"/>
                <w:sz w:val="18"/>
              </w:rPr>
              <w:t>- 36,859,</w:t>
            </w:r>
          </w:p>
          <w:p>
            <w:pPr>
              <w:pStyle w:val="TableParagraph"/>
              <w:spacing w:line="240" w:lineRule="auto" w:before="4"/>
              <w:ind w:left="136" w:right="0"/>
              <w:jc w:val="left"/>
              <w:rPr>
                <w:rFonts w:ascii="Times New Roman" w:hAnsi="Times New Roman" w:cs="Times New Roman" w:eastAsia="Times New Roman" w:hint="default"/>
                <w:sz w:val="18"/>
                <w:szCs w:val="18"/>
              </w:rPr>
            </w:pPr>
            <w:r>
              <w:rPr>
                <w:rFonts w:ascii="Times New Roman"/>
                <w:sz w:val="18"/>
              </w:rPr>
              <w:t>941.00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163,479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,285.00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17,897,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386.25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231,355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,005.22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6" w:right="22" w:firstLine="525"/>
              <w:jc w:val="left"/>
              <w:rPr>
                <w:rFonts w:ascii="Arial Narrow" w:hAnsi="Arial Narrow" w:cs="Arial Narrow" w:eastAsia="Arial Narrow" w:hint="default"/>
                <w:sz w:val="18"/>
                <w:szCs w:val="18"/>
              </w:rPr>
            </w:pPr>
            <w:r>
              <w:rPr>
                <w:rFonts w:ascii="Arial Narrow"/>
                <w:sz w:val="18"/>
              </w:rPr>
              <w:t>- 2,447,81</w:t>
            </w:r>
          </w:p>
          <w:p>
            <w:pPr>
              <w:pStyle w:val="TableParagraph"/>
              <w:spacing w:line="240" w:lineRule="auto" w:before="2"/>
              <w:ind w:left="345" w:right="0"/>
              <w:jc w:val="left"/>
              <w:rPr>
                <w:rFonts w:ascii="Arial Narrow" w:hAnsi="Arial Narrow" w:cs="Arial Narrow" w:eastAsia="Arial Narrow" w:hint="default"/>
                <w:sz w:val="18"/>
                <w:szCs w:val="18"/>
              </w:rPr>
            </w:pPr>
            <w:r>
              <w:rPr>
                <w:rFonts w:ascii="Arial Narrow"/>
                <w:sz w:val="18"/>
              </w:rPr>
              <w:t>2.97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Arial Narrow" w:hAnsi="Arial Narrow" w:cs="Arial Narrow" w:eastAsia="Arial Narrow" w:hint="default"/>
                <w:sz w:val="18"/>
                <w:szCs w:val="18"/>
              </w:rPr>
            </w:pPr>
            <w:r>
              <w:rPr>
                <w:rFonts w:ascii="Arial Narrow"/>
                <w:sz w:val="18"/>
              </w:rPr>
              <w:t>457,785,</w:t>
            </w:r>
          </w:p>
          <w:p>
            <w:pPr>
              <w:pStyle w:val="TableParagraph"/>
              <w:spacing w:line="240" w:lineRule="auto" w:before="106"/>
              <w:ind w:left="152" w:right="0"/>
              <w:jc w:val="center"/>
              <w:rPr>
                <w:rFonts w:ascii="Arial Narrow" w:hAnsi="Arial Narrow" w:cs="Arial Narrow" w:eastAsia="Arial Narrow" w:hint="default"/>
                <w:sz w:val="18"/>
                <w:szCs w:val="18"/>
              </w:rPr>
            </w:pPr>
            <w:r>
              <w:rPr>
                <w:rFonts w:ascii="Arial Narrow"/>
                <w:sz w:val="18"/>
              </w:rPr>
              <w:t>167.66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163,479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,285.00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271,716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,271.45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8" w:right="20" w:firstLine="472"/>
              <w:jc w:val="left"/>
              <w:rPr>
                <w:rFonts w:ascii="Times New Roman" w:hAnsi="Times New Roman" w:cs="Times New Roman" w:eastAsia="Times New Roman" w:hint="default"/>
                <w:sz w:val="18"/>
                <w:szCs w:val="18"/>
              </w:rPr>
            </w:pPr>
            <w:r>
              <w:rPr>
                <w:rFonts w:ascii="Times New Roman"/>
                <w:sz w:val="18"/>
              </w:rPr>
              <w:t>- 9,411,3</w:t>
            </w:r>
          </w:p>
          <w:p>
            <w:pPr>
              <w:pStyle w:val="TableParagraph"/>
              <w:spacing w:line="240" w:lineRule="auto" w:before="4"/>
              <w:ind w:left="226" w:right="0"/>
              <w:jc w:val="left"/>
              <w:rPr>
                <w:rFonts w:ascii="Times New Roman" w:hAnsi="Times New Roman" w:cs="Times New Roman" w:eastAsia="Times New Roman" w:hint="default"/>
                <w:sz w:val="18"/>
                <w:szCs w:val="18"/>
              </w:rPr>
            </w:pPr>
            <w:r>
              <w:rPr>
                <w:rFonts w:ascii="Times New Roman"/>
                <w:sz w:val="18"/>
              </w:rPr>
              <w:t>97.87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425,784</w:t>
            </w:r>
          </w:p>
          <w:p>
            <w:pPr>
              <w:pStyle w:val="TableParagraph"/>
              <w:spacing w:line="240" w:lineRule="auto" w:before="106"/>
              <w:ind w:left="86" w:right="0"/>
              <w:jc w:val="left"/>
              <w:rPr>
                <w:rFonts w:ascii="Times New Roman" w:hAnsi="Times New Roman" w:cs="Times New Roman" w:eastAsia="Times New Roman" w:hint="default"/>
                <w:sz w:val="18"/>
                <w:szCs w:val="18"/>
              </w:rPr>
            </w:pPr>
            <w:r>
              <w:rPr>
                <w:rFonts w:ascii="Times New Roman"/>
                <w:sz w:val="18"/>
              </w:rPr>
              <w:t>,158.58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690,20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11,510,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986.54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91" w:right="21" w:firstLine="480"/>
              <w:jc w:val="left"/>
              <w:rPr>
                <w:rFonts w:ascii="Times New Roman" w:hAnsi="Times New Roman" w:cs="Times New Roman" w:eastAsia="Times New Roman" w:hint="default"/>
                <w:sz w:val="18"/>
                <w:szCs w:val="18"/>
              </w:rPr>
            </w:pPr>
            <w:r>
              <w:rPr>
                <w:rFonts w:ascii="Times New Roman"/>
                <w:sz w:val="18"/>
              </w:rPr>
              <w:t>- 36,859,</w:t>
            </w:r>
          </w:p>
          <w:p>
            <w:pPr>
              <w:pStyle w:val="TableParagraph"/>
              <w:spacing w:line="240" w:lineRule="auto" w:before="4"/>
              <w:ind w:left="136" w:right="0"/>
              <w:jc w:val="left"/>
              <w:rPr>
                <w:rFonts w:ascii="Times New Roman" w:hAnsi="Times New Roman" w:cs="Times New Roman" w:eastAsia="Times New Roman" w:hint="default"/>
                <w:sz w:val="18"/>
                <w:szCs w:val="18"/>
              </w:rPr>
            </w:pPr>
            <w:r>
              <w:rPr>
                <w:rFonts w:ascii="Times New Roman"/>
                <w:sz w:val="18"/>
              </w:rPr>
              <w:t>941.00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Arial Narrow" w:hAnsi="Arial Narrow" w:cs="Arial Narrow" w:eastAsia="Arial Narrow" w:hint="default"/>
                <w:sz w:val="18"/>
                <w:szCs w:val="18"/>
              </w:rPr>
            </w:pPr>
            <w:r>
              <w:rPr>
                <w:rFonts w:ascii="Arial Narrow"/>
                <w:sz w:val="18"/>
              </w:rPr>
              <w:t>2,793,50</w:t>
            </w:r>
          </w:p>
          <w:p>
            <w:pPr>
              <w:pStyle w:val="TableParagraph"/>
              <w:spacing w:line="240" w:lineRule="auto" w:before="106"/>
              <w:ind w:left="345" w:right="0"/>
              <w:jc w:val="left"/>
              <w:rPr>
                <w:rFonts w:ascii="Arial Narrow" w:hAnsi="Arial Narrow" w:cs="Arial Narrow" w:eastAsia="Arial Narrow" w:hint="default"/>
                <w:sz w:val="18"/>
                <w:szCs w:val="18"/>
              </w:rPr>
            </w:pPr>
            <w:r>
              <w:rPr>
                <w:rFonts w:ascii="Arial Narrow"/>
                <w:sz w:val="18"/>
              </w:rPr>
              <w:t>1.78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Arial Narrow" w:hAnsi="Arial Narrow" w:cs="Arial Narrow" w:eastAsia="Arial Narrow" w:hint="default"/>
                <w:sz w:val="18"/>
                <w:szCs w:val="18"/>
              </w:rPr>
            </w:pPr>
            <w:r>
              <w:rPr>
                <w:rFonts w:ascii="Arial Narrow"/>
                <w:sz w:val="18"/>
              </w:rPr>
              <w:t>51,854,6</w:t>
            </w:r>
          </w:p>
          <w:p>
            <w:pPr>
              <w:pStyle w:val="TableParagraph"/>
              <w:spacing w:line="240" w:lineRule="auto" w:before="106"/>
              <w:ind w:left="258" w:right="0"/>
              <w:jc w:val="left"/>
              <w:rPr>
                <w:rFonts w:ascii="Arial Narrow" w:hAnsi="Arial Narrow" w:cs="Arial Narrow" w:eastAsia="Arial Narrow" w:hint="default"/>
                <w:sz w:val="18"/>
                <w:szCs w:val="18"/>
              </w:rPr>
            </w:pPr>
            <w:r>
              <w:rPr>
                <w:rFonts w:ascii="Arial Narrow"/>
                <w:sz w:val="18"/>
              </w:rPr>
              <w:t>29.32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690,20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813,950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91" w:right="21" w:firstLine="480"/>
              <w:jc w:val="left"/>
              <w:rPr>
                <w:rFonts w:ascii="Times New Roman" w:hAnsi="Times New Roman" w:cs="Times New Roman" w:eastAsia="Times New Roman" w:hint="default"/>
                <w:sz w:val="18"/>
                <w:szCs w:val="18"/>
              </w:rPr>
            </w:pPr>
            <w:r>
              <w:rPr>
                <w:rFonts w:ascii="Times New Roman"/>
                <w:sz w:val="18"/>
              </w:rPr>
              <w:t>- 42,181,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3,165,0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46,850,</w:t>
            </w:r>
          </w:p>
          <w:p>
            <w:pPr>
              <w:pStyle w:val="TableParagraph"/>
              <w:spacing w:line="240" w:lineRule="auto" w:before="106"/>
              <w:ind w:left="132" w:right="0"/>
              <w:jc w:val="left"/>
              <w:rPr>
                <w:rFonts w:ascii="Times New Roman" w:hAnsi="Times New Roman" w:cs="Times New Roman" w:eastAsia="Times New Roman" w:hint="default"/>
                <w:sz w:val="18"/>
                <w:szCs w:val="18"/>
              </w:rPr>
            </w:pPr>
            <w:r>
              <w:rPr>
                <w:rFonts w:ascii="Times New Roman"/>
                <w:sz w:val="18"/>
              </w:rPr>
              <w:t>260.00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438"/>
        <w:gridCol w:w="562"/>
        <w:gridCol w:w="532"/>
        <w:gridCol w:w="530"/>
        <w:gridCol w:w="532"/>
        <w:gridCol w:w="664"/>
        <w:gridCol w:w="665"/>
        <w:gridCol w:w="665"/>
        <w:gridCol w:w="666"/>
        <w:gridCol w:w="664"/>
        <w:gridCol w:w="665"/>
        <w:gridCol w:w="665"/>
        <w:gridCol w:w="665"/>
        <w:gridCol w:w="660"/>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Times New Roman" w:hAnsi="Times New Roman" w:cs="Times New Roman" w:eastAsia="Times New Roman" w:hint="default"/>
                <w:sz w:val="18"/>
                <w:szCs w:val="18"/>
              </w:rPr>
            </w:pPr>
            <w:r>
              <w:rPr>
                <w:rFonts w:ascii="Times New Roman"/>
                <w:sz w:val="18"/>
              </w:rPr>
              <w:t>110.00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10,697,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036.54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5,321,1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69.00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56" w:right="22" w:firstLine="525"/>
              <w:jc w:val="right"/>
              <w:rPr>
                <w:rFonts w:ascii="Arial Narrow" w:hAnsi="Arial Narrow" w:cs="Arial Narrow" w:eastAsia="Arial Narrow" w:hint="default"/>
                <w:sz w:val="18"/>
                <w:szCs w:val="18"/>
              </w:rPr>
            </w:pPr>
            <w:r>
              <w:rPr>
                <w:rFonts w:ascii="Arial Narrow"/>
                <w:sz w:val="18"/>
              </w:rPr>
              <w:t>- </w:t>
            </w:r>
            <w:r>
              <w:rPr>
                <w:rFonts w:ascii="Arial Narrow"/>
                <w:spacing w:val="-1"/>
                <w:sz w:val="18"/>
              </w:rPr>
              <w:t>371,498.</w:t>
            </w:r>
            <w:r>
              <w:rPr>
                <w:rFonts w:ascii="Arial Narrow"/>
                <w:sz w:val="18"/>
              </w:rPr>
            </w:r>
          </w:p>
          <w:p>
            <w:pPr>
              <w:pStyle w:val="TableParagraph"/>
              <w:spacing w:line="240" w:lineRule="auto" w:before="4"/>
              <w:ind w:right="22"/>
              <w:jc w:val="right"/>
              <w:rPr>
                <w:rFonts w:ascii="Arial Narrow" w:hAnsi="Arial Narrow" w:cs="Arial Narrow" w:eastAsia="Arial Narrow" w:hint="default"/>
                <w:sz w:val="18"/>
                <w:szCs w:val="18"/>
              </w:rPr>
            </w:pPr>
            <w:r>
              <w:rPr>
                <w:rFonts w:ascii="Arial Narrow"/>
                <w:spacing w:val="-1"/>
                <w:w w:val="95"/>
                <w:sz w:val="18"/>
              </w:rPr>
              <w:t>22</w:t>
            </w:r>
            <w:r>
              <w:rPr>
                <w:rFonts w:ascii="Arial Narrow"/>
                <w:sz w:val="18"/>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Arial Narrow" w:hAnsi="Arial Narrow" w:cs="Arial Narrow" w:eastAsia="Arial Narrow" w:hint="default"/>
                <w:sz w:val="18"/>
                <w:szCs w:val="18"/>
              </w:rPr>
            </w:pPr>
            <w:r>
              <w:rPr>
                <w:rFonts w:ascii="Arial Narrow"/>
                <w:sz w:val="18"/>
              </w:rPr>
              <w:t>5,004,36</w:t>
            </w:r>
          </w:p>
          <w:p>
            <w:pPr>
              <w:pStyle w:val="TableParagraph"/>
              <w:spacing w:line="240" w:lineRule="auto" w:before="105"/>
              <w:ind w:left="340" w:right="0"/>
              <w:jc w:val="left"/>
              <w:rPr>
                <w:rFonts w:ascii="Arial Narrow" w:hAnsi="Arial Narrow" w:cs="Arial Narrow" w:eastAsia="Arial Narrow" w:hint="default"/>
                <w:sz w:val="18"/>
                <w:szCs w:val="18"/>
              </w:rPr>
            </w:pPr>
            <w:r>
              <w:rPr>
                <w:rFonts w:ascii="Arial Narrow"/>
                <w:sz w:val="18"/>
              </w:rPr>
              <w:t>9.32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386.25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1" w:right="21" w:firstLine="480"/>
              <w:jc w:val="left"/>
              <w:rPr>
                <w:rFonts w:ascii="Times New Roman" w:hAnsi="Times New Roman" w:cs="Times New Roman" w:eastAsia="Times New Roman" w:hint="default"/>
                <w:sz w:val="18"/>
                <w:szCs w:val="18"/>
              </w:rPr>
            </w:pPr>
            <w:r>
              <w:rPr>
                <w:rFonts w:ascii="Times New Roman"/>
                <w:sz w:val="18"/>
              </w:rPr>
              <w:t>- 37,751,</w:t>
            </w:r>
          </w:p>
          <w:p>
            <w:pPr>
              <w:pStyle w:val="TableParagraph"/>
              <w:spacing w:line="240" w:lineRule="auto" w:before="6"/>
              <w:ind w:left="136" w:right="0"/>
              <w:jc w:val="left"/>
              <w:rPr>
                <w:rFonts w:ascii="Times New Roman" w:hAnsi="Times New Roman" w:cs="Times New Roman" w:eastAsia="Times New Roman" w:hint="default"/>
                <w:sz w:val="18"/>
                <w:szCs w:val="18"/>
              </w:rPr>
            </w:pPr>
            <w:r>
              <w:rPr>
                <w:rFonts w:ascii="Times New Roman"/>
                <w:sz w:val="18"/>
              </w:rPr>
              <w:t>006.49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86" w:right="21" w:firstLine="480"/>
              <w:jc w:val="left"/>
              <w:rPr>
                <w:rFonts w:ascii="Times New Roman" w:hAnsi="Times New Roman" w:cs="Times New Roman" w:eastAsia="Times New Roman" w:hint="default"/>
                <w:sz w:val="18"/>
                <w:szCs w:val="18"/>
              </w:rPr>
            </w:pPr>
            <w:r>
              <w:rPr>
                <w:rFonts w:ascii="Times New Roman"/>
                <w:sz w:val="18"/>
              </w:rPr>
              <w:t>- 19,853,</w:t>
            </w:r>
          </w:p>
          <w:p>
            <w:pPr>
              <w:pStyle w:val="TableParagraph"/>
              <w:spacing w:line="240" w:lineRule="auto" w:before="6"/>
              <w:ind w:left="132" w:right="0"/>
              <w:jc w:val="left"/>
              <w:rPr>
                <w:rFonts w:ascii="Times New Roman" w:hAnsi="Times New Roman" w:cs="Times New Roman" w:eastAsia="Times New Roman" w:hint="default"/>
                <w:sz w:val="18"/>
                <w:szCs w:val="18"/>
              </w:rPr>
            </w:pPr>
            <w:r>
              <w:rPr>
                <w:rFonts w:ascii="Times New Roman"/>
                <w:sz w:val="18"/>
              </w:rPr>
              <w:t>620.24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17,897,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386.25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1" w:right="21" w:firstLine="480"/>
              <w:jc w:val="left"/>
              <w:rPr>
                <w:rFonts w:ascii="Times New Roman" w:hAnsi="Times New Roman" w:cs="Times New Roman" w:eastAsia="Times New Roman" w:hint="default"/>
                <w:sz w:val="18"/>
                <w:szCs w:val="18"/>
              </w:rPr>
            </w:pPr>
            <w:r>
              <w:rPr>
                <w:rFonts w:ascii="Times New Roman"/>
                <w:sz w:val="18"/>
              </w:rPr>
              <w:t>- 17,897,</w:t>
            </w:r>
          </w:p>
          <w:p>
            <w:pPr>
              <w:pStyle w:val="TableParagraph"/>
              <w:spacing w:line="240" w:lineRule="auto" w:before="6"/>
              <w:ind w:left="136" w:right="0"/>
              <w:jc w:val="left"/>
              <w:rPr>
                <w:rFonts w:ascii="Times New Roman" w:hAnsi="Times New Roman" w:cs="Times New Roman" w:eastAsia="Times New Roman" w:hint="default"/>
                <w:sz w:val="18"/>
                <w:szCs w:val="18"/>
              </w:rPr>
            </w:pPr>
            <w:r>
              <w:rPr>
                <w:rFonts w:ascii="Times New Roman"/>
                <w:sz w:val="18"/>
              </w:rPr>
              <w:t>386.25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1" w:right="21" w:firstLine="480"/>
              <w:jc w:val="left"/>
              <w:rPr>
                <w:rFonts w:ascii="Times New Roman" w:hAnsi="Times New Roman" w:cs="Times New Roman" w:eastAsia="Times New Roman" w:hint="default"/>
                <w:sz w:val="18"/>
                <w:szCs w:val="18"/>
              </w:rPr>
            </w:pPr>
            <w:r>
              <w:rPr>
                <w:rFonts w:ascii="Times New Roman"/>
                <w:sz w:val="18"/>
              </w:rPr>
              <w:t>- 19,853,</w:t>
            </w:r>
          </w:p>
          <w:p>
            <w:pPr>
              <w:pStyle w:val="TableParagraph"/>
              <w:spacing w:line="240" w:lineRule="auto" w:before="6"/>
              <w:ind w:left="136" w:right="0"/>
              <w:jc w:val="left"/>
              <w:rPr>
                <w:rFonts w:ascii="Times New Roman" w:hAnsi="Times New Roman" w:cs="Times New Roman" w:eastAsia="Times New Roman" w:hint="default"/>
                <w:sz w:val="18"/>
                <w:szCs w:val="18"/>
              </w:rPr>
            </w:pPr>
            <w:r>
              <w:rPr>
                <w:rFonts w:ascii="Times New Roman"/>
                <w:sz w:val="18"/>
              </w:rPr>
              <w:t>620.24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86" w:right="21" w:firstLine="480"/>
              <w:jc w:val="left"/>
              <w:rPr>
                <w:rFonts w:ascii="Times New Roman" w:hAnsi="Times New Roman" w:cs="Times New Roman" w:eastAsia="Times New Roman" w:hint="default"/>
                <w:sz w:val="18"/>
                <w:szCs w:val="18"/>
              </w:rPr>
            </w:pPr>
            <w:r>
              <w:rPr>
                <w:rFonts w:ascii="Times New Roman"/>
                <w:sz w:val="18"/>
              </w:rPr>
              <w:t>- 19,853,</w:t>
            </w:r>
          </w:p>
          <w:p>
            <w:pPr>
              <w:pStyle w:val="TableParagraph"/>
              <w:spacing w:line="240" w:lineRule="auto" w:before="6"/>
              <w:ind w:left="132" w:right="0"/>
              <w:jc w:val="left"/>
              <w:rPr>
                <w:rFonts w:ascii="Times New Roman" w:hAnsi="Times New Roman" w:cs="Times New Roman" w:eastAsia="Times New Roman" w:hint="default"/>
                <w:sz w:val="18"/>
                <w:szCs w:val="18"/>
              </w:rPr>
            </w:pPr>
            <w:r>
              <w:rPr>
                <w:rFonts w:ascii="Times New Roman"/>
                <w:sz w:val="18"/>
              </w:rPr>
              <w:t>620.24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1" w:right="19" w:firstLine="480"/>
              <w:jc w:val="left"/>
              <w:rPr>
                <w:rFonts w:ascii="Times New Roman" w:hAnsi="Times New Roman" w:cs="Times New Roman" w:eastAsia="Times New Roman" w:hint="default"/>
                <w:sz w:val="18"/>
                <w:szCs w:val="18"/>
              </w:rPr>
            </w:pPr>
            <w:r>
              <w:rPr>
                <w:rFonts w:ascii="Times New Roman"/>
                <w:sz w:val="18"/>
              </w:rPr>
              <w:t>- 1,559,8</w:t>
            </w:r>
          </w:p>
          <w:p>
            <w:pPr>
              <w:pStyle w:val="TableParagraph"/>
              <w:spacing w:line="240" w:lineRule="auto" w:before="6"/>
              <w:ind w:left="226" w:right="0"/>
              <w:jc w:val="left"/>
              <w:rPr>
                <w:rFonts w:ascii="Times New Roman" w:hAnsi="Times New Roman" w:cs="Times New Roman" w:eastAsia="Times New Roman" w:hint="default"/>
                <w:sz w:val="18"/>
                <w:szCs w:val="18"/>
              </w:rPr>
            </w:pPr>
            <w:r>
              <w:rPr>
                <w:rFonts w:ascii="Times New Roman"/>
                <w:sz w:val="18"/>
              </w:rPr>
              <w:t>23.38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1" w:right="20" w:firstLine="480"/>
              <w:jc w:val="left"/>
              <w:rPr>
                <w:rFonts w:ascii="Times New Roman" w:hAnsi="Times New Roman" w:cs="Times New Roman" w:eastAsia="Times New Roman" w:hint="default"/>
                <w:sz w:val="18"/>
                <w:szCs w:val="18"/>
              </w:rPr>
            </w:pPr>
            <w:r>
              <w:rPr>
                <w:rFonts w:ascii="Times New Roman"/>
                <w:sz w:val="18"/>
              </w:rPr>
              <w:t>- 2,610,2</w:t>
            </w:r>
          </w:p>
          <w:p>
            <w:pPr>
              <w:pStyle w:val="TableParagraph"/>
              <w:spacing w:line="240" w:lineRule="auto" w:before="6"/>
              <w:ind w:left="226" w:right="0"/>
              <w:jc w:val="left"/>
              <w:rPr>
                <w:rFonts w:ascii="Times New Roman" w:hAnsi="Times New Roman" w:cs="Times New Roman" w:eastAsia="Times New Roman" w:hint="default"/>
                <w:sz w:val="18"/>
                <w:szCs w:val="18"/>
              </w:rPr>
            </w:pPr>
            <w:r>
              <w:rPr>
                <w:rFonts w:ascii="Times New Roman"/>
                <w:sz w:val="18"/>
              </w:rPr>
              <w:t>59.74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4,170,0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83.12</w:t>
            </w: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1" w:right="19" w:firstLine="480"/>
              <w:jc w:val="left"/>
              <w:rPr>
                <w:rFonts w:ascii="Times New Roman" w:hAnsi="Times New Roman" w:cs="Times New Roman" w:eastAsia="Times New Roman" w:hint="default"/>
                <w:sz w:val="18"/>
                <w:szCs w:val="18"/>
              </w:rPr>
            </w:pPr>
            <w:r>
              <w:rPr>
                <w:rFonts w:ascii="Times New Roman"/>
                <w:sz w:val="18"/>
              </w:rPr>
              <w:t>- 1,559,8</w:t>
            </w:r>
          </w:p>
          <w:p>
            <w:pPr>
              <w:pStyle w:val="TableParagraph"/>
              <w:spacing w:line="240" w:lineRule="auto" w:before="6"/>
              <w:ind w:left="226" w:right="0"/>
              <w:jc w:val="left"/>
              <w:rPr>
                <w:rFonts w:ascii="Times New Roman" w:hAnsi="Times New Roman" w:cs="Times New Roman" w:eastAsia="Times New Roman" w:hint="default"/>
                <w:sz w:val="18"/>
                <w:szCs w:val="18"/>
              </w:rPr>
            </w:pPr>
            <w:r>
              <w:rPr>
                <w:rFonts w:ascii="Times New Roman"/>
                <w:sz w:val="18"/>
              </w:rPr>
              <w:t>23.38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91" w:right="20" w:firstLine="480"/>
              <w:jc w:val="left"/>
              <w:rPr>
                <w:rFonts w:ascii="Times New Roman" w:hAnsi="Times New Roman" w:cs="Times New Roman" w:eastAsia="Times New Roman" w:hint="default"/>
                <w:sz w:val="18"/>
                <w:szCs w:val="18"/>
              </w:rPr>
            </w:pPr>
            <w:r>
              <w:rPr>
                <w:rFonts w:ascii="Times New Roman"/>
                <w:sz w:val="18"/>
              </w:rPr>
              <w:t>- 2,610,2</w:t>
            </w:r>
          </w:p>
          <w:p>
            <w:pPr>
              <w:pStyle w:val="TableParagraph"/>
              <w:spacing w:line="240" w:lineRule="auto" w:before="6"/>
              <w:ind w:left="226" w:right="0"/>
              <w:jc w:val="left"/>
              <w:rPr>
                <w:rFonts w:ascii="Times New Roman" w:hAnsi="Times New Roman" w:cs="Times New Roman" w:eastAsia="Times New Roman" w:hint="default"/>
                <w:sz w:val="18"/>
                <w:szCs w:val="18"/>
              </w:rPr>
            </w:pPr>
            <w:r>
              <w:rPr>
                <w:rFonts w:ascii="Times New Roman"/>
                <w:sz w:val="18"/>
              </w:rPr>
              <w:t>59.74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4,170,0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83.12</w:t>
            </w: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497,03</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0,706.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867,218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,308.83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73,899,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163,479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,285.00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75,039,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885.37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797,752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,846.82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Arial Narrow" w:hAnsi="Arial Narrow" w:cs="Arial Narrow" w:eastAsia="Arial Narrow" w:hint="default"/>
                <w:sz w:val="18"/>
                <w:szCs w:val="18"/>
              </w:rPr>
            </w:pPr>
            <w:r>
              <w:rPr>
                <w:rFonts w:ascii="Arial Narrow"/>
                <w:sz w:val="18"/>
              </w:rPr>
              <w:t>23,778,8</w:t>
            </w:r>
          </w:p>
          <w:p>
            <w:pPr>
              <w:pStyle w:val="TableParagraph"/>
              <w:spacing w:line="240" w:lineRule="auto" w:before="105"/>
              <w:ind w:left="262" w:right="0"/>
              <w:jc w:val="left"/>
              <w:rPr>
                <w:rFonts w:ascii="Arial Narrow" w:hAnsi="Arial Narrow" w:cs="Arial Narrow" w:eastAsia="Arial Narrow" w:hint="default"/>
                <w:sz w:val="18"/>
                <w:szCs w:val="18"/>
              </w:rPr>
            </w:pPr>
            <w:r>
              <w:rPr>
                <w:rFonts w:ascii="Arial Narrow"/>
                <w:sz w:val="18"/>
              </w:rPr>
              <w:t>79.42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left"/>
              <w:rPr>
                <w:rFonts w:ascii="Arial Narrow" w:hAnsi="Arial Narrow" w:cs="Arial Narrow" w:eastAsia="Arial Narrow" w:hint="default"/>
                <w:sz w:val="18"/>
                <w:szCs w:val="18"/>
              </w:rPr>
            </w:pPr>
            <w:r>
              <w:rPr>
                <w:rFonts w:ascii="Arial Narrow"/>
                <w:sz w:val="18"/>
              </w:rPr>
              <w:t>2,350,40</w:t>
            </w:r>
          </w:p>
          <w:p>
            <w:pPr>
              <w:pStyle w:val="TableParagraph"/>
              <w:spacing w:line="240" w:lineRule="auto" w:before="105"/>
              <w:ind w:left="52" w:right="0"/>
              <w:jc w:val="left"/>
              <w:rPr>
                <w:rFonts w:ascii="Arial Narrow" w:hAnsi="Arial Narrow" w:cs="Arial Narrow" w:eastAsia="Arial Narrow" w:hint="default"/>
                <w:sz w:val="18"/>
                <w:szCs w:val="18"/>
              </w:rPr>
            </w:pPr>
            <w:r>
              <w:rPr>
                <w:rFonts w:ascii="Arial Narrow"/>
                <w:sz w:val="18"/>
              </w:rPr>
              <w:t>0,293.44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36"/>
        <w:gridCol w:w="562"/>
        <w:gridCol w:w="532"/>
        <w:gridCol w:w="530"/>
        <w:gridCol w:w="532"/>
        <w:gridCol w:w="664"/>
        <w:gridCol w:w="665"/>
        <w:gridCol w:w="666"/>
        <w:gridCol w:w="665"/>
        <w:gridCol w:w="664"/>
        <w:gridCol w:w="665"/>
        <w:gridCol w:w="678"/>
        <w:gridCol w:w="653"/>
        <w:gridCol w:w="659"/>
      </w:tblGrid>
      <w:tr>
        <w:trPr>
          <w:trHeight w:val="402" w:hRule="exact"/>
        </w:trPr>
        <w:tc>
          <w:tcPr>
            <w:tcW w:w="14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6"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6"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3" w:hRule="exact"/>
        </w:trPr>
        <w:tc>
          <w:tcPr>
            <w:tcW w:w="1436"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1"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0"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443,16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774,162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,693.31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47,182,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555.48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408,351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,375.98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18,468,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073.98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1,691,3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27,898.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75</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3"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443,16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774,162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,693.31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47,182,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555.48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408,351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,375.98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18,468,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073.98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1,691,3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27,898.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75</w:t>
            </w: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3"/>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53,177</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,306.0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83,104,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452.36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110,759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,559.00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9,959,9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43.64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158,046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,465.62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7,758,6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18.41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201,287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,227.03</w:t>
            </w: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182,624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,041.44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79" w:right="20" w:firstLine="480"/>
              <w:jc w:val="left"/>
              <w:rPr>
                <w:rFonts w:ascii="Times New Roman" w:hAnsi="Times New Roman" w:cs="Times New Roman" w:eastAsia="Times New Roman" w:hint="default"/>
                <w:sz w:val="18"/>
                <w:szCs w:val="18"/>
              </w:rPr>
            </w:pPr>
            <w:r>
              <w:rPr>
                <w:rFonts w:ascii="Times New Roman"/>
                <w:sz w:val="18"/>
              </w:rPr>
              <w:t>- 3,881,2</w:t>
            </w:r>
          </w:p>
          <w:p>
            <w:pPr>
              <w:pStyle w:val="TableParagraph"/>
              <w:spacing w:line="240" w:lineRule="auto" w:before="6"/>
              <w:ind w:left="214" w:right="0"/>
              <w:jc w:val="left"/>
              <w:rPr>
                <w:rFonts w:ascii="Times New Roman" w:hAnsi="Times New Roman" w:cs="Times New Roman" w:eastAsia="Times New Roman" w:hint="default"/>
                <w:sz w:val="18"/>
                <w:szCs w:val="18"/>
              </w:rPr>
            </w:pPr>
            <w:r>
              <w:rPr>
                <w:rFonts w:ascii="Times New Roman"/>
                <w:sz w:val="18"/>
              </w:rPr>
              <w:t>22.38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178,742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,819.06</w:t>
            </w: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53,177</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,306.0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82,936,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198.45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110,759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,559.00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11,808,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094.70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37,162,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040.15</w:t>
            </w: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53,177</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,306.0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57,582,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11,030,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121,789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,559.00</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23,900,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949.09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110,759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,559.00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778,094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.70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85" w:right="21" w:firstLine="480"/>
              <w:jc w:val="left"/>
              <w:rPr>
                <w:rFonts w:ascii="Times New Roman" w:hAnsi="Times New Roman" w:cs="Times New Roman" w:eastAsia="Times New Roman" w:hint="default"/>
                <w:sz w:val="18"/>
                <w:szCs w:val="18"/>
              </w:rPr>
            </w:pPr>
            <w:r>
              <w:rPr>
                <w:rFonts w:ascii="Times New Roman"/>
                <w:sz w:val="18"/>
              </w:rPr>
              <w:t>- 86,080,</w:t>
            </w:r>
          </w:p>
          <w:p>
            <w:pPr>
              <w:pStyle w:val="TableParagraph"/>
              <w:spacing w:line="240" w:lineRule="auto" w:before="6"/>
              <w:ind w:left="130" w:right="0"/>
              <w:jc w:val="left"/>
              <w:rPr>
                <w:rFonts w:ascii="Times New Roman" w:hAnsi="Times New Roman" w:cs="Times New Roman" w:eastAsia="Times New Roman" w:hint="default"/>
                <w:sz w:val="18"/>
                <w:szCs w:val="18"/>
              </w:rPr>
            </w:pPr>
            <w:r>
              <w:rPr>
                <w:rFonts w:ascii="Times New Roman"/>
                <w:sz w:val="18"/>
              </w:rPr>
              <w:t>515.21</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1,452,9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96.36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 w:right="0"/>
              <w:jc w:val="center"/>
              <w:rPr>
                <w:rFonts w:ascii="Times New Roman" w:hAnsi="Times New Roman" w:cs="Times New Roman" w:eastAsia="Times New Roman" w:hint="default"/>
                <w:sz w:val="18"/>
                <w:szCs w:val="18"/>
              </w:rPr>
            </w:pPr>
            <w:r>
              <w:rPr>
                <w:rFonts w:ascii="Times New Roman"/>
                <w:sz w:val="18"/>
              </w:rPr>
              <w:t>1,452,9</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96.36</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9,959,9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436"/>
        <w:gridCol w:w="562"/>
        <w:gridCol w:w="532"/>
        <w:gridCol w:w="530"/>
        <w:gridCol w:w="532"/>
        <w:gridCol w:w="664"/>
        <w:gridCol w:w="665"/>
        <w:gridCol w:w="666"/>
        <w:gridCol w:w="665"/>
        <w:gridCol w:w="664"/>
        <w:gridCol w:w="665"/>
        <w:gridCol w:w="678"/>
        <w:gridCol w:w="653"/>
        <w:gridCol w:w="659"/>
      </w:tblGrid>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43.64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Times New Roman" w:hAnsi="Times New Roman" w:cs="Times New Roman" w:eastAsia="Times New Roman" w:hint="default"/>
                <w:sz w:val="18"/>
                <w:szCs w:val="18"/>
              </w:rPr>
            </w:pPr>
            <w:r>
              <w:rPr>
                <w:rFonts w:ascii="Times New Roman"/>
                <w:sz w:val="18"/>
              </w:rPr>
              <w:t>24,577,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575.82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5" w:right="0"/>
              <w:jc w:val="left"/>
              <w:rPr>
                <w:rFonts w:ascii="Times New Roman" w:hAnsi="Times New Roman" w:cs="Times New Roman" w:eastAsia="Times New Roman" w:hint="default"/>
                <w:sz w:val="18"/>
                <w:szCs w:val="18"/>
              </w:rPr>
            </w:pPr>
            <w:r>
              <w:rPr>
                <w:rFonts w:ascii="Times New Roman"/>
                <w:sz w:val="18"/>
              </w:rPr>
              <w:t>14,617,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632.18</w:t>
            </w: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9,959,9</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43.64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04" w:right="20" w:firstLine="480"/>
              <w:jc w:val="left"/>
              <w:rPr>
                <w:rFonts w:ascii="Times New Roman" w:hAnsi="Times New Roman" w:cs="Times New Roman" w:eastAsia="Times New Roman" w:hint="default"/>
                <w:sz w:val="18"/>
                <w:szCs w:val="18"/>
              </w:rPr>
            </w:pPr>
            <w:r>
              <w:rPr>
                <w:rFonts w:ascii="Times New Roman"/>
                <w:sz w:val="18"/>
              </w:rPr>
              <w:t>- 9,959,9</w:t>
            </w:r>
          </w:p>
          <w:p>
            <w:pPr>
              <w:pStyle w:val="TableParagraph"/>
              <w:spacing w:line="240" w:lineRule="auto" w:before="6"/>
              <w:ind w:left="239" w:right="0"/>
              <w:jc w:val="left"/>
              <w:rPr>
                <w:rFonts w:ascii="Times New Roman" w:hAnsi="Times New Roman" w:cs="Times New Roman" w:eastAsia="Times New Roman" w:hint="default"/>
                <w:sz w:val="18"/>
                <w:szCs w:val="18"/>
              </w:rPr>
            </w:pPr>
            <w:r>
              <w:rPr>
                <w:rFonts w:ascii="Times New Roman"/>
                <w:sz w:val="18"/>
              </w:rPr>
              <w:t>43.64</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04" w:right="21" w:firstLine="480"/>
              <w:jc w:val="left"/>
              <w:rPr>
                <w:rFonts w:ascii="Times New Roman" w:hAnsi="Times New Roman" w:cs="Times New Roman" w:eastAsia="Times New Roman" w:hint="default"/>
                <w:sz w:val="18"/>
                <w:szCs w:val="18"/>
              </w:rPr>
            </w:pPr>
            <w:r>
              <w:rPr>
                <w:rFonts w:ascii="Times New Roman"/>
                <w:sz w:val="18"/>
              </w:rPr>
              <w:t>- 14,617,</w:t>
            </w:r>
          </w:p>
          <w:p>
            <w:pPr>
              <w:pStyle w:val="TableParagraph"/>
              <w:spacing w:line="240" w:lineRule="auto" w:before="6"/>
              <w:ind w:left="149" w:right="0"/>
              <w:jc w:val="left"/>
              <w:rPr>
                <w:rFonts w:ascii="Times New Roman" w:hAnsi="Times New Roman" w:cs="Times New Roman" w:eastAsia="Times New Roman" w:hint="default"/>
                <w:sz w:val="18"/>
                <w:szCs w:val="18"/>
              </w:rPr>
            </w:pPr>
            <w:r>
              <w:rPr>
                <w:rFonts w:ascii="Times New Roman"/>
                <w:sz w:val="18"/>
              </w:rPr>
              <w:t>632.18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85" w:right="21" w:firstLine="480"/>
              <w:jc w:val="left"/>
              <w:rPr>
                <w:rFonts w:ascii="Times New Roman" w:hAnsi="Times New Roman" w:cs="Times New Roman" w:eastAsia="Times New Roman" w:hint="default"/>
                <w:sz w:val="18"/>
                <w:szCs w:val="18"/>
              </w:rPr>
            </w:pPr>
            <w:r>
              <w:rPr>
                <w:rFonts w:ascii="Times New Roman"/>
                <w:sz w:val="18"/>
              </w:rPr>
              <w:t>- 14,617,</w:t>
            </w:r>
          </w:p>
          <w:p>
            <w:pPr>
              <w:pStyle w:val="TableParagraph"/>
              <w:spacing w:line="240" w:lineRule="auto" w:before="6"/>
              <w:ind w:left="130" w:right="0"/>
              <w:jc w:val="left"/>
              <w:rPr>
                <w:rFonts w:ascii="Times New Roman" w:hAnsi="Times New Roman" w:cs="Times New Roman" w:eastAsia="Times New Roman" w:hint="default"/>
                <w:sz w:val="18"/>
                <w:szCs w:val="18"/>
              </w:rPr>
            </w:pPr>
            <w:r>
              <w:rPr>
                <w:rFonts w:ascii="Times New Roman"/>
                <w:sz w:val="18"/>
              </w:rPr>
              <w:t>632.18</w:t>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168,253</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34" w:right="20" w:firstLine="524"/>
              <w:jc w:val="left"/>
              <w:rPr>
                <w:rFonts w:ascii="Times New Roman" w:hAnsi="Times New Roman" w:cs="Times New Roman" w:eastAsia="Times New Roman" w:hint="default"/>
                <w:sz w:val="18"/>
                <w:szCs w:val="18"/>
              </w:rPr>
            </w:pPr>
            <w:r>
              <w:rPr>
                <w:rFonts w:ascii="Times New Roman"/>
                <w:sz w:val="18"/>
              </w:rPr>
              <w:t>- 168,253</w:t>
            </w:r>
          </w:p>
          <w:p>
            <w:pPr>
              <w:pStyle w:val="TableParagraph"/>
              <w:spacing w:line="240" w:lineRule="auto" w:before="6"/>
              <w:ind w:left="394" w:right="0"/>
              <w:jc w:val="left"/>
              <w:rPr>
                <w:rFonts w:ascii="Times New Roman" w:hAnsi="Times New Roman" w:cs="Times New Roman" w:eastAsia="Times New Roman" w:hint="default"/>
                <w:sz w:val="18"/>
                <w:szCs w:val="18"/>
              </w:rPr>
            </w:pPr>
            <w:r>
              <w:rPr>
                <w:rFonts w:ascii="Times New Roman"/>
                <w:sz w:val="18"/>
              </w:rPr>
              <w:t>.91</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168,253</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34" w:right="20" w:firstLine="524"/>
              <w:jc w:val="left"/>
              <w:rPr>
                <w:rFonts w:ascii="Times New Roman" w:hAnsi="Times New Roman" w:cs="Times New Roman" w:eastAsia="Times New Roman" w:hint="default"/>
                <w:sz w:val="18"/>
                <w:szCs w:val="18"/>
              </w:rPr>
            </w:pPr>
            <w:r>
              <w:rPr>
                <w:rFonts w:ascii="Times New Roman"/>
                <w:sz w:val="18"/>
              </w:rPr>
              <w:t>- 168,253</w:t>
            </w:r>
          </w:p>
          <w:p>
            <w:pPr>
              <w:pStyle w:val="TableParagraph"/>
              <w:spacing w:line="240" w:lineRule="auto" w:before="6"/>
              <w:ind w:left="394" w:right="0"/>
              <w:jc w:val="left"/>
              <w:rPr>
                <w:rFonts w:ascii="Times New Roman" w:hAnsi="Times New Roman" w:cs="Times New Roman" w:eastAsia="Times New Roman" w:hint="default"/>
                <w:sz w:val="18"/>
                <w:szCs w:val="18"/>
              </w:rPr>
            </w:pPr>
            <w:r>
              <w:rPr>
                <w:rFonts w:ascii="Times New Roman"/>
                <w:sz w:val="18"/>
              </w:rPr>
              <w:t>.91</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3"/>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496,34</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0,506.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857,267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,145.67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110,759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,559.00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57,142,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499.12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566,397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,841.60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26,226,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692.39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15,125.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6"/>
        <w:gridCol w:w="665"/>
        <w:gridCol w:w="797"/>
        <w:gridCol w:w="798"/>
        <w:gridCol w:w="797"/>
        <w:gridCol w:w="798"/>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52"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15" w:right="2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一、上年期末余</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 w:right="0"/>
              <w:jc w:val="left"/>
              <w:rPr>
                <w:rFonts w:ascii="Times New Roman" w:hAnsi="Times New Roman" w:cs="Times New Roman" w:eastAsia="Times New Roman" w:hint="default"/>
                <w:sz w:val="18"/>
                <w:szCs w:val="18"/>
              </w:rPr>
            </w:pPr>
            <w:r>
              <w:rPr>
                <w:rFonts w:ascii="Times New Roman"/>
                <w:sz w:val="18"/>
              </w:rPr>
              <w:t>496,340,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1,078,364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1" w:right="0"/>
              <w:jc w:val="left"/>
              <w:rPr>
                <w:rFonts w:ascii="Times New Roman" w:hAnsi="Times New Roman" w:cs="Times New Roman" w:eastAsia="Times New Roman" w:hint="default"/>
                <w:sz w:val="18"/>
                <w:szCs w:val="18"/>
              </w:rPr>
            </w:pPr>
            <w:r>
              <w:rPr>
                <w:rFonts w:ascii="Times New Roman"/>
                <w:sz w:val="18"/>
              </w:rPr>
              <w:t>110,759,5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57,142,49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449,414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1,970,502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6"/>
        <w:gridCol w:w="665"/>
        <w:gridCol w:w="797"/>
        <w:gridCol w:w="798"/>
        <w:gridCol w:w="797"/>
        <w:gridCol w:w="798"/>
        <w:gridCol w:w="797"/>
        <w:gridCol w:w="677"/>
        <w:gridCol w:w="780"/>
      </w:tblGrid>
      <w:tr>
        <w:trPr>
          <w:trHeight w:val="36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Times New Roman" w:hAnsi="Times New Roman" w:cs="Times New Roman" w:eastAsia="Times New Roman" w:hint="default"/>
                <w:sz w:val="18"/>
                <w:szCs w:val="18"/>
              </w:rPr>
            </w:pPr>
            <w:r>
              <w:rPr>
                <w:rFonts w:ascii="Times New Roman"/>
                <w:sz w:val="18"/>
              </w:rPr>
              <w:t>506.00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4" w:right="0"/>
              <w:jc w:val="left"/>
              <w:rPr>
                <w:rFonts w:ascii="Times New Roman" w:hAnsi="Times New Roman" w:cs="Times New Roman" w:eastAsia="Times New Roman" w:hint="default"/>
                <w:sz w:val="18"/>
                <w:szCs w:val="18"/>
              </w:rPr>
            </w:pPr>
            <w:r>
              <w:rPr>
                <w:rFonts w:ascii="Times New Roman"/>
                <w:sz w:val="18"/>
              </w:rPr>
              <w:t>,292.09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59.00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9.12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,639.36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7" w:right="0"/>
              <w:jc w:val="left"/>
              <w:rPr>
                <w:rFonts w:ascii="Times New Roman" w:hAnsi="Times New Roman" w:cs="Times New Roman" w:eastAsia="Times New Roman" w:hint="default"/>
                <w:sz w:val="18"/>
                <w:szCs w:val="18"/>
              </w:rPr>
            </w:pPr>
            <w:r>
              <w:rPr>
                <w:rFonts w:ascii="Times New Roman"/>
                <w:sz w:val="18"/>
              </w:rPr>
              <w:t>,377.57</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496,340,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506.00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1,078,364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,292.09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110,759,5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57,142,49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449,414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,639.36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1,970,502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,377.57</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15,082,97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44" w:right="20" w:firstLine="660"/>
              <w:jc w:val="left"/>
              <w:rPr>
                <w:rFonts w:ascii="Times New Roman" w:hAnsi="Times New Roman" w:cs="Times New Roman" w:eastAsia="Times New Roman" w:hint="default"/>
                <w:sz w:val="18"/>
                <w:szCs w:val="18"/>
              </w:rPr>
            </w:pPr>
            <w:r>
              <w:rPr>
                <w:rFonts w:ascii="Times New Roman"/>
                <w:sz w:val="18"/>
              </w:rPr>
              <w:t>- 36,859,94</w:t>
            </w:r>
          </w:p>
          <w:p>
            <w:pPr>
              <w:pStyle w:val="TableParagraph"/>
              <w:spacing w:line="240" w:lineRule="auto" w:before="6"/>
              <w:ind w:left="449"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163,479,2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17,897,38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141,222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,856.03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375,232,6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44.70</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163,479,2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178,973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,862.52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342,453,1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47.52</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15,082,97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44" w:right="20" w:firstLine="660"/>
              <w:jc w:val="left"/>
              <w:rPr>
                <w:rFonts w:ascii="Times New Roman" w:hAnsi="Times New Roman" w:cs="Times New Roman" w:eastAsia="Times New Roman" w:hint="default"/>
                <w:sz w:val="18"/>
                <w:szCs w:val="18"/>
              </w:rPr>
            </w:pPr>
            <w:r>
              <w:rPr>
                <w:rFonts w:ascii="Times New Roman"/>
                <w:sz w:val="18"/>
              </w:rPr>
              <w:t>- 36,859,94</w:t>
            </w:r>
          </w:p>
          <w:p>
            <w:pPr>
              <w:pStyle w:val="TableParagraph"/>
              <w:spacing w:line="240" w:lineRule="auto" w:before="6"/>
              <w:ind w:left="449"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52,633,11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7.42</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690,200.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813,950.0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51" w:right="20" w:firstLine="652"/>
              <w:jc w:val="left"/>
              <w:rPr>
                <w:rFonts w:ascii="Times New Roman" w:hAnsi="Times New Roman" w:cs="Times New Roman" w:eastAsia="Times New Roman" w:hint="default"/>
                <w:sz w:val="18"/>
                <w:szCs w:val="18"/>
              </w:rPr>
            </w:pPr>
            <w:r>
              <w:rPr>
                <w:rFonts w:ascii="Times New Roman"/>
                <w:sz w:val="18"/>
              </w:rPr>
              <w:t>- 42,181,11</w:t>
            </w:r>
          </w:p>
          <w:p>
            <w:pPr>
              <w:pStyle w:val="TableParagraph"/>
              <w:spacing w:line="240" w:lineRule="auto" w:before="6"/>
              <w:ind w:left="44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43,685,26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14,269,02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5,321,169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8,947,857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17,897,38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03" w:right="21" w:firstLine="480"/>
              <w:jc w:val="left"/>
              <w:rPr>
                <w:rFonts w:ascii="Times New Roman" w:hAnsi="Times New Roman" w:cs="Times New Roman" w:eastAsia="Times New Roman" w:hint="default"/>
                <w:sz w:val="18"/>
                <w:szCs w:val="18"/>
              </w:rPr>
            </w:pPr>
            <w:r>
              <w:rPr>
                <w:rFonts w:ascii="Times New Roman"/>
                <w:sz w:val="18"/>
              </w:rPr>
              <w:t>- 37,751,</w:t>
            </w:r>
          </w:p>
          <w:p>
            <w:pPr>
              <w:pStyle w:val="TableParagraph"/>
              <w:spacing w:line="240" w:lineRule="auto" w:before="6"/>
              <w:ind w:left="148" w:right="0"/>
              <w:jc w:val="left"/>
              <w:rPr>
                <w:rFonts w:ascii="Times New Roman" w:hAnsi="Times New Roman" w:cs="Times New Roman" w:eastAsia="Times New Roman" w:hint="default"/>
                <w:sz w:val="18"/>
                <w:szCs w:val="18"/>
              </w:rPr>
            </w:pPr>
            <w:r>
              <w:rPr>
                <w:rFonts w:ascii="Times New Roman"/>
                <w:sz w:val="18"/>
              </w:rPr>
              <w:t>006.49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7" w:right="19" w:firstLine="660"/>
              <w:jc w:val="left"/>
              <w:rPr>
                <w:rFonts w:ascii="Times New Roman" w:hAnsi="Times New Roman" w:cs="Times New Roman" w:eastAsia="Times New Roman" w:hint="default"/>
                <w:sz w:val="18"/>
                <w:szCs w:val="18"/>
              </w:rPr>
            </w:pPr>
            <w:r>
              <w:rPr>
                <w:rFonts w:ascii="Times New Roman"/>
                <w:sz w:val="18"/>
              </w:rPr>
              <w:t>- 19,853,62</w:t>
            </w:r>
          </w:p>
          <w:p>
            <w:pPr>
              <w:pStyle w:val="TableParagraph"/>
              <w:spacing w:line="240" w:lineRule="auto" w:before="6"/>
              <w:ind w:left="433" w:right="0"/>
              <w:jc w:val="left"/>
              <w:rPr>
                <w:rFonts w:ascii="Times New Roman" w:hAnsi="Times New Roman" w:cs="Times New Roman" w:eastAsia="Times New Roman" w:hint="default"/>
                <w:sz w:val="18"/>
                <w:szCs w:val="18"/>
              </w:rPr>
            </w:pPr>
            <w:r>
              <w:rPr>
                <w:rFonts w:ascii="Times New Roman"/>
                <w:sz w:val="18"/>
              </w:rPr>
              <w:t>0.24</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17,897,38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03" w:right="21" w:firstLine="480"/>
              <w:jc w:val="left"/>
              <w:rPr>
                <w:rFonts w:ascii="Times New Roman" w:hAnsi="Times New Roman" w:cs="Times New Roman" w:eastAsia="Times New Roman" w:hint="default"/>
                <w:sz w:val="18"/>
                <w:szCs w:val="18"/>
              </w:rPr>
            </w:pPr>
            <w:r>
              <w:rPr>
                <w:rFonts w:ascii="Times New Roman"/>
                <w:sz w:val="18"/>
              </w:rPr>
              <w:t>- 17,897,</w:t>
            </w:r>
          </w:p>
          <w:p>
            <w:pPr>
              <w:pStyle w:val="TableParagraph"/>
              <w:spacing w:line="240" w:lineRule="auto" w:before="6"/>
              <w:ind w:left="148" w:right="0"/>
              <w:jc w:val="left"/>
              <w:rPr>
                <w:rFonts w:ascii="Times New Roman" w:hAnsi="Times New Roman" w:cs="Times New Roman" w:eastAsia="Times New Roman" w:hint="default"/>
                <w:sz w:val="18"/>
                <w:szCs w:val="18"/>
              </w:rPr>
            </w:pPr>
            <w:r>
              <w:rPr>
                <w:rFonts w:ascii="Times New Roman"/>
                <w:sz w:val="18"/>
              </w:rPr>
              <w:t>386.25</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03" w:right="21" w:firstLine="480"/>
              <w:jc w:val="left"/>
              <w:rPr>
                <w:rFonts w:ascii="Times New Roman" w:hAnsi="Times New Roman" w:cs="Times New Roman" w:eastAsia="Times New Roman" w:hint="default"/>
                <w:sz w:val="18"/>
                <w:szCs w:val="18"/>
              </w:rPr>
            </w:pPr>
            <w:r>
              <w:rPr>
                <w:rFonts w:ascii="Times New Roman"/>
                <w:sz w:val="18"/>
              </w:rPr>
              <w:t>- 19,853,</w:t>
            </w:r>
          </w:p>
          <w:p>
            <w:pPr>
              <w:pStyle w:val="TableParagraph"/>
              <w:spacing w:line="240" w:lineRule="auto" w:before="6"/>
              <w:ind w:left="148" w:right="0"/>
              <w:jc w:val="left"/>
              <w:rPr>
                <w:rFonts w:ascii="Times New Roman" w:hAnsi="Times New Roman" w:cs="Times New Roman" w:eastAsia="Times New Roman" w:hint="default"/>
                <w:sz w:val="18"/>
                <w:szCs w:val="18"/>
              </w:rPr>
            </w:pPr>
            <w:r>
              <w:rPr>
                <w:rFonts w:ascii="Times New Roman"/>
                <w:sz w:val="18"/>
              </w:rPr>
              <w:t>620.24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7" w:right="19" w:firstLine="660"/>
              <w:jc w:val="left"/>
              <w:rPr>
                <w:rFonts w:ascii="Times New Roman" w:hAnsi="Times New Roman" w:cs="Times New Roman" w:eastAsia="Times New Roman" w:hint="default"/>
                <w:sz w:val="18"/>
                <w:szCs w:val="18"/>
              </w:rPr>
            </w:pPr>
            <w:r>
              <w:rPr>
                <w:rFonts w:ascii="Times New Roman"/>
                <w:sz w:val="18"/>
              </w:rPr>
              <w:t>- 19,853,62</w:t>
            </w:r>
          </w:p>
          <w:p>
            <w:pPr>
              <w:pStyle w:val="TableParagraph"/>
              <w:spacing w:line="240" w:lineRule="auto" w:before="6"/>
              <w:ind w:left="433" w:right="0"/>
              <w:jc w:val="lef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6"/>
        <w:gridCol w:w="665"/>
        <w:gridCol w:w="797"/>
        <w:gridCol w:w="798"/>
        <w:gridCol w:w="797"/>
        <w:gridCol w:w="798"/>
        <w:gridCol w:w="797"/>
        <w:gridCol w:w="677"/>
        <w:gridCol w:w="780"/>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497,030,</w:t>
            </w:r>
          </w:p>
          <w:p>
            <w:pPr>
              <w:pStyle w:val="TableParagraph"/>
              <w:spacing w:line="240" w:lineRule="auto" w:before="106"/>
              <w:ind w:left="142" w:right="0"/>
              <w:jc w:val="center"/>
              <w:rPr>
                <w:rFonts w:ascii="Times New Roman" w:hAnsi="Times New Roman" w:cs="Times New Roman" w:eastAsia="Times New Roman" w:hint="default"/>
                <w:sz w:val="18"/>
                <w:szCs w:val="18"/>
              </w:rPr>
            </w:pPr>
            <w:r>
              <w:rPr>
                <w:rFonts w:ascii="Times New Roman"/>
                <w:sz w:val="18"/>
              </w:rPr>
              <w:t>706.00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1,093,447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,268.51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73,899,61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163,479,2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75,039,88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590,637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,495.39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2,345,735</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,022.27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6"/>
        <w:gridCol w:w="665"/>
        <w:gridCol w:w="797"/>
        <w:gridCol w:w="798"/>
        <w:gridCol w:w="797"/>
        <w:gridCol w:w="798"/>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3" w:right="32"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5"/>
              <w:jc w:val="left"/>
              <w:rPr>
                <w:rFonts w:ascii="宋体" w:hAnsi="宋体" w:cs="宋体" w:eastAsia="宋体" w:hint="default"/>
                <w:sz w:val="18"/>
                <w:szCs w:val="18"/>
              </w:rPr>
            </w:pPr>
            <w:r>
              <w:rPr>
                <w:rFonts w:ascii="宋体" w:hAnsi="宋体" w:cs="宋体" w:eastAsia="宋体" w:hint="default"/>
                <w:sz w:val="18"/>
                <w:szCs w:val="18"/>
              </w:rPr>
              <w:t>一、上年期末余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443,163,</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1,003,363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,052.95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47,182,55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374,392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,778.81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1,868,101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,587.24</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5" w:firstLine="360"/>
              <w:jc w:val="left"/>
              <w:rPr>
                <w:rFonts w:ascii="宋体" w:hAnsi="宋体" w:cs="宋体" w:eastAsia="宋体" w:hint="default"/>
                <w:sz w:val="18"/>
                <w:szCs w:val="18"/>
              </w:rPr>
            </w:pPr>
            <w:r>
              <w:rPr>
                <w:rFonts w:ascii="宋体" w:hAnsi="宋体" w:cs="宋体" w:eastAsia="宋体" w:hint="default"/>
                <w:sz w:val="18"/>
                <w:szCs w:val="18"/>
              </w:rPr>
              <w:t>加：会计政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5"/>
              <w:jc w:val="left"/>
              <w:rPr>
                <w:rFonts w:ascii="宋体" w:hAnsi="宋体" w:cs="宋体" w:eastAsia="宋体" w:hint="default"/>
                <w:sz w:val="18"/>
                <w:szCs w:val="18"/>
              </w:rPr>
            </w:pPr>
            <w:r>
              <w:rPr>
                <w:rFonts w:ascii="宋体" w:hAnsi="宋体" w:cs="宋体" w:eastAsia="宋体" w:hint="default"/>
                <w:sz w:val="18"/>
                <w:szCs w:val="18"/>
              </w:rPr>
              <w:t>二、本年期初余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443,163,</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1,003,363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,052.95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47,182,55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374,392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,778.81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1,868,101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,587.24</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5"/>
              <w:jc w:val="both"/>
              <w:rPr>
                <w:rFonts w:ascii="宋体" w:hAnsi="宋体" w:cs="宋体" w:eastAsia="宋体" w:hint="default"/>
                <w:sz w:val="18"/>
                <w:szCs w:val="18"/>
              </w:rPr>
            </w:pPr>
            <w:r>
              <w:rPr>
                <w:rFonts w:ascii="宋体" w:hAnsi="宋体" w:cs="宋体" w:eastAsia="宋体" w:hint="default"/>
                <w:sz w:val="18"/>
                <w:szCs w:val="18"/>
              </w:rPr>
              <w:t>三、本期增减变 动金额（减少以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53,177,3</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75,001,23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110,759,5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9,959,943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75,021,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860.55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102,400,7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90.33</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5"/>
              <w:jc w:val="left"/>
              <w:rPr>
                <w:rFonts w:ascii="宋体" w:hAnsi="宋体" w:cs="宋体" w:eastAsia="宋体" w:hint="default"/>
                <w:sz w:val="18"/>
                <w:szCs w:val="18"/>
              </w:rPr>
            </w:pPr>
            <w:r>
              <w:rPr>
                <w:rFonts w:ascii="宋体" w:hAnsi="宋体" w:cs="宋体" w:eastAsia="宋体" w:hint="default"/>
                <w:sz w:val="18"/>
                <w:szCs w:val="18"/>
              </w:rPr>
              <w:t>（一）综合收益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99,599,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436.37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99,599,43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6.37</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5"/>
              <w:jc w:val="left"/>
              <w:rPr>
                <w:rFonts w:ascii="宋体" w:hAnsi="宋体" w:cs="宋体" w:eastAsia="宋体" w:hint="default"/>
                <w:sz w:val="18"/>
                <w:szCs w:val="18"/>
              </w:rPr>
            </w:pPr>
            <w:r>
              <w:rPr>
                <w:rFonts w:ascii="宋体" w:hAnsi="宋体" w:cs="宋体" w:eastAsia="宋体" w:hint="default"/>
                <w:sz w:val="18"/>
                <w:szCs w:val="18"/>
              </w:rPr>
              <w:t>（二）所有者投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53,177,3</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75,001,23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110,759,5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17,418,98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6.14</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53,177,3</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57,582,25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110,759,5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59.00</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15,965,98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110,759,5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27" w:right="19" w:firstLine="660"/>
              <w:jc w:val="left"/>
              <w:rPr>
                <w:rFonts w:ascii="Times New Roman" w:hAnsi="Times New Roman" w:cs="Times New Roman" w:eastAsia="Times New Roman" w:hint="default"/>
                <w:sz w:val="18"/>
                <w:szCs w:val="18"/>
              </w:rPr>
            </w:pPr>
            <w:r>
              <w:rPr>
                <w:rFonts w:ascii="Times New Roman"/>
                <w:sz w:val="18"/>
              </w:rPr>
              <w:t>- 94,793,56</w:t>
            </w:r>
          </w:p>
        </w:tc>
      </w:tr>
    </w:tbl>
    <w:p>
      <w:pPr>
        <w:spacing w:after="0" w:line="36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440"/>
        <w:gridCol w:w="691"/>
        <w:gridCol w:w="665"/>
        <w:gridCol w:w="666"/>
        <w:gridCol w:w="665"/>
        <w:gridCol w:w="797"/>
        <w:gridCol w:w="798"/>
        <w:gridCol w:w="797"/>
        <w:gridCol w:w="798"/>
        <w:gridCol w:w="797"/>
        <w:gridCol w:w="677"/>
        <w:gridCol w:w="780"/>
      </w:tblGrid>
      <w:tr>
        <w:trPr>
          <w:trHeight w:val="36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9.78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9" w:right="0"/>
              <w:jc w:val="left"/>
              <w:rPr>
                <w:rFonts w:ascii="Times New Roman" w:hAnsi="Times New Roman" w:cs="Times New Roman" w:eastAsia="Times New Roman" w:hint="default"/>
                <w:sz w:val="18"/>
                <w:szCs w:val="18"/>
              </w:rPr>
            </w:pPr>
            <w:r>
              <w:rPr>
                <w:rFonts w:ascii="Times New Roman"/>
                <w:sz w:val="18"/>
              </w:rPr>
              <w:t>59.00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9.22</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1,452,996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1,452,996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9,959,943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03" w:right="21" w:firstLine="480"/>
              <w:jc w:val="left"/>
              <w:rPr>
                <w:rFonts w:ascii="Times New Roman" w:hAnsi="Times New Roman" w:cs="Times New Roman" w:eastAsia="Times New Roman" w:hint="default"/>
                <w:sz w:val="18"/>
                <w:szCs w:val="18"/>
              </w:rPr>
            </w:pPr>
            <w:r>
              <w:rPr>
                <w:rFonts w:ascii="Times New Roman"/>
                <w:sz w:val="18"/>
              </w:rPr>
              <w:t>- 24,577,</w:t>
            </w:r>
          </w:p>
          <w:p>
            <w:pPr>
              <w:pStyle w:val="TableParagraph"/>
              <w:spacing w:line="240" w:lineRule="auto" w:before="6"/>
              <w:ind w:left="148" w:right="0"/>
              <w:jc w:val="left"/>
              <w:rPr>
                <w:rFonts w:ascii="Times New Roman" w:hAnsi="Times New Roman" w:cs="Times New Roman" w:eastAsia="Times New Roman" w:hint="default"/>
                <w:sz w:val="18"/>
                <w:szCs w:val="18"/>
              </w:rPr>
            </w:pPr>
            <w:r>
              <w:rPr>
                <w:rFonts w:ascii="Times New Roman"/>
                <w:sz w:val="18"/>
              </w:rPr>
              <w:t>575.82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7" w:right="19" w:firstLine="660"/>
              <w:jc w:val="left"/>
              <w:rPr>
                <w:rFonts w:ascii="Times New Roman" w:hAnsi="Times New Roman" w:cs="Times New Roman" w:eastAsia="Times New Roman" w:hint="default"/>
                <w:sz w:val="18"/>
                <w:szCs w:val="18"/>
              </w:rPr>
            </w:pPr>
            <w:r>
              <w:rPr>
                <w:rFonts w:ascii="Times New Roman"/>
                <w:sz w:val="18"/>
              </w:rPr>
              <w:t>- 14,617,63</w:t>
            </w:r>
          </w:p>
          <w:p>
            <w:pPr>
              <w:pStyle w:val="TableParagraph"/>
              <w:spacing w:line="240" w:lineRule="auto" w:before="6"/>
              <w:ind w:left="433" w:right="0"/>
              <w:jc w:val="left"/>
              <w:rPr>
                <w:rFonts w:ascii="Times New Roman" w:hAnsi="Times New Roman" w:cs="Times New Roman" w:eastAsia="Times New Roman" w:hint="default"/>
                <w:sz w:val="18"/>
                <w:szCs w:val="18"/>
              </w:rPr>
            </w:pPr>
            <w:r>
              <w:rPr>
                <w:rFonts w:ascii="Times New Roman"/>
                <w:sz w:val="18"/>
              </w:rPr>
              <w:t>2.18</w:t>
            </w: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9,959,943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03" w:right="20" w:firstLine="480"/>
              <w:jc w:val="left"/>
              <w:rPr>
                <w:rFonts w:ascii="Times New Roman" w:hAnsi="Times New Roman" w:cs="Times New Roman" w:eastAsia="Times New Roman" w:hint="default"/>
                <w:sz w:val="18"/>
                <w:szCs w:val="18"/>
              </w:rPr>
            </w:pPr>
            <w:r>
              <w:rPr>
                <w:rFonts w:ascii="Times New Roman"/>
                <w:sz w:val="18"/>
              </w:rPr>
              <w:t>- 9,959,9</w:t>
            </w:r>
          </w:p>
          <w:p>
            <w:pPr>
              <w:pStyle w:val="TableParagraph"/>
              <w:spacing w:line="240" w:lineRule="auto" w:before="6"/>
              <w:ind w:left="238" w:right="0"/>
              <w:jc w:val="left"/>
              <w:rPr>
                <w:rFonts w:ascii="Times New Roman" w:hAnsi="Times New Roman" w:cs="Times New Roman" w:eastAsia="Times New Roman" w:hint="default"/>
                <w:sz w:val="18"/>
                <w:szCs w:val="18"/>
              </w:rPr>
            </w:pPr>
            <w:r>
              <w:rPr>
                <w:rFonts w:ascii="Times New Roman"/>
                <w:sz w:val="18"/>
              </w:rPr>
              <w:t>43.64</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03" w:right="21" w:firstLine="480"/>
              <w:jc w:val="left"/>
              <w:rPr>
                <w:rFonts w:ascii="Times New Roman" w:hAnsi="Times New Roman" w:cs="Times New Roman" w:eastAsia="Times New Roman" w:hint="default"/>
                <w:sz w:val="18"/>
                <w:szCs w:val="18"/>
              </w:rPr>
            </w:pPr>
            <w:r>
              <w:rPr>
                <w:rFonts w:ascii="Times New Roman"/>
                <w:sz w:val="18"/>
              </w:rPr>
              <w:t>- 14,617,</w:t>
            </w:r>
          </w:p>
          <w:p>
            <w:pPr>
              <w:pStyle w:val="TableParagraph"/>
              <w:spacing w:line="240" w:lineRule="auto" w:before="6"/>
              <w:ind w:left="148" w:right="0"/>
              <w:jc w:val="left"/>
              <w:rPr>
                <w:rFonts w:ascii="Times New Roman" w:hAnsi="Times New Roman" w:cs="Times New Roman" w:eastAsia="Times New Roman" w:hint="default"/>
                <w:sz w:val="18"/>
                <w:szCs w:val="18"/>
              </w:rPr>
            </w:pPr>
            <w:r>
              <w:rPr>
                <w:rFonts w:ascii="Times New Roman"/>
                <w:sz w:val="18"/>
              </w:rPr>
              <w:t>632.18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7" w:right="19" w:firstLine="660"/>
              <w:jc w:val="left"/>
              <w:rPr>
                <w:rFonts w:ascii="Times New Roman" w:hAnsi="Times New Roman" w:cs="Times New Roman" w:eastAsia="Times New Roman" w:hint="default"/>
                <w:sz w:val="18"/>
                <w:szCs w:val="18"/>
              </w:rPr>
            </w:pPr>
            <w:r>
              <w:rPr>
                <w:rFonts w:ascii="Times New Roman"/>
                <w:sz w:val="18"/>
              </w:rPr>
              <w:t>- 14,617,63</w:t>
            </w:r>
          </w:p>
          <w:p>
            <w:pPr>
              <w:pStyle w:val="TableParagraph"/>
              <w:spacing w:line="240" w:lineRule="auto" w:before="6"/>
              <w:ind w:left="433" w:right="0"/>
              <w:jc w:val="lef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（四）所有者权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四、本期期末余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496,340,</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506.00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1,078,364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,292.09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110,759,5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57,142,49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9.12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449,414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,639.36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1,970,502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,377.57</w:t>
            </w:r>
          </w:p>
        </w:tc>
      </w:tr>
    </w:tbl>
    <w:p>
      <w:pPr>
        <w:spacing w:line="240" w:lineRule="auto" w:before="12"/>
        <w:rPr>
          <w:rFonts w:ascii="宋体" w:hAnsi="宋体" w:cs="宋体" w:eastAsia="宋体" w:hint="default"/>
          <w:sz w:val="17"/>
          <w:szCs w:val="17"/>
        </w:rPr>
      </w:pPr>
    </w:p>
    <w:p>
      <w:pPr>
        <w:pStyle w:val="Heading2"/>
        <w:spacing w:line="240" w:lineRule="auto" w:before="26"/>
        <w:ind w:right="208"/>
        <w:jc w:val="left"/>
        <w:rPr>
          <w:b w:val="0"/>
          <w:bCs w:val="0"/>
        </w:rPr>
      </w:pPr>
      <w:r>
        <w:rPr/>
        <w:t>三、公司基本情况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3" w:right="102"/>
        <w:jc w:val="left"/>
      </w:pPr>
      <w:r>
        <w:rPr/>
        <w:t>厦门市美亚柏科信息股份有限公司（以下简称“本公司”）是一家在福建省厦门市注册的股份有限公司，</w:t>
      </w:r>
      <w:r>
        <w:rPr>
          <w:spacing w:val="-34"/>
        </w:rPr>
        <w:t> </w:t>
      </w:r>
      <w:r>
        <w:rPr>
          <w:spacing w:val="-34"/>
        </w:rPr>
      </w:r>
      <w:r>
        <w:rPr/>
        <w:t>由郭永芳、刘祥南、李国林、广州通连投资咨询有限公司等十六名发起人共同发起设立，经福建省厦门市</w:t>
      </w:r>
      <w:r>
        <w:rPr/>
        <w:t> 工商行政管理局核准登记，企业法人营业执照350298200005610号；2016年3月28日，本公司经厦门市市场 </w:t>
      </w:r>
      <w:r>
        <w:rPr>
          <w:spacing w:val="-3"/>
        </w:rPr>
        <w:t>监督管理局核准，取得统一社会信用代码为91350200705420347R的营业执照。本公司注册地址及总部地址：</w:t>
      </w:r>
      <w:r>
        <w:rPr>
          <w:spacing w:val="-87"/>
        </w:rPr>
        <w:t> </w:t>
      </w:r>
      <w:r>
        <w:rPr>
          <w:spacing w:val="-87"/>
        </w:rPr>
      </w:r>
      <w:r>
        <w:rPr/>
        <w:t>厦门市软件园二期观日路12号102-402单元，法定代表人：滕达。</w:t>
      </w:r>
    </w:p>
    <w:p>
      <w:pPr>
        <w:spacing w:line="240" w:lineRule="auto" w:before="1"/>
        <w:rPr>
          <w:rFonts w:ascii="宋体" w:hAnsi="宋体" w:cs="宋体" w:eastAsia="宋体" w:hint="default"/>
          <w:sz w:val="17"/>
          <w:szCs w:val="17"/>
        </w:rPr>
      </w:pPr>
    </w:p>
    <w:p>
      <w:pPr>
        <w:pStyle w:val="BodyText"/>
        <w:spacing w:line="460" w:lineRule="auto"/>
        <w:ind w:left="153" w:right="102"/>
        <w:jc w:val="left"/>
      </w:pPr>
      <w:r>
        <w:rPr>
          <w:spacing w:val="-1"/>
        </w:rPr>
        <w:t>本公司前身为原厦门市美亚柏科资讯科技有限公司，2009年9月22日在该公司基础上改组为股份有限公司。</w:t>
      </w:r>
      <w:r>
        <w:rPr>
          <w:spacing w:val="-79"/>
        </w:rPr>
        <w:t> </w:t>
      </w:r>
      <w:r>
        <w:rPr>
          <w:spacing w:val="-79"/>
        </w:rPr>
      </w:r>
      <w:r>
        <w:rPr/>
        <w:t>根据本公司2010年第一次临时股东大会决议，并经中国证券监督管理委员会“证监许可[2011]263号”文</w:t>
      </w:r>
    </w:p>
    <w:p>
      <w:pPr>
        <w:spacing w:after="0" w:line="46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209"/>
        <w:jc w:val="both"/>
      </w:pPr>
      <w:r>
        <w:rPr>
          <w:spacing w:val="-1"/>
        </w:rPr>
        <w:t>《关于核准厦门市美亚柏科信息股份有限公司首次公开发行股票并在创业板上市的批复》核准，本公司申</w:t>
      </w:r>
      <w:r>
        <w:rPr>
          <w:spacing w:val="-81"/>
        </w:rPr>
        <w:t> </w:t>
      </w:r>
      <w:r>
        <w:rPr>
          <w:spacing w:val="-81"/>
        </w:rPr>
      </w:r>
      <w:r>
        <w:rPr>
          <w:spacing w:val="-1"/>
        </w:rPr>
        <w:t>请首次向社会公开发行人民币普通股（A股）1,350万股，每股面值1元，实际发行价格40元/股，发行后本</w:t>
      </w:r>
      <w:r>
        <w:rPr>
          <w:spacing w:val="-81"/>
        </w:rPr>
        <w:t> </w:t>
      </w:r>
      <w:r>
        <w:rPr>
          <w:spacing w:val="-81"/>
        </w:rPr>
      </w:r>
      <w:r>
        <w:rPr>
          <w:spacing w:val="-3"/>
        </w:rPr>
        <w:t>公司注册资本（股本）变更为5,350万元。本公司A股股票自2011年3月16日起在深圳证券交易所创业板上市</w:t>
      </w:r>
      <w:r>
        <w:rPr>
          <w:spacing w:val="-79"/>
        </w:rPr>
        <w:t> </w:t>
      </w:r>
      <w:r>
        <w:rPr>
          <w:spacing w:val="-79"/>
        </w:rPr>
      </w:r>
      <w:r>
        <w:rPr/>
        <w:t>交易，证券简称为“美亚柏科”，证券代码为“300188”。</w:t>
      </w:r>
    </w:p>
    <w:p>
      <w:pPr>
        <w:spacing w:line="240" w:lineRule="auto" w:before="1"/>
        <w:rPr>
          <w:rFonts w:ascii="宋体" w:hAnsi="宋体" w:cs="宋体" w:eastAsia="宋体" w:hint="default"/>
          <w:sz w:val="17"/>
          <w:szCs w:val="17"/>
        </w:rPr>
      </w:pPr>
    </w:p>
    <w:p>
      <w:pPr>
        <w:pStyle w:val="BodyText"/>
        <w:spacing w:line="273" w:lineRule="auto"/>
        <w:ind w:left="153" w:right="208"/>
        <w:jc w:val="both"/>
      </w:pPr>
      <w:r>
        <w:rPr/>
        <w:t>根据2012年5月14日本公司召开的2011年度股东大会审议通过2011年度利润分配方案，以2011年12</w:t>
      </w:r>
      <w:r>
        <w:rPr>
          <w:spacing w:val="-26"/>
        </w:rPr>
        <w:t> </w:t>
      </w:r>
      <w:r>
        <w:rPr/>
        <w:t>月31日</w:t>
      </w:r>
      <w:r>
        <w:rPr/>
        <w:t> </w:t>
      </w:r>
      <w:r>
        <w:rPr>
          <w:spacing w:val="-3"/>
        </w:rPr>
        <w:t>总股本5,350万股为基数，以资本公积金每10股转增10股，共计转增5,350万股。根据2012年6月15日本公司</w:t>
      </w:r>
      <w:r>
        <w:rPr>
          <w:spacing w:val="-68"/>
        </w:rPr>
        <w:t> </w:t>
      </w:r>
      <w:r>
        <w:rPr>
          <w:spacing w:val="-68"/>
        </w:rPr>
      </w:r>
      <w:r>
        <w:rPr/>
        <w:t>召开的2012</w:t>
      </w:r>
      <w:r>
        <w:rPr>
          <w:spacing w:val="75"/>
        </w:rPr>
        <w:t> </w:t>
      </w:r>
      <w:r>
        <w:rPr/>
        <w:t>年第一次临时股东大会决议、2012年7月6日第一届董事会第二十一次会议决议和修改后的章</w:t>
      </w:r>
      <w:r>
        <w:rPr>
          <w:spacing w:val="-103"/>
        </w:rPr>
        <w:t> </w:t>
      </w:r>
      <w:r>
        <w:rPr>
          <w:spacing w:val="-103"/>
        </w:rPr>
      </w:r>
      <w:r>
        <w:rPr/>
        <w:t>程规定，本公司以定向增发方式向201名激励对象授予限制性人民币普通股（A</w:t>
      </w:r>
      <w:r>
        <w:rPr>
          <w:spacing w:val="-52"/>
        </w:rPr>
        <w:t> </w:t>
      </w:r>
      <w:r>
        <w:rPr>
          <w:spacing w:val="-5"/>
        </w:rPr>
        <w:t>股）390.66万股，每股面值</w:t>
      </w:r>
      <w:r>
        <w:rPr/>
        <w:t> 1元，发行价格每股8.58元/股，募集资金总额33,518,628.00 </w:t>
      </w:r>
      <w:r>
        <w:rPr>
          <w:spacing w:val="-3"/>
        </w:rPr>
        <w:t>元，其中计入股本3,906,600.00</w:t>
      </w:r>
      <w:r>
        <w:rPr>
          <w:spacing w:val="-47"/>
        </w:rPr>
        <w:t> </w:t>
      </w:r>
      <w:r>
        <w:rPr>
          <w:spacing w:val="-7"/>
        </w:rPr>
        <w:t>元，计入资</w:t>
      </w:r>
      <w:r>
        <w:rPr/>
        <w:t> 本公积29,612,028.00元。上述增资后注册资本变更为人民币110,906,600元。</w:t>
      </w:r>
    </w:p>
    <w:p>
      <w:pPr>
        <w:spacing w:line="240" w:lineRule="auto" w:before="1"/>
        <w:rPr>
          <w:rFonts w:ascii="宋体" w:hAnsi="宋体" w:cs="宋体" w:eastAsia="宋体" w:hint="default"/>
          <w:sz w:val="17"/>
          <w:szCs w:val="17"/>
        </w:rPr>
      </w:pPr>
    </w:p>
    <w:p>
      <w:pPr>
        <w:pStyle w:val="BodyText"/>
        <w:spacing w:line="273" w:lineRule="auto"/>
        <w:ind w:left="153" w:right="209"/>
        <w:jc w:val="both"/>
      </w:pPr>
      <w:r>
        <w:rPr/>
        <w:t>根据2013年5月10日本公司召开的2012年度股东大会审议通过2012年度利润分配方案，以2012年12</w:t>
      </w:r>
      <w:r>
        <w:rPr>
          <w:spacing w:val="-26"/>
        </w:rPr>
        <w:t> </w:t>
      </w:r>
      <w:r>
        <w:rPr/>
        <w:t>月31日</w:t>
      </w:r>
      <w:r>
        <w:rPr/>
        <w:t> </w:t>
      </w:r>
      <w:r>
        <w:rPr>
          <w:spacing w:val="-1"/>
        </w:rPr>
        <w:t>总股本11,090.66万股为基数，以资本公积金每10股转增10股，共计转增11,090.66万股，注册资本变更为</w:t>
      </w:r>
      <w:r>
        <w:rPr>
          <w:spacing w:val="-78"/>
        </w:rPr>
        <w:t> </w:t>
      </w:r>
      <w:r>
        <w:rPr>
          <w:spacing w:val="-78"/>
        </w:rPr>
      </w:r>
      <w:r>
        <w:rPr/>
        <w:t>人民币221,813,200元。</w:t>
      </w:r>
    </w:p>
    <w:p>
      <w:pPr>
        <w:spacing w:line="240" w:lineRule="auto" w:before="1"/>
        <w:rPr>
          <w:rFonts w:ascii="宋体" w:hAnsi="宋体" w:cs="宋体" w:eastAsia="宋体" w:hint="default"/>
          <w:sz w:val="17"/>
          <w:szCs w:val="17"/>
        </w:rPr>
      </w:pPr>
    </w:p>
    <w:p>
      <w:pPr>
        <w:pStyle w:val="BodyText"/>
        <w:spacing w:line="273" w:lineRule="auto"/>
        <w:ind w:left="153" w:right="209"/>
        <w:jc w:val="both"/>
      </w:pPr>
      <w:r>
        <w:rPr>
          <w:spacing w:val="-3"/>
        </w:rPr>
        <w:t>因部分激励对象离职，2014年度本公司回购注销限制性股票数量共计23.16万股，回购注销完成后，本公司</w:t>
      </w:r>
      <w:r>
        <w:rPr>
          <w:spacing w:val="-82"/>
        </w:rPr>
        <w:t> </w:t>
      </w:r>
      <w:r>
        <w:rPr>
          <w:spacing w:val="-82"/>
        </w:rPr>
      </w:r>
      <w:r>
        <w:rPr/>
        <w:t>总股本从22,181.32万股减至22,158.16万股，注册资本变更为人民币221,581,600.00元。</w:t>
      </w:r>
    </w:p>
    <w:p>
      <w:pPr>
        <w:spacing w:line="240" w:lineRule="auto" w:before="1"/>
        <w:rPr>
          <w:rFonts w:ascii="宋体" w:hAnsi="宋体" w:cs="宋体" w:eastAsia="宋体" w:hint="default"/>
          <w:sz w:val="17"/>
          <w:szCs w:val="17"/>
        </w:rPr>
      </w:pPr>
    </w:p>
    <w:p>
      <w:pPr>
        <w:pStyle w:val="BodyText"/>
        <w:spacing w:line="273" w:lineRule="auto"/>
        <w:ind w:left="153" w:right="209"/>
        <w:jc w:val="both"/>
      </w:pPr>
      <w:r>
        <w:rPr/>
        <w:t>根据2015年4月24日本公司召开的2014年度股东大会审议通过2014年度利润分配方案，以2014年12</w:t>
      </w:r>
      <w:r>
        <w:rPr>
          <w:spacing w:val="-26"/>
        </w:rPr>
        <w:t> </w:t>
      </w:r>
      <w:r>
        <w:rPr/>
        <w:t>月31日</w:t>
      </w:r>
      <w:r>
        <w:rPr/>
        <w:t> </w:t>
      </w:r>
      <w:r>
        <w:rPr>
          <w:spacing w:val="-1"/>
        </w:rPr>
        <w:t>总股本22,158.16万股为基数，以资本公积金每10股转增10股，共计转增22,158.16万股，注册资本变更为</w:t>
      </w:r>
      <w:r>
        <w:rPr>
          <w:spacing w:val="-78"/>
        </w:rPr>
        <w:t> </w:t>
      </w:r>
      <w:r>
        <w:rPr>
          <w:spacing w:val="-78"/>
        </w:rPr>
      </w:r>
      <w:r>
        <w:rPr/>
        <w:t>人民币443,163,200.00元。</w:t>
      </w:r>
    </w:p>
    <w:p>
      <w:pPr>
        <w:spacing w:line="240" w:lineRule="auto" w:before="1"/>
        <w:rPr>
          <w:rFonts w:ascii="宋体" w:hAnsi="宋体" w:cs="宋体" w:eastAsia="宋体" w:hint="default"/>
          <w:sz w:val="17"/>
          <w:szCs w:val="17"/>
        </w:rPr>
      </w:pPr>
    </w:p>
    <w:p>
      <w:pPr>
        <w:pStyle w:val="BodyText"/>
        <w:spacing w:line="273" w:lineRule="auto"/>
        <w:ind w:left="153" w:right="207"/>
        <w:jc w:val="both"/>
      </w:pPr>
      <w:r>
        <w:rPr>
          <w:spacing w:val="-1"/>
        </w:rPr>
        <w:t>根据2015年10月30日本公司召开的2015年第三次临时股东大会决议，并经中国证券监督管理委员会“证监</w:t>
      </w:r>
      <w:r>
        <w:rPr>
          <w:spacing w:val="-80"/>
        </w:rPr>
        <w:t> </w:t>
      </w:r>
      <w:r>
        <w:rPr>
          <w:spacing w:val="-80"/>
        </w:rPr>
      </w:r>
      <w:r>
        <w:rPr>
          <w:spacing w:val="-9"/>
        </w:rPr>
        <w:t>许可【2015】2919号”《关于核准厦门市美亚柏科信息股份有限公司向韦玉荣等发行股份购买资产的批复》，</w:t>
      </w:r>
      <w:r>
        <w:rPr>
          <w:spacing w:val="-86"/>
        </w:rPr>
        <w:t> </w:t>
      </w:r>
      <w:r>
        <w:rPr>
          <w:spacing w:val="-86"/>
        </w:rPr>
      </w:r>
      <w:r>
        <w:rPr>
          <w:spacing w:val="19"/>
        </w:rPr>
        <w:t>核准本公司非公开发行</w:t>
      </w:r>
      <w:r>
        <w:rPr>
          <w:spacing w:val="-76"/>
        </w:rPr>
        <w:t> </w:t>
      </w:r>
      <w:r>
        <w:rPr>
          <w:spacing w:val="13"/>
        </w:rPr>
        <w:t>29,666,848股股份购买江苏税软软件科技有限公司</w:t>
      </w:r>
      <w:r>
        <w:rPr>
          <w:spacing w:val="-76"/>
        </w:rPr>
        <w:t> </w:t>
      </w:r>
      <w:r>
        <w:rPr>
          <w:spacing w:val="14"/>
        </w:rPr>
        <w:t>100%股权，非公开发行</w:t>
      </w:r>
      <w:r>
        <w:rPr>
          <w:spacing w:val="-89"/>
        </w:rPr>
        <w:t> </w:t>
      </w:r>
      <w:r>
        <w:rPr>
          <w:spacing w:val="-89"/>
        </w:rPr>
      </w:r>
      <w:r>
        <w:rPr>
          <w:spacing w:val="-1"/>
        </w:rPr>
        <w:t>14,424,358股股份购买珠海市新德汇信息技术有限公司49%股权，每股面值1元，发行价格18.31元/股。上</w:t>
      </w:r>
      <w:r>
        <w:rPr>
          <w:spacing w:val="-73"/>
        </w:rPr>
        <w:t> </w:t>
      </w:r>
      <w:r>
        <w:rPr>
          <w:spacing w:val="-73"/>
        </w:rPr>
      </w:r>
      <w:r>
        <w:rPr/>
        <w:t>述非公开发行股份后，注册资本变更为人民币487,254,406.00元。</w:t>
      </w:r>
    </w:p>
    <w:p>
      <w:pPr>
        <w:spacing w:line="240" w:lineRule="auto" w:before="1"/>
        <w:rPr>
          <w:rFonts w:ascii="宋体" w:hAnsi="宋体" w:cs="宋体" w:eastAsia="宋体" w:hint="default"/>
          <w:sz w:val="17"/>
          <w:szCs w:val="17"/>
        </w:rPr>
      </w:pPr>
    </w:p>
    <w:p>
      <w:pPr>
        <w:pStyle w:val="BodyText"/>
        <w:spacing w:line="273" w:lineRule="auto"/>
        <w:ind w:left="153" w:right="210"/>
        <w:jc w:val="both"/>
      </w:pPr>
      <w:r>
        <w:rPr>
          <w:spacing w:val="-1"/>
        </w:rPr>
        <w:t>根据2016年12月2日本公司召开的2016年第三次临时股东大会决议、2016年12月7日第三届董事会第十三次</w:t>
      </w:r>
      <w:r>
        <w:rPr>
          <w:spacing w:val="-81"/>
        </w:rPr>
        <w:t> </w:t>
      </w:r>
      <w:r>
        <w:rPr>
          <w:spacing w:val="-81"/>
        </w:rPr>
      </w:r>
      <w:r>
        <w:rPr/>
        <w:t>会议和修改后的章程规定，本公司以定向增发方式向471名激励对象授予限制性普通股（A</w:t>
      </w:r>
      <w:r>
        <w:rPr>
          <w:spacing w:val="74"/>
        </w:rPr>
        <w:t> </w:t>
      </w:r>
      <w:r>
        <w:rPr/>
        <w:t>股）908.61万</w:t>
      </w:r>
      <w:r>
        <w:rPr>
          <w:spacing w:val="-103"/>
        </w:rPr>
        <w:t> </w:t>
      </w:r>
      <w:r>
        <w:rPr>
          <w:spacing w:val="-103"/>
        </w:rPr>
      </w:r>
      <w:r>
        <w:rPr>
          <w:spacing w:val="-6"/>
        </w:rPr>
        <w:t>股，每股面值1元，发行价格每股12.19元/股，募集资金总额110,759,559.00元，其中计入股本9,086,100.00</w:t>
      </w:r>
      <w:r>
        <w:rPr>
          <w:spacing w:val="-80"/>
        </w:rPr>
        <w:t> </w:t>
      </w:r>
      <w:r>
        <w:rPr>
          <w:spacing w:val="-80"/>
        </w:rPr>
      </w:r>
      <w:r>
        <w:rPr/>
        <w:t>元，计入资本公积101,673,459.00元。上述增资后注册资本变更为人民币496,340,506.00元。</w:t>
      </w:r>
    </w:p>
    <w:p>
      <w:pPr>
        <w:spacing w:line="240" w:lineRule="auto" w:before="1"/>
        <w:rPr>
          <w:rFonts w:ascii="宋体" w:hAnsi="宋体" w:cs="宋体" w:eastAsia="宋体" w:hint="default"/>
          <w:sz w:val="17"/>
          <w:szCs w:val="17"/>
        </w:rPr>
      </w:pPr>
    </w:p>
    <w:p>
      <w:pPr>
        <w:pStyle w:val="BodyText"/>
        <w:spacing w:line="273" w:lineRule="auto"/>
        <w:ind w:left="153" w:right="206"/>
        <w:jc w:val="both"/>
      </w:pPr>
      <w:r>
        <w:rPr>
          <w:spacing w:val="-1"/>
        </w:rPr>
        <w:t>根据2017年6月28日召开的第三届董事会第十七次会议决议、2017年8月23日召开的第三届董事会第十八次</w:t>
      </w:r>
      <w:r>
        <w:rPr>
          <w:spacing w:val="-84"/>
        </w:rPr>
        <w:t> </w:t>
      </w:r>
      <w:r>
        <w:rPr>
          <w:spacing w:val="-84"/>
        </w:rPr>
      </w:r>
      <w:r>
        <w:rPr>
          <w:spacing w:val="-1"/>
        </w:rPr>
        <w:t>会议决议，本公司回购已离职的18名股权激励对象共计223,700股限制性股票，减少股本223,700股，减少</w:t>
      </w:r>
      <w:r>
        <w:rPr>
          <w:spacing w:val="-77"/>
        </w:rPr>
        <w:t> </w:t>
      </w:r>
      <w:r>
        <w:rPr>
          <w:spacing w:val="-77"/>
        </w:rPr>
      </w:r>
      <w:r>
        <w:rPr/>
        <w:t>资本公积2,494,255.00元。上述减资后注册资本变更为人民币496,116,806.00元。</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根据2017年11月13日召开的第三届董事会第二十一次会议，本公司向101名自然人定向发行限制性普通股</w:t>
      </w:r>
    </w:p>
    <w:p>
      <w:pPr>
        <w:pStyle w:val="BodyText"/>
        <w:spacing w:line="273" w:lineRule="auto" w:before="37"/>
        <w:ind w:left="153" w:right="102"/>
        <w:jc w:val="left"/>
      </w:pPr>
      <w:r>
        <w:rPr/>
        <w:t>（A</w:t>
      </w:r>
      <w:r>
        <w:rPr>
          <w:spacing w:val="-15"/>
        </w:rPr>
        <w:t> </w:t>
      </w:r>
      <w:r>
        <w:rPr/>
        <w:t>股）91.39万股，每股面值1.00元，发行价格9.78元/股，募集资金总额8,937,942.00元，其中计入股</w:t>
      </w:r>
      <w:r>
        <w:rPr/>
        <w:t> 本913,900.00元，计入资本公积8,024,042.00元。上述增资后注册资本变更为人民币497,030,706.00元。</w:t>
      </w:r>
    </w:p>
    <w:p>
      <w:pPr>
        <w:spacing w:line="240" w:lineRule="auto" w:before="1"/>
        <w:rPr>
          <w:rFonts w:ascii="宋体" w:hAnsi="宋体" w:cs="宋体" w:eastAsia="宋体" w:hint="default"/>
          <w:sz w:val="17"/>
          <w:szCs w:val="17"/>
        </w:rPr>
      </w:pPr>
    </w:p>
    <w:p>
      <w:pPr>
        <w:pStyle w:val="BodyText"/>
        <w:spacing w:line="273" w:lineRule="auto"/>
        <w:ind w:right="102"/>
        <w:jc w:val="left"/>
      </w:pPr>
      <w:r>
        <w:rPr/>
        <w:t>本公司建立了股东大会、董事会、监事会的法人治理结构，目前设营销中心、采购中心、研究院等部门，</w:t>
      </w:r>
      <w:r>
        <w:rPr>
          <w:spacing w:val="-34"/>
        </w:rPr>
        <w:t> </w:t>
      </w:r>
      <w:r>
        <w:rPr>
          <w:spacing w:val="-34"/>
        </w:rPr>
      </w:r>
      <w:r>
        <w:rPr/>
        <w:t>拥有一家分公司和厦门美亚中敏电子科技有限公司、珠海市新德汇信息技术有限公司、厦门安胜网络科技</w:t>
      </w:r>
      <w:r>
        <w:rPr/>
        <w:t> 有限公司、武汉大千信息技术有限公司、江苏税软软件科技有限公司等十三家子公司。</w:t>
      </w:r>
    </w:p>
    <w:p>
      <w:pPr>
        <w:spacing w:line="240" w:lineRule="auto" w:before="1"/>
        <w:rPr>
          <w:rFonts w:ascii="宋体" w:hAnsi="宋体" w:cs="宋体" w:eastAsia="宋体" w:hint="default"/>
          <w:sz w:val="17"/>
          <w:szCs w:val="17"/>
        </w:rPr>
      </w:pPr>
    </w:p>
    <w:p>
      <w:pPr>
        <w:pStyle w:val="BodyText"/>
        <w:spacing w:line="240" w:lineRule="auto"/>
        <w:ind w:right="0"/>
        <w:jc w:val="both"/>
      </w:pPr>
      <w:r>
        <w:rPr/>
        <w:t>本公司及其子公司（以下简称“本集团”）属电子信息行业，经营范围主要包括：系统集成、计算机软件</w:t>
      </w:r>
    </w:p>
    <w:p>
      <w:pPr>
        <w:spacing w:after="0" w:line="240" w:lineRule="auto"/>
        <w:jc w:val="both"/>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50"/>
        <w:jc w:val="both"/>
      </w:pPr>
      <w:r>
        <w:rPr>
          <w:spacing w:val="-1"/>
        </w:rPr>
        <w:t>开发、信息咨询服务等。主要产品包括：电子数据取证、视频分析及专项执法装备、网络空间大搜索产品</w:t>
      </w:r>
      <w:r>
        <w:rPr>
          <w:spacing w:val="-83"/>
        </w:rPr>
        <w:t> </w:t>
      </w:r>
      <w:r>
        <w:rPr>
          <w:spacing w:val="-83"/>
        </w:rPr>
      </w:r>
      <w:r>
        <w:rPr>
          <w:spacing w:val="-1"/>
        </w:rPr>
        <w:t>及大数据信息化产品平台，在四大产品的技术基础上衍生发展出存证云+、搜索云+、数据服务及信息安全</w:t>
      </w:r>
      <w:r>
        <w:rPr>
          <w:spacing w:val="-86"/>
        </w:rPr>
        <w:t> </w:t>
      </w:r>
      <w:r>
        <w:rPr>
          <w:spacing w:val="-86"/>
        </w:rPr>
      </w:r>
      <w:r>
        <w:rPr/>
        <w:t>服务四大服务体系。主要客户包括全国各级司法机关、行政执法部门。</w:t>
      </w:r>
    </w:p>
    <w:p>
      <w:pPr>
        <w:spacing w:line="240" w:lineRule="auto" w:before="1"/>
        <w:rPr>
          <w:rFonts w:ascii="宋体" w:hAnsi="宋体" w:cs="宋体" w:eastAsia="宋体" w:hint="default"/>
          <w:sz w:val="17"/>
          <w:szCs w:val="17"/>
        </w:rPr>
      </w:pPr>
    </w:p>
    <w:p>
      <w:pPr>
        <w:pStyle w:val="BodyText"/>
        <w:spacing w:line="240" w:lineRule="auto"/>
        <w:ind w:right="0"/>
        <w:jc w:val="both"/>
      </w:pPr>
      <w:r>
        <w:rPr/>
        <w:t>本财务报表及财务报表附注业经本公司第三届董事会第二十五次会议于2018年3月21日批准。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73" w:lineRule="auto"/>
        <w:ind w:left="153" w:right="151"/>
        <w:jc w:val="both"/>
      </w:pPr>
      <w:r>
        <w:rPr>
          <w:spacing w:val="-1"/>
        </w:rPr>
        <w:t>本集团合并财务报表范围包括本公司及全部子公司，本报告期新设成立子公司：厦门美亚天信会议服务有</w:t>
      </w:r>
      <w:r>
        <w:rPr>
          <w:spacing w:val="-81"/>
        </w:rPr>
        <w:t> </w:t>
      </w:r>
      <w:r>
        <w:rPr>
          <w:spacing w:val="-81"/>
        </w:rPr>
      </w:r>
      <w:r>
        <w:rPr>
          <w:spacing w:val="-1"/>
        </w:rPr>
        <w:t>限公司，合并财务报表范围变化情况详见本“附注八、合并范围的变动”、本“附注九、在其他主体中的</w:t>
      </w:r>
      <w:r>
        <w:rPr>
          <w:spacing w:val="-86"/>
        </w:rPr>
        <w:t> </w:t>
      </w:r>
      <w:r>
        <w:rPr>
          <w:spacing w:val="-86"/>
        </w:rPr>
      </w:r>
      <w:r>
        <w:rPr/>
        <w:t>权益披露”。</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148"/>
        <w:jc w:val="both"/>
      </w:pPr>
      <w:r>
        <w:rPr>
          <w:spacing w:val="-5"/>
        </w:rPr>
        <w:t>本财务报表按照财政部颁布的企业会计准则及其应用指南、解释及其他有关规定（统称“企业会计准则”）</w:t>
      </w:r>
      <w:r>
        <w:rPr>
          <w:spacing w:val="-102"/>
        </w:rPr>
        <w:t> </w:t>
      </w:r>
      <w:r>
        <w:rPr>
          <w:spacing w:val="-102"/>
        </w:rPr>
      </w:r>
      <w:r>
        <w:rPr>
          <w:spacing w:val="-1"/>
        </w:rPr>
        <w:t>编制。此外，本集团还按照中国证监会《公开发行证券的公司信息披露编报规则第15号—财务报告的一般</w:t>
      </w:r>
      <w:r>
        <w:rPr>
          <w:spacing w:val="-84"/>
        </w:rPr>
        <w:t> </w:t>
      </w:r>
      <w:r>
        <w:rPr>
          <w:spacing w:val="-84"/>
        </w:rPr>
      </w:r>
      <w:r>
        <w:rPr/>
        <w:t>规定》（2014年修订）披露有关财务信息。</w:t>
      </w:r>
    </w:p>
    <w:p>
      <w:pPr>
        <w:spacing w:line="240" w:lineRule="auto" w:before="7"/>
        <w:rPr>
          <w:rFonts w:ascii="宋体" w:hAnsi="宋体" w:cs="宋体" w:eastAsia="宋体" w:hint="default"/>
          <w:sz w:val="23"/>
          <w:szCs w:val="23"/>
        </w:rPr>
      </w:pPr>
    </w:p>
    <w:p>
      <w:pPr>
        <w:spacing w:line="506" w:lineRule="auto" w:before="0"/>
        <w:ind w:left="153" w:right="64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spacing w:val="1"/>
          <w:w w:val="99"/>
          <w:sz w:val="21"/>
          <w:szCs w:val="21"/>
        </w:rPr>
        <w:t> </w:t>
      </w:r>
      <w:r>
        <w:rPr>
          <w:rFonts w:ascii="宋体" w:hAnsi="宋体" w:cs="宋体" w:eastAsia="宋体" w:hint="default"/>
          <w:sz w:val="21"/>
          <w:szCs w:val="21"/>
        </w:rPr>
        <w:t>本财务报表以持续经营为基础列报。</w:t>
      </w:r>
    </w:p>
    <w:p>
      <w:pPr>
        <w:pStyle w:val="BodyText"/>
        <w:spacing w:line="273" w:lineRule="auto" w:before="20"/>
        <w:ind w:left="153" w:right="150"/>
        <w:jc w:val="both"/>
      </w:pPr>
      <w:r>
        <w:rPr>
          <w:spacing w:val="-1"/>
        </w:rPr>
        <w:t>本集团会计核算以权责发生制为基础。除某些金融工具外，本财务报表均以历史成本为计量基础。资产如</w:t>
      </w:r>
      <w:r>
        <w:rPr>
          <w:spacing w:val="-83"/>
        </w:rPr>
        <w:t> </w:t>
      </w:r>
      <w:r>
        <w:rPr>
          <w:spacing w:val="-83"/>
        </w:rPr>
      </w:r>
      <w:r>
        <w:rPr/>
        <w:t>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ind w:right="0"/>
        <w:jc w:val="both"/>
        <w:rPr>
          <w:b w:val="0"/>
          <w:bCs w:val="0"/>
        </w:rPr>
      </w:pPr>
      <w:r>
        <w:rPr/>
        <w:t>五、重要会计政策及会计估计</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671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74" w:lineRule="auto" w:before="81"/>
        <w:ind w:left="153" w:right="2001"/>
        <w:jc w:val="left"/>
      </w:pPr>
      <w:r>
        <w:rPr/>
        <w:t>具体会计政策和会计估计提示： 本集团根据自身生产经营特点，确定收入确认政策，具体会计政策参见附注五、28。</w:t>
      </w:r>
    </w:p>
    <w:p>
      <w:pPr>
        <w:spacing w:line="240" w:lineRule="auto" w:before="10"/>
        <w:rPr>
          <w:rFonts w:ascii="宋体" w:hAnsi="宋体" w:cs="宋体" w:eastAsia="宋体" w:hint="default"/>
          <w:sz w:val="16"/>
          <w:szCs w:val="16"/>
        </w:rPr>
      </w:pPr>
    </w:p>
    <w:p>
      <w:pPr>
        <w:pStyle w:val="Heading3"/>
        <w:spacing w:line="240" w:lineRule="auto"/>
        <w:ind w:left="153"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151"/>
        <w:jc w:val="both"/>
      </w:pPr>
      <w:r>
        <w:rPr>
          <w:spacing w:val="-1"/>
        </w:rPr>
        <w:t>本财务报表符合企业会计准则的要求，真实、完整地反映了本公司2017年12月31日的合并及公司财务状况</w:t>
      </w:r>
      <w:r>
        <w:rPr>
          <w:spacing w:val="-79"/>
        </w:rPr>
        <w:t> </w:t>
      </w:r>
      <w:r>
        <w:rPr>
          <w:spacing w:val="-79"/>
        </w:rPr>
      </w:r>
      <w:r>
        <w:rPr/>
        <w:t>以及2017年度的合并及公司经营成果和合并及公司现金流量等有关信息。</w:t>
      </w:r>
    </w:p>
    <w:p>
      <w:pPr>
        <w:spacing w:line="240" w:lineRule="auto" w:before="7"/>
        <w:rPr>
          <w:rFonts w:ascii="宋体" w:hAnsi="宋体" w:cs="宋体" w:eastAsia="宋体" w:hint="default"/>
          <w:sz w:val="23"/>
          <w:szCs w:val="23"/>
        </w:rPr>
      </w:pPr>
    </w:p>
    <w:p>
      <w:pPr>
        <w:pStyle w:val="BodyText"/>
        <w:spacing w:line="568" w:lineRule="auto"/>
        <w:ind w:right="3680"/>
        <w:jc w:val="left"/>
      </w:pPr>
      <w:r>
        <w:rPr>
          <w:rFonts w:ascii="Times New Roman" w:hAnsi="Times New Roman" w:cs="Times New Roman" w:eastAsia="Times New Roman" w:hint="default"/>
          <w:b/>
          <w:bCs/>
        </w:rPr>
        <w:t>2</w:t>
      </w:r>
      <w:r>
        <w:rPr>
          <w:rFonts w:ascii="宋体" w:hAnsi="宋体" w:cs="宋体" w:eastAsia="宋体" w:hint="default"/>
          <w:b/>
          <w:bCs/>
        </w:rPr>
        <w:t>、会计期间</w:t>
      </w:r>
      <w:r>
        <w:rPr>
          <w:rFonts w:ascii="宋体" w:hAnsi="宋体" w:cs="宋体" w:eastAsia="宋体" w:hint="default"/>
          <w:b/>
          <w:bCs/>
          <w:spacing w:val="1"/>
          <w:w w:val="99"/>
        </w:rPr>
        <w:t> </w:t>
      </w: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after="0" w:line="568"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568" w:lineRule="auto" w:before="35"/>
        <w:ind w:left="154" w:right="7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
          <w:w w:val="99"/>
          <w:sz w:val="21"/>
          <w:szCs w:val="21"/>
        </w:rPr>
        <w:t> </w:t>
      </w:r>
      <w:r>
        <w:rPr>
          <w:rFonts w:ascii="宋体" w:hAnsi="宋体" w:cs="宋体" w:eastAsia="宋体" w:hint="default"/>
          <w:sz w:val="21"/>
          <w:szCs w:val="21"/>
        </w:rPr>
        <w:t>本集团的营业周期为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73" w:lineRule="auto" w:before="2"/>
        <w:ind w:right="211"/>
        <w:jc w:val="both"/>
      </w:pPr>
      <w:r>
        <w:rPr>
          <w:spacing w:val="-1"/>
        </w:rPr>
        <w:t>本公司及境内子公司以人民币为记账本位币。本公司下属子公司香港鼎永泰克科技有限公司采用美元为记</w:t>
      </w:r>
      <w:r>
        <w:rPr>
          <w:spacing w:val="-81"/>
        </w:rPr>
        <w:t> </w:t>
      </w:r>
      <w:r>
        <w:rPr>
          <w:spacing w:val="-81"/>
        </w:rPr>
      </w:r>
      <w:r>
        <w:rPr/>
        <w:t>账本位币，编制财务报表时折算为人民币。本集团编制本财务报表时所采用的货币为人民币。</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t>（1）同一控制下的企业合并</w:t>
      </w:r>
    </w:p>
    <w:p>
      <w:pPr>
        <w:spacing w:line="240" w:lineRule="auto" w:before="5"/>
        <w:rPr>
          <w:rFonts w:ascii="宋体" w:hAnsi="宋体" w:cs="宋体" w:eastAsia="宋体" w:hint="default"/>
          <w:sz w:val="19"/>
          <w:szCs w:val="19"/>
        </w:rPr>
      </w:pPr>
    </w:p>
    <w:p>
      <w:pPr>
        <w:pStyle w:val="BodyText"/>
        <w:spacing w:line="273" w:lineRule="auto"/>
        <w:ind w:right="209"/>
        <w:jc w:val="both"/>
      </w:pPr>
      <w:r>
        <w:rPr>
          <w:spacing w:val="-1"/>
        </w:rPr>
        <w:t>对于同一控制下的企业合并，合并方在合并中取得的被合并方的资产、负债，除因会计政策不同而进行的</w:t>
      </w:r>
      <w:r>
        <w:rPr>
          <w:spacing w:val="-83"/>
        </w:rPr>
        <w:t> </w:t>
      </w:r>
      <w:r>
        <w:rPr>
          <w:spacing w:val="-83"/>
        </w:rPr>
      </w:r>
      <w:r>
        <w:rPr>
          <w:spacing w:val="-1"/>
        </w:rPr>
        <w:t>调整以外，按合并日被合并方在最终控制方合并财务报表中的账面价值计量。合并对价的账面价值与合并</w:t>
      </w:r>
      <w:r>
        <w:rPr>
          <w:spacing w:val="-81"/>
        </w:rPr>
        <w:t> </w:t>
      </w:r>
      <w:r>
        <w:rPr>
          <w:spacing w:val="-81"/>
        </w:rPr>
      </w:r>
      <w:r>
        <w:rPr>
          <w:spacing w:val="-1"/>
        </w:rPr>
        <w:t>中取得的净资产账面价值的差额调整资本公积（股本溢价），资本公积（股本溢价）不足冲减的，调整留</w:t>
      </w:r>
      <w:r>
        <w:rPr>
          <w:spacing w:val="-83"/>
        </w:rPr>
        <w:t> </w:t>
      </w:r>
      <w:r>
        <w:rPr>
          <w:spacing w:val="-83"/>
        </w:rPr>
      </w:r>
      <w:r>
        <w:rPr/>
        <w:t>存收益。</w:t>
      </w:r>
    </w:p>
    <w:p>
      <w:pPr>
        <w:spacing w:line="240" w:lineRule="auto" w:before="1"/>
        <w:rPr>
          <w:rFonts w:ascii="宋体" w:hAnsi="宋体" w:cs="宋体" w:eastAsia="宋体" w:hint="default"/>
          <w:sz w:val="17"/>
          <w:szCs w:val="17"/>
        </w:rPr>
      </w:pPr>
    </w:p>
    <w:p>
      <w:pPr>
        <w:pStyle w:val="BodyText"/>
        <w:spacing w:line="240" w:lineRule="auto"/>
        <w:ind w:right="0"/>
        <w:jc w:val="both"/>
      </w:pPr>
      <w:r>
        <w:rPr/>
        <w:t>（2）非同一控制下的企业合并</w:t>
      </w:r>
    </w:p>
    <w:p>
      <w:pPr>
        <w:spacing w:line="240" w:lineRule="auto" w:before="5"/>
        <w:rPr>
          <w:rFonts w:ascii="宋体" w:hAnsi="宋体" w:cs="宋体" w:eastAsia="宋体" w:hint="default"/>
          <w:sz w:val="19"/>
          <w:szCs w:val="19"/>
        </w:rPr>
      </w:pPr>
    </w:p>
    <w:p>
      <w:pPr>
        <w:pStyle w:val="BodyText"/>
        <w:spacing w:line="273" w:lineRule="auto"/>
        <w:ind w:right="209"/>
        <w:jc w:val="both"/>
      </w:pPr>
      <w:r>
        <w:rPr>
          <w:spacing w:val="-1"/>
        </w:rPr>
        <w:t>对于非同一控制下的企业合并，合并成本为购买日为取得对被购买方的控制权而付出的资产、发生或承担</w:t>
      </w:r>
      <w:r>
        <w:rPr>
          <w:spacing w:val="-81"/>
        </w:rPr>
        <w:t> </w:t>
      </w:r>
      <w:r>
        <w:rPr>
          <w:spacing w:val="-81"/>
        </w:rPr>
      </w:r>
      <w:r>
        <w:rPr>
          <w:spacing w:val="-1"/>
        </w:rPr>
        <w:t>的负债以及发行的权益性证券的公允价值。在购买日，取得的被购买方的资产、负债及或有负债按公允价</w:t>
      </w:r>
      <w:r>
        <w:rPr>
          <w:spacing w:val="-83"/>
        </w:rPr>
        <w:t> </w:t>
      </w:r>
      <w:r>
        <w:rPr>
          <w:spacing w:val="-83"/>
        </w:rPr>
      </w:r>
      <w:r>
        <w:rPr/>
        <w:t>值确认。</w:t>
      </w:r>
    </w:p>
    <w:p>
      <w:pPr>
        <w:spacing w:line="240" w:lineRule="auto" w:before="1"/>
        <w:rPr>
          <w:rFonts w:ascii="宋体" w:hAnsi="宋体" w:cs="宋体" w:eastAsia="宋体" w:hint="default"/>
          <w:sz w:val="17"/>
          <w:szCs w:val="17"/>
        </w:rPr>
      </w:pPr>
    </w:p>
    <w:p>
      <w:pPr>
        <w:pStyle w:val="BodyText"/>
        <w:spacing w:line="273" w:lineRule="auto"/>
        <w:ind w:right="209"/>
        <w:jc w:val="both"/>
      </w:pPr>
      <w:r>
        <w:rPr>
          <w:spacing w:val="-1"/>
        </w:rPr>
        <w:t>对合并成本大于合并中取得的被购买方可辨认净资产公允价值份额的差额，确认为商誉，按成本扣除累计</w:t>
      </w:r>
      <w:r>
        <w:rPr>
          <w:spacing w:val="-81"/>
        </w:rPr>
        <w:t> </w:t>
      </w:r>
      <w:r>
        <w:rPr>
          <w:spacing w:val="-81"/>
        </w:rPr>
      </w:r>
      <w:r>
        <w:rPr>
          <w:spacing w:val="-1"/>
        </w:rPr>
        <w:t>减值准备进行后续计量；对合并成本小于合并中取得的被购买方可辨认净资产公允价值份额的差额，经复</w:t>
      </w:r>
      <w:r>
        <w:rPr>
          <w:spacing w:val="-81"/>
        </w:rPr>
        <w:t> </w:t>
      </w:r>
      <w:r>
        <w:rPr>
          <w:spacing w:val="-81"/>
        </w:rPr>
      </w:r>
      <w:r>
        <w:rPr/>
        <w:t>核后计入当期损益。</w:t>
      </w:r>
    </w:p>
    <w:p>
      <w:pPr>
        <w:spacing w:line="240" w:lineRule="auto" w:before="1"/>
        <w:rPr>
          <w:rFonts w:ascii="宋体" w:hAnsi="宋体" w:cs="宋体" w:eastAsia="宋体" w:hint="default"/>
          <w:sz w:val="17"/>
          <w:szCs w:val="17"/>
        </w:rPr>
      </w:pPr>
    </w:p>
    <w:p>
      <w:pPr>
        <w:pStyle w:val="BodyText"/>
        <w:spacing w:line="273" w:lineRule="auto"/>
        <w:ind w:right="211"/>
        <w:jc w:val="both"/>
      </w:pPr>
      <w:r>
        <w:rPr>
          <w:spacing w:val="-1"/>
        </w:rPr>
        <w:t>所涉及的或有对价按其在购买日的公允价值计入合并成本，购买日后12个月内出现对购买日已存在情况的</w:t>
      </w:r>
      <w:r>
        <w:rPr>
          <w:spacing w:val="-82"/>
        </w:rPr>
        <w:t> </w:t>
      </w:r>
      <w:r>
        <w:rPr>
          <w:spacing w:val="-82"/>
        </w:rPr>
      </w:r>
      <w:r>
        <w:rPr/>
        <w:t>新的或进一步证据而需要调整或有对价的，相应调整合并商誉。</w:t>
      </w:r>
    </w:p>
    <w:p>
      <w:pPr>
        <w:spacing w:line="240" w:lineRule="auto" w:before="1"/>
        <w:rPr>
          <w:rFonts w:ascii="宋体" w:hAnsi="宋体" w:cs="宋体" w:eastAsia="宋体" w:hint="default"/>
          <w:sz w:val="17"/>
          <w:szCs w:val="17"/>
        </w:rPr>
      </w:pPr>
    </w:p>
    <w:p>
      <w:pPr>
        <w:pStyle w:val="BodyText"/>
        <w:spacing w:line="240" w:lineRule="auto"/>
        <w:ind w:right="0"/>
        <w:jc w:val="both"/>
      </w:pPr>
      <w:r>
        <w:rPr/>
        <w:t>（3）企业合并中有关交易费用的处理</w:t>
      </w:r>
    </w:p>
    <w:p>
      <w:pPr>
        <w:spacing w:line="240" w:lineRule="auto" w:before="5"/>
        <w:rPr>
          <w:rFonts w:ascii="宋体" w:hAnsi="宋体" w:cs="宋体" w:eastAsia="宋体" w:hint="default"/>
          <w:sz w:val="19"/>
          <w:szCs w:val="19"/>
        </w:rPr>
      </w:pPr>
    </w:p>
    <w:p>
      <w:pPr>
        <w:pStyle w:val="BodyText"/>
        <w:spacing w:line="273" w:lineRule="auto"/>
        <w:ind w:right="209"/>
        <w:jc w:val="both"/>
      </w:pPr>
      <w:r>
        <w:rPr>
          <w:spacing w:val="-1"/>
        </w:rPr>
        <w:t>为进行企业合并发生的审计、法律服务、评估咨询等中介费用以及其他相关管理费用，于发生时计入当期</w:t>
      </w:r>
      <w:r>
        <w:rPr>
          <w:spacing w:val="-83"/>
        </w:rPr>
        <w:t> </w:t>
      </w:r>
      <w:r>
        <w:rPr>
          <w:spacing w:val="-83"/>
        </w:rPr>
      </w:r>
      <w:r>
        <w:rPr>
          <w:spacing w:val="-1"/>
        </w:rPr>
        <w:t>损益。作为合并对价发行的权益性证券或债务性证券的交易费用，计入权益性证券或债务性证券的初始确</w:t>
      </w:r>
      <w:r>
        <w:rPr>
          <w:spacing w:val="-81"/>
        </w:rPr>
        <w:t> </w:t>
      </w:r>
      <w:r>
        <w:rPr>
          <w:spacing w:val="-81"/>
        </w:rPr>
      </w:r>
      <w:r>
        <w:rPr/>
        <w:t>认金额。</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t>（1）合并范围</w:t>
      </w:r>
    </w:p>
    <w:p>
      <w:pPr>
        <w:spacing w:line="240" w:lineRule="auto" w:before="5"/>
        <w:rPr>
          <w:rFonts w:ascii="宋体" w:hAnsi="宋体" w:cs="宋体" w:eastAsia="宋体" w:hint="default"/>
          <w:sz w:val="19"/>
          <w:szCs w:val="19"/>
        </w:rPr>
      </w:pPr>
    </w:p>
    <w:p>
      <w:pPr>
        <w:pStyle w:val="BodyText"/>
        <w:spacing w:line="273" w:lineRule="auto"/>
        <w:ind w:right="102"/>
        <w:jc w:val="left"/>
      </w:pPr>
      <w:r>
        <w:rPr/>
        <w:t>合并财务报表的合并范围以控制为基础予以确定。控制，是指本公司拥有对被投资单位的权力，通过参与 被投资单位的相关活动而享有可变回报，并且有能力运用对被投资单位的权力影响其回报金额。子公司，</w:t>
      </w:r>
      <w:r>
        <w:rPr>
          <w:spacing w:val="-34"/>
        </w:rPr>
        <w:t> </w:t>
      </w:r>
      <w:r>
        <w:rPr>
          <w:spacing w:val="-34"/>
        </w:rPr>
      </w:r>
      <w:r>
        <w:rPr/>
        <w:t>是指被本公司控制的主体（含企业、被投资单位中可分割的部分、结构化主体等）。</w:t>
      </w:r>
    </w:p>
    <w:p>
      <w:pPr>
        <w:spacing w:line="240" w:lineRule="auto" w:before="1"/>
        <w:rPr>
          <w:rFonts w:ascii="宋体" w:hAnsi="宋体" w:cs="宋体" w:eastAsia="宋体" w:hint="default"/>
          <w:sz w:val="17"/>
          <w:szCs w:val="17"/>
        </w:rPr>
      </w:pPr>
    </w:p>
    <w:p>
      <w:pPr>
        <w:pStyle w:val="BodyText"/>
        <w:spacing w:line="240" w:lineRule="auto"/>
        <w:ind w:right="0"/>
        <w:jc w:val="both"/>
      </w:pPr>
      <w:r>
        <w:rPr/>
        <w:t>（2）合并财务报表的编制方法</w:t>
      </w:r>
    </w:p>
    <w:p>
      <w:pPr>
        <w:spacing w:after="0" w:line="240" w:lineRule="auto"/>
        <w:jc w:val="both"/>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left="153" w:right="102"/>
        <w:jc w:val="left"/>
      </w:pPr>
      <w:r>
        <w:rPr/>
        <w:t>合并财务报表以本公司和子公司的财务报表为基础，根据其他有关资料，由本公司编制。在编制合并财务 报表时，本公司和子公司的会计政策和会计期间要求保持一致，公司间的重大交易和往来余额予以抵销。</w:t>
      </w:r>
    </w:p>
    <w:p>
      <w:pPr>
        <w:spacing w:line="240" w:lineRule="auto" w:before="1"/>
        <w:rPr>
          <w:rFonts w:ascii="宋体" w:hAnsi="宋体" w:cs="宋体" w:eastAsia="宋体" w:hint="default"/>
          <w:sz w:val="17"/>
          <w:szCs w:val="17"/>
        </w:rPr>
      </w:pPr>
    </w:p>
    <w:p>
      <w:pPr>
        <w:pStyle w:val="BodyText"/>
        <w:spacing w:line="273" w:lineRule="auto"/>
        <w:ind w:left="153" w:right="211"/>
        <w:jc w:val="both"/>
      </w:pPr>
      <w:r>
        <w:rPr>
          <w:spacing w:val="-1"/>
        </w:rPr>
        <w:t>在报告期内因同一控制下企业合并增加的子公司以及业务，视同该子公司以及业务自同受最终控制方控制</w:t>
      </w:r>
      <w:r>
        <w:rPr>
          <w:spacing w:val="-81"/>
        </w:rPr>
        <w:t> </w:t>
      </w:r>
      <w:r>
        <w:rPr>
          <w:spacing w:val="-81"/>
        </w:rPr>
      </w:r>
      <w:r>
        <w:rPr>
          <w:spacing w:val="-1"/>
        </w:rPr>
        <w:t>之日起纳入本公司的合并范围，将其自同受最终控制方控制之日起的经营成果、现金流量分别纳入合并利</w:t>
      </w:r>
      <w:r>
        <w:rPr>
          <w:spacing w:val="-81"/>
        </w:rPr>
        <w:t> </w:t>
      </w:r>
      <w:r>
        <w:rPr>
          <w:spacing w:val="-81"/>
        </w:rPr>
      </w:r>
      <w:r>
        <w:rPr/>
        <w:t>润表、合并现金流量表中。</w:t>
      </w:r>
    </w:p>
    <w:p>
      <w:pPr>
        <w:spacing w:line="240" w:lineRule="auto" w:before="1"/>
        <w:rPr>
          <w:rFonts w:ascii="宋体" w:hAnsi="宋体" w:cs="宋体" w:eastAsia="宋体" w:hint="default"/>
          <w:sz w:val="17"/>
          <w:szCs w:val="17"/>
        </w:rPr>
      </w:pPr>
    </w:p>
    <w:p>
      <w:pPr>
        <w:pStyle w:val="BodyText"/>
        <w:spacing w:line="273" w:lineRule="auto"/>
        <w:ind w:left="153" w:right="210"/>
        <w:jc w:val="both"/>
      </w:pPr>
      <w:r>
        <w:rPr>
          <w:spacing w:val="-1"/>
        </w:rPr>
        <w:t>在报告期内因非同一控制下企业合并增加的子公司以及业务，将该子公司以及业务自购买日至报告期末的</w:t>
      </w:r>
      <w:r>
        <w:rPr>
          <w:spacing w:val="-81"/>
        </w:rPr>
        <w:t> </w:t>
      </w:r>
      <w:r>
        <w:rPr>
          <w:spacing w:val="-81"/>
        </w:rPr>
      </w:r>
      <w:r>
        <w:rPr/>
        <w:t>收入、费用、利润纳入合并利润表，将其现金流量纳入合并现金流量表。</w:t>
      </w:r>
    </w:p>
    <w:p>
      <w:pPr>
        <w:spacing w:line="240" w:lineRule="auto" w:before="1"/>
        <w:rPr>
          <w:rFonts w:ascii="宋体" w:hAnsi="宋体" w:cs="宋体" w:eastAsia="宋体" w:hint="default"/>
          <w:sz w:val="17"/>
          <w:szCs w:val="17"/>
        </w:rPr>
      </w:pPr>
    </w:p>
    <w:p>
      <w:pPr>
        <w:pStyle w:val="BodyText"/>
        <w:spacing w:line="273" w:lineRule="auto"/>
        <w:ind w:left="153" w:right="208"/>
        <w:jc w:val="both"/>
      </w:pPr>
      <w:r>
        <w:rPr>
          <w:spacing w:val="-1"/>
        </w:rPr>
        <w:t>子公司的股东权益中不属于本公司所拥有的部分，作为少数股东权益在合并资产负债表中股东权益项下单</w:t>
      </w:r>
      <w:r>
        <w:rPr>
          <w:spacing w:val="-81"/>
        </w:rPr>
        <w:t> </w:t>
      </w:r>
      <w:r>
        <w:rPr>
          <w:spacing w:val="-81"/>
        </w:rPr>
      </w:r>
      <w:r>
        <w:rPr>
          <w:spacing w:val="-5"/>
        </w:rPr>
        <w:t>独列示；子公司当期净损益中属于少数股东权益的份额，在合并利润表中净利润项目下以“少数股东损益”</w:t>
      </w:r>
      <w:r>
        <w:rPr>
          <w:spacing w:val="-101"/>
        </w:rPr>
        <w:t> </w:t>
      </w:r>
      <w:r>
        <w:rPr>
          <w:spacing w:val="-101"/>
        </w:rPr>
      </w:r>
      <w:r>
        <w:rPr>
          <w:spacing w:val="-1"/>
        </w:rPr>
        <w:t>项目列示。少数股东分担的子公司的亏损超过了少数股东在该子公司期初所有者权益中所享有的份额，其</w:t>
      </w:r>
      <w:r>
        <w:rPr>
          <w:spacing w:val="-81"/>
        </w:rPr>
        <w:t> </w:t>
      </w:r>
      <w:r>
        <w:rPr>
          <w:spacing w:val="-81"/>
        </w:rPr>
      </w:r>
      <w:r>
        <w:rPr/>
        <w:t>余额仍冲减少数股东权益。</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（3）购买子公司少数股东股权</w:t>
      </w:r>
    </w:p>
    <w:p>
      <w:pPr>
        <w:spacing w:line="240" w:lineRule="auto" w:before="5"/>
        <w:rPr>
          <w:rFonts w:ascii="宋体" w:hAnsi="宋体" w:cs="宋体" w:eastAsia="宋体" w:hint="default"/>
          <w:sz w:val="19"/>
          <w:szCs w:val="19"/>
        </w:rPr>
      </w:pPr>
    </w:p>
    <w:p>
      <w:pPr>
        <w:pStyle w:val="BodyText"/>
        <w:spacing w:line="273" w:lineRule="auto"/>
        <w:ind w:left="153" w:right="202"/>
        <w:jc w:val="both"/>
      </w:pPr>
      <w:r>
        <w:rPr>
          <w:spacing w:val="3"/>
        </w:rPr>
        <w:t>因购买少数股权新取得的长期股权投资成本与按照新增持股比例计算应享有子公司自购买日或合并日开</w:t>
      </w:r>
      <w:r>
        <w:rPr>
          <w:spacing w:val="-78"/>
        </w:rPr>
        <w:t> </w:t>
      </w:r>
      <w:r>
        <w:rPr>
          <w:spacing w:val="-78"/>
        </w:rPr>
      </w:r>
      <w:r>
        <w:rPr>
          <w:spacing w:val="-1"/>
        </w:rPr>
        <w:t>始持续计算的净资产份额之间的差额，以及在不丧失控制权的情况下因部分处置对子公司的股权投资而取</w:t>
      </w:r>
      <w:r>
        <w:rPr>
          <w:spacing w:val="-81"/>
        </w:rPr>
        <w:t> </w:t>
      </w:r>
      <w:r>
        <w:rPr>
          <w:spacing w:val="-81"/>
        </w:rPr>
      </w:r>
      <w:r>
        <w:rPr>
          <w:spacing w:val="3"/>
        </w:rPr>
        <w:t>得的处置价款与处置长期股权投资相对应享有子公司自购买日或合并日开始持续计算的净资产份额之间</w:t>
      </w:r>
      <w:r>
        <w:rPr>
          <w:spacing w:val="-78"/>
        </w:rPr>
        <w:t> </w:t>
      </w:r>
      <w:r>
        <w:rPr>
          <w:spacing w:val="-78"/>
        </w:rPr>
      </w:r>
      <w:r>
        <w:rPr/>
        <w:t>的差额，均调整合并资产负债表中的资本公积（股本溢价），资本公积不足冲减的，调整留存收益。</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（4）丧失子公司控制权的处理</w:t>
      </w:r>
    </w:p>
    <w:p>
      <w:pPr>
        <w:spacing w:line="240" w:lineRule="auto" w:before="5"/>
        <w:rPr>
          <w:rFonts w:ascii="宋体" w:hAnsi="宋体" w:cs="宋体" w:eastAsia="宋体" w:hint="default"/>
          <w:sz w:val="19"/>
          <w:szCs w:val="19"/>
        </w:rPr>
      </w:pPr>
    </w:p>
    <w:p>
      <w:pPr>
        <w:pStyle w:val="BodyText"/>
        <w:spacing w:line="273" w:lineRule="auto"/>
        <w:ind w:left="153" w:right="211"/>
        <w:jc w:val="both"/>
      </w:pPr>
      <w:r>
        <w:rPr>
          <w:spacing w:val="-1"/>
        </w:rPr>
        <w:t>因处置部分股权投资或其他原因丧失了对原有子公司控制权的，剩余股权按照其在丧失控制权日的公允价</w:t>
      </w:r>
      <w:r>
        <w:rPr>
          <w:spacing w:val="-81"/>
        </w:rPr>
        <w:t> </w:t>
      </w:r>
      <w:r>
        <w:rPr>
          <w:spacing w:val="-81"/>
        </w:rPr>
      </w:r>
      <w:r>
        <w:rPr>
          <w:spacing w:val="-1"/>
        </w:rPr>
        <w:t>值进行重新计量；处置股权取得的对价与剩余股权公允价值之和，减去按原持股比例计算应享有原有子公</w:t>
      </w:r>
      <w:r>
        <w:rPr>
          <w:spacing w:val="-81"/>
        </w:rPr>
        <w:t> </w:t>
      </w:r>
      <w:r>
        <w:rPr>
          <w:spacing w:val="-81"/>
        </w:rPr>
      </w:r>
      <w:r>
        <w:rPr>
          <w:spacing w:val="-1"/>
        </w:rPr>
        <w:t>司自购买日开始持续计算的净资产账面价值的份额与商誉之和，形成的差额计入丧失控制权当期的投资收</w:t>
      </w:r>
      <w:r>
        <w:rPr>
          <w:spacing w:val="-81"/>
        </w:rPr>
        <w:t> </w:t>
      </w:r>
      <w:r>
        <w:rPr>
          <w:spacing w:val="-81"/>
        </w:rPr>
      </w:r>
      <w:r>
        <w:rPr/>
        <w:t>益。</w:t>
      </w:r>
    </w:p>
    <w:p>
      <w:pPr>
        <w:spacing w:line="240" w:lineRule="auto" w:before="1"/>
        <w:rPr>
          <w:rFonts w:ascii="宋体" w:hAnsi="宋体" w:cs="宋体" w:eastAsia="宋体" w:hint="default"/>
          <w:sz w:val="17"/>
          <w:szCs w:val="17"/>
        </w:rPr>
      </w:pPr>
    </w:p>
    <w:p>
      <w:pPr>
        <w:pStyle w:val="BodyText"/>
        <w:spacing w:line="273" w:lineRule="auto"/>
        <w:ind w:left="153" w:right="211"/>
        <w:jc w:val="both"/>
      </w:pPr>
      <w:r>
        <w:rPr>
          <w:spacing w:val="-1"/>
        </w:rPr>
        <w:t>与原有子公司的股权投资相关的其他综合收益等，在丧失控制权时转入当期损益，由于被投资方重新计量</w:t>
      </w:r>
      <w:r>
        <w:rPr>
          <w:spacing w:val="-81"/>
        </w:rPr>
        <w:t> </w:t>
      </w:r>
      <w:r>
        <w:rPr>
          <w:spacing w:val="-81"/>
        </w:rPr>
      </w:r>
      <w:r>
        <w:rPr/>
        <w:t>设定收益计划净负债或净资产变动而产生的其他综合收益除外。</w:t>
      </w:r>
    </w:p>
    <w:p>
      <w:pPr>
        <w:spacing w:line="240" w:lineRule="auto" w:before="7"/>
        <w:rPr>
          <w:rFonts w:ascii="宋体" w:hAnsi="宋体" w:cs="宋体" w:eastAsia="宋体" w:hint="default"/>
          <w:sz w:val="23"/>
          <w:szCs w:val="23"/>
        </w:rPr>
      </w:pPr>
    </w:p>
    <w:p>
      <w:pPr>
        <w:pStyle w:val="Heading3"/>
        <w:spacing w:line="240" w:lineRule="auto"/>
        <w:ind w:left="153"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1"/>
        <w:jc w:val="both"/>
      </w:pPr>
      <w:r>
        <w:rPr>
          <w:spacing w:val="-1"/>
        </w:rPr>
        <w:t>现金是指库存现金以及可以随时用于支付的存款。现金等价物，是指本集团持有的期限短、流动性强、易</w:t>
      </w:r>
      <w:r>
        <w:rPr>
          <w:spacing w:val="-82"/>
        </w:rPr>
        <w:t> </w:t>
      </w:r>
      <w:r>
        <w:rPr>
          <w:spacing w:val="-82"/>
        </w:rPr>
      </w:r>
      <w:r>
        <w:rPr/>
        <w:t>于转换为已知金额现金、价值变动风险很小的投资。</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1"/>
        <w:jc w:val="both"/>
      </w:pPr>
      <w:r>
        <w:rPr>
          <w:spacing w:val="-1"/>
        </w:rPr>
        <w:t>现金是指库存现金以及可以随时用于支付的存款。现金等价物，是指本集团持有的期限短、流动性强、易</w:t>
      </w:r>
      <w:r>
        <w:rPr>
          <w:spacing w:val="-82"/>
        </w:rPr>
        <w:t> </w:t>
      </w:r>
      <w:r>
        <w:rPr>
          <w:spacing w:val="-82"/>
        </w:rPr>
      </w:r>
      <w:r>
        <w:rPr/>
        <w:t>于转换为已知金额现金、价值变动风险很小的投资。</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460" w:lineRule="auto"/>
        <w:ind w:right="3110"/>
        <w:jc w:val="left"/>
      </w:pPr>
      <w:r>
        <w:rPr/>
        <w:t>（1）外币业务 本集团发生外币业务，按交易发生日的即期汇率折算为记账本位币金额。</w:t>
      </w:r>
    </w:p>
    <w:p>
      <w:pPr>
        <w:spacing w:after="0" w:line="46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51"/>
        <w:jc w:val="both"/>
      </w:pPr>
      <w:r>
        <w:rPr>
          <w:spacing w:val="-1"/>
        </w:rPr>
        <w:t>资产负债表日，对外币货币性项目，采用资产负债表日即期汇率折算。因资产负债表日即期汇率与初始确</w:t>
      </w:r>
      <w:r>
        <w:rPr>
          <w:spacing w:val="-83"/>
        </w:rPr>
        <w:t> </w:t>
      </w:r>
      <w:r>
        <w:rPr>
          <w:spacing w:val="-83"/>
        </w:rPr>
      </w:r>
      <w:r>
        <w:rPr>
          <w:spacing w:val="-1"/>
        </w:rPr>
        <w:t>认时或者前一资产负债表日即期汇率不同而产生的汇兑差额，计入当期损益；对以历史成本计量的外币非</w:t>
      </w:r>
      <w:r>
        <w:rPr>
          <w:spacing w:val="-81"/>
        </w:rPr>
        <w:t> </w:t>
      </w:r>
      <w:r>
        <w:rPr>
          <w:spacing w:val="-81"/>
        </w:rPr>
      </w:r>
      <w:r>
        <w:rPr>
          <w:spacing w:val="-1"/>
        </w:rPr>
        <w:t>货币性项目，仍采用交易发生日的即期汇率折算；对以公允价值计量的外币非货币性项目，采用公允价值</w:t>
      </w:r>
      <w:r>
        <w:rPr>
          <w:spacing w:val="-83"/>
        </w:rPr>
        <w:t> </w:t>
      </w:r>
      <w:r>
        <w:rPr>
          <w:spacing w:val="-83"/>
        </w:rPr>
      </w:r>
      <w:r>
        <w:rPr/>
        <w:t>确定日的即期汇率折算，折算后的记账本位币金额与原记账本位币金额的差额，计入当期损益。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（2）外币财务报表的折算</w:t>
      </w:r>
    </w:p>
    <w:p>
      <w:pPr>
        <w:spacing w:line="240" w:lineRule="auto" w:before="5"/>
        <w:rPr>
          <w:rFonts w:ascii="宋体" w:hAnsi="宋体" w:cs="宋体" w:eastAsia="宋体" w:hint="default"/>
          <w:sz w:val="19"/>
          <w:szCs w:val="19"/>
        </w:rPr>
      </w:pPr>
    </w:p>
    <w:p>
      <w:pPr>
        <w:pStyle w:val="BodyText"/>
        <w:spacing w:line="273" w:lineRule="auto"/>
        <w:ind w:right="150"/>
        <w:jc w:val="both"/>
      </w:pPr>
      <w:r>
        <w:rPr>
          <w:spacing w:val="-1"/>
        </w:rPr>
        <w:t>资产负债表日，对境外子公司外币财务报表进行折算时，资产负债表中的资产和负债项目，采用资产负债</w:t>
      </w:r>
      <w:r>
        <w:rPr>
          <w:spacing w:val="-83"/>
        </w:rPr>
        <w:t> </w:t>
      </w:r>
      <w:r>
        <w:rPr>
          <w:spacing w:val="-83"/>
        </w:rPr>
      </w:r>
      <w:r>
        <w:rPr/>
        <w:t>表日的即期汇率折算，股东权益项目除“未分配利润”外，其他项目采用发生日的即期汇率折算。</w:t>
      </w:r>
    </w:p>
    <w:p>
      <w:pPr>
        <w:spacing w:line="240" w:lineRule="auto" w:before="1"/>
        <w:rPr>
          <w:rFonts w:ascii="宋体" w:hAnsi="宋体" w:cs="宋体" w:eastAsia="宋体" w:hint="default"/>
          <w:sz w:val="17"/>
          <w:szCs w:val="17"/>
        </w:rPr>
      </w:pPr>
    </w:p>
    <w:p>
      <w:pPr>
        <w:pStyle w:val="BodyText"/>
        <w:spacing w:line="240" w:lineRule="auto"/>
        <w:ind w:right="0"/>
        <w:jc w:val="both"/>
      </w:pPr>
      <w:r>
        <w:rPr/>
        <w:t>利润表中的收入和费用项目，采用按期初汇率折算。</w:t>
      </w:r>
    </w:p>
    <w:p>
      <w:pPr>
        <w:spacing w:line="240" w:lineRule="auto" w:before="5"/>
        <w:rPr>
          <w:rFonts w:ascii="宋体" w:hAnsi="宋体" w:cs="宋体" w:eastAsia="宋体" w:hint="default"/>
          <w:sz w:val="19"/>
          <w:szCs w:val="19"/>
        </w:rPr>
      </w:pPr>
    </w:p>
    <w:p>
      <w:pPr>
        <w:pStyle w:val="BodyText"/>
        <w:spacing w:line="273" w:lineRule="auto"/>
        <w:ind w:right="151"/>
        <w:jc w:val="both"/>
      </w:pPr>
      <w:r>
        <w:rPr>
          <w:spacing w:val="-1"/>
        </w:rPr>
        <w:t>现金流量表所有项目均按照现金流量发生日的即期汇率折算。汇率变动对现金的影响额作为调节项目，在</w:t>
      </w:r>
      <w:r>
        <w:rPr>
          <w:spacing w:val="-81"/>
        </w:rPr>
        <w:t> </w:t>
      </w:r>
      <w:r>
        <w:rPr>
          <w:spacing w:val="-81"/>
        </w:rPr>
      </w:r>
      <w:r>
        <w:rPr/>
        <w:t>现金流量表中单独列示“汇率变动对现金及现金等价物的影响”</w:t>
      </w:r>
      <w:r>
        <w:rPr>
          <w:spacing w:val="-2"/>
        </w:rPr>
        <w:t> </w:t>
      </w:r>
      <w:r>
        <w:rPr/>
        <w:t>项目反映。</w:t>
      </w:r>
    </w:p>
    <w:p>
      <w:pPr>
        <w:spacing w:line="240" w:lineRule="auto" w:before="1"/>
        <w:rPr>
          <w:rFonts w:ascii="宋体" w:hAnsi="宋体" w:cs="宋体" w:eastAsia="宋体" w:hint="default"/>
          <w:sz w:val="17"/>
          <w:szCs w:val="17"/>
        </w:rPr>
      </w:pPr>
    </w:p>
    <w:p>
      <w:pPr>
        <w:pStyle w:val="BodyText"/>
        <w:spacing w:line="240" w:lineRule="auto"/>
        <w:ind w:right="0"/>
        <w:jc w:val="both"/>
      </w:pPr>
      <w:r>
        <w:rPr/>
        <w:t>由于财务报表折算而产生的差额，在资产负债表股东权益项目下的“其他综合收益”项目反映。</w:t>
      </w:r>
    </w:p>
    <w:p>
      <w:pPr>
        <w:spacing w:line="240" w:lineRule="auto" w:before="5"/>
        <w:rPr>
          <w:rFonts w:ascii="宋体" w:hAnsi="宋体" w:cs="宋体" w:eastAsia="宋体" w:hint="default"/>
          <w:sz w:val="19"/>
          <w:szCs w:val="19"/>
        </w:rPr>
      </w:pPr>
    </w:p>
    <w:p>
      <w:pPr>
        <w:pStyle w:val="BodyText"/>
        <w:spacing w:line="273" w:lineRule="auto"/>
        <w:ind w:right="151"/>
        <w:jc w:val="both"/>
      </w:pPr>
      <w:r>
        <w:rPr>
          <w:spacing w:val="-1"/>
        </w:rPr>
        <w:t>处置境外经营并丧失控制权时，将资产负债表中股东权益项目下列示的、与该境外经营相关的外币报表折</w:t>
      </w:r>
      <w:r>
        <w:rPr>
          <w:spacing w:val="-81"/>
        </w:rPr>
        <w:t> </w:t>
      </w:r>
      <w:r>
        <w:rPr>
          <w:spacing w:val="-81"/>
        </w:rPr>
      </w:r>
      <w:r>
        <w:rPr/>
        <w:t>算差额，全部或按处置该境外经营的比例转入处置当期损益。</w:t>
      </w:r>
    </w:p>
    <w:p>
      <w:pPr>
        <w:spacing w:line="240" w:lineRule="auto" w:before="7"/>
        <w:rPr>
          <w:rFonts w:ascii="宋体" w:hAnsi="宋体" w:cs="宋体" w:eastAsia="宋体" w:hint="default"/>
          <w:sz w:val="23"/>
          <w:szCs w:val="23"/>
        </w:rPr>
      </w:pPr>
    </w:p>
    <w:p>
      <w:pPr>
        <w:pStyle w:val="BodyText"/>
        <w:spacing w:line="506" w:lineRule="auto"/>
        <w:ind w:left="153" w:right="1581"/>
        <w:jc w:val="left"/>
      </w:pPr>
      <w:r>
        <w:rPr>
          <w:rFonts w:ascii="Times New Roman" w:hAnsi="Times New Roman" w:cs="Times New Roman" w:eastAsia="Times New Roman" w:hint="default"/>
          <w:b/>
          <w:bCs/>
        </w:rPr>
        <w:t>10</w:t>
      </w:r>
      <w:r>
        <w:rPr>
          <w:rFonts w:ascii="宋体" w:hAnsi="宋体" w:cs="宋体" w:eastAsia="宋体" w:hint="default"/>
          <w:b/>
          <w:bCs/>
        </w:rPr>
        <w:t>、金融工具</w:t>
      </w:r>
      <w:r>
        <w:rPr>
          <w:rFonts w:ascii="宋体" w:hAnsi="宋体" w:cs="宋体" w:eastAsia="宋体" w:hint="default"/>
          <w:b/>
          <w:bCs/>
          <w:w w:val="99"/>
        </w:rPr>
        <w:t> </w:t>
      </w:r>
      <w:r>
        <w:rPr/>
        <w:t>金融工具是指形成一个企业的金融资产，并形成其他单位的金融负债或权益工具的合同。</w:t>
      </w:r>
    </w:p>
    <w:p>
      <w:pPr>
        <w:pStyle w:val="BodyText"/>
        <w:spacing w:line="460" w:lineRule="auto" w:before="20"/>
        <w:ind w:left="153" w:right="3471"/>
        <w:jc w:val="left"/>
      </w:pPr>
      <w:r>
        <w:rPr/>
        <w:t>（1）金融工具的确认和终止确认 本集团于成为金融工具合同的一方时确认一项金融资产或金融负债。 金融资产满足下列条件之一的，终止确认：</w:t>
      </w:r>
    </w:p>
    <w:p>
      <w:pPr>
        <w:pStyle w:val="BodyText"/>
        <w:spacing w:line="240" w:lineRule="auto" w:before="60"/>
        <w:ind w:left="153" w:right="0"/>
        <w:jc w:val="both"/>
      </w:pPr>
      <w:r>
        <w:rPr/>
        <w:t>①</w:t>
      </w:r>
      <w:r>
        <w:rPr>
          <w:spacing w:val="-2"/>
        </w:rPr>
        <w:t> </w:t>
      </w:r>
      <w:r>
        <w:rPr/>
        <w:t>收取该金融资产现金流量的合同权利终止；</w:t>
      </w:r>
    </w:p>
    <w:p>
      <w:pPr>
        <w:spacing w:line="240" w:lineRule="auto" w:before="5"/>
        <w:rPr>
          <w:rFonts w:ascii="宋体" w:hAnsi="宋体" w:cs="宋体" w:eastAsia="宋体" w:hint="default"/>
          <w:sz w:val="19"/>
          <w:szCs w:val="19"/>
        </w:rPr>
      </w:pPr>
    </w:p>
    <w:p>
      <w:pPr>
        <w:pStyle w:val="BodyText"/>
        <w:spacing w:line="240" w:lineRule="auto"/>
        <w:ind w:left="153" w:right="0"/>
        <w:jc w:val="both"/>
      </w:pPr>
      <w:r>
        <w:rPr/>
        <w:t>②</w:t>
      </w:r>
      <w:r>
        <w:rPr>
          <w:spacing w:val="-2"/>
        </w:rPr>
        <w:t> </w:t>
      </w:r>
      <w:r>
        <w:rPr/>
        <w:t>该金融资产已转移，且符合下述金融资产转移的终止确认条件。</w:t>
      </w:r>
    </w:p>
    <w:p>
      <w:pPr>
        <w:spacing w:line="240" w:lineRule="auto" w:before="5"/>
        <w:rPr>
          <w:rFonts w:ascii="宋体" w:hAnsi="宋体" w:cs="宋体" w:eastAsia="宋体" w:hint="default"/>
          <w:sz w:val="19"/>
          <w:szCs w:val="19"/>
        </w:rPr>
      </w:pPr>
    </w:p>
    <w:p>
      <w:pPr>
        <w:pStyle w:val="BodyText"/>
        <w:spacing w:line="273" w:lineRule="auto"/>
        <w:ind w:left="153" w:right="150"/>
        <w:jc w:val="both"/>
      </w:pPr>
      <w:r>
        <w:rPr>
          <w:spacing w:val="-1"/>
        </w:rPr>
        <w:t>金融负债的现时义务全部或部分已经解除的，终止确认该金融负债或其一部分。本集团（债务人）与债权</w:t>
      </w:r>
      <w:r>
        <w:rPr>
          <w:spacing w:val="-82"/>
        </w:rPr>
        <w:t> </w:t>
      </w:r>
      <w:r>
        <w:rPr>
          <w:spacing w:val="-82"/>
        </w:rPr>
      </w:r>
      <w:r>
        <w:rPr>
          <w:spacing w:val="-1"/>
        </w:rPr>
        <w:t>人之间签订协议，以承担新金融负债方式替换现存金融负债，且新金融负债与现存金融负债的合同条款实</w:t>
      </w:r>
      <w:r>
        <w:rPr>
          <w:spacing w:val="-81"/>
        </w:rPr>
        <w:t> </w:t>
      </w:r>
      <w:r>
        <w:rPr>
          <w:spacing w:val="-81"/>
        </w:rPr>
      </w:r>
      <w:r>
        <w:rPr/>
        <w:t>质上不同的，终止确认现存金融负债，并同时确认新金融负债。</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以常规方式买卖金融资产，按交易日进行会计确认和终止确认。</w:t>
      </w:r>
    </w:p>
    <w:p>
      <w:pPr>
        <w:spacing w:line="240" w:lineRule="auto" w:before="5"/>
        <w:rPr>
          <w:rFonts w:ascii="宋体" w:hAnsi="宋体" w:cs="宋体" w:eastAsia="宋体" w:hint="default"/>
          <w:sz w:val="19"/>
          <w:szCs w:val="19"/>
        </w:rPr>
      </w:pPr>
    </w:p>
    <w:p>
      <w:pPr>
        <w:pStyle w:val="BodyText"/>
        <w:spacing w:line="240" w:lineRule="auto"/>
        <w:ind w:left="153" w:right="0"/>
        <w:jc w:val="both"/>
      </w:pPr>
      <w:r>
        <w:rPr/>
        <w:t>（2）金融资产分类和计量</w:t>
      </w:r>
    </w:p>
    <w:p>
      <w:pPr>
        <w:spacing w:line="240" w:lineRule="auto" w:before="5"/>
        <w:rPr>
          <w:rFonts w:ascii="宋体" w:hAnsi="宋体" w:cs="宋体" w:eastAsia="宋体" w:hint="default"/>
          <w:sz w:val="19"/>
          <w:szCs w:val="19"/>
        </w:rPr>
      </w:pPr>
    </w:p>
    <w:p>
      <w:pPr>
        <w:pStyle w:val="BodyText"/>
        <w:spacing w:line="273" w:lineRule="auto"/>
        <w:ind w:left="153" w:right="150"/>
        <w:jc w:val="both"/>
      </w:pPr>
      <w:r>
        <w:rPr>
          <w:spacing w:val="-1"/>
        </w:rPr>
        <w:t>本集团的金融资产于初始确认时分为以下四类：以公允价值计量且其变动计入当期损益的金融资产、持有</w:t>
      </w:r>
      <w:r>
        <w:rPr>
          <w:spacing w:val="-81"/>
        </w:rPr>
        <w:t> </w:t>
      </w:r>
      <w:r>
        <w:rPr>
          <w:spacing w:val="-81"/>
        </w:rPr>
      </w:r>
      <w:r>
        <w:rPr>
          <w:spacing w:val="-1"/>
        </w:rPr>
        <w:t>至到期投资、贷款和应收款项、可供出售金融资产。金融资产在初始确认时以公允价值计量。对于以公允</w:t>
      </w:r>
      <w:r>
        <w:rPr>
          <w:spacing w:val="-82"/>
        </w:rPr>
        <w:t> </w:t>
      </w:r>
      <w:r>
        <w:rPr>
          <w:spacing w:val="-82"/>
        </w:rPr>
      </w:r>
      <w:r>
        <w:rPr>
          <w:spacing w:val="-1"/>
        </w:rPr>
        <w:t>价值计量且其变动计入当期损益的金融资产，相关交易费用直接计入当期损益，其他类别的金融资产相关</w:t>
      </w:r>
      <w:r>
        <w:rPr>
          <w:spacing w:val="-81"/>
        </w:rPr>
        <w:t> </w:t>
      </w:r>
      <w:r>
        <w:rPr>
          <w:spacing w:val="-81"/>
        </w:rPr>
      </w:r>
      <w:r>
        <w:rPr/>
        <w:t>交易费用计入其初始确认金额。</w:t>
      </w:r>
    </w:p>
    <w:p>
      <w:pPr>
        <w:spacing w:line="240" w:lineRule="auto" w:before="1"/>
        <w:rPr>
          <w:rFonts w:ascii="宋体" w:hAnsi="宋体" w:cs="宋体" w:eastAsia="宋体" w:hint="default"/>
          <w:sz w:val="17"/>
          <w:szCs w:val="17"/>
        </w:rPr>
      </w:pPr>
    </w:p>
    <w:p>
      <w:pPr>
        <w:pStyle w:val="BodyText"/>
        <w:spacing w:line="460" w:lineRule="auto"/>
        <w:ind w:left="153" w:right="150"/>
        <w:jc w:val="both"/>
      </w:pPr>
      <w:r>
        <w:rPr/>
        <w:t>以公允价值计量且其变动计入当期损益的金融资产 </w:t>
      </w:r>
      <w:r>
        <w:rPr>
          <w:spacing w:val="-1"/>
        </w:rPr>
        <w:t>以公允价值计量且其变动计入当期损益的金融资产，包括交易性金融资产和初始确认时指定为以公允价值</w:t>
      </w:r>
    </w:p>
    <w:p>
      <w:pPr>
        <w:spacing w:after="0" w:line="46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150"/>
        <w:jc w:val="both"/>
      </w:pPr>
      <w:r>
        <w:rPr>
          <w:spacing w:val="-1"/>
        </w:rPr>
        <w:t>计量且其变动计入当期损益的金融资产。对于此类金融资产，采用公允价值进行后续计量，公允价值变动</w:t>
      </w:r>
      <w:r>
        <w:rPr>
          <w:spacing w:val="-83"/>
        </w:rPr>
        <w:t> </w:t>
      </w:r>
      <w:r>
        <w:rPr>
          <w:spacing w:val="-83"/>
        </w:rPr>
      </w:r>
      <w:r>
        <w:rPr/>
        <w:t>形成的利得或损失以及与该等金融资产相关的股利和利息收入计入当期损益。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持有至到期投资</w:t>
      </w:r>
    </w:p>
    <w:p>
      <w:pPr>
        <w:spacing w:line="240" w:lineRule="auto" w:before="5"/>
        <w:rPr>
          <w:rFonts w:ascii="宋体" w:hAnsi="宋体" w:cs="宋体" w:eastAsia="宋体" w:hint="default"/>
          <w:sz w:val="19"/>
          <w:szCs w:val="19"/>
        </w:rPr>
      </w:pPr>
    </w:p>
    <w:p>
      <w:pPr>
        <w:pStyle w:val="BodyText"/>
        <w:spacing w:line="273" w:lineRule="auto"/>
        <w:ind w:right="150"/>
        <w:jc w:val="both"/>
      </w:pPr>
      <w:r>
        <w:rPr>
          <w:spacing w:val="-1"/>
        </w:rPr>
        <w:t>持有至到期投资，是指到期日固定、回收金额固定或可确定，且本集团有明确意图和能力持有至到期的非</w:t>
      </w:r>
      <w:r>
        <w:rPr>
          <w:spacing w:val="-83"/>
        </w:rPr>
        <w:t> </w:t>
      </w:r>
      <w:r>
        <w:rPr>
          <w:spacing w:val="-83"/>
        </w:rPr>
      </w:r>
      <w:r>
        <w:rPr>
          <w:spacing w:val="-1"/>
        </w:rPr>
        <w:t>衍生金融资产。持有至到期投资采用实际利率法，按照摊余成本进行后续计量，其终止确认、发生减值或</w:t>
      </w:r>
      <w:r>
        <w:rPr>
          <w:spacing w:val="-82"/>
        </w:rPr>
        <w:t> </w:t>
      </w:r>
      <w:r>
        <w:rPr>
          <w:spacing w:val="-82"/>
        </w:rPr>
      </w:r>
      <w:r>
        <w:rPr/>
        <w:t>摊销产生的利得或损失，均计入当期损益。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应收款项</w:t>
      </w:r>
    </w:p>
    <w:p>
      <w:pPr>
        <w:spacing w:line="240" w:lineRule="auto" w:before="5"/>
        <w:rPr>
          <w:rFonts w:ascii="宋体" w:hAnsi="宋体" w:cs="宋体" w:eastAsia="宋体" w:hint="default"/>
          <w:sz w:val="19"/>
          <w:szCs w:val="19"/>
        </w:rPr>
      </w:pPr>
    </w:p>
    <w:p>
      <w:pPr>
        <w:pStyle w:val="BodyText"/>
        <w:spacing w:line="273" w:lineRule="auto"/>
        <w:ind w:right="150"/>
        <w:jc w:val="both"/>
      </w:pPr>
      <w:r>
        <w:rPr>
          <w:spacing w:val="-1"/>
        </w:rPr>
        <w:t>应收款项，是指在活跃市场中没有报价、回收金额固定或可确定的非衍生金融资产，包括应收账款和其他</w:t>
      </w:r>
      <w:r>
        <w:rPr>
          <w:spacing w:val="-83"/>
        </w:rPr>
        <w:t> </w:t>
      </w:r>
      <w:r>
        <w:rPr>
          <w:spacing w:val="-83"/>
        </w:rPr>
      </w:r>
      <w:r>
        <w:rPr>
          <w:spacing w:val="-1"/>
        </w:rPr>
        <w:t>应收款等（附注五、11）。应收款项采用实际利率法，按摊余成本进行后续计量，在终止确认、发生减值</w:t>
      </w:r>
      <w:r>
        <w:rPr>
          <w:spacing w:val="-84"/>
        </w:rPr>
        <w:t> </w:t>
      </w:r>
      <w:r>
        <w:rPr>
          <w:spacing w:val="-84"/>
        </w:rPr>
      </w:r>
      <w:r>
        <w:rPr/>
        <w:t>或摊销时产生的利得或损失，计入当期损益。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可供出售金融资产</w:t>
      </w:r>
    </w:p>
    <w:p>
      <w:pPr>
        <w:spacing w:line="240" w:lineRule="auto" w:before="5"/>
        <w:rPr>
          <w:rFonts w:ascii="宋体" w:hAnsi="宋体" w:cs="宋体" w:eastAsia="宋体" w:hint="default"/>
          <w:sz w:val="19"/>
          <w:szCs w:val="19"/>
        </w:rPr>
      </w:pPr>
    </w:p>
    <w:p>
      <w:pPr>
        <w:pStyle w:val="BodyText"/>
        <w:spacing w:line="273" w:lineRule="auto"/>
        <w:ind w:right="151"/>
        <w:jc w:val="both"/>
      </w:pPr>
      <w:r>
        <w:rPr>
          <w:spacing w:val="-1"/>
        </w:rPr>
        <w:t>可供出售金融资产，是指初始确认时即指定为可供出售的非衍生金融资产，以及除上述金融资产类别以外</w:t>
      </w:r>
      <w:r>
        <w:rPr>
          <w:spacing w:val="-81"/>
        </w:rPr>
        <w:t> </w:t>
      </w:r>
      <w:r>
        <w:rPr>
          <w:spacing w:val="-81"/>
        </w:rPr>
      </w:r>
      <w:r>
        <w:rPr>
          <w:spacing w:val="-1"/>
        </w:rPr>
        <w:t>的金融资产。可供出售金融资产采用公允价值进行后续计量，其折溢价采用实际利率法摊销并确认为利息</w:t>
      </w:r>
      <w:r>
        <w:rPr>
          <w:spacing w:val="-81"/>
        </w:rPr>
        <w:t> </w:t>
      </w:r>
      <w:r>
        <w:rPr>
          <w:spacing w:val="-81"/>
        </w:rPr>
      </w:r>
      <w:r>
        <w:rPr>
          <w:spacing w:val="-1"/>
        </w:rPr>
        <w:t>收入。除减值损失及外币货币性金融资产的汇兑差额确认为当期损益外，可供出售金融资产的公允价值变</w:t>
      </w:r>
      <w:r>
        <w:rPr>
          <w:spacing w:val="-81"/>
        </w:rPr>
        <w:t> </w:t>
      </w:r>
      <w:r>
        <w:rPr>
          <w:spacing w:val="-81"/>
        </w:rPr>
      </w:r>
      <w:r>
        <w:rPr>
          <w:spacing w:val="-1"/>
        </w:rPr>
        <w:t>动确认为其他综合收益，在该金融资产终止确认时转出，计入当期损益。与可供出售金融资产相关的股利</w:t>
      </w:r>
      <w:r>
        <w:rPr>
          <w:spacing w:val="-83"/>
        </w:rPr>
        <w:t> </w:t>
      </w:r>
      <w:r>
        <w:rPr>
          <w:spacing w:val="-83"/>
        </w:rPr>
      </w:r>
      <w:r>
        <w:rPr/>
        <w:t>或利息收入，计入当期损益。</w:t>
      </w:r>
    </w:p>
    <w:p>
      <w:pPr>
        <w:spacing w:line="240" w:lineRule="auto" w:before="1"/>
        <w:rPr>
          <w:rFonts w:ascii="宋体" w:hAnsi="宋体" w:cs="宋体" w:eastAsia="宋体" w:hint="default"/>
          <w:sz w:val="17"/>
          <w:szCs w:val="17"/>
        </w:rPr>
      </w:pPr>
    </w:p>
    <w:p>
      <w:pPr>
        <w:pStyle w:val="BodyText"/>
        <w:spacing w:line="273" w:lineRule="auto"/>
        <w:ind w:right="150"/>
        <w:jc w:val="both"/>
      </w:pPr>
      <w:r>
        <w:rPr>
          <w:spacing w:val="-1"/>
        </w:rPr>
        <w:t>对于在活跃市场中没有报价且其公允价值不能可靠计量的权益工具投资，以及与该权益工具挂钩并须通过</w:t>
      </w:r>
      <w:r>
        <w:rPr>
          <w:spacing w:val="-81"/>
        </w:rPr>
        <w:t> </w:t>
      </w:r>
      <w:r>
        <w:rPr>
          <w:spacing w:val="-81"/>
        </w:rPr>
      </w:r>
      <w:r>
        <w:rPr/>
        <w:t>交付该权益工具结算的衍生金融资产，按成本计量。</w:t>
      </w:r>
    </w:p>
    <w:p>
      <w:pPr>
        <w:spacing w:line="240" w:lineRule="auto" w:before="1"/>
        <w:rPr>
          <w:rFonts w:ascii="宋体" w:hAnsi="宋体" w:cs="宋体" w:eastAsia="宋体" w:hint="default"/>
          <w:sz w:val="17"/>
          <w:szCs w:val="17"/>
        </w:rPr>
      </w:pPr>
    </w:p>
    <w:p>
      <w:pPr>
        <w:pStyle w:val="BodyText"/>
        <w:spacing w:line="240" w:lineRule="auto"/>
        <w:ind w:right="0"/>
        <w:jc w:val="both"/>
      </w:pPr>
      <w:r>
        <w:rPr/>
        <w:t>（3）金融负债分类和计量</w:t>
      </w:r>
    </w:p>
    <w:p>
      <w:pPr>
        <w:spacing w:line="240" w:lineRule="auto" w:before="5"/>
        <w:rPr>
          <w:rFonts w:ascii="宋体" w:hAnsi="宋体" w:cs="宋体" w:eastAsia="宋体" w:hint="default"/>
          <w:sz w:val="19"/>
          <w:szCs w:val="19"/>
        </w:rPr>
      </w:pPr>
    </w:p>
    <w:p>
      <w:pPr>
        <w:pStyle w:val="BodyText"/>
        <w:spacing w:line="273" w:lineRule="auto"/>
        <w:ind w:right="151"/>
        <w:jc w:val="both"/>
      </w:pPr>
      <w:r>
        <w:rPr>
          <w:spacing w:val="-1"/>
        </w:rPr>
        <w:t>本集团的金融负债于初始确认时分类为：以公允价值计量且其变动计入当期损益的金融负债、其他金融负</w:t>
      </w:r>
      <w:r>
        <w:rPr>
          <w:spacing w:val="-81"/>
        </w:rPr>
        <w:t> </w:t>
      </w:r>
      <w:r>
        <w:rPr>
          <w:spacing w:val="-81"/>
        </w:rPr>
      </w:r>
      <w:r>
        <w:rPr>
          <w:spacing w:val="-1"/>
        </w:rPr>
        <w:t>债。对于未划分为以公允价值计量且其变动计入当期损益的金融负债的，相关交易费用计入其初始确认金</w:t>
      </w:r>
      <w:r>
        <w:rPr>
          <w:spacing w:val="-81"/>
        </w:rPr>
        <w:t> </w:t>
      </w:r>
      <w:r>
        <w:rPr>
          <w:spacing w:val="-81"/>
        </w:rPr>
      </w:r>
      <w:r>
        <w:rPr/>
        <w:t>额。</w:t>
      </w:r>
    </w:p>
    <w:p>
      <w:pPr>
        <w:spacing w:line="240" w:lineRule="auto" w:before="1"/>
        <w:rPr>
          <w:rFonts w:ascii="宋体" w:hAnsi="宋体" w:cs="宋体" w:eastAsia="宋体" w:hint="default"/>
          <w:sz w:val="17"/>
          <w:szCs w:val="17"/>
        </w:rPr>
      </w:pPr>
    </w:p>
    <w:p>
      <w:pPr>
        <w:pStyle w:val="BodyText"/>
        <w:spacing w:line="240" w:lineRule="auto"/>
        <w:ind w:right="0"/>
        <w:jc w:val="both"/>
      </w:pPr>
      <w:r>
        <w:rPr/>
        <w:t>以公允价值计量且其变动计入当期损益的金融负债</w:t>
      </w:r>
    </w:p>
    <w:p>
      <w:pPr>
        <w:spacing w:line="240" w:lineRule="auto" w:before="5"/>
        <w:rPr>
          <w:rFonts w:ascii="宋体" w:hAnsi="宋体" w:cs="宋体" w:eastAsia="宋体" w:hint="default"/>
          <w:sz w:val="19"/>
          <w:szCs w:val="19"/>
        </w:rPr>
      </w:pPr>
    </w:p>
    <w:p>
      <w:pPr>
        <w:pStyle w:val="BodyText"/>
        <w:spacing w:line="273" w:lineRule="auto"/>
        <w:ind w:right="150"/>
        <w:jc w:val="both"/>
      </w:pPr>
      <w:r>
        <w:rPr>
          <w:spacing w:val="-1"/>
        </w:rPr>
        <w:t>以公允价值计量且其变动计入当期损益的金融负债，包括交易性金融负债和初始确认时指定为以公允价值</w:t>
      </w:r>
      <w:r>
        <w:rPr>
          <w:spacing w:val="-81"/>
        </w:rPr>
        <w:t> </w:t>
      </w:r>
      <w:r>
        <w:rPr>
          <w:spacing w:val="-81"/>
        </w:rPr>
      </w:r>
      <w:r>
        <w:rPr>
          <w:spacing w:val="-1"/>
        </w:rPr>
        <w:t>计量且其变动计入当期损益的金融负债。对于此类金融负债，按照公允价值进行后续计量，公允价值变动</w:t>
      </w:r>
      <w:r>
        <w:rPr>
          <w:spacing w:val="-83"/>
        </w:rPr>
        <w:t> </w:t>
      </w:r>
      <w:r>
        <w:rPr>
          <w:spacing w:val="-83"/>
        </w:rPr>
      </w:r>
      <w:r>
        <w:rPr/>
        <w:t>形成的利得或损失以及与该等金融负债相关的股利和利息支出计入当期损益。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其他金融负债</w:t>
      </w:r>
    </w:p>
    <w:p>
      <w:pPr>
        <w:spacing w:line="240" w:lineRule="auto" w:before="5"/>
        <w:rPr>
          <w:rFonts w:ascii="宋体" w:hAnsi="宋体" w:cs="宋体" w:eastAsia="宋体" w:hint="default"/>
          <w:sz w:val="19"/>
          <w:szCs w:val="19"/>
        </w:rPr>
      </w:pPr>
    </w:p>
    <w:p>
      <w:pPr>
        <w:pStyle w:val="BodyText"/>
        <w:spacing w:line="273" w:lineRule="auto"/>
        <w:ind w:right="150"/>
        <w:jc w:val="both"/>
      </w:pPr>
      <w:r>
        <w:rPr>
          <w:spacing w:val="-1"/>
        </w:rPr>
        <w:t>与在活跃市场中没有报价、公允价值不能可靠计量的权益工具挂钩并须通过交付该权益工具结算的衍生金</w:t>
      </w:r>
      <w:r>
        <w:rPr>
          <w:spacing w:val="-81"/>
        </w:rPr>
        <w:t> </w:t>
      </w:r>
      <w:r>
        <w:rPr>
          <w:spacing w:val="-81"/>
        </w:rPr>
      </w:r>
      <w:r>
        <w:rPr>
          <w:spacing w:val="-1"/>
        </w:rPr>
        <w:t>融负债，按照成本进行后续计量。其他金融负债采用实际利率法，按摊余成本进行后续计量，终止确认或</w:t>
      </w:r>
      <w:r>
        <w:rPr>
          <w:spacing w:val="-82"/>
        </w:rPr>
        <w:t> </w:t>
      </w:r>
      <w:r>
        <w:rPr>
          <w:spacing w:val="-82"/>
        </w:rPr>
      </w:r>
      <w:r>
        <w:rPr/>
        <w:t>摊销产生的利得或损失计入当期损益。</w:t>
      </w:r>
    </w:p>
    <w:p>
      <w:pPr>
        <w:spacing w:line="240" w:lineRule="auto" w:before="1"/>
        <w:rPr>
          <w:rFonts w:ascii="宋体" w:hAnsi="宋体" w:cs="宋体" w:eastAsia="宋体" w:hint="default"/>
          <w:sz w:val="17"/>
          <w:szCs w:val="17"/>
        </w:rPr>
      </w:pPr>
    </w:p>
    <w:p>
      <w:pPr>
        <w:pStyle w:val="BodyText"/>
        <w:spacing w:line="460" w:lineRule="auto"/>
        <w:ind w:right="5780"/>
        <w:jc w:val="left"/>
      </w:pPr>
      <w:r>
        <w:rPr/>
        <w:t>金融负债与权益工具的区分 金融负债，是指符合下列条件之一的负债：</w:t>
      </w:r>
    </w:p>
    <w:p>
      <w:pPr>
        <w:pStyle w:val="BodyText"/>
        <w:spacing w:line="240" w:lineRule="auto" w:before="60"/>
        <w:ind w:right="0"/>
        <w:jc w:val="both"/>
      </w:pPr>
      <w:r>
        <w:rPr/>
        <w:t>①向其他方交付现金或其他金融资产的合同义务。</w:t>
      </w:r>
    </w:p>
    <w:p>
      <w:pPr>
        <w:spacing w:after="0" w:line="24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②在潜在不利条件下，与其他方交换金融资产或金融负债的合同义务。</w:t>
      </w:r>
    </w:p>
    <w:p>
      <w:pPr>
        <w:spacing w:line="240" w:lineRule="auto" w:before="5"/>
        <w:rPr>
          <w:rFonts w:ascii="宋体" w:hAnsi="宋体" w:cs="宋体" w:eastAsia="宋体" w:hint="default"/>
          <w:sz w:val="19"/>
          <w:szCs w:val="19"/>
        </w:rPr>
      </w:pPr>
    </w:p>
    <w:p>
      <w:pPr>
        <w:pStyle w:val="BodyText"/>
        <w:spacing w:line="273" w:lineRule="auto"/>
        <w:ind w:right="208"/>
        <w:jc w:val="left"/>
      </w:pPr>
      <w:r>
        <w:rPr>
          <w:spacing w:val="-1"/>
        </w:rPr>
        <w:t>③将来须用或可用企业自身权益工具进行结算的非衍生工具合同，且企业根据该合同将交付可变数量的自</w:t>
      </w:r>
      <w:r>
        <w:rPr>
          <w:spacing w:val="-81"/>
        </w:rPr>
        <w:t> </w:t>
      </w:r>
      <w:r>
        <w:rPr>
          <w:spacing w:val="-81"/>
        </w:rPr>
      </w:r>
      <w:r>
        <w:rPr/>
        <w:t>身权益工具。</w:t>
      </w:r>
    </w:p>
    <w:p>
      <w:pPr>
        <w:spacing w:line="240" w:lineRule="auto" w:before="1"/>
        <w:rPr>
          <w:rFonts w:ascii="宋体" w:hAnsi="宋体" w:cs="宋体" w:eastAsia="宋体" w:hint="default"/>
          <w:sz w:val="17"/>
          <w:szCs w:val="17"/>
        </w:rPr>
      </w:pPr>
    </w:p>
    <w:p>
      <w:pPr>
        <w:pStyle w:val="BodyText"/>
        <w:spacing w:line="273" w:lineRule="auto"/>
        <w:ind w:right="208"/>
        <w:jc w:val="left"/>
      </w:pPr>
      <w:r>
        <w:rPr>
          <w:spacing w:val="-1"/>
        </w:rPr>
        <w:t>④将来须用或可用企业自身权益工具进行结算的衍生工具合同，但以固定数量的自身权益工具交换固定金</w:t>
      </w:r>
      <w:r>
        <w:rPr>
          <w:spacing w:val="-81"/>
        </w:rPr>
        <w:t> </w:t>
      </w:r>
      <w:r>
        <w:rPr>
          <w:spacing w:val="-81"/>
        </w:rPr>
      </w:r>
      <w:r>
        <w:rPr/>
        <w:t>额的现金或其他金融资产的衍生工具合同除外。</w:t>
      </w:r>
    </w:p>
    <w:p>
      <w:pPr>
        <w:spacing w:line="240" w:lineRule="auto" w:before="1"/>
        <w:rPr>
          <w:rFonts w:ascii="宋体" w:hAnsi="宋体" w:cs="宋体" w:eastAsia="宋体" w:hint="default"/>
          <w:sz w:val="17"/>
          <w:szCs w:val="17"/>
        </w:rPr>
      </w:pPr>
    </w:p>
    <w:p>
      <w:pPr>
        <w:pStyle w:val="BodyText"/>
        <w:spacing w:line="240" w:lineRule="auto"/>
        <w:ind w:right="0"/>
        <w:jc w:val="both"/>
      </w:pPr>
      <w:r>
        <w:rPr/>
        <w:t>权益工具，是指能证明拥有某个企业在扣除所有负债后的资产中剩余权益的合同。</w:t>
      </w:r>
    </w:p>
    <w:p>
      <w:pPr>
        <w:spacing w:line="240" w:lineRule="auto" w:before="5"/>
        <w:rPr>
          <w:rFonts w:ascii="宋体" w:hAnsi="宋体" w:cs="宋体" w:eastAsia="宋体" w:hint="default"/>
          <w:sz w:val="19"/>
          <w:szCs w:val="19"/>
        </w:rPr>
      </w:pPr>
    </w:p>
    <w:p>
      <w:pPr>
        <w:pStyle w:val="BodyText"/>
        <w:spacing w:line="273" w:lineRule="auto"/>
        <w:ind w:right="208"/>
        <w:jc w:val="left"/>
      </w:pPr>
      <w:r>
        <w:rPr>
          <w:spacing w:val="-1"/>
        </w:rPr>
        <w:t>如果本集团不能无条件地避免以交付现金或其他金融资产来履行一项合同义务，则该合同义务符合金融负</w:t>
      </w:r>
      <w:r>
        <w:rPr>
          <w:spacing w:val="-81"/>
        </w:rPr>
        <w:t> </w:t>
      </w:r>
      <w:r>
        <w:rPr>
          <w:spacing w:val="-81"/>
        </w:rPr>
      </w:r>
      <w:r>
        <w:rPr/>
        <w:t>债的定义。</w:t>
      </w:r>
    </w:p>
    <w:p>
      <w:pPr>
        <w:spacing w:line="240" w:lineRule="auto" w:before="1"/>
        <w:rPr>
          <w:rFonts w:ascii="宋体" w:hAnsi="宋体" w:cs="宋体" w:eastAsia="宋体" w:hint="default"/>
          <w:sz w:val="17"/>
          <w:szCs w:val="17"/>
        </w:rPr>
      </w:pPr>
    </w:p>
    <w:p>
      <w:pPr>
        <w:pStyle w:val="BodyText"/>
        <w:spacing w:line="273" w:lineRule="auto"/>
        <w:ind w:right="103"/>
        <w:jc w:val="both"/>
      </w:pPr>
      <w:r>
        <w:rPr/>
        <w:t>如果一项金融工具须用或可用本集团自身权益工具进行结算，需要考虑用于结算该工具的本集团自身权益 工具，是作为现金或其他金融资产的替代品，还是为了使该工具持有方享有在发行方扣除所有负债后的资 产中的剩余权益。如果是前者，该工具是本集团的金融负债；如果是后者，该工具是本集团的权益工具。</w:t>
      </w:r>
    </w:p>
    <w:p>
      <w:pPr>
        <w:spacing w:line="240" w:lineRule="auto" w:before="1"/>
        <w:rPr>
          <w:rFonts w:ascii="宋体" w:hAnsi="宋体" w:cs="宋体" w:eastAsia="宋体" w:hint="default"/>
          <w:sz w:val="17"/>
          <w:szCs w:val="17"/>
        </w:rPr>
      </w:pPr>
    </w:p>
    <w:p>
      <w:pPr>
        <w:pStyle w:val="BodyText"/>
        <w:spacing w:line="460" w:lineRule="auto"/>
        <w:ind w:left="153" w:right="4581"/>
        <w:jc w:val="left"/>
      </w:pPr>
      <w:r>
        <w:rPr/>
        <w:t>（4）金融工具的公允价值 金融资产和金融负债的公允价值确定方法见附注五、32。</w:t>
      </w:r>
    </w:p>
    <w:p>
      <w:pPr>
        <w:pStyle w:val="Heading3"/>
        <w:spacing w:line="240" w:lineRule="auto" w:before="144"/>
        <w:ind w:left="153"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652"/>
        <w:gridCol w:w="5915"/>
      </w:tblGrid>
      <w:tr>
        <w:trPr>
          <w:trHeight w:val="1026" w:hRule="exact"/>
        </w:trPr>
        <w:tc>
          <w:tcPr>
            <w:tcW w:w="3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将单个欠款单位金额在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 </w:t>
            </w:r>
            <w:r>
              <w:rPr>
                <w:rFonts w:ascii="宋体" w:hAnsi="宋体" w:cs="宋体" w:eastAsia="宋体" w:hint="default"/>
                <w:sz w:val="18"/>
                <w:szCs w:val="18"/>
              </w:rPr>
              <w:t>万元）以上的应收账款或单个欠</w:t>
            </w:r>
          </w:p>
          <w:p>
            <w:pPr>
              <w:pStyle w:val="TableParagraph"/>
              <w:spacing w:line="302" w:lineRule="auto" w:before="63"/>
              <w:ind w:left="23" w:right="121"/>
              <w:jc w:val="left"/>
              <w:rPr>
                <w:rFonts w:ascii="宋体" w:hAnsi="宋体" w:cs="宋体" w:eastAsia="宋体" w:hint="default"/>
                <w:sz w:val="18"/>
                <w:szCs w:val="18"/>
              </w:rPr>
            </w:pPr>
            <w:r>
              <w:rPr>
                <w:rFonts w:ascii="宋体" w:hAnsi="宋体" w:cs="宋体" w:eastAsia="宋体" w:hint="default"/>
                <w:sz w:val="18"/>
                <w:szCs w:val="18"/>
              </w:rPr>
              <w:t>款单位金额在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万元）以上的其他应收款，确定为单项金 额重大的应收款项。</w:t>
            </w:r>
          </w:p>
        </w:tc>
      </w:tr>
      <w:tr>
        <w:trPr>
          <w:trHeight w:val="714" w:hRule="exact"/>
        </w:trPr>
        <w:tc>
          <w:tcPr>
            <w:tcW w:w="3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 法</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0"/>
              <w:jc w:val="left"/>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对于单项金额重大的应收款项单独进行减值测试，有客观证据表明发生了 减值，根据其未来现金流量现值低于其账面价值的差额计提坏账准备。</w:t>
            </w:r>
          </w:p>
        </w:tc>
      </w:tr>
    </w:tbl>
    <w:p>
      <w:pPr>
        <w:spacing w:line="240" w:lineRule="auto" w:before="1"/>
        <w:rPr>
          <w:rFonts w:ascii="宋体" w:hAnsi="宋体" w:cs="宋体" w:eastAsia="宋体" w:hint="default"/>
          <w:b/>
          <w:bCs/>
          <w:sz w:val="19"/>
          <w:szCs w:val="19"/>
        </w:rPr>
      </w:pPr>
    </w:p>
    <w:p>
      <w:pPr>
        <w:pStyle w:val="Heading3"/>
        <w:spacing w:line="240" w:lineRule="auto" w:before="35"/>
        <w:ind w:right="208"/>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653"/>
        <w:gridCol w:w="5915"/>
      </w:tblGrid>
      <w:tr>
        <w:trPr>
          <w:trHeight w:val="401" w:hRule="exact"/>
        </w:trPr>
        <w:tc>
          <w:tcPr>
            <w:tcW w:w="3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销售货款及其他</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信用风险较小</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208"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3" w:right="2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653"/>
        <w:gridCol w:w="2725"/>
        <w:gridCol w:w="3191"/>
      </w:tblGrid>
      <w:tr>
        <w:trPr>
          <w:trHeight w:val="402" w:hRule="exact"/>
        </w:trPr>
        <w:tc>
          <w:tcPr>
            <w:tcW w:w="3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1"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652"/>
        <w:gridCol w:w="2726"/>
        <w:gridCol w:w="3191"/>
      </w:tblGrid>
      <w:tr>
        <w:trPr>
          <w:trHeight w:val="402" w:hRule="exact"/>
        </w:trPr>
        <w:tc>
          <w:tcPr>
            <w:tcW w:w="3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3653"/>
        <w:gridCol w:w="2725"/>
        <w:gridCol w:w="3191"/>
      </w:tblGrid>
      <w:tr>
        <w:trPr>
          <w:trHeight w:val="402" w:hRule="exact"/>
        </w:trPr>
        <w:tc>
          <w:tcPr>
            <w:tcW w:w="3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7"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1"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652"/>
        <w:gridCol w:w="5915"/>
      </w:tblGrid>
      <w:tr>
        <w:trPr>
          <w:trHeight w:val="714" w:hRule="exact"/>
        </w:trPr>
        <w:tc>
          <w:tcPr>
            <w:tcW w:w="3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单个欠款单位金额在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万元以下，但有证据表明难以收回的应收账款或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单个欠款单位金额在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万元以下，但有证据表明难以收回的其他应收款</w:t>
            </w:r>
          </w:p>
        </w:tc>
      </w:tr>
      <w:tr>
        <w:trPr>
          <w:trHeight w:val="403" w:hRule="exact"/>
        </w:trPr>
        <w:tc>
          <w:tcPr>
            <w:tcW w:w="3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5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671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60" w:lineRule="auto" w:before="1"/>
        <w:ind w:right="2000"/>
        <w:jc w:val="left"/>
      </w:pPr>
      <w:r>
        <w:rPr/>
        <w:t>（1）存货的分类 本集团存货分为原材料、在产品、低值易耗品、库存商品、发出商品、工程施工等。</w:t>
      </w:r>
    </w:p>
    <w:p>
      <w:pPr>
        <w:pStyle w:val="BodyText"/>
        <w:spacing w:line="460" w:lineRule="auto" w:before="60"/>
        <w:ind w:left="153" w:right="148"/>
        <w:jc w:val="both"/>
      </w:pPr>
      <w:r>
        <w:rPr/>
        <w:t>（2）发出存货的计价方法 </w:t>
      </w:r>
      <w:r>
        <w:rPr>
          <w:spacing w:val="-6"/>
        </w:rPr>
        <w:t>本集团存货取得时按实际成本计价。原材料、在产品、库存商品、发出商品等发出时采用加权平均法计价。</w:t>
      </w:r>
      <w:r>
        <w:rPr/>
      </w:r>
    </w:p>
    <w:p>
      <w:pPr>
        <w:pStyle w:val="BodyText"/>
        <w:spacing w:line="273" w:lineRule="auto" w:before="60"/>
        <w:ind w:left="153" w:right="148"/>
        <w:jc w:val="both"/>
      </w:pPr>
      <w:r>
        <w:rPr>
          <w:spacing w:val="-5"/>
        </w:rPr>
        <w:t>工程施工成本的具体核算方法为：按照单个项目为核算对象，分别归集所发生的实际施工成本，包括材料、</w:t>
      </w:r>
      <w:r>
        <w:rPr>
          <w:spacing w:val="-101"/>
        </w:rPr>
        <w:t> </w:t>
      </w:r>
      <w:r>
        <w:rPr>
          <w:spacing w:val="-101"/>
        </w:rPr>
      </w:r>
      <w:r>
        <w:rPr/>
        <w:t>人工、其他费用等。资产负债表日，按照完工进度确认收入的同时结转该项目相应进度的项目成本。</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（3）存货可变现净值的确定依据及存货跌价准备的计提方法</w:t>
      </w:r>
    </w:p>
    <w:p>
      <w:pPr>
        <w:spacing w:line="240" w:lineRule="auto" w:before="5"/>
        <w:rPr>
          <w:rFonts w:ascii="宋体" w:hAnsi="宋体" w:cs="宋体" w:eastAsia="宋体" w:hint="default"/>
          <w:sz w:val="19"/>
          <w:szCs w:val="19"/>
        </w:rPr>
      </w:pPr>
    </w:p>
    <w:p>
      <w:pPr>
        <w:pStyle w:val="BodyText"/>
        <w:spacing w:line="273" w:lineRule="auto"/>
        <w:ind w:left="153" w:right="150"/>
        <w:jc w:val="both"/>
      </w:pPr>
      <w:r>
        <w:rPr>
          <w:spacing w:val="-1"/>
        </w:rPr>
        <w:t>存货可变现净值是按存货的估计售价减去至完工时估计将要发生的成本、估计的销售费用以及相关税费后</w:t>
      </w:r>
      <w:r>
        <w:rPr>
          <w:spacing w:val="-81"/>
        </w:rPr>
        <w:t> </w:t>
      </w:r>
      <w:r>
        <w:rPr>
          <w:spacing w:val="-81"/>
        </w:rPr>
      </w:r>
      <w:r>
        <w:rPr>
          <w:spacing w:val="-1"/>
        </w:rPr>
        <w:t>的金额。在确定存货的可变现净值时，以取得的确凿证据为基础，同时考虑持有存货的目的以及资产负债</w:t>
      </w:r>
      <w:r>
        <w:rPr>
          <w:spacing w:val="-83"/>
        </w:rPr>
        <w:t> </w:t>
      </w:r>
      <w:r>
        <w:rPr>
          <w:spacing w:val="-83"/>
        </w:rPr>
      </w:r>
      <w:r>
        <w:rPr/>
        <w:t>表日后事项的影响。</w:t>
      </w:r>
    </w:p>
    <w:p>
      <w:pPr>
        <w:spacing w:line="240" w:lineRule="auto" w:before="1"/>
        <w:rPr>
          <w:rFonts w:ascii="宋体" w:hAnsi="宋体" w:cs="宋体" w:eastAsia="宋体" w:hint="default"/>
          <w:sz w:val="17"/>
          <w:szCs w:val="17"/>
        </w:rPr>
      </w:pPr>
    </w:p>
    <w:p>
      <w:pPr>
        <w:pStyle w:val="BodyText"/>
        <w:spacing w:line="273" w:lineRule="auto"/>
        <w:ind w:left="153" w:right="150"/>
        <w:jc w:val="both"/>
      </w:pPr>
      <w:r>
        <w:rPr>
          <w:spacing w:val="-1"/>
        </w:rPr>
        <w:t>资产负债表日，存货成本高于其可变现净值的，计提存货跌价准备。本集团通常按照单个存货项目计提存</w:t>
      </w:r>
      <w:r>
        <w:rPr>
          <w:spacing w:val="-83"/>
        </w:rPr>
        <w:t> </w:t>
      </w:r>
      <w:r>
        <w:rPr>
          <w:spacing w:val="-83"/>
        </w:rPr>
      </w:r>
      <w:r>
        <w:rPr>
          <w:spacing w:val="-1"/>
        </w:rPr>
        <w:t>货跌价准备，资产负债表日，以前减记存货价值的影响因素已经消失的，存货跌价准备在原已计提的金额</w:t>
      </w:r>
      <w:r>
        <w:rPr>
          <w:spacing w:val="-83"/>
        </w:rPr>
        <w:t> </w:t>
      </w:r>
      <w:r>
        <w:rPr>
          <w:spacing w:val="-83"/>
        </w:rPr>
      </w:r>
      <w:r>
        <w:rPr/>
        <w:t>内转回。</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（4）存货的盘存制度</w:t>
      </w:r>
    </w:p>
    <w:p>
      <w:pPr>
        <w:spacing w:after="0" w:line="24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本集团存货盘存制度采用永续盘存制。</w:t>
      </w:r>
    </w:p>
    <w:p>
      <w:pPr>
        <w:spacing w:line="240" w:lineRule="auto" w:before="5"/>
        <w:rPr>
          <w:rFonts w:ascii="宋体" w:hAnsi="宋体" w:cs="宋体" w:eastAsia="宋体" w:hint="default"/>
          <w:sz w:val="19"/>
          <w:szCs w:val="19"/>
        </w:rPr>
      </w:pPr>
    </w:p>
    <w:p>
      <w:pPr>
        <w:pStyle w:val="BodyText"/>
        <w:spacing w:line="460" w:lineRule="auto"/>
        <w:ind w:right="5420"/>
        <w:jc w:val="left"/>
      </w:pPr>
      <w:r>
        <w:rPr/>
        <w:t>（5）低值易耗品的摊销方法 本集团低值易耗品领用时采用一次转销法摊销。</w:t>
      </w:r>
    </w:p>
    <w:p>
      <w:pPr>
        <w:pStyle w:val="Heading3"/>
        <w:spacing w:line="240" w:lineRule="auto" w:before="144"/>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211"/>
        <w:jc w:val="both"/>
      </w:pPr>
      <w:r>
        <w:rPr>
          <w:spacing w:val="-1"/>
        </w:rPr>
        <w:t>长期股权投资包括对子公司、合营企业和联营企业的权益性投资。本集团能够对被投资单位施加重大影响</w:t>
      </w:r>
      <w:r>
        <w:rPr>
          <w:spacing w:val="-81"/>
        </w:rPr>
        <w:t> </w:t>
      </w:r>
      <w:r>
        <w:rPr>
          <w:spacing w:val="-81"/>
        </w:rPr>
      </w:r>
      <w:r>
        <w:rPr/>
        <w:t>的，为本集团的联营企业。</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（1）初始投资成本确定</w:t>
      </w:r>
    </w:p>
    <w:p>
      <w:pPr>
        <w:spacing w:line="240" w:lineRule="auto" w:before="5"/>
        <w:rPr>
          <w:rFonts w:ascii="宋体" w:hAnsi="宋体" w:cs="宋体" w:eastAsia="宋体" w:hint="default"/>
          <w:sz w:val="19"/>
          <w:szCs w:val="19"/>
        </w:rPr>
      </w:pPr>
    </w:p>
    <w:p>
      <w:pPr>
        <w:pStyle w:val="BodyText"/>
        <w:spacing w:line="273" w:lineRule="auto"/>
        <w:ind w:left="153" w:right="211"/>
        <w:jc w:val="both"/>
      </w:pPr>
      <w:r>
        <w:rPr>
          <w:spacing w:val="-1"/>
        </w:rPr>
        <w:t>形成企业合并的长期股权投资：同一控制下企业合并取得的长期股权投资，在合并日按照取得被合并方所</w:t>
      </w:r>
      <w:r>
        <w:rPr>
          <w:spacing w:val="-81"/>
        </w:rPr>
        <w:t> </w:t>
      </w:r>
      <w:r>
        <w:rPr>
          <w:spacing w:val="-81"/>
        </w:rPr>
      </w:r>
      <w:r>
        <w:rPr>
          <w:spacing w:val="-1"/>
        </w:rPr>
        <w:t>有者权益在最终控制方合并财务报表中的账面价值份额作为投资成本；非同一控制下企业合并取得的长期</w:t>
      </w:r>
      <w:r>
        <w:rPr>
          <w:spacing w:val="-81"/>
        </w:rPr>
        <w:t> </w:t>
      </w:r>
      <w:r>
        <w:rPr>
          <w:spacing w:val="-81"/>
        </w:rPr>
      </w:r>
      <w:r>
        <w:rPr/>
        <w:t>股权投资，按照合并成本作为长期股权投资的投资成本。</w:t>
      </w:r>
    </w:p>
    <w:p>
      <w:pPr>
        <w:spacing w:line="240" w:lineRule="auto" w:before="1"/>
        <w:rPr>
          <w:rFonts w:ascii="宋体" w:hAnsi="宋体" w:cs="宋体" w:eastAsia="宋体" w:hint="default"/>
          <w:sz w:val="17"/>
          <w:szCs w:val="17"/>
        </w:rPr>
      </w:pPr>
    </w:p>
    <w:p>
      <w:pPr>
        <w:pStyle w:val="BodyText"/>
        <w:spacing w:line="273" w:lineRule="auto"/>
        <w:ind w:left="153" w:right="211"/>
        <w:jc w:val="both"/>
      </w:pPr>
      <w:r>
        <w:rPr>
          <w:spacing w:val="-1"/>
        </w:rPr>
        <w:t>对于其他方式取得的长期股权投资：支付现金取得的长期股权投资，按照实际支付的购买价款作为初始投</w:t>
      </w:r>
      <w:r>
        <w:rPr>
          <w:spacing w:val="-81"/>
        </w:rPr>
        <w:t> </w:t>
      </w:r>
      <w:r>
        <w:rPr>
          <w:spacing w:val="-81"/>
        </w:rPr>
      </w:r>
      <w:r>
        <w:rPr/>
        <w:t>资成本；发行权益性证券取得的长期股权投资，以发行权益性证券的公允价值作为初始投资成本。</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（2）后续计量及损益确认方法</w:t>
      </w:r>
    </w:p>
    <w:p>
      <w:pPr>
        <w:spacing w:line="240" w:lineRule="auto" w:before="5"/>
        <w:rPr>
          <w:rFonts w:ascii="宋体" w:hAnsi="宋体" w:cs="宋体" w:eastAsia="宋体" w:hint="default"/>
          <w:sz w:val="19"/>
          <w:szCs w:val="19"/>
        </w:rPr>
      </w:pPr>
    </w:p>
    <w:p>
      <w:pPr>
        <w:pStyle w:val="BodyText"/>
        <w:spacing w:line="273" w:lineRule="auto"/>
        <w:ind w:left="153" w:right="210"/>
        <w:jc w:val="both"/>
      </w:pPr>
      <w:r>
        <w:rPr>
          <w:spacing w:val="-1"/>
        </w:rPr>
        <w:t>对子公司的投资，采用成本法核算，除非投资符合持有待售的条件；对联营企业和合营企业的投资，采用</w:t>
      </w:r>
      <w:r>
        <w:rPr>
          <w:spacing w:val="-82"/>
        </w:rPr>
        <w:t> </w:t>
      </w:r>
      <w:r>
        <w:rPr>
          <w:spacing w:val="-82"/>
        </w:rPr>
      </w:r>
      <w:r>
        <w:rPr/>
        <w:t>权益法核算。</w:t>
      </w:r>
    </w:p>
    <w:p>
      <w:pPr>
        <w:spacing w:line="240" w:lineRule="auto" w:before="1"/>
        <w:rPr>
          <w:rFonts w:ascii="宋体" w:hAnsi="宋体" w:cs="宋体" w:eastAsia="宋体" w:hint="default"/>
          <w:sz w:val="17"/>
          <w:szCs w:val="17"/>
        </w:rPr>
      </w:pPr>
    </w:p>
    <w:p>
      <w:pPr>
        <w:pStyle w:val="BodyText"/>
        <w:spacing w:line="273" w:lineRule="auto"/>
        <w:ind w:left="153" w:right="210"/>
        <w:jc w:val="both"/>
      </w:pPr>
      <w:r>
        <w:rPr>
          <w:spacing w:val="-1"/>
        </w:rPr>
        <w:t>采用成本法核算的长期股权投资，除取得投资时实际支付的价款或对价中包含的已宣告但尚未发放的现金</w:t>
      </w:r>
      <w:r>
        <w:rPr>
          <w:spacing w:val="-81"/>
        </w:rPr>
        <w:t> </w:t>
      </w:r>
      <w:r>
        <w:rPr>
          <w:spacing w:val="-81"/>
        </w:rPr>
      </w:r>
      <w:r>
        <w:rPr/>
        <w:t>股利或利润外，被投资单位宣告分派的现金股利或利润，确认为投资收益计入当期损益。</w:t>
      </w:r>
    </w:p>
    <w:p>
      <w:pPr>
        <w:spacing w:line="240" w:lineRule="auto" w:before="1"/>
        <w:rPr>
          <w:rFonts w:ascii="宋体" w:hAnsi="宋体" w:cs="宋体" w:eastAsia="宋体" w:hint="default"/>
          <w:sz w:val="17"/>
          <w:szCs w:val="17"/>
        </w:rPr>
      </w:pPr>
    </w:p>
    <w:p>
      <w:pPr>
        <w:pStyle w:val="BodyText"/>
        <w:spacing w:line="273" w:lineRule="auto"/>
        <w:ind w:left="153" w:right="211"/>
        <w:jc w:val="both"/>
      </w:pPr>
      <w:r>
        <w:rPr>
          <w:spacing w:val="-1"/>
        </w:rPr>
        <w:t>采用权益法核算的长期股权投资，初始投资成本大于投资时应享有被投资单位可辨认净资产公允价值份额</w:t>
      </w:r>
      <w:r>
        <w:rPr>
          <w:spacing w:val="-81"/>
        </w:rPr>
        <w:t> </w:t>
      </w:r>
      <w:r>
        <w:rPr>
          <w:spacing w:val="-81"/>
        </w:rPr>
      </w:r>
      <w:r>
        <w:rPr>
          <w:spacing w:val="-1"/>
        </w:rPr>
        <w:t>的，不调整长期股权投资的投资成本；初始投资成本小于投资时应享有被投资单位可辨认净资产公允价值</w:t>
      </w:r>
      <w:r>
        <w:rPr>
          <w:spacing w:val="-81"/>
        </w:rPr>
        <w:t> </w:t>
      </w:r>
      <w:r>
        <w:rPr>
          <w:spacing w:val="-81"/>
        </w:rPr>
      </w:r>
      <w:r>
        <w:rPr/>
        <w:t>份额的，对长期股权投资的账面价值进行调整，差额计入投资当期的损益。</w:t>
      </w:r>
    </w:p>
    <w:p>
      <w:pPr>
        <w:spacing w:line="240" w:lineRule="auto" w:before="1"/>
        <w:rPr>
          <w:rFonts w:ascii="宋体" w:hAnsi="宋体" w:cs="宋体" w:eastAsia="宋体" w:hint="default"/>
          <w:sz w:val="17"/>
          <w:szCs w:val="17"/>
        </w:rPr>
      </w:pPr>
    </w:p>
    <w:p>
      <w:pPr>
        <w:pStyle w:val="BodyText"/>
        <w:spacing w:line="273" w:lineRule="auto"/>
        <w:ind w:left="153" w:right="211"/>
        <w:jc w:val="both"/>
      </w:pPr>
      <w:r>
        <w:rPr>
          <w:spacing w:val="-1"/>
        </w:rPr>
        <w:t>采用权益法核算时，按照应享有或应分担的被投资单位实现的净损益和其他综合收益的份额，分别确认投</w:t>
      </w:r>
      <w:r>
        <w:rPr>
          <w:spacing w:val="-81"/>
        </w:rPr>
        <w:t> </w:t>
      </w:r>
      <w:r>
        <w:rPr>
          <w:spacing w:val="-81"/>
        </w:rPr>
      </w:r>
      <w:r>
        <w:rPr>
          <w:spacing w:val="-1"/>
        </w:rPr>
        <w:t>资收益和其他综合收益，同时调整长期股权投资的账面价值；按照被投资单位宣告分派的利润或现金股利</w:t>
      </w:r>
      <w:r>
        <w:rPr>
          <w:spacing w:val="-81"/>
        </w:rPr>
        <w:t> </w:t>
      </w:r>
      <w:r>
        <w:rPr>
          <w:spacing w:val="-81"/>
        </w:rPr>
      </w:r>
      <w:r>
        <w:rPr>
          <w:spacing w:val="-1"/>
        </w:rPr>
        <w:t>计算应享有的部分，相应减少长期股权投资的账面价值；被投资单位除净损益、其他综合收益和利润分配</w:t>
      </w:r>
      <w:r>
        <w:rPr>
          <w:spacing w:val="-83"/>
        </w:rPr>
        <w:t> </w:t>
      </w:r>
      <w:r>
        <w:rPr>
          <w:spacing w:val="-83"/>
        </w:rPr>
      </w:r>
      <w:r>
        <w:rPr>
          <w:spacing w:val="-1"/>
        </w:rPr>
        <w:t>以外所有者权益的其他变动，调整长期股权投资的账面价值并计入资本公积（其他资本公积）。在确认应</w:t>
      </w:r>
      <w:r>
        <w:rPr>
          <w:spacing w:val="-82"/>
        </w:rPr>
        <w:t> </w:t>
      </w:r>
      <w:r>
        <w:rPr>
          <w:spacing w:val="-82"/>
        </w:rPr>
      </w:r>
      <w:r>
        <w:rPr>
          <w:spacing w:val="-1"/>
        </w:rPr>
        <w:t>享有被投资单位净损益的份额时，以取得投资时被投资单位各项可辨认资产等的公允价值为基础，并按照</w:t>
      </w:r>
      <w:r>
        <w:rPr>
          <w:spacing w:val="-81"/>
        </w:rPr>
        <w:t> </w:t>
      </w:r>
      <w:r>
        <w:rPr>
          <w:spacing w:val="-81"/>
        </w:rPr>
      </w:r>
      <w:r>
        <w:rPr/>
        <w:t>本集团的会计政策及会计期间，对被投资单位的净利润进行调整后确认。</w:t>
      </w:r>
    </w:p>
    <w:p>
      <w:pPr>
        <w:spacing w:line="240" w:lineRule="auto" w:before="1"/>
        <w:rPr>
          <w:rFonts w:ascii="宋体" w:hAnsi="宋体" w:cs="宋体" w:eastAsia="宋体" w:hint="default"/>
          <w:sz w:val="17"/>
          <w:szCs w:val="17"/>
        </w:rPr>
      </w:pPr>
    </w:p>
    <w:p>
      <w:pPr>
        <w:pStyle w:val="BodyText"/>
        <w:spacing w:line="273" w:lineRule="auto"/>
        <w:ind w:left="153" w:right="103"/>
        <w:jc w:val="both"/>
      </w:pPr>
      <w:r>
        <w:rPr/>
        <w:t>因追加投资等原因能够对被投资单位施加重大影响或实施共同控制但不构成控制的，在转换日，按照原股 权的公允价值加上新增投资成本之和，作为改按权益法核算的初始投资成本。原股权于转换日的公允价值 与账面价值之间的差额，以及原计入其他综合收益的累计公允价值变动转入改按权益法核算的当期损益。</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因处置部分股权投资等原因丧失了对被投资单位的共同控制或重大影响的，处置后的剩余股权在丧失共同</w:t>
      </w:r>
    </w:p>
    <w:p>
      <w:pPr>
        <w:spacing w:after="0" w:line="240" w:lineRule="auto"/>
        <w:jc w:val="both"/>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51"/>
        <w:jc w:val="both"/>
      </w:pPr>
      <w:r>
        <w:rPr>
          <w:spacing w:val="-1"/>
        </w:rPr>
        <w:t>控制或重大影响之日改按《企业会计准则第22号—金融工具确认和计量》进行会计处理，公允价值与账面</w:t>
      </w:r>
      <w:r>
        <w:rPr>
          <w:spacing w:val="-82"/>
        </w:rPr>
        <w:t> </w:t>
      </w:r>
      <w:r>
        <w:rPr>
          <w:spacing w:val="-82"/>
        </w:rPr>
      </w:r>
      <w:r>
        <w:rPr>
          <w:spacing w:val="-1"/>
        </w:rPr>
        <w:t>价值之间的差额计入当期损益。原股权投资因采用权益法核算而确认的其他综合收益，在终止采用权益法</w:t>
      </w:r>
      <w:r>
        <w:rPr>
          <w:spacing w:val="-81"/>
        </w:rPr>
        <w:t> </w:t>
      </w:r>
      <w:r>
        <w:rPr>
          <w:spacing w:val="-81"/>
        </w:rPr>
      </w:r>
      <w:r>
        <w:rPr>
          <w:spacing w:val="-1"/>
        </w:rPr>
        <w:t>核算时采用与被投资单位直接处置相关资产或负债相同的基础进行会计处理；原股权投资相关的其他所有</w:t>
      </w:r>
      <w:r>
        <w:rPr>
          <w:spacing w:val="-81"/>
        </w:rPr>
        <w:t> </w:t>
      </w:r>
      <w:r>
        <w:rPr>
          <w:spacing w:val="-81"/>
        </w:rPr>
      </w:r>
      <w:r>
        <w:rPr/>
        <w:t>者权益变动转入当期损益。</w:t>
      </w:r>
    </w:p>
    <w:p>
      <w:pPr>
        <w:spacing w:line="240" w:lineRule="auto" w:before="1"/>
        <w:rPr>
          <w:rFonts w:ascii="宋体" w:hAnsi="宋体" w:cs="宋体" w:eastAsia="宋体" w:hint="default"/>
          <w:sz w:val="17"/>
          <w:szCs w:val="17"/>
        </w:rPr>
      </w:pPr>
    </w:p>
    <w:p>
      <w:pPr>
        <w:pStyle w:val="BodyText"/>
        <w:spacing w:line="273" w:lineRule="auto"/>
        <w:ind w:right="151"/>
        <w:jc w:val="both"/>
      </w:pPr>
      <w:r>
        <w:rPr>
          <w:spacing w:val="-1"/>
        </w:rPr>
        <w:t>因处置部分股权投资等原因丧失了对被投资单位的控制的，处置后的剩余股权能够对被投资单位实施共同</w:t>
      </w:r>
      <w:r>
        <w:rPr>
          <w:spacing w:val="-81"/>
        </w:rPr>
        <w:t> </w:t>
      </w:r>
      <w:r>
        <w:rPr>
          <w:spacing w:val="-81"/>
        </w:rPr>
      </w:r>
      <w:r>
        <w:rPr>
          <w:spacing w:val="-1"/>
        </w:rPr>
        <w:t>控制或施加重大影响的，改按权益法核算，并对该剩余股权视同自取得时即采用权益法核算进行调整；处</w:t>
      </w:r>
      <w:r>
        <w:rPr>
          <w:spacing w:val="-83"/>
        </w:rPr>
        <w:t> </w:t>
      </w:r>
      <w:r>
        <w:rPr>
          <w:spacing w:val="-83"/>
        </w:rPr>
      </w:r>
      <w:r>
        <w:rPr>
          <w:spacing w:val="-1"/>
        </w:rPr>
        <w:t>置后的剩余股权不能对被投资单位实施共同控制或施加重大影响的，改按《企业会计准则第22号—金融工</w:t>
      </w:r>
      <w:r>
        <w:rPr>
          <w:spacing w:val="-80"/>
        </w:rPr>
        <w:t> </w:t>
      </w:r>
      <w:r>
        <w:rPr>
          <w:spacing w:val="-80"/>
        </w:rPr>
      </w:r>
      <w:r>
        <w:rPr>
          <w:spacing w:val="-1"/>
        </w:rPr>
        <w:t>具确认和计量》的有关规定进行会计处理，其在丧失控制之日的公允价值与账面价值之间的差额计入当期</w:t>
      </w:r>
      <w:r>
        <w:rPr>
          <w:spacing w:val="-81"/>
        </w:rPr>
        <w:t> </w:t>
      </w:r>
      <w:r>
        <w:rPr>
          <w:spacing w:val="-81"/>
        </w:rPr>
      </w:r>
      <w:r>
        <w:rPr/>
        <w:t>损益。</w:t>
      </w:r>
    </w:p>
    <w:p>
      <w:pPr>
        <w:spacing w:line="240" w:lineRule="auto" w:before="1"/>
        <w:rPr>
          <w:rFonts w:ascii="宋体" w:hAnsi="宋体" w:cs="宋体" w:eastAsia="宋体" w:hint="default"/>
          <w:sz w:val="17"/>
          <w:szCs w:val="17"/>
        </w:rPr>
      </w:pPr>
    </w:p>
    <w:p>
      <w:pPr>
        <w:pStyle w:val="BodyText"/>
        <w:spacing w:line="273" w:lineRule="auto"/>
        <w:ind w:right="151"/>
        <w:jc w:val="both"/>
      </w:pPr>
      <w:r>
        <w:rPr>
          <w:spacing w:val="-1"/>
        </w:rPr>
        <w:t>因其他投资方增资而导致本公司持股比例下降、从而丧失控制权但能对被投资单位实施共同控制或施加重</w:t>
      </w:r>
      <w:r>
        <w:rPr>
          <w:spacing w:val="-81"/>
        </w:rPr>
        <w:t> </w:t>
      </w:r>
      <w:r>
        <w:rPr>
          <w:spacing w:val="-81"/>
        </w:rPr>
      </w:r>
      <w:r>
        <w:rPr>
          <w:spacing w:val="-1"/>
        </w:rPr>
        <w:t>大影响的，按照新的持股比例确认本公司应享有的被投资单位因增资扩股而增加净资产的份额，与应结转</w:t>
      </w:r>
      <w:r>
        <w:rPr>
          <w:spacing w:val="-81"/>
        </w:rPr>
        <w:t> </w:t>
      </w:r>
      <w:r>
        <w:rPr>
          <w:spacing w:val="-81"/>
        </w:rPr>
      </w:r>
      <w:r>
        <w:rPr>
          <w:spacing w:val="-1"/>
        </w:rPr>
        <w:t>持股比例下降部分所对应的长期股权投资原账面价值之间的差额计入当期损益；然后，按照新的持股比例</w:t>
      </w:r>
      <w:r>
        <w:rPr>
          <w:spacing w:val="-81"/>
        </w:rPr>
        <w:t> </w:t>
      </w:r>
      <w:r>
        <w:rPr>
          <w:spacing w:val="-81"/>
        </w:rPr>
      </w:r>
      <w:r>
        <w:rPr/>
        <w:t>视同自取得投资时即采用权益法核算进行调整。</w:t>
      </w:r>
    </w:p>
    <w:p>
      <w:pPr>
        <w:spacing w:line="240" w:lineRule="auto" w:before="1"/>
        <w:rPr>
          <w:rFonts w:ascii="宋体" w:hAnsi="宋体" w:cs="宋体" w:eastAsia="宋体" w:hint="default"/>
          <w:sz w:val="17"/>
          <w:szCs w:val="17"/>
        </w:rPr>
      </w:pPr>
    </w:p>
    <w:p>
      <w:pPr>
        <w:pStyle w:val="BodyText"/>
        <w:spacing w:line="273" w:lineRule="auto"/>
        <w:ind w:right="151"/>
        <w:jc w:val="both"/>
      </w:pPr>
      <w:r>
        <w:rPr>
          <w:spacing w:val="-1"/>
        </w:rPr>
        <w:t>本集团与联营企业及合营企业之间发生的未实现内部交易损益按照持股比例计算归属于本集团的部分，在</w:t>
      </w:r>
      <w:r>
        <w:rPr>
          <w:spacing w:val="-81"/>
        </w:rPr>
        <w:t> </w:t>
      </w:r>
      <w:r>
        <w:rPr>
          <w:spacing w:val="-81"/>
        </w:rPr>
      </w:r>
      <w:r>
        <w:rPr>
          <w:spacing w:val="-1"/>
        </w:rPr>
        <w:t>抵销基础上确认投资损益。但本集团与被投资单位发生的未实现内部交易损失，属于所转让资产减值损失</w:t>
      </w:r>
      <w:r>
        <w:rPr>
          <w:spacing w:val="-81"/>
        </w:rPr>
        <w:t> </w:t>
      </w:r>
      <w:r>
        <w:rPr>
          <w:spacing w:val="-81"/>
        </w:rPr>
      </w:r>
      <w:r>
        <w:rPr/>
        <w:t>的，不予以抵销。</w:t>
      </w:r>
    </w:p>
    <w:p>
      <w:pPr>
        <w:spacing w:line="240" w:lineRule="auto" w:before="1"/>
        <w:rPr>
          <w:rFonts w:ascii="宋体" w:hAnsi="宋体" w:cs="宋体" w:eastAsia="宋体" w:hint="default"/>
          <w:sz w:val="17"/>
          <w:szCs w:val="17"/>
        </w:rPr>
      </w:pPr>
    </w:p>
    <w:p>
      <w:pPr>
        <w:pStyle w:val="BodyText"/>
        <w:spacing w:line="240" w:lineRule="auto"/>
        <w:ind w:right="0"/>
        <w:jc w:val="both"/>
      </w:pPr>
      <w:r>
        <w:rPr/>
        <w:t>（3）确定对被投资单位具有共同控制、重大影响的依据</w:t>
      </w:r>
    </w:p>
    <w:p>
      <w:pPr>
        <w:spacing w:line="240" w:lineRule="auto" w:before="5"/>
        <w:rPr>
          <w:rFonts w:ascii="宋体" w:hAnsi="宋体" w:cs="宋体" w:eastAsia="宋体" w:hint="default"/>
          <w:sz w:val="19"/>
          <w:szCs w:val="19"/>
        </w:rPr>
      </w:pPr>
    </w:p>
    <w:p>
      <w:pPr>
        <w:pStyle w:val="BodyText"/>
        <w:spacing w:line="273" w:lineRule="auto"/>
        <w:ind w:right="151"/>
        <w:jc w:val="both"/>
      </w:pP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与方一致同意后才能决策。在判断是否存在共同控制时，首先判断是否由所有参与方或参与方组合集体控</w:t>
      </w:r>
      <w:r>
        <w:rPr>
          <w:spacing w:val="-81"/>
        </w:rPr>
        <w:t> </w:t>
      </w:r>
      <w:r>
        <w:rPr>
          <w:spacing w:val="-81"/>
        </w:rPr>
      </w:r>
      <w:r>
        <w:rPr>
          <w:spacing w:val="-1"/>
        </w:rPr>
        <w:t>制该安排，其次再判断该安排相关活动的决策是否必须经过这些集体控制该安排的参与方一致同意。如果</w:t>
      </w:r>
      <w:r>
        <w:rPr>
          <w:spacing w:val="-81"/>
        </w:rPr>
        <w:t> </w:t>
      </w:r>
      <w:r>
        <w:rPr>
          <w:spacing w:val="-81"/>
        </w:rPr>
      </w:r>
      <w:r>
        <w:rPr>
          <w:spacing w:val="-1"/>
        </w:rPr>
        <w:t>所有参与方或一组参与方必须一致行动才能决定某项安排的相关活动，则认为所有参与方或一组参与方集</w:t>
      </w:r>
      <w:r>
        <w:rPr>
          <w:spacing w:val="-81"/>
        </w:rPr>
        <w:t> </w:t>
      </w:r>
      <w:r>
        <w:rPr>
          <w:spacing w:val="-81"/>
        </w:rPr>
      </w:r>
      <w:r>
        <w:rPr>
          <w:spacing w:val="-1"/>
        </w:rPr>
        <w:t>体控制该安排；如果存在两个或两个以上的参与方组合能够集体控制某项安排的，不构成共同控制。判断</w:t>
      </w:r>
      <w:r>
        <w:rPr>
          <w:spacing w:val="-83"/>
        </w:rPr>
        <w:t> </w:t>
      </w:r>
      <w:r>
        <w:rPr>
          <w:spacing w:val="-83"/>
        </w:rPr>
      </w:r>
      <w:r>
        <w:rPr/>
        <w:t>是否存在共同控制时，不考虑享有的保护性权利。</w:t>
      </w:r>
    </w:p>
    <w:p>
      <w:pPr>
        <w:spacing w:line="240" w:lineRule="auto" w:before="1"/>
        <w:rPr>
          <w:rFonts w:ascii="宋体" w:hAnsi="宋体" w:cs="宋体" w:eastAsia="宋体" w:hint="default"/>
          <w:sz w:val="17"/>
          <w:szCs w:val="17"/>
        </w:rPr>
      </w:pPr>
    </w:p>
    <w:p>
      <w:pPr>
        <w:pStyle w:val="BodyText"/>
        <w:spacing w:line="273" w:lineRule="auto"/>
        <w:ind w:right="142"/>
        <w:jc w:val="both"/>
      </w:pPr>
      <w:r>
        <w:rPr>
          <w:spacing w:val="-1"/>
        </w:rPr>
        <w:t>重大影响，是指投资方对被投资单位的财务和经营政策有参与决策的权力，但并不能够控制或者与其他方</w:t>
      </w:r>
      <w:r>
        <w:rPr>
          <w:spacing w:val="-81"/>
        </w:rPr>
        <w:t> </w:t>
      </w:r>
      <w:r>
        <w:rPr>
          <w:spacing w:val="-81"/>
        </w:rPr>
      </w:r>
      <w:r>
        <w:rPr>
          <w:spacing w:val="-1"/>
        </w:rPr>
        <w:t>一起共同控制这些政策的制定。在确定能否对被投资单位施加重大影响时，考虑投资方直接或间接持有被</w:t>
      </w:r>
      <w:r>
        <w:rPr>
          <w:spacing w:val="-81"/>
        </w:rPr>
        <w:t> </w:t>
      </w:r>
      <w:r>
        <w:rPr>
          <w:spacing w:val="-81"/>
        </w:rPr>
      </w:r>
      <w:r>
        <w:rPr>
          <w:spacing w:val="3"/>
        </w:rPr>
        <w:t>投资单位的表决权股份以及投资方及其他方持有的当期可执行潜在表决权在假定转换为对被投资方单位</w:t>
      </w:r>
      <w:r>
        <w:rPr>
          <w:spacing w:val="-78"/>
        </w:rPr>
        <w:t> </w:t>
      </w:r>
      <w:r>
        <w:rPr>
          <w:spacing w:val="-78"/>
        </w:rPr>
      </w:r>
      <w:r>
        <w:rPr>
          <w:spacing w:val="-1"/>
        </w:rPr>
        <w:t>的股权后产生的影响，包括被投资单位发行的当期可转换的认股权证、股份期权及可转换公司债券等的影</w:t>
      </w:r>
      <w:r>
        <w:rPr>
          <w:spacing w:val="-81"/>
        </w:rPr>
        <w:t> </w:t>
      </w:r>
      <w:r>
        <w:rPr>
          <w:spacing w:val="-81"/>
        </w:rPr>
      </w:r>
      <w:r>
        <w:rPr/>
        <w:t>响。</w:t>
      </w:r>
    </w:p>
    <w:p>
      <w:pPr>
        <w:spacing w:line="240" w:lineRule="auto" w:before="1"/>
        <w:rPr>
          <w:rFonts w:ascii="宋体" w:hAnsi="宋体" w:cs="宋体" w:eastAsia="宋体" w:hint="default"/>
          <w:sz w:val="17"/>
          <w:szCs w:val="17"/>
        </w:rPr>
      </w:pPr>
    </w:p>
    <w:p>
      <w:pPr>
        <w:pStyle w:val="BodyText"/>
        <w:spacing w:line="273" w:lineRule="auto"/>
        <w:ind w:right="151"/>
        <w:jc w:val="both"/>
      </w:pPr>
      <w:r>
        <w:rPr>
          <w:spacing w:val="-4"/>
        </w:rPr>
        <w:t>当本公司直接或通过子公司间接拥有被投资单位20%（含20%）以上但低于50%的表决权股份时，一般认为对</w:t>
      </w:r>
      <w:r>
        <w:rPr>
          <w:spacing w:val="-76"/>
        </w:rPr>
        <w:t> </w:t>
      </w:r>
      <w:r>
        <w:rPr>
          <w:spacing w:val="-76"/>
        </w:rPr>
      </w:r>
      <w:r>
        <w:rPr>
          <w:spacing w:val="-1"/>
        </w:rPr>
        <w:t>被投资单位具有重大影响，除非有明确证据表明该种情况下不能参与被投资单位的生产经营决策，不形成</w:t>
      </w:r>
      <w:r>
        <w:rPr>
          <w:spacing w:val="-81"/>
        </w:rPr>
        <w:t> </w:t>
      </w:r>
      <w:r>
        <w:rPr>
          <w:spacing w:val="-81"/>
        </w:rPr>
      </w:r>
      <w:r>
        <w:rPr>
          <w:spacing w:val="-3"/>
        </w:rPr>
        <w:t>重大影响；本集团拥有被投资单位20%（不含）以下的表决权股份时，一般不认为对被投资单位具有重大影</w:t>
      </w:r>
      <w:r>
        <w:rPr>
          <w:spacing w:val="-94"/>
        </w:rPr>
        <w:t> </w:t>
      </w:r>
      <w:r>
        <w:rPr>
          <w:spacing w:val="-94"/>
        </w:rPr>
      </w:r>
      <w:r>
        <w:rPr/>
        <w:t>响，除非有明确证据表明该种情况下能够参与被投资单位的生产经营决策，形成重大影响。</w:t>
      </w:r>
    </w:p>
    <w:p>
      <w:pPr>
        <w:spacing w:line="240" w:lineRule="auto" w:before="1"/>
        <w:rPr>
          <w:rFonts w:ascii="宋体" w:hAnsi="宋体" w:cs="宋体" w:eastAsia="宋体" w:hint="default"/>
          <w:sz w:val="17"/>
          <w:szCs w:val="17"/>
        </w:rPr>
      </w:pPr>
    </w:p>
    <w:p>
      <w:pPr>
        <w:pStyle w:val="BodyText"/>
        <w:spacing w:line="460" w:lineRule="auto"/>
        <w:ind w:right="2630"/>
        <w:jc w:val="left"/>
      </w:pPr>
      <w:r>
        <w:rPr/>
        <w:t>（4）减值测试方法及减值准备计提方法 对子公司、联营企业及合营企业的投资，计提资产减值的方法见附注五、22。</w:t>
      </w:r>
    </w:p>
    <w:p>
      <w:pPr>
        <w:pStyle w:val="Heading3"/>
        <w:spacing w:line="240" w:lineRule="auto" w:before="144"/>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投资性房地产计量模式</w:t>
      </w:r>
    </w:p>
    <w:p>
      <w:pPr>
        <w:spacing w:after="0"/>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line="357" w:lineRule="auto" w:before="44"/>
        <w:ind w:left="153" w:right="8511" w:firstLine="0"/>
        <w:jc w:val="left"/>
        <w:rPr>
          <w:rFonts w:ascii="宋体" w:hAnsi="宋体" w:cs="宋体" w:eastAsia="宋体" w:hint="default"/>
          <w:sz w:val="18"/>
          <w:szCs w:val="18"/>
        </w:rPr>
      </w:pPr>
      <w:r>
        <w:rPr>
          <w:rFonts w:ascii="宋体" w:hAnsi="宋体" w:cs="宋体" w:eastAsia="宋体" w:hint="default"/>
          <w:sz w:val="18"/>
          <w:szCs w:val="18"/>
        </w:rPr>
        <w:t>成本法计量 折旧或摊销方法</w:t>
      </w:r>
    </w:p>
    <w:p>
      <w:pPr>
        <w:pStyle w:val="BodyText"/>
        <w:spacing w:line="273" w:lineRule="auto" w:before="2"/>
        <w:ind w:right="0"/>
        <w:jc w:val="left"/>
      </w:pPr>
      <w:r>
        <w:rPr>
          <w:spacing w:val="-1"/>
        </w:rPr>
        <w:t>投资性房地产是指为赚取租金或资本增值，或两者兼有而持有的房地产。本集团投资性房地产包括已出租</w:t>
      </w:r>
      <w:r>
        <w:rPr>
          <w:spacing w:val="-81"/>
        </w:rPr>
        <w:t> </w:t>
      </w:r>
      <w:r>
        <w:rPr>
          <w:spacing w:val="-81"/>
        </w:rPr>
      </w:r>
      <w:r>
        <w:rPr/>
        <w:t>的土地使用权、持有并准备增值后转让的土地使用权、已出租的建筑物。</w:t>
      </w:r>
    </w:p>
    <w:p>
      <w:pPr>
        <w:spacing w:line="240" w:lineRule="auto" w:before="1"/>
        <w:rPr>
          <w:rFonts w:ascii="宋体" w:hAnsi="宋体" w:cs="宋体" w:eastAsia="宋体" w:hint="default"/>
          <w:sz w:val="17"/>
          <w:szCs w:val="17"/>
        </w:rPr>
      </w:pPr>
    </w:p>
    <w:p>
      <w:pPr>
        <w:pStyle w:val="BodyText"/>
        <w:spacing w:line="273" w:lineRule="auto"/>
        <w:ind w:right="0"/>
        <w:jc w:val="left"/>
      </w:pPr>
      <w:r>
        <w:rPr>
          <w:spacing w:val="-1"/>
        </w:rPr>
        <w:t>本集团投资性房地产按照取得时的成本进行初始计量，并按照固定资产或无形资产的有关规定，按期计提</w:t>
      </w:r>
      <w:r>
        <w:rPr>
          <w:spacing w:val="-81"/>
        </w:rPr>
        <w:t> </w:t>
      </w:r>
      <w:r>
        <w:rPr>
          <w:spacing w:val="-81"/>
        </w:rPr>
      </w:r>
      <w:r>
        <w:rPr/>
        <w:t>折旧或摊销。本集团确定投资性房地产的年折旧率如下：</w:t>
      </w:r>
    </w:p>
    <w:p>
      <w:pPr>
        <w:spacing w:line="240" w:lineRule="auto" w:before="3"/>
        <w:rPr>
          <w:rFonts w:ascii="宋体" w:hAnsi="宋体" w:cs="宋体" w:eastAsia="宋体" w:hint="default"/>
          <w:sz w:val="18"/>
          <w:szCs w:val="18"/>
        </w:rPr>
      </w:pPr>
    </w:p>
    <w:tbl>
      <w:tblPr>
        <w:tblW w:w="0" w:type="auto"/>
        <w:jc w:val="left"/>
        <w:tblInd w:w="390" w:type="dxa"/>
        <w:tblLayout w:type="fixed"/>
        <w:tblCellMar>
          <w:top w:w="0" w:type="dxa"/>
          <w:left w:w="0" w:type="dxa"/>
          <w:bottom w:w="0" w:type="dxa"/>
          <w:right w:w="0" w:type="dxa"/>
        </w:tblCellMar>
        <w:tblLook w:val="01E0"/>
      </w:tblPr>
      <w:tblGrid>
        <w:gridCol w:w="2732"/>
        <w:gridCol w:w="2129"/>
        <w:gridCol w:w="2146"/>
        <w:gridCol w:w="2146"/>
      </w:tblGrid>
      <w:tr>
        <w:trPr>
          <w:trHeight w:val="34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tabs>
                <w:tab w:pos="425" w:val="left" w:leader="none"/>
              </w:tabs>
              <w:spacing w:line="270" w:lineRule="exact"/>
              <w:ind w:left="2" w:right="0"/>
              <w:jc w:val="left"/>
              <w:rPr>
                <w:rFonts w:ascii="宋体" w:hAnsi="宋体" w:cs="宋体" w:eastAsia="宋体" w:hint="default"/>
                <w:sz w:val="21"/>
                <w:szCs w:val="21"/>
              </w:rPr>
            </w:pPr>
            <w:r>
              <w:rPr>
                <w:rFonts w:ascii="宋体" w:hAnsi="宋体" w:cs="宋体" w:eastAsia="宋体" w:hint="default"/>
                <w:b/>
                <w:bCs/>
                <w:w w:val="95"/>
                <w:sz w:val="21"/>
                <w:szCs w:val="21"/>
              </w:rPr>
              <w:t>类</w:t>
              <w:tab/>
            </w:r>
            <w:r>
              <w:rPr>
                <w:rFonts w:ascii="宋体" w:hAnsi="宋体" w:cs="宋体" w:eastAsia="宋体" w:hint="default"/>
                <w:b/>
                <w:bCs/>
                <w:sz w:val="21"/>
                <w:szCs w:val="21"/>
              </w:rPr>
              <w:t>别</w:t>
            </w:r>
            <w:r>
              <w:rPr>
                <w:rFonts w:ascii="宋体" w:hAnsi="宋体" w:cs="宋体" w:eastAsia="宋体" w:hint="default"/>
                <w:sz w:val="21"/>
                <w:szCs w:val="21"/>
              </w:rPr>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宋体" w:hAnsi="宋体" w:cs="宋体" w:eastAsia="宋体" w:hint="default"/>
                <w:sz w:val="21"/>
                <w:szCs w:val="21"/>
              </w:rPr>
            </w:pPr>
            <w:r>
              <w:rPr>
                <w:rFonts w:ascii="宋体" w:hAnsi="宋体" w:cs="宋体" w:eastAsia="宋体" w:hint="default"/>
                <w:b/>
                <w:bCs/>
                <w:w w:val="95"/>
                <w:sz w:val="21"/>
                <w:szCs w:val="21"/>
              </w:rPr>
              <w:t>使用年限（年）</w:t>
            </w:r>
            <w:r>
              <w:rPr>
                <w:rFonts w:ascii="宋体" w:hAnsi="宋体" w:cs="宋体" w:eastAsia="宋体" w:hint="default"/>
                <w:sz w:val="21"/>
                <w:szCs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91" w:right="0"/>
              <w:jc w:val="left"/>
              <w:rPr>
                <w:rFonts w:ascii="宋体" w:hAnsi="宋体" w:cs="宋体" w:eastAsia="宋体" w:hint="default"/>
                <w:sz w:val="21"/>
                <w:szCs w:val="21"/>
              </w:rPr>
            </w:pPr>
            <w:r>
              <w:rPr>
                <w:rFonts w:ascii="宋体" w:hAnsi="宋体" w:cs="宋体" w:eastAsia="宋体" w:hint="default"/>
                <w:b/>
                <w:bCs/>
                <w:sz w:val="21"/>
                <w:szCs w:val="21"/>
              </w:rPr>
              <w:t>残值率%</w:t>
            </w:r>
            <w:r>
              <w:rPr>
                <w:rFonts w:ascii="宋体" w:hAnsi="宋体" w:cs="宋体" w:eastAsia="宋体" w:hint="default"/>
                <w:sz w:val="21"/>
                <w:szCs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179" w:right="0"/>
              <w:jc w:val="left"/>
              <w:rPr>
                <w:rFonts w:ascii="宋体" w:hAnsi="宋体" w:cs="宋体" w:eastAsia="宋体" w:hint="default"/>
                <w:sz w:val="21"/>
                <w:szCs w:val="21"/>
              </w:rPr>
            </w:pPr>
            <w:r>
              <w:rPr>
                <w:rFonts w:ascii="宋体" w:hAnsi="宋体" w:cs="宋体" w:eastAsia="宋体" w:hint="default"/>
                <w:b/>
                <w:bCs/>
                <w:sz w:val="21"/>
                <w:szCs w:val="21"/>
              </w:rPr>
              <w:t>年折旧率%</w:t>
            </w:r>
            <w:r>
              <w:rPr>
                <w:rFonts w:ascii="宋体" w:hAnsi="宋体" w:cs="宋体" w:eastAsia="宋体" w:hint="default"/>
                <w:sz w:val="21"/>
                <w:szCs w:val="21"/>
              </w:rPr>
            </w:r>
          </w:p>
        </w:tc>
      </w:tr>
      <w:tr>
        <w:trPr>
          <w:trHeight w:val="347" w:hRule="exact"/>
        </w:trPr>
        <w:tc>
          <w:tcPr>
            <w:tcW w:w="273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出租的建筑物</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宋体" w:hAnsi="宋体" w:cs="宋体" w:eastAsia="宋体" w:hint="default"/>
                <w:sz w:val="21"/>
                <w:szCs w:val="21"/>
              </w:rPr>
            </w:pPr>
            <w:r>
              <w:rPr>
                <w:rFonts w:ascii="宋体"/>
                <w:spacing w:val="-1"/>
                <w:w w:val="95"/>
                <w:sz w:val="21"/>
              </w:rPr>
              <w:t>20-30</w:t>
            </w:r>
            <w:r>
              <w:rPr>
                <w:rFonts w:ascii="宋体"/>
                <w:w w:val="95"/>
                <w:sz w:val="21"/>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79"/>
              <w:jc w:val="right"/>
              <w:rPr>
                <w:rFonts w:ascii="宋体" w:hAnsi="宋体" w:cs="宋体" w:eastAsia="宋体" w:hint="default"/>
                <w:sz w:val="21"/>
                <w:szCs w:val="21"/>
              </w:rPr>
            </w:pPr>
            <w:r>
              <w:rPr>
                <w:rFonts w:ascii="宋体"/>
                <w:sz w:val="21"/>
              </w:rPr>
              <w:t>5</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957" w:right="0"/>
              <w:jc w:val="left"/>
              <w:rPr>
                <w:rFonts w:ascii="宋体" w:hAnsi="宋体" w:cs="宋体" w:eastAsia="宋体" w:hint="default"/>
                <w:sz w:val="21"/>
                <w:szCs w:val="21"/>
              </w:rPr>
            </w:pPr>
            <w:r>
              <w:rPr>
                <w:rFonts w:ascii="宋体"/>
                <w:sz w:val="21"/>
              </w:rPr>
              <w:t>3.17-4.75</w:t>
            </w:r>
          </w:p>
        </w:tc>
      </w:tr>
    </w:tbl>
    <w:p>
      <w:pPr>
        <w:pStyle w:val="BodyText"/>
        <w:spacing w:line="532" w:lineRule="auto" w:before="63"/>
        <w:ind w:right="320"/>
        <w:jc w:val="left"/>
        <w:rPr>
          <w:rFonts w:ascii="宋体" w:hAnsi="宋体" w:cs="宋体" w:eastAsia="宋体" w:hint="default"/>
        </w:rPr>
      </w:pPr>
      <w:r>
        <w:rPr/>
        <w:t>采用成本模式进行后续计量的投资性房地产，计提资产减值方法见附注五、22。 投资性房地产出售、转让、报废或毁损的处置收入扣除其账面价值和相关税费后的差额计入当期损益。 </w:t>
      </w:r>
      <w:r>
        <w:rPr>
          <w:rFonts w:ascii="Times New Roman" w:hAnsi="Times New Roman" w:cs="Times New Roman" w:eastAsia="Times New Roman" w:hint="default"/>
          <w:b/>
          <w:bCs/>
        </w:rPr>
        <w:t>16</w:t>
      </w:r>
      <w:r>
        <w:rPr>
          <w:rFonts w:ascii="宋体" w:hAnsi="宋体" w:cs="宋体" w:eastAsia="宋体" w:hint="default"/>
          <w:b/>
          <w:bCs/>
        </w:rPr>
        <w:t>、固定资产</w:t>
      </w:r>
      <w:r>
        <w:rPr>
          <w:rFonts w:ascii="宋体" w:hAnsi="宋体" w:cs="宋体" w:eastAsia="宋体" w:hint="default"/>
        </w:rPr>
      </w:r>
    </w:p>
    <w:p>
      <w:pPr>
        <w:pStyle w:val="Heading3"/>
        <w:spacing w:line="240" w:lineRule="auto" w:before="37"/>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248" w:firstLine="0"/>
        <w:jc w:val="both"/>
        <w:rPr>
          <w:rFonts w:ascii="宋体" w:hAnsi="宋体" w:cs="宋体" w:eastAsia="宋体" w:hint="default"/>
          <w:sz w:val="18"/>
          <w:szCs w:val="18"/>
        </w:rPr>
      </w:pPr>
      <w:r>
        <w:rPr>
          <w:rFonts w:ascii="宋体" w:hAnsi="宋体" w:cs="宋体" w:eastAsia="宋体" w:hint="default"/>
          <w:sz w:val="18"/>
          <w:szCs w:val="18"/>
        </w:rPr>
        <w:t>本集团固定资产是指为生产商品、提供劳务、出租或经营管理而持有的，使用寿命超过一个会计年度的有形资产。与该固 定资产有关的经济利益很可能流入企业，并且该固定资产的成本能够可靠地计量时，固定资产才能予以确认。本集团固定 资产按照取得时的实际成本进行初始计量。</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8"/>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3.17%-4.75%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19%-23.75%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19%-31.67%</w:t>
            </w:r>
          </w:p>
        </w:tc>
      </w:tr>
    </w:tbl>
    <w:p>
      <w:pPr>
        <w:pStyle w:val="BodyText"/>
        <w:spacing w:line="260" w:lineRule="exact"/>
        <w:ind w:right="0"/>
        <w:jc w:val="left"/>
      </w:pPr>
      <w:r>
        <w:rPr/>
        <w:t>本集团采用年限平均法计提折旧。固定资产自达到预定可使用状态时开始计提折旧，终止确认时或划分为</w:t>
      </w:r>
    </w:p>
    <w:p>
      <w:pPr>
        <w:pStyle w:val="BodyText"/>
        <w:spacing w:line="273" w:lineRule="auto" w:before="37"/>
        <w:ind w:right="0"/>
        <w:jc w:val="left"/>
      </w:pPr>
      <w:r>
        <w:rPr>
          <w:spacing w:val="-1"/>
        </w:rPr>
        <w:t>持有待售非流动资产时停止计提折旧。在不考虑减值准备的情况下，按固定资产类别、预计使用寿命和预</w:t>
      </w:r>
      <w:r>
        <w:rPr>
          <w:spacing w:val="-83"/>
        </w:rPr>
        <w:t> </w:t>
      </w:r>
      <w:r>
        <w:rPr>
          <w:spacing w:val="-83"/>
        </w:rPr>
      </w:r>
      <w:r>
        <w:rPr/>
        <w:t>计残值。</w:t>
      </w:r>
    </w:p>
    <w:p>
      <w:pPr>
        <w:spacing w:line="240" w:lineRule="auto" w:before="1"/>
        <w:rPr>
          <w:rFonts w:ascii="宋体" w:hAnsi="宋体" w:cs="宋体" w:eastAsia="宋体" w:hint="default"/>
          <w:sz w:val="17"/>
          <w:szCs w:val="17"/>
        </w:rPr>
      </w:pPr>
    </w:p>
    <w:p>
      <w:pPr>
        <w:pStyle w:val="BodyText"/>
        <w:spacing w:line="240" w:lineRule="auto"/>
        <w:ind w:right="0"/>
        <w:jc w:val="left"/>
      </w:pPr>
      <w:r>
        <w:rPr/>
        <w:t>其中，已计提减值准备的固定资产，还应扣除已计提的固定资产减值准备累计金额计算确定折旧率。</w:t>
      </w:r>
    </w:p>
    <w:p>
      <w:pPr>
        <w:spacing w:line="240" w:lineRule="auto" w:before="5"/>
        <w:rPr>
          <w:rFonts w:ascii="宋体" w:hAnsi="宋体" w:cs="宋体" w:eastAsia="宋体" w:hint="default"/>
          <w:sz w:val="19"/>
          <w:szCs w:val="19"/>
        </w:rPr>
      </w:pPr>
    </w:p>
    <w:p>
      <w:pPr>
        <w:pStyle w:val="BodyText"/>
        <w:spacing w:line="240" w:lineRule="auto"/>
        <w:ind w:right="0"/>
        <w:jc w:val="left"/>
      </w:pPr>
      <w:r>
        <w:rPr/>
        <w:t>（3）固定资产的减值测试方法、减值准备计提方法见附注五、22。</w:t>
      </w:r>
    </w:p>
    <w:p>
      <w:pPr>
        <w:spacing w:line="240" w:lineRule="auto" w:before="5"/>
        <w:rPr>
          <w:rFonts w:ascii="宋体" w:hAnsi="宋体" w:cs="宋体" w:eastAsia="宋体" w:hint="default"/>
          <w:sz w:val="19"/>
          <w:szCs w:val="19"/>
        </w:rPr>
      </w:pPr>
    </w:p>
    <w:p>
      <w:pPr>
        <w:pStyle w:val="BodyText"/>
        <w:spacing w:line="240" w:lineRule="auto"/>
        <w:ind w:right="0"/>
        <w:jc w:val="left"/>
      </w:pPr>
      <w:r>
        <w:rPr/>
        <w:t>（4）每年年度终了，本集团对固定资产的使用寿命、预计净残值和折旧方法进行复核。</w:t>
      </w:r>
    </w:p>
    <w:p>
      <w:pPr>
        <w:spacing w:line="240" w:lineRule="auto" w:before="5"/>
        <w:rPr>
          <w:rFonts w:ascii="宋体" w:hAnsi="宋体" w:cs="宋体" w:eastAsia="宋体" w:hint="default"/>
          <w:sz w:val="19"/>
          <w:szCs w:val="19"/>
        </w:rPr>
      </w:pPr>
    </w:p>
    <w:p>
      <w:pPr>
        <w:pStyle w:val="BodyText"/>
        <w:spacing w:line="273" w:lineRule="auto"/>
        <w:ind w:right="0"/>
        <w:jc w:val="left"/>
      </w:pPr>
      <w:r>
        <w:rPr>
          <w:spacing w:val="-1"/>
        </w:rPr>
        <w:t>使用寿命预计数与原先估计数有差异的，调整固定资产使用寿命；预计净残值预计数与原先估计数有差异</w:t>
      </w:r>
      <w:r>
        <w:rPr>
          <w:spacing w:val="-81"/>
        </w:rPr>
        <w:t> </w:t>
      </w:r>
      <w:r>
        <w:rPr>
          <w:spacing w:val="-81"/>
        </w:rPr>
      </w:r>
      <w:r>
        <w:rPr/>
        <w:t>的，调整预计净残值。</w:t>
      </w:r>
    </w:p>
    <w:p>
      <w:pPr>
        <w:spacing w:line="240" w:lineRule="auto" w:before="1"/>
        <w:rPr>
          <w:rFonts w:ascii="宋体" w:hAnsi="宋体" w:cs="宋体" w:eastAsia="宋体" w:hint="default"/>
          <w:sz w:val="17"/>
          <w:szCs w:val="17"/>
        </w:rPr>
      </w:pPr>
    </w:p>
    <w:p>
      <w:pPr>
        <w:pStyle w:val="BodyText"/>
        <w:spacing w:line="460" w:lineRule="auto"/>
        <w:ind w:right="0"/>
        <w:jc w:val="left"/>
      </w:pPr>
      <w:r>
        <w:rPr/>
        <w:t>（5）大修理费用 </w:t>
      </w:r>
      <w:r>
        <w:rPr>
          <w:spacing w:val="-1"/>
        </w:rPr>
        <w:t>本集团对固定资产进行定期检查发生的大修理费用，有确凿证据表明符合固定资产确认条件的部分，计入</w:t>
      </w:r>
    </w:p>
    <w:p>
      <w:pPr>
        <w:spacing w:after="0" w:line="46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固定资产成本，不符合固定资产确认条件的计入当期损益。固定资产在定期大修理间隔期间，照提折旧。</w:t>
      </w:r>
    </w:p>
    <w:p>
      <w:pPr>
        <w:spacing w:line="240" w:lineRule="auto" w:before="10"/>
        <w:rPr>
          <w:rFonts w:ascii="宋体" w:hAnsi="宋体" w:cs="宋体" w:eastAsia="宋体" w:hint="default"/>
          <w:sz w:val="25"/>
          <w:szCs w:val="25"/>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677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2"/>
        <w:ind w:right="208"/>
        <w:jc w:val="left"/>
      </w:pPr>
      <w:r>
        <w:rPr>
          <w:spacing w:val="-1"/>
        </w:rPr>
        <w:t>本集团在建工程成本按实际工程支出确定，包括在建期间发生的各项必要工程支出、工程达到预定可使用</w:t>
      </w:r>
      <w:r>
        <w:rPr>
          <w:spacing w:val="-81"/>
        </w:rPr>
        <w:t> </w:t>
      </w:r>
      <w:r>
        <w:rPr>
          <w:spacing w:val="-81"/>
        </w:rPr>
      </w:r>
      <w:r>
        <w:rPr/>
        <w:t>状态前的应予资本化的借款费用以及其他相关费用等。</w:t>
      </w:r>
    </w:p>
    <w:p>
      <w:pPr>
        <w:spacing w:line="240" w:lineRule="auto" w:before="1"/>
        <w:rPr>
          <w:rFonts w:ascii="宋体" w:hAnsi="宋体" w:cs="宋体" w:eastAsia="宋体" w:hint="default"/>
          <w:sz w:val="17"/>
          <w:szCs w:val="17"/>
        </w:rPr>
      </w:pPr>
    </w:p>
    <w:p>
      <w:pPr>
        <w:pStyle w:val="BodyText"/>
        <w:spacing w:line="460" w:lineRule="auto"/>
        <w:ind w:right="5210"/>
        <w:jc w:val="left"/>
      </w:pPr>
      <w:r>
        <w:rPr/>
        <w:t>在建工程在达到预定可使用状态时转入固定资产。 在建工程计提资产减值方法见附注五、22。</w:t>
      </w:r>
    </w:p>
    <w:p>
      <w:pPr>
        <w:pStyle w:val="Heading3"/>
        <w:spacing w:line="240" w:lineRule="auto" w:before="144"/>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677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1"/>
        <w:ind w:right="0"/>
        <w:jc w:val="both"/>
      </w:pPr>
      <w:r>
        <w:rPr/>
        <w:t>本集团无形资产包括计算机软件、商标权、开发支出、武汉大千无形资产评估增值等。</w:t>
      </w:r>
    </w:p>
    <w:p>
      <w:pPr>
        <w:spacing w:line="240" w:lineRule="auto" w:before="5"/>
        <w:rPr>
          <w:rFonts w:ascii="宋体" w:hAnsi="宋体" w:cs="宋体" w:eastAsia="宋体" w:hint="default"/>
          <w:sz w:val="19"/>
          <w:szCs w:val="19"/>
        </w:rPr>
      </w:pPr>
    </w:p>
    <w:p>
      <w:pPr>
        <w:pStyle w:val="BodyText"/>
        <w:spacing w:line="273" w:lineRule="auto"/>
        <w:ind w:right="211"/>
        <w:jc w:val="both"/>
      </w:pPr>
      <w:r>
        <w:rPr>
          <w:spacing w:val="-1"/>
        </w:rPr>
        <w:t>无形资产按照成本进行初始计量，并于取得无形资产时分析判断其使用寿命。使用寿命为有限的，自无形</w:t>
      </w:r>
      <w:r>
        <w:rPr>
          <w:spacing w:val="-83"/>
        </w:rPr>
        <w:t> </w:t>
      </w:r>
      <w:r>
        <w:rPr>
          <w:spacing w:val="-83"/>
        </w:rPr>
      </w:r>
      <w:r>
        <w:rPr>
          <w:spacing w:val="-1"/>
        </w:rPr>
        <w:t>资产可供使用时起，采用能反映与该资产有关的经济利益的预期实现方式的摊销方法，在预计使用年限内</w:t>
      </w:r>
      <w:r>
        <w:rPr>
          <w:spacing w:val="-81"/>
        </w:rPr>
        <w:t> </w:t>
      </w:r>
      <w:r>
        <w:rPr>
          <w:spacing w:val="-81"/>
        </w:rPr>
      </w:r>
      <w:r>
        <w:rPr/>
        <w:t>摊销；无法可靠确定预期实现方式的，采用直线法摊销；使用寿命不确定的无形资产，不作摊销。</w:t>
      </w:r>
    </w:p>
    <w:p>
      <w:pPr>
        <w:spacing w:line="240" w:lineRule="auto" w:before="5"/>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942"/>
        <w:gridCol w:w="1779"/>
        <w:gridCol w:w="2395"/>
        <w:gridCol w:w="1180"/>
      </w:tblGrid>
      <w:tr>
        <w:trPr>
          <w:trHeight w:val="585" w:hRule="exact"/>
        </w:trPr>
        <w:tc>
          <w:tcPr>
            <w:tcW w:w="3942"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4" w:right="0"/>
              <w:jc w:val="left"/>
              <w:rPr>
                <w:rFonts w:ascii="宋体" w:hAnsi="宋体" w:cs="宋体" w:eastAsia="宋体" w:hint="default"/>
                <w:sz w:val="21"/>
                <w:szCs w:val="21"/>
              </w:rPr>
            </w:pPr>
            <w:r>
              <w:rPr>
                <w:rFonts w:ascii="宋体" w:hAnsi="宋体" w:cs="宋体" w:eastAsia="宋体" w:hint="default"/>
                <w:sz w:val="21"/>
                <w:szCs w:val="21"/>
              </w:rPr>
              <w:t>使用寿命有限的无形资产摊销方法如下：</w:t>
            </w:r>
          </w:p>
        </w:tc>
        <w:tc>
          <w:tcPr>
            <w:tcW w:w="5354" w:type="dxa"/>
            <w:gridSpan w:val="3"/>
            <w:tcBorders>
              <w:top w:val="nil" w:sz="6" w:space="0" w:color="auto"/>
              <w:left w:val="nil" w:sz="6" w:space="0" w:color="auto"/>
              <w:bottom w:val="single" w:sz="6" w:space="0" w:color="000000"/>
              <w:right w:val="nil" w:sz="6" w:space="0" w:color="auto"/>
            </w:tcBorders>
          </w:tcPr>
          <w:p>
            <w:pPr/>
          </w:p>
        </w:tc>
      </w:tr>
      <w:tr>
        <w:trPr>
          <w:trHeight w:val="347" w:hRule="exact"/>
        </w:trPr>
        <w:tc>
          <w:tcPr>
            <w:tcW w:w="3942"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25" w:right="0"/>
              <w:jc w:val="left"/>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1779" w:type="dxa"/>
            <w:tcBorders>
              <w:top w:val="single" w:sz="6" w:space="0" w:color="000000"/>
              <w:left w:val="nil" w:sz="6" w:space="0" w:color="auto"/>
              <w:bottom w:val="single" w:sz="6" w:space="0" w:color="000000"/>
              <w:right w:val="nil" w:sz="6" w:space="0" w:color="auto"/>
            </w:tcBorders>
          </w:tcPr>
          <w:p>
            <w:pPr>
              <w:pStyle w:val="TableParagraph"/>
              <w:spacing w:line="286" w:lineRule="exact"/>
              <w:ind w:right="656"/>
              <w:jc w:val="right"/>
              <w:rPr>
                <w:rFonts w:ascii="宋体" w:hAnsi="宋体" w:cs="宋体" w:eastAsia="宋体" w:hint="default"/>
                <w:sz w:val="24"/>
                <w:szCs w:val="24"/>
              </w:rPr>
            </w:pPr>
            <w:r>
              <w:rPr>
                <w:rFonts w:ascii="宋体" w:hAnsi="宋体" w:cs="宋体" w:eastAsia="宋体" w:hint="default"/>
                <w:b/>
                <w:bCs/>
                <w:sz w:val="24"/>
                <w:szCs w:val="24"/>
              </w:rPr>
              <w:t>使用寿命</w:t>
            </w:r>
            <w:r>
              <w:rPr>
                <w:rFonts w:ascii="宋体" w:hAnsi="宋体" w:cs="宋体" w:eastAsia="宋体" w:hint="default"/>
                <w:sz w:val="24"/>
                <w:szCs w:val="24"/>
              </w:rPr>
            </w:r>
          </w:p>
        </w:tc>
        <w:tc>
          <w:tcPr>
            <w:tcW w:w="2395" w:type="dxa"/>
            <w:tcBorders>
              <w:top w:val="single" w:sz="6" w:space="0" w:color="000000"/>
              <w:left w:val="nil" w:sz="6" w:space="0" w:color="auto"/>
              <w:bottom w:val="single" w:sz="6" w:space="0" w:color="000000"/>
              <w:right w:val="nil" w:sz="6" w:space="0" w:color="auto"/>
            </w:tcBorders>
          </w:tcPr>
          <w:p>
            <w:pPr>
              <w:pStyle w:val="TableParagraph"/>
              <w:spacing w:line="286" w:lineRule="exact"/>
              <w:ind w:right="686"/>
              <w:jc w:val="right"/>
              <w:rPr>
                <w:rFonts w:ascii="宋体" w:hAnsi="宋体" w:cs="宋体" w:eastAsia="宋体" w:hint="default"/>
                <w:sz w:val="24"/>
                <w:szCs w:val="24"/>
              </w:rPr>
            </w:pPr>
            <w:r>
              <w:rPr>
                <w:rFonts w:ascii="宋体" w:hAnsi="宋体" w:cs="宋体" w:eastAsia="宋体" w:hint="default"/>
                <w:b/>
                <w:bCs/>
                <w:sz w:val="24"/>
                <w:szCs w:val="24"/>
              </w:rPr>
              <w:t>摊销方法</w:t>
            </w:r>
            <w:r>
              <w:rPr>
                <w:rFonts w:ascii="宋体" w:hAnsi="宋体" w:cs="宋体" w:eastAsia="宋体" w:hint="default"/>
                <w:sz w:val="24"/>
                <w:szCs w:val="24"/>
              </w:rPr>
            </w:r>
          </w:p>
        </w:tc>
        <w:tc>
          <w:tcPr>
            <w:tcW w:w="1180"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686" w:right="0"/>
              <w:jc w:val="left"/>
              <w:rPr>
                <w:rFonts w:ascii="宋体" w:hAnsi="宋体" w:cs="宋体" w:eastAsia="宋体" w:hint="default"/>
                <w:sz w:val="24"/>
                <w:szCs w:val="24"/>
              </w:rPr>
            </w:pPr>
            <w:r>
              <w:rPr>
                <w:rFonts w:ascii="宋体" w:hAnsi="宋体" w:cs="宋体" w:eastAsia="宋体" w:hint="default"/>
                <w:b/>
                <w:bCs/>
                <w:sz w:val="24"/>
                <w:szCs w:val="24"/>
              </w:rPr>
              <w:t>备注</w:t>
            </w:r>
            <w:r>
              <w:rPr>
                <w:rFonts w:ascii="宋体" w:hAnsi="宋体" w:cs="宋体" w:eastAsia="宋体" w:hint="default"/>
                <w:sz w:val="24"/>
                <w:szCs w:val="24"/>
              </w:rPr>
            </w:r>
          </w:p>
        </w:tc>
      </w:tr>
      <w:tr>
        <w:trPr>
          <w:trHeight w:val="348" w:hRule="exact"/>
        </w:trPr>
        <w:tc>
          <w:tcPr>
            <w:tcW w:w="3942" w:type="dxa"/>
            <w:tcBorders>
              <w:top w:val="single" w:sz="6" w:space="0" w:color="000000"/>
              <w:left w:val="nil" w:sz="6" w:space="0" w:color="auto"/>
              <w:bottom w:val="single" w:sz="6" w:space="0" w:color="000000"/>
              <w:right w:val="nil" w:sz="6" w:space="0" w:color="auto"/>
            </w:tcBorders>
          </w:tcPr>
          <w:p>
            <w:pPr>
              <w:pStyle w:val="TableParagraph"/>
              <w:spacing w:line="271" w:lineRule="exact"/>
              <w:ind w:left="25"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779" w:type="dxa"/>
            <w:tcBorders>
              <w:top w:val="single" w:sz="6" w:space="0" w:color="000000"/>
              <w:left w:val="nil" w:sz="6" w:space="0" w:color="auto"/>
              <w:bottom w:val="single" w:sz="6" w:space="0" w:color="000000"/>
              <w:right w:val="nil" w:sz="6" w:space="0" w:color="auto"/>
            </w:tcBorders>
          </w:tcPr>
          <w:p>
            <w:pPr>
              <w:pStyle w:val="TableParagraph"/>
              <w:spacing w:line="287" w:lineRule="exact"/>
              <w:ind w:right="656"/>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w:t>
            </w:r>
          </w:p>
        </w:tc>
        <w:tc>
          <w:tcPr>
            <w:tcW w:w="2395" w:type="dxa"/>
            <w:tcBorders>
              <w:top w:val="single" w:sz="6" w:space="0" w:color="000000"/>
              <w:left w:val="nil" w:sz="6" w:space="0" w:color="auto"/>
              <w:bottom w:val="single" w:sz="6" w:space="0" w:color="000000"/>
              <w:right w:val="nil" w:sz="6" w:space="0" w:color="auto"/>
            </w:tcBorders>
          </w:tcPr>
          <w:p>
            <w:pPr>
              <w:pStyle w:val="TableParagraph"/>
              <w:spacing w:line="271" w:lineRule="exact"/>
              <w:ind w:right="686"/>
              <w:jc w:val="right"/>
              <w:rPr>
                <w:rFonts w:ascii="宋体" w:hAnsi="宋体" w:cs="宋体" w:eastAsia="宋体" w:hint="default"/>
                <w:sz w:val="21"/>
                <w:szCs w:val="21"/>
              </w:rPr>
            </w:pPr>
            <w:r>
              <w:rPr>
                <w:rFonts w:ascii="宋体" w:hAnsi="宋体" w:cs="宋体" w:eastAsia="宋体" w:hint="default"/>
                <w:sz w:val="21"/>
                <w:szCs w:val="21"/>
              </w:rPr>
              <w:t>年限平均法</w:t>
            </w:r>
          </w:p>
        </w:tc>
        <w:tc>
          <w:tcPr>
            <w:tcW w:w="1180" w:type="dxa"/>
            <w:tcBorders>
              <w:top w:val="single" w:sz="6" w:space="0" w:color="000000"/>
              <w:left w:val="nil" w:sz="6" w:space="0" w:color="auto"/>
              <w:bottom w:val="single" w:sz="6" w:space="0" w:color="000000"/>
              <w:right w:val="nil" w:sz="6" w:space="0" w:color="auto"/>
            </w:tcBorders>
          </w:tcPr>
          <w:p>
            <w:pPr/>
          </w:p>
        </w:tc>
      </w:tr>
    </w:tbl>
    <w:p>
      <w:pPr>
        <w:spacing w:after="0"/>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64.85pt;height:.75pt;mso-position-horizontal-relative:char;mso-position-vertical-relative:line" coordorigin="0,0" coordsize="9297,15">
            <v:group style="position:absolute;left:7;top:7;width:9282;height:2" coordorigin="7,7" coordsize="9282,2">
              <v:shape style="position:absolute;left:7;top:7;width:9282;height:2" coordorigin="7,7" coordsize="9282,0" path="m7,7l9289,7e" filled="false" stroked="true" strokeweight=".72003pt" strokecolor="#000000">
                <v:path arrowok="t"/>
              </v:shape>
            </v:group>
          </v:group>
        </w:pict>
      </w:r>
      <w:r>
        <w:rPr>
          <w:rFonts w:ascii="宋体" w:hAnsi="宋体" w:cs="宋体" w:eastAsia="宋体" w:hint="default"/>
          <w:sz w:val="2"/>
          <w:szCs w:val="2"/>
        </w:rPr>
      </w:r>
    </w:p>
    <w:p>
      <w:pPr>
        <w:pStyle w:val="BodyText"/>
        <w:tabs>
          <w:tab w:pos="4791" w:val="left" w:leader="none"/>
          <w:tab w:pos="6527" w:val="left" w:leader="none"/>
        </w:tabs>
        <w:spacing w:line="281" w:lineRule="exact"/>
        <w:ind w:left="174" w:right="208"/>
        <w:jc w:val="left"/>
      </w:pPr>
      <w:r>
        <w:rPr/>
        <w:t>商标权</w:t>
        <w:tab/>
      </w:r>
      <w:r>
        <w:rPr>
          <w:rFonts w:ascii="Times New Roman" w:hAnsi="Times New Roman" w:cs="Times New Roman" w:eastAsia="Times New Roman" w:hint="default"/>
        </w:rPr>
        <w:t>10</w:t>
      </w:r>
      <w:r>
        <w:rPr/>
        <w:t>年</w:t>
        <w:tab/>
        <w:t>年限平均法</w:t>
      </w:r>
    </w:p>
    <w:p>
      <w:pPr>
        <w:spacing w:line="240" w:lineRule="auto" w:before="7"/>
        <w:rPr>
          <w:rFonts w:ascii="宋体" w:hAnsi="宋体" w:cs="宋体" w:eastAsia="宋体" w:hint="default"/>
          <w:sz w:val="3"/>
          <w:szCs w:val="3"/>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64.85pt;height:.75pt;mso-position-horizontal-relative:char;mso-position-vertical-relative:line" coordorigin="0,0" coordsize="9297,15">
            <v:group style="position:absolute;left:7;top:7;width:9282;height:2" coordorigin="7,7" coordsize="9282,2">
              <v:shape style="position:absolute;left:7;top:7;width:9282;height:2" coordorigin="7,7" coordsize="9282,0" path="m7,7l9289,7e" filled="false" stroked="true" strokeweight=".71997pt" strokecolor="#000000">
                <v:path arrowok="t"/>
              </v:shape>
            </v:group>
          </v:group>
        </w:pict>
      </w:r>
      <w:r>
        <w:rPr>
          <w:rFonts w:ascii="宋体" w:hAnsi="宋体" w:cs="宋体" w:eastAsia="宋体" w:hint="default"/>
          <w:sz w:val="2"/>
          <w:szCs w:val="2"/>
        </w:rPr>
      </w:r>
    </w:p>
    <w:p>
      <w:pPr>
        <w:pStyle w:val="BodyText"/>
        <w:tabs>
          <w:tab w:pos="4897" w:val="left" w:leader="none"/>
          <w:tab w:pos="6527" w:val="left" w:leader="none"/>
        </w:tabs>
        <w:spacing w:line="240" w:lineRule="auto"/>
        <w:ind w:left="174" w:right="208"/>
        <w:jc w:val="left"/>
      </w:pPr>
      <w:r>
        <w:rPr/>
        <w:t>开发支出</w:t>
        <w:tab/>
      </w:r>
      <w:r>
        <w:rPr>
          <w:rFonts w:ascii="Times New Roman" w:hAnsi="Times New Roman" w:cs="Times New Roman" w:eastAsia="Times New Roman" w:hint="default"/>
        </w:rPr>
        <w:t>4</w:t>
      </w:r>
      <w:r>
        <w:rPr/>
        <w:t>年</w:t>
        <w:tab/>
        <w:t>年限平均法</w:t>
      </w:r>
    </w:p>
    <w:p>
      <w:pPr>
        <w:spacing w:line="240" w:lineRule="auto" w:before="7"/>
        <w:rPr>
          <w:rFonts w:ascii="宋体" w:hAnsi="宋体" w:cs="宋体" w:eastAsia="宋体" w:hint="default"/>
          <w:sz w:val="3"/>
          <w:szCs w:val="3"/>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64.85pt;height:.75pt;mso-position-horizontal-relative:char;mso-position-vertical-relative:line" coordorigin="0,0" coordsize="9297,15">
            <v:group style="position:absolute;left:7;top:7;width:9282;height:2" coordorigin="7,7" coordsize="9282,2">
              <v:shape style="position:absolute;left:7;top:7;width:9282;height:2" coordorigin="7,7" coordsize="9282,0" path="m7,7l9289,7e" filled="false" stroked="true" strokeweight=".71997pt" strokecolor="#000000">
                <v:path arrowok="t"/>
              </v:shape>
            </v:group>
          </v:group>
        </w:pict>
      </w:r>
      <w:r>
        <w:rPr>
          <w:rFonts w:ascii="宋体" w:hAnsi="宋体" w:cs="宋体" w:eastAsia="宋体" w:hint="default"/>
          <w:sz w:val="2"/>
          <w:szCs w:val="2"/>
        </w:rPr>
      </w:r>
    </w:p>
    <w:p>
      <w:pPr>
        <w:pStyle w:val="BodyText"/>
        <w:tabs>
          <w:tab w:pos="4897" w:val="left" w:leader="none"/>
          <w:tab w:pos="6527" w:val="left" w:leader="none"/>
        </w:tabs>
        <w:spacing w:line="276" w:lineRule="auto"/>
        <w:ind w:left="153" w:right="105" w:firstLine="20"/>
        <w:jc w:val="left"/>
      </w:pPr>
      <w:r>
        <w:rPr/>
        <w:pict>
          <v:group style="position:absolute;margin-left:56.100014pt;margin-top:16.883986pt;width:465.55pt;height:.75pt;mso-position-horizontal-relative:page;mso-position-vertical-relative:paragraph;z-index:-1326448" coordorigin="1122,338" coordsize="9311,15">
            <v:group style="position:absolute;left:1129;top:345;width:3056;height:2" coordorigin="1129,345" coordsize="3056,2">
              <v:shape style="position:absolute;left:1129;top:345;width:3056;height:2" coordorigin="1129,345" coordsize="3056,0" path="m1129,345l4184,345e" filled="false" stroked="true" strokeweight=".71997pt" strokecolor="#000000">
                <v:path arrowok="t"/>
              </v:shape>
            </v:group>
            <v:group style="position:absolute;left:4170;top:345;width:2032;height:2" coordorigin="4170,345" coordsize="2032,2">
              <v:shape style="position:absolute;left:4170;top:345;width:2032;height:2" coordorigin="4170,345" coordsize="2032,0" path="m4170,345l6202,345e" filled="false" stroked="true" strokeweight=".71997pt" strokecolor="#000000">
                <v:path arrowok="t"/>
              </v:shape>
            </v:group>
            <v:group style="position:absolute;left:6187;top:345;width:2380;height:2" coordorigin="6187,345" coordsize="2380,2">
              <v:shape style="position:absolute;left:6187;top:345;width:2380;height:2" coordorigin="6187,345" coordsize="2380,0" path="m6187,345l8567,345e" filled="false" stroked="true" strokeweight=".71997pt" strokecolor="#000000">
                <v:path arrowok="t"/>
              </v:shape>
            </v:group>
            <v:group style="position:absolute;left:8552;top:345;width:1874;height:2" coordorigin="8552,345" coordsize="1874,2">
              <v:shape style="position:absolute;left:8552;top:345;width:1874;height:2" coordorigin="8552,345" coordsize="1874,0" path="m8552,345l10426,345e" filled="false" stroked="true" strokeweight=".71997pt" strokecolor="#000000">
                <v:path arrowok="t"/>
              </v:shape>
            </v:group>
            <w10:wrap type="none"/>
          </v:group>
        </w:pict>
      </w:r>
      <w:r>
        <w:rPr/>
        <w:t>武汉大千无形资产评估增值</w:t>
        <w:tab/>
      </w:r>
      <w:r>
        <w:rPr>
          <w:rFonts w:ascii="Times New Roman" w:hAnsi="Times New Roman" w:cs="Times New Roman" w:eastAsia="Times New Roman" w:hint="default"/>
        </w:rPr>
        <w:t>5</w:t>
      </w:r>
      <w:r>
        <w:rPr/>
        <w:t>年</w:t>
        <w:tab/>
        <w:t>年限平均法 </w:t>
      </w:r>
      <w:r>
        <w:rPr>
          <w:spacing w:val="-3"/>
        </w:rPr>
        <w:t>本集团于每年年度终了，对使用寿命有限的无形资产的使用寿命及摊销方法进行复核，与以前估计不同的，</w:t>
      </w:r>
      <w:r>
        <w:rPr>
          <w:spacing w:val="-92"/>
        </w:rPr>
        <w:t> </w:t>
      </w:r>
      <w:r>
        <w:rPr>
          <w:spacing w:val="-92"/>
        </w:rPr>
      </w:r>
      <w:r>
        <w:rPr/>
        <w:t>调整原先估计数，并按会计估计变更处理。</w:t>
      </w:r>
    </w:p>
    <w:p>
      <w:pPr>
        <w:spacing w:line="240" w:lineRule="auto" w:before="12"/>
        <w:rPr>
          <w:rFonts w:ascii="宋体" w:hAnsi="宋体" w:cs="宋体" w:eastAsia="宋体" w:hint="default"/>
          <w:sz w:val="16"/>
          <w:szCs w:val="16"/>
        </w:rPr>
      </w:pPr>
    </w:p>
    <w:p>
      <w:pPr>
        <w:pStyle w:val="BodyText"/>
        <w:spacing w:line="273" w:lineRule="auto"/>
        <w:ind w:left="153" w:right="208"/>
        <w:jc w:val="left"/>
      </w:pPr>
      <w:r>
        <w:rPr>
          <w:spacing w:val="-1"/>
        </w:rPr>
        <w:t>资产负债表日预计某项无形资产已经不能给企业带来未来经济利益的，将该项无形资产的账面价值全部转</w:t>
      </w:r>
      <w:r>
        <w:rPr>
          <w:spacing w:val="-81"/>
        </w:rPr>
        <w:t> </w:t>
      </w:r>
      <w:r>
        <w:rPr>
          <w:spacing w:val="-81"/>
        </w:rPr>
      </w:r>
      <w:r>
        <w:rPr/>
        <w:t>入当期损益。</w:t>
      </w:r>
    </w:p>
    <w:p>
      <w:pPr>
        <w:spacing w:line="240" w:lineRule="auto" w:before="1"/>
        <w:rPr>
          <w:rFonts w:ascii="宋体" w:hAnsi="宋体" w:cs="宋体" w:eastAsia="宋体" w:hint="default"/>
          <w:sz w:val="17"/>
          <w:szCs w:val="17"/>
        </w:rPr>
      </w:pPr>
    </w:p>
    <w:p>
      <w:pPr>
        <w:pStyle w:val="BodyText"/>
        <w:spacing w:line="240" w:lineRule="auto"/>
        <w:ind w:left="153" w:right="208"/>
        <w:jc w:val="left"/>
      </w:pPr>
      <w:r>
        <w:rPr/>
        <w:t>无形资产计提资产减值方法见附注五之22。</w:t>
      </w:r>
    </w:p>
    <w:p>
      <w:pPr>
        <w:spacing w:line="240" w:lineRule="auto" w:before="10"/>
        <w:rPr>
          <w:rFonts w:ascii="宋体" w:hAnsi="宋体" w:cs="宋体" w:eastAsia="宋体" w:hint="default"/>
          <w:sz w:val="25"/>
          <w:szCs w:val="25"/>
        </w:rPr>
      </w:pPr>
    </w:p>
    <w:p>
      <w:pPr>
        <w:spacing w:line="482" w:lineRule="auto" w:before="0"/>
        <w:ind w:left="154" w:right="2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
          <w:w w:val="99"/>
          <w:sz w:val="21"/>
          <w:szCs w:val="21"/>
        </w:rPr>
        <w:t> </w:t>
      </w:r>
      <w:r>
        <w:rPr>
          <w:rFonts w:ascii="宋体" w:hAnsi="宋体" w:cs="宋体" w:eastAsia="宋体" w:hint="default"/>
          <w:sz w:val="21"/>
          <w:szCs w:val="21"/>
        </w:rPr>
        <w:t>本集团将内部研究开发项目的支出，区分为研究阶段支出和开发阶段支出。 研究阶段的支出，于发生时计入当期损益。</w:t>
      </w:r>
    </w:p>
    <w:p>
      <w:pPr>
        <w:pStyle w:val="BodyText"/>
        <w:spacing w:line="273" w:lineRule="auto" w:before="41"/>
        <w:ind w:left="153" w:right="105"/>
        <w:jc w:val="both"/>
      </w:pPr>
      <w:r>
        <w:rPr/>
        <w:t>开发阶段的支出，同时满足下列条件的，才能予以资本化，即：完成该无形资产以使其能够使用或出售在 技术上具有可行性；具有完成该无形资产并使用或出售的意图；无形资产产生经济利益的方式，包括能够 证明运用该无形资产生产的产品存在市场或无形资产自身存在市场，无形资产将在内部使用的，能够证明 其有用性；有足够的技术、财务资源和其他资源支持，以完成该无形资产的开发，并有能力使用或出售该 </w:t>
      </w:r>
      <w:r>
        <w:rPr>
          <w:spacing w:val="-3"/>
        </w:rPr>
        <w:t>无形资产；归属于该无形资产开发阶段的支出能够可靠地计量。不满足上述条件的开发支出计入当期损益。</w:t>
      </w:r>
    </w:p>
    <w:p>
      <w:pPr>
        <w:spacing w:line="240" w:lineRule="auto" w:before="1"/>
        <w:rPr>
          <w:rFonts w:ascii="宋体" w:hAnsi="宋体" w:cs="宋体" w:eastAsia="宋体" w:hint="default"/>
          <w:sz w:val="17"/>
          <w:szCs w:val="17"/>
        </w:rPr>
      </w:pPr>
    </w:p>
    <w:p>
      <w:pPr>
        <w:pStyle w:val="BodyText"/>
        <w:spacing w:line="273" w:lineRule="auto"/>
        <w:ind w:left="153" w:right="208"/>
        <w:jc w:val="left"/>
      </w:pPr>
      <w:r>
        <w:rPr>
          <w:spacing w:val="-1"/>
        </w:rPr>
        <w:t>本集团研究开发项目在满足上述条件，通过技术可行性及经济可行性研究，形成项目立项后，进入开发阶</w:t>
      </w:r>
      <w:r>
        <w:rPr>
          <w:spacing w:val="-83"/>
        </w:rPr>
        <w:t> </w:t>
      </w:r>
      <w:r>
        <w:rPr>
          <w:spacing w:val="-83"/>
        </w:rPr>
      </w:r>
      <w:r>
        <w:rPr/>
        <w:t>段。</w:t>
      </w:r>
    </w:p>
    <w:p>
      <w:pPr>
        <w:spacing w:line="240" w:lineRule="auto" w:before="1"/>
        <w:rPr>
          <w:rFonts w:ascii="宋体" w:hAnsi="宋体" w:cs="宋体" w:eastAsia="宋体" w:hint="default"/>
          <w:sz w:val="17"/>
          <w:szCs w:val="17"/>
        </w:rPr>
      </w:pPr>
    </w:p>
    <w:p>
      <w:pPr>
        <w:pStyle w:val="BodyText"/>
        <w:spacing w:line="273" w:lineRule="auto"/>
        <w:ind w:left="153" w:right="208"/>
        <w:jc w:val="left"/>
      </w:pPr>
      <w:r>
        <w:rPr>
          <w:spacing w:val="-1"/>
        </w:rPr>
        <w:t>已资本化的开发阶段的支出在资产负债表上列示为开发支出，自该项目达到预定可使用状态之日转为无形</w:t>
      </w:r>
      <w:r>
        <w:rPr>
          <w:spacing w:val="-81"/>
        </w:rPr>
        <w:t> </w:t>
      </w:r>
      <w:r>
        <w:rPr>
          <w:spacing w:val="-81"/>
        </w:rPr>
      </w:r>
      <w:r>
        <w:rPr/>
        <w:t>资产。</w:t>
      </w:r>
    </w:p>
    <w:p>
      <w:pPr>
        <w:pStyle w:val="BodyText"/>
        <w:spacing w:line="590" w:lineRule="atLeast" w:before="8"/>
        <w:ind w:left="573" w:right="208" w:hanging="420"/>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spacing w:val="1"/>
          <w:w w:val="99"/>
        </w:rPr>
        <w:t> </w:t>
      </w:r>
      <w:r>
        <w:rPr>
          <w:spacing w:val="-1"/>
        </w:rPr>
        <w:t>对子公司、联营企业和合营企业的长期股权投资、采用成本模式进行后续计量的投资性房地产、固定</w:t>
      </w:r>
    </w:p>
    <w:p>
      <w:pPr>
        <w:pStyle w:val="BodyText"/>
        <w:spacing w:line="273" w:lineRule="auto" w:before="37"/>
        <w:ind w:left="153" w:right="102"/>
        <w:jc w:val="left"/>
      </w:pPr>
      <w:r>
        <w:rPr>
          <w:spacing w:val="-1"/>
        </w:rPr>
        <w:t>资产、在建工程、无形资产、商誉等（存货、递延所得税资产、金融资产除外）的资产减值，按以下方法</w:t>
      </w:r>
      <w:r>
        <w:rPr>
          <w:spacing w:val="-84"/>
        </w:rPr>
        <w:t> </w:t>
      </w:r>
      <w:r>
        <w:rPr>
          <w:spacing w:val="-84"/>
        </w:rPr>
      </w:r>
      <w:r>
        <w:rPr/>
        <w:t>确定：</w:t>
      </w:r>
    </w:p>
    <w:p>
      <w:pPr>
        <w:spacing w:line="240" w:lineRule="auto" w:before="1"/>
        <w:rPr>
          <w:rFonts w:ascii="宋体" w:hAnsi="宋体" w:cs="宋体" w:eastAsia="宋体" w:hint="default"/>
          <w:sz w:val="17"/>
          <w:szCs w:val="17"/>
        </w:rPr>
      </w:pPr>
    </w:p>
    <w:p>
      <w:pPr>
        <w:pStyle w:val="BodyText"/>
        <w:spacing w:line="273" w:lineRule="auto"/>
        <w:ind w:left="153" w:right="211" w:firstLine="420"/>
        <w:jc w:val="both"/>
      </w:pPr>
      <w:r>
        <w:rPr>
          <w:spacing w:val="-1"/>
        </w:rPr>
        <w:t>于资产负债表日判断资产是否存在可能发生减值的迹象，存在减值迹象的，本集团将估计其可收回金</w:t>
      </w:r>
      <w:r>
        <w:rPr/>
        <w:t> </w:t>
      </w:r>
      <w:r>
        <w:rPr>
          <w:spacing w:val="-1"/>
        </w:rPr>
        <w:t>额，进行减值测试。对因企业合并所形成的商誉、使用寿命不确定的无形资产和尚未达到可使用状态的无</w:t>
      </w:r>
      <w:r>
        <w:rPr>
          <w:spacing w:val="-83"/>
        </w:rPr>
        <w:t> </w:t>
      </w:r>
      <w:r>
        <w:rPr>
          <w:spacing w:val="-83"/>
        </w:rPr>
      </w:r>
      <w:r>
        <w:rPr/>
        <w:t>形资产无论是否存在减值迹象，每年都进行减值测试。</w:t>
      </w:r>
    </w:p>
    <w:p>
      <w:pPr>
        <w:spacing w:line="240" w:lineRule="auto" w:before="1"/>
        <w:rPr>
          <w:rFonts w:ascii="宋体" w:hAnsi="宋体" w:cs="宋体" w:eastAsia="宋体" w:hint="default"/>
          <w:sz w:val="17"/>
          <w:szCs w:val="17"/>
        </w:rPr>
      </w:pPr>
    </w:p>
    <w:p>
      <w:pPr>
        <w:pStyle w:val="BodyText"/>
        <w:spacing w:line="273" w:lineRule="auto"/>
        <w:ind w:left="153" w:right="207" w:firstLine="420"/>
        <w:jc w:val="both"/>
      </w:pPr>
      <w:r>
        <w:rPr>
          <w:spacing w:val="3"/>
        </w:rPr>
        <w:t>可收回金额根据资产的公允价值减去处置费用后的净额与资产预计未来现金流量的现值两者之间较</w:t>
      </w:r>
      <w:r>
        <w:rPr/>
        <w:t> </w:t>
      </w:r>
      <w:r>
        <w:rPr>
          <w:spacing w:val="-1"/>
        </w:rPr>
        <w:t>高者确定。本集团以单项资产为基础估计其可收回金额；难以对单项资产的可收回金额进行估计的，以该</w:t>
      </w:r>
      <w:r>
        <w:rPr>
          <w:spacing w:val="-83"/>
        </w:rPr>
        <w:t> </w:t>
      </w:r>
      <w:r>
        <w:rPr>
          <w:spacing w:val="-83"/>
        </w:rPr>
      </w:r>
      <w:r>
        <w:rPr>
          <w:spacing w:val="-1"/>
        </w:rPr>
        <w:t>资产所属的资产组为基础确定资产组的可收回金额。资产组的认定，以资产组产生的主要现金流入是否独</w:t>
      </w:r>
      <w:r>
        <w:rPr>
          <w:spacing w:val="-81"/>
        </w:rPr>
        <w:t> </w:t>
      </w:r>
      <w:r>
        <w:rPr>
          <w:spacing w:val="-81"/>
        </w:rPr>
      </w:r>
      <w:r>
        <w:rPr/>
        <w:t>立于其他资产或者资产组的现金流入为依据。</w:t>
      </w:r>
    </w:p>
    <w:p>
      <w:pPr>
        <w:spacing w:line="240" w:lineRule="auto" w:before="1"/>
        <w:rPr>
          <w:rFonts w:ascii="宋体" w:hAnsi="宋体" w:cs="宋体" w:eastAsia="宋体" w:hint="default"/>
          <w:sz w:val="17"/>
          <w:szCs w:val="17"/>
        </w:rPr>
      </w:pPr>
    </w:p>
    <w:p>
      <w:pPr>
        <w:pStyle w:val="BodyText"/>
        <w:spacing w:line="273" w:lineRule="auto"/>
        <w:ind w:left="153" w:right="208" w:firstLine="315"/>
        <w:jc w:val="left"/>
      </w:pPr>
      <w:r>
        <w:rPr/>
        <w:t>当资产或资产组的可收回金额低于其账面价值时，本集团将其账面价值减记至可收回金额，减记的金</w:t>
      </w:r>
      <w:r>
        <w:rPr>
          <w:spacing w:val="2"/>
        </w:rPr>
        <w:t> </w:t>
      </w:r>
      <w:r>
        <w:rPr/>
        <w:t>额计入当期损益，同时计提相应的资产减值准备。</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left="153" w:right="210" w:firstLine="525"/>
        <w:jc w:val="both"/>
      </w:pPr>
      <w:r>
        <w:rPr/>
        <w:t>就商誉的减值测试而言，对于因企业合并形成的商誉的账面价值，自购买日起按照合理的方法分摊 </w:t>
      </w:r>
      <w:r>
        <w:rPr>
          <w:spacing w:val="-1"/>
        </w:rPr>
        <w:t>至相关的资产组；难以分摊至相关的资产组的，将其分摊至相关的资产组组合。相关的资产组或资产组组</w:t>
      </w:r>
      <w:r>
        <w:rPr>
          <w:spacing w:val="-83"/>
        </w:rPr>
        <w:t> </w:t>
      </w:r>
      <w:r>
        <w:rPr>
          <w:spacing w:val="-83"/>
        </w:rPr>
      </w:r>
      <w:r>
        <w:rPr/>
        <w:t>合，是能够从企业合并的协同效应中受益的资产组或者资产组组合，且不大于本集团确定的报告分部。</w:t>
      </w:r>
    </w:p>
    <w:p>
      <w:pPr>
        <w:spacing w:line="240" w:lineRule="auto" w:before="10"/>
        <w:rPr>
          <w:rFonts w:ascii="宋体" w:hAnsi="宋体" w:cs="宋体" w:eastAsia="宋体" w:hint="default"/>
          <w:sz w:val="15"/>
          <w:szCs w:val="15"/>
        </w:rPr>
      </w:pPr>
    </w:p>
    <w:p>
      <w:pPr>
        <w:pStyle w:val="BodyText"/>
        <w:spacing w:line="237" w:lineRule="auto"/>
        <w:ind w:left="153" w:right="211" w:firstLine="420"/>
        <w:jc w:val="both"/>
      </w:pPr>
      <w:r>
        <w:rPr>
          <w:spacing w:val="-1"/>
        </w:rPr>
        <w:t>减值测试时，如与商誉相关的资产组或者资产组组合存在减值迹象的，首先对不包含商誉的资产组或</w:t>
      </w:r>
      <w:r>
        <w:rPr/>
        <w:t> </w:t>
      </w:r>
      <w:r>
        <w:rPr>
          <w:spacing w:val="-1"/>
        </w:rPr>
        <w:t>者资产组组合进行减值测试，计算可收回金额，确认相应的减值损失。然后对包含商誉的资产组或者资产</w:t>
      </w:r>
      <w:r>
        <w:rPr>
          <w:spacing w:val="-83"/>
        </w:rPr>
        <w:t> </w:t>
      </w:r>
      <w:r>
        <w:rPr>
          <w:spacing w:val="-83"/>
        </w:rPr>
      </w:r>
      <w:r>
        <w:rPr>
          <w:spacing w:val="-1"/>
        </w:rPr>
        <w:t>组组合进行减值测试，比较其账面价值与可收回金额，如可收回金额低于账面价值的，确认商誉的减值损</w:t>
      </w:r>
      <w:r>
        <w:rPr>
          <w:spacing w:val="-83"/>
        </w:rPr>
        <w:t> </w:t>
      </w:r>
      <w:r>
        <w:rPr>
          <w:spacing w:val="-83"/>
        </w:rPr>
      </w:r>
      <w:r>
        <w:rPr/>
        <w:t>失。资产减值损失一经确认，在以后会计期间不再转回。</w:t>
      </w:r>
    </w:p>
    <w:p>
      <w:pPr>
        <w:spacing w:line="240" w:lineRule="auto" w:before="3"/>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211"/>
        <w:jc w:val="both"/>
      </w:pPr>
      <w:r>
        <w:rPr>
          <w:spacing w:val="-1"/>
        </w:rPr>
        <w:t>本集团发生的长期待摊费用按实际成本计价，并按预计受益期限平均摊销。对不能使以后会计期间受益的</w:t>
      </w:r>
      <w:r>
        <w:rPr>
          <w:spacing w:val="-81"/>
        </w:rPr>
        <w:t> </w:t>
      </w:r>
      <w:r>
        <w:rPr>
          <w:spacing w:val="-81"/>
        </w:rPr>
      </w:r>
      <w:r>
        <w:rPr/>
        <w:t>长期待摊费用项目，其摊余价值全部计入当期损益。</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209"/>
        <w:jc w:val="both"/>
      </w:pPr>
      <w:r>
        <w:rPr>
          <w:spacing w:val="-1"/>
        </w:rPr>
        <w:t>职工薪酬，是指企业为获得职工提供的服务或解除劳动关系而给予的各种形式的报酬或补偿。职工薪酬包</w:t>
      </w:r>
      <w:r>
        <w:rPr>
          <w:spacing w:val="-81"/>
        </w:rPr>
        <w:t> </w:t>
      </w:r>
      <w:r>
        <w:rPr>
          <w:spacing w:val="-81"/>
        </w:rPr>
      </w:r>
      <w:r>
        <w:rPr>
          <w:spacing w:val="-1"/>
        </w:rPr>
        <w:t>括短期薪酬、离职后福利、辞退福利和其他长期职工福利。企业提供给职工配偶、子女、受赡养人、已故</w:t>
      </w:r>
      <w:r>
        <w:rPr>
          <w:spacing w:val="-83"/>
        </w:rPr>
        <w:t> </w:t>
      </w:r>
      <w:r>
        <w:rPr>
          <w:spacing w:val="-83"/>
        </w:rPr>
      </w:r>
      <w:r>
        <w:rPr/>
        <w:t>员工遗属及其他受益人等的福利，也属于职工薪酬。</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根据流动性，职工薪酬分别列示于资产负债表的“应付职工薪酬”项目和“长期应付职工薪酬” 项目。</w:t>
      </w:r>
    </w:p>
    <w:p>
      <w:pPr>
        <w:spacing w:line="240" w:lineRule="auto" w:before="5"/>
        <w:rPr>
          <w:rFonts w:ascii="宋体" w:hAnsi="宋体" w:cs="宋体" w:eastAsia="宋体" w:hint="default"/>
          <w:sz w:val="19"/>
          <w:szCs w:val="19"/>
        </w:rPr>
      </w:pPr>
    </w:p>
    <w:p>
      <w:pPr>
        <w:pStyle w:val="BodyText"/>
        <w:spacing w:line="273" w:lineRule="auto"/>
        <w:ind w:left="153" w:right="210"/>
        <w:jc w:val="both"/>
      </w:pPr>
      <w:r>
        <w:rPr>
          <w:spacing w:val="-1"/>
        </w:rPr>
        <w:t>本集团在职工提供服务的会计期间，将实际发生的职工工资、奖金、按规定的基准和比例为职工缴纳的医</w:t>
      </w:r>
      <w:r>
        <w:rPr>
          <w:spacing w:val="-83"/>
        </w:rPr>
        <w:t> </w:t>
      </w:r>
      <w:r>
        <w:rPr>
          <w:spacing w:val="-83"/>
        </w:rPr>
      </w:r>
      <w:r>
        <w:rPr>
          <w:spacing w:val="-1"/>
        </w:rPr>
        <w:t>疗保险费、工伤保险费和生育保险费等社会保险费和住房公积金，确认为负债，并计入当期损益或相关资</w:t>
      </w:r>
      <w:r>
        <w:rPr>
          <w:spacing w:val="-83"/>
        </w:rPr>
        <w:t> </w:t>
      </w:r>
      <w:r>
        <w:rPr>
          <w:spacing w:val="-83"/>
        </w:rPr>
      </w:r>
      <w:r>
        <w:rPr>
          <w:spacing w:val="-1"/>
        </w:rPr>
        <w:t>产成本。如果该负债预期在职工提供相关服务的年度报告期结束后十二个月内不能完全支付，且财务影响</w:t>
      </w:r>
      <w:r>
        <w:rPr>
          <w:spacing w:val="-81"/>
        </w:rPr>
        <w:t> </w:t>
      </w:r>
      <w:r>
        <w:rPr>
          <w:spacing w:val="-81"/>
        </w:rPr>
      </w:r>
      <w:r>
        <w:rPr/>
        <w:t>重大的，则该负债将以折现后的金额计量。</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0"/>
        <w:jc w:val="both"/>
      </w:pPr>
      <w:r>
        <w:rPr>
          <w:spacing w:val="-1"/>
        </w:rPr>
        <w:t>离职后福利计划包括设定提存计划和设定受益计划。其中，设定提存计划，是指向独立的基金缴存固定费</w:t>
      </w:r>
      <w:r>
        <w:rPr>
          <w:spacing w:val="-83"/>
        </w:rPr>
        <w:t> </w:t>
      </w:r>
      <w:r>
        <w:rPr>
          <w:spacing w:val="-83"/>
        </w:rPr>
      </w:r>
      <w:r>
        <w:rPr>
          <w:spacing w:val="-1"/>
        </w:rPr>
        <w:t>用后，企业不再承担进一步支付义务的离职后福利计划；设定受益计划，是指除设定提存计划以外的离职</w:t>
      </w:r>
      <w:r>
        <w:rPr>
          <w:spacing w:val="-83"/>
        </w:rPr>
        <w:t> </w:t>
      </w:r>
      <w:r>
        <w:rPr>
          <w:spacing w:val="-83"/>
        </w:rPr>
      </w:r>
      <w:r>
        <w:rPr/>
        <w:t>后福利计划。</w:t>
      </w:r>
    </w:p>
    <w:p>
      <w:pPr>
        <w:spacing w:line="240" w:lineRule="auto" w:before="1"/>
        <w:rPr>
          <w:rFonts w:ascii="宋体" w:hAnsi="宋体" w:cs="宋体" w:eastAsia="宋体" w:hint="default"/>
          <w:sz w:val="17"/>
          <w:szCs w:val="17"/>
        </w:rPr>
      </w:pPr>
    </w:p>
    <w:p>
      <w:pPr>
        <w:pStyle w:val="BodyText"/>
        <w:spacing w:line="460" w:lineRule="auto"/>
        <w:ind w:right="3740"/>
        <w:jc w:val="left"/>
      </w:pPr>
      <w:r>
        <w:rPr/>
        <w:t>设定提存计划 设定提存计划包括基本养老保险、失业保险以及企业年金计划等。</w:t>
      </w:r>
    </w:p>
    <w:p>
      <w:pPr>
        <w:pStyle w:val="BodyText"/>
        <w:spacing w:line="273" w:lineRule="auto" w:before="60"/>
        <w:ind w:right="211"/>
        <w:jc w:val="both"/>
      </w:pPr>
      <w:r>
        <w:rPr>
          <w:spacing w:val="-1"/>
        </w:rPr>
        <w:t>在职工提供服务的会计期间，根据设定提存计划计算的应缴存金额确认为负债，并计入当期损益或相关资</w:t>
      </w:r>
      <w:r>
        <w:rPr>
          <w:spacing w:val="-81"/>
        </w:rPr>
        <w:t> </w:t>
      </w:r>
      <w:r>
        <w:rPr>
          <w:spacing w:val="-81"/>
        </w:rPr>
      </w:r>
      <w:r>
        <w:rPr/>
        <w:t>产成本。</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
        <w:jc w:val="left"/>
      </w:pPr>
      <w:r>
        <w:rPr/>
        <w:t>本集团向职工提供辞退福利的，在下列两者孰早日确认辞退福利产生的职工薪酬负债，并计入当期损益：</w:t>
      </w:r>
      <w:r>
        <w:rPr>
          <w:spacing w:val="-34"/>
        </w:rPr>
        <w:t> </w:t>
      </w:r>
      <w:r>
        <w:rPr>
          <w:spacing w:val="-34"/>
        </w:rPr>
      </w:r>
      <w:r>
        <w:rPr/>
        <w:t>本集团不能单方面撤回因解除劳动关系计划或裁减建议所提供的辞退福利时；本集团确认与涉及支付辞退</w:t>
      </w:r>
      <w:r>
        <w:rPr/>
        <w:t> 福利的重组相关的成本或费用时。</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311"/>
        <w:jc w:val="both"/>
      </w:pPr>
      <w:r>
        <w:rPr>
          <w:spacing w:val="-1"/>
        </w:rPr>
        <w:t>实行职工内部退休计划的，在正式退休日之前的经济补偿，属于辞退福利，自职工停止提供服务日至正常</w:t>
      </w:r>
      <w:r>
        <w:rPr>
          <w:spacing w:val="-83"/>
        </w:rPr>
        <w:t> </w:t>
      </w:r>
      <w:r>
        <w:rPr>
          <w:spacing w:val="-83"/>
        </w:rPr>
      </w:r>
      <w:r>
        <w:rPr>
          <w:spacing w:val="-1"/>
        </w:rPr>
        <w:t>退休日期间，拟支付的内退职工工资和缴纳的社会保险费等一次性计入当期损益。正式退休日期之后的经</w:t>
      </w:r>
      <w:r>
        <w:rPr>
          <w:spacing w:val="-81"/>
        </w:rPr>
        <w:t> </w:t>
      </w:r>
      <w:r>
        <w:rPr>
          <w:spacing w:val="-81"/>
        </w:rPr>
      </w:r>
      <w:r>
        <w:rPr/>
        <w:t>济补偿（如正常养老退休金），按照离职后福利处理。</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311"/>
        <w:jc w:val="both"/>
      </w:pPr>
      <w:r>
        <w:rPr>
          <w:spacing w:val="-1"/>
        </w:rPr>
        <w:t>本集团向职工提供的其他长期职工福利，符合设定提存计划条件的，按照上述关于设定提存计划的有关规</w:t>
      </w:r>
      <w:r>
        <w:rPr>
          <w:spacing w:val="-81"/>
        </w:rPr>
        <w:t> </w:t>
      </w:r>
      <w:r>
        <w:rPr>
          <w:spacing w:val="-81"/>
        </w:rPr>
      </w:r>
      <w:r>
        <w:rPr>
          <w:spacing w:val="-1"/>
        </w:rPr>
        <w:t>定进行处理。符合设定受益计划的，按照上述关于设定受益计划的有关规定进行处理，但相关职工薪酬成</w:t>
      </w:r>
      <w:r>
        <w:rPr>
          <w:spacing w:val="-83"/>
        </w:rPr>
        <w:t> </w:t>
      </w:r>
      <w:r>
        <w:rPr>
          <w:spacing w:val="-83"/>
        </w:rPr>
      </w:r>
      <w:r>
        <w:rPr/>
        <w:t>本中“重新计量设定受益计划净负债或净资产所产生的变动”部分计入当期损益或相关资产成本。</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460" w:lineRule="auto"/>
        <w:ind w:left="153" w:right="3421"/>
        <w:jc w:val="left"/>
      </w:pPr>
      <w:r>
        <w:rPr/>
        <w:t>（1）股份支付的种类 本集团股份支付分为以权益结算的股份支付和以现金结算的股份支付。</w:t>
      </w:r>
    </w:p>
    <w:p>
      <w:pPr>
        <w:pStyle w:val="BodyText"/>
        <w:spacing w:line="240" w:lineRule="auto" w:before="60"/>
        <w:ind w:left="153" w:right="0"/>
        <w:jc w:val="both"/>
      </w:pPr>
      <w:r>
        <w:rPr/>
        <w:t>（2）权益工具公允价值的确定方法</w:t>
      </w:r>
    </w:p>
    <w:p>
      <w:pPr>
        <w:spacing w:line="240" w:lineRule="auto" w:before="5"/>
        <w:rPr>
          <w:rFonts w:ascii="宋体" w:hAnsi="宋体" w:cs="宋体" w:eastAsia="宋体" w:hint="default"/>
          <w:sz w:val="19"/>
          <w:szCs w:val="19"/>
        </w:rPr>
      </w:pPr>
    </w:p>
    <w:p>
      <w:pPr>
        <w:pStyle w:val="BodyText"/>
        <w:spacing w:line="273" w:lineRule="auto"/>
        <w:ind w:left="153" w:right="309"/>
        <w:jc w:val="both"/>
      </w:pPr>
      <w:r>
        <w:rPr>
          <w:spacing w:val="-1"/>
        </w:rPr>
        <w:t>本集团对于授予的存在活跃市场的期权等权益工具，按照活跃市场中的报价确定其公允价值。对于授予的</w:t>
      </w:r>
      <w:r>
        <w:rPr>
          <w:spacing w:val="-81"/>
        </w:rPr>
        <w:t> </w:t>
      </w:r>
      <w:r>
        <w:rPr>
          <w:spacing w:val="-81"/>
        </w:rPr>
      </w:r>
      <w:r>
        <w:rPr>
          <w:spacing w:val="-1"/>
        </w:rPr>
        <w:t>不存在活跃市场的期权等权益工具，采用期权定价模型等确定其公允价值。选用的期权定价模型考虑以下</w:t>
      </w:r>
      <w:r>
        <w:rPr>
          <w:spacing w:val="-81"/>
        </w:rPr>
        <w:t> </w:t>
      </w:r>
      <w:r>
        <w:rPr>
          <w:spacing w:val="-81"/>
        </w:rPr>
      </w:r>
      <w:r>
        <w:rPr>
          <w:spacing w:val="-3"/>
        </w:rPr>
        <w:t>因素：A、期权的行权价格；B、期权的有效期；C、标的股份的现行价格；D、股价预计波动率；E、股份的</w:t>
      </w:r>
      <w:r>
        <w:rPr>
          <w:spacing w:val="-97"/>
        </w:rPr>
        <w:t> </w:t>
      </w:r>
      <w:r>
        <w:rPr>
          <w:spacing w:val="-97"/>
        </w:rPr>
      </w:r>
      <w:r>
        <w:rPr/>
        <w:t>预计股利；F、期权有效期内的无风险利率。</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（3）确认可行权权益工具最佳估计的依据</w:t>
      </w:r>
    </w:p>
    <w:p>
      <w:pPr>
        <w:spacing w:line="240" w:lineRule="auto" w:before="5"/>
        <w:rPr>
          <w:rFonts w:ascii="宋体" w:hAnsi="宋体" w:cs="宋体" w:eastAsia="宋体" w:hint="default"/>
          <w:sz w:val="19"/>
          <w:szCs w:val="19"/>
        </w:rPr>
      </w:pPr>
    </w:p>
    <w:p>
      <w:pPr>
        <w:pStyle w:val="BodyText"/>
        <w:spacing w:line="273" w:lineRule="auto"/>
        <w:ind w:left="153" w:right="0"/>
        <w:jc w:val="left"/>
      </w:pPr>
      <w:r>
        <w:rPr/>
        <w:t>等待期内每个资产负债表日，本集团根据最新取得的可行权职工人数变动等后续信息作出最佳估计，修正 预计可行权的权益工具数量。在可行权日，最终预计可行权权益工具的数量应当与实际可行权数量一致。</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（4）实施、修改、终止股份支付计划的相关会计处理</w:t>
      </w:r>
    </w:p>
    <w:p>
      <w:pPr>
        <w:spacing w:line="240" w:lineRule="auto" w:before="5"/>
        <w:rPr>
          <w:rFonts w:ascii="宋体" w:hAnsi="宋体" w:cs="宋体" w:eastAsia="宋体" w:hint="default"/>
          <w:sz w:val="19"/>
          <w:szCs w:val="19"/>
        </w:rPr>
      </w:pPr>
    </w:p>
    <w:p>
      <w:pPr>
        <w:pStyle w:val="BodyText"/>
        <w:spacing w:line="273" w:lineRule="auto"/>
        <w:ind w:left="153" w:right="0"/>
        <w:jc w:val="left"/>
      </w:pPr>
      <w:r>
        <w:rPr/>
        <w:t>以权益结算的股份支付，按授予职工权益工具的公允价值计量。授予后立即可行权的，在授予日按照权益 工具的公允价值计入相关成本或费用，相应增加资本公积。在完成等待期内的服务或达到规定业绩条件才 可行权的，在等待期内的每个资产负债表日，以对可行权权益工具数量的最佳估计为基础，按照权益工具 授予日的公允价值，将当期取得的服务计入相关成本或费用和资本公积。在可行权日之后不再对已确认的 相关成本或费用和所有者权益总额进行调整。</w:t>
      </w:r>
    </w:p>
    <w:p>
      <w:pPr>
        <w:spacing w:line="240" w:lineRule="auto" w:before="1"/>
        <w:rPr>
          <w:rFonts w:ascii="宋体" w:hAnsi="宋体" w:cs="宋体" w:eastAsia="宋体" w:hint="default"/>
          <w:sz w:val="17"/>
          <w:szCs w:val="17"/>
        </w:rPr>
      </w:pPr>
    </w:p>
    <w:p>
      <w:pPr>
        <w:pStyle w:val="BodyText"/>
        <w:spacing w:line="273" w:lineRule="auto"/>
        <w:ind w:left="153" w:right="0"/>
        <w:jc w:val="left"/>
      </w:pPr>
      <w:r>
        <w:rPr>
          <w:spacing w:val="-1"/>
        </w:rPr>
        <w:t>以现金结算的股份支付，按照本集团承担的以股份或其他权益工具为基础计算确定的负债的公允价值计量。</w:t>
      </w:r>
      <w:r>
        <w:rPr>
          <w:spacing w:val="-80"/>
        </w:rPr>
        <w:t> </w:t>
      </w:r>
      <w:r>
        <w:rPr>
          <w:spacing w:val="-80"/>
        </w:rPr>
      </w:r>
      <w:r>
        <w:rPr/>
        <w:t>授予后立即可行权的，在授予日以本集团承担负债的公允价值计入相关成本或费用，相应增加负债。在完</w:t>
      </w:r>
      <w:r>
        <w:rPr/>
        <w:t> 成等待期内的服务或达到规定业绩条件以后才可行权的以现金结算的股份支付，在等待期内的每个资产负 债表日，以对可行权情况的最佳估计为基础，按照本集团承担负债的公允价值金额，将当期取得的服务计 入成本或费用和相应的负债。在相关负债结算前的每个资产负债表日以及结算日，对负债的公允价值重新 计量，其变动计入当期损益。</w:t>
      </w:r>
    </w:p>
    <w:p>
      <w:pPr>
        <w:spacing w:after="0" w:line="273" w:lineRule="auto"/>
        <w:jc w:val="left"/>
        <w:sectPr>
          <w:pgSz w:w="11910" w:h="16840"/>
          <w:pgMar w:header="747" w:footer="982" w:top="1060" w:bottom="1180" w:left="980" w:right="820"/>
        </w:sectPr>
      </w:pPr>
    </w:p>
    <w:p>
      <w:pPr>
        <w:spacing w:line="240" w:lineRule="auto" w:before="9"/>
        <w:rPr>
          <w:rFonts w:ascii="宋体" w:hAnsi="宋体" w:cs="宋体" w:eastAsia="宋体" w:hint="default"/>
          <w:sz w:val="24"/>
          <w:szCs w:val="24"/>
        </w:rPr>
      </w:pPr>
    </w:p>
    <w:p>
      <w:pPr>
        <w:pStyle w:val="BodyText"/>
        <w:spacing w:line="273" w:lineRule="auto" w:before="35"/>
        <w:ind w:right="211"/>
        <w:jc w:val="both"/>
      </w:pPr>
      <w:r>
        <w:rPr>
          <w:spacing w:val="-1"/>
        </w:rPr>
        <w:t>本集团对股份支付计划进行修改时，若修改增加了所授予权益工具的公允价值，按照权益工具公允价值的</w:t>
      </w:r>
      <w:r>
        <w:rPr>
          <w:spacing w:val="-81"/>
        </w:rPr>
        <w:t> </w:t>
      </w:r>
      <w:r>
        <w:rPr>
          <w:spacing w:val="-81"/>
        </w:rPr>
      </w:r>
      <w:r>
        <w:rPr>
          <w:spacing w:val="-1"/>
        </w:rPr>
        <w:t>增加相应地确认取得服务的增加；若修改增加了所授予权益工具的数量，则将增加的权益工具的公允价值</w:t>
      </w:r>
      <w:r>
        <w:rPr>
          <w:spacing w:val="-81"/>
        </w:rPr>
        <w:t> </w:t>
      </w:r>
      <w:r>
        <w:rPr>
          <w:spacing w:val="-81"/>
        </w:rPr>
      </w:r>
      <w:r>
        <w:rPr>
          <w:spacing w:val="-1"/>
        </w:rPr>
        <w:t>相应地确认为取得服务的增加。权益工具公允价值的增加是指修改前后的权益工具在修改日的公允价值之</w:t>
      </w:r>
      <w:r>
        <w:rPr>
          <w:spacing w:val="-81"/>
        </w:rPr>
        <w:t> </w:t>
      </w:r>
      <w:r>
        <w:rPr>
          <w:spacing w:val="-81"/>
        </w:rPr>
      </w:r>
      <w:r>
        <w:rPr>
          <w:spacing w:val="-1"/>
        </w:rPr>
        <w:t>间的差额。若修改减少了股份支付公允价值总额或采用了其他不利于职工的方式修改股份支付计划的条款</w:t>
      </w:r>
      <w:r>
        <w:rPr>
          <w:spacing w:val="-81"/>
        </w:rPr>
        <w:t> </w:t>
      </w:r>
      <w:r>
        <w:rPr>
          <w:spacing w:val="-81"/>
        </w:rPr>
      </w:r>
      <w:r>
        <w:rPr>
          <w:spacing w:val="-1"/>
        </w:rPr>
        <w:t>和条件，则仍继续对取得的服务进行会计处理，视同该变更从未发生，除非本集团取消了部分或全部已授</w:t>
      </w:r>
      <w:r>
        <w:rPr>
          <w:spacing w:val="-83"/>
        </w:rPr>
        <w:t> </w:t>
      </w:r>
      <w:r>
        <w:rPr>
          <w:spacing w:val="-83"/>
        </w:rPr>
      </w:r>
      <w:r>
        <w:rPr/>
        <w:t>予的权益工具。</w:t>
      </w:r>
    </w:p>
    <w:p>
      <w:pPr>
        <w:spacing w:line="240" w:lineRule="auto" w:before="1"/>
        <w:rPr>
          <w:rFonts w:ascii="宋体" w:hAnsi="宋体" w:cs="宋体" w:eastAsia="宋体" w:hint="default"/>
          <w:sz w:val="17"/>
          <w:szCs w:val="17"/>
        </w:rPr>
      </w:pPr>
    </w:p>
    <w:p>
      <w:pPr>
        <w:pStyle w:val="BodyText"/>
        <w:spacing w:line="273" w:lineRule="auto"/>
        <w:ind w:right="211"/>
        <w:jc w:val="both"/>
      </w:pPr>
      <w:r>
        <w:rPr>
          <w:spacing w:val="-1"/>
        </w:rPr>
        <w:t>在等待期内，如果取消了授予的权益工具（因未满足可行权条件的非市场条件而被取消的除外），本集团</w:t>
      </w:r>
      <w:r>
        <w:rPr>
          <w:spacing w:val="-82"/>
        </w:rPr>
        <w:t> </w:t>
      </w:r>
      <w:r>
        <w:rPr>
          <w:spacing w:val="-82"/>
        </w:rPr>
      </w:r>
      <w:r>
        <w:rPr>
          <w:spacing w:val="-1"/>
        </w:rPr>
        <w:t>对取消所授予的权益性工具作为加速行权处理，将剩余等待期内应确认的金额立即计入当期损益，同时确</w:t>
      </w:r>
      <w:r>
        <w:rPr>
          <w:spacing w:val="-81"/>
        </w:rPr>
        <w:t> </w:t>
      </w:r>
      <w:r>
        <w:rPr>
          <w:spacing w:val="-81"/>
        </w:rPr>
      </w:r>
      <w:r>
        <w:rPr>
          <w:spacing w:val="-1"/>
        </w:rPr>
        <w:t>认资本公积。职工或其他方能够选择满足非可行权条件但在等待期内未满足的，本集团将其作为授予权益</w:t>
      </w:r>
      <w:r>
        <w:rPr>
          <w:spacing w:val="-81"/>
        </w:rPr>
        <w:t> </w:t>
      </w:r>
      <w:r>
        <w:rPr>
          <w:spacing w:val="-81"/>
        </w:rPr>
      </w:r>
      <w:r>
        <w:rPr/>
        <w:t>工具的取消处理。</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3" w:right="6771"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2"/>
        <w:ind w:right="0"/>
        <w:jc w:val="both"/>
      </w:pPr>
      <w:r>
        <w:rPr/>
        <w:t>（1）销售商品</w:t>
      </w:r>
    </w:p>
    <w:p>
      <w:pPr>
        <w:spacing w:line="240" w:lineRule="auto" w:before="5"/>
        <w:rPr>
          <w:rFonts w:ascii="宋体" w:hAnsi="宋体" w:cs="宋体" w:eastAsia="宋体" w:hint="default"/>
          <w:sz w:val="19"/>
          <w:szCs w:val="19"/>
        </w:rPr>
      </w:pPr>
    </w:p>
    <w:p>
      <w:pPr>
        <w:pStyle w:val="BodyText"/>
        <w:spacing w:line="273" w:lineRule="auto"/>
        <w:ind w:right="211"/>
        <w:jc w:val="both"/>
      </w:pPr>
      <w:r>
        <w:rPr>
          <w:spacing w:val="-1"/>
        </w:rPr>
        <w:t>在已将商品所有权上的主要风险和报酬转移给购货方，既没有保留通常与所有权相联系的继续管理权，也</w:t>
      </w:r>
      <w:r>
        <w:rPr>
          <w:spacing w:val="-81"/>
        </w:rPr>
        <w:t> </w:t>
      </w:r>
      <w:r>
        <w:rPr>
          <w:spacing w:val="-81"/>
        </w:rPr>
      </w:r>
      <w:r>
        <w:rPr>
          <w:spacing w:val="-1"/>
        </w:rPr>
        <w:t>没有对已售商品实施有效控制，收入的金额能够可靠地计量，相关的经济利益很可能流入企业，相关的已</w:t>
      </w:r>
      <w:r>
        <w:rPr>
          <w:spacing w:val="-83"/>
        </w:rPr>
        <w:t> </w:t>
      </w:r>
      <w:r>
        <w:rPr>
          <w:spacing w:val="-83"/>
        </w:rPr>
      </w:r>
      <w:r>
        <w:rPr/>
        <w:t>发生或将发生的成本能够可靠地计量时，确认商品销售收入的实现。具体方法如下：</w:t>
      </w:r>
    </w:p>
    <w:p>
      <w:pPr>
        <w:spacing w:line="240" w:lineRule="auto" w:before="1"/>
        <w:rPr>
          <w:rFonts w:ascii="宋体" w:hAnsi="宋体" w:cs="宋体" w:eastAsia="宋体" w:hint="default"/>
          <w:sz w:val="17"/>
          <w:szCs w:val="17"/>
        </w:rPr>
      </w:pPr>
    </w:p>
    <w:p>
      <w:pPr>
        <w:pStyle w:val="BodyText"/>
        <w:spacing w:line="273" w:lineRule="auto"/>
        <w:ind w:right="211"/>
        <w:jc w:val="both"/>
      </w:pPr>
      <w:r>
        <w:rPr>
          <w:spacing w:val="-1"/>
        </w:rPr>
        <w:t>本集团软硬件开发与销售（以下统称“产品销售”）包括销售电子数据取证设备与大数据平台系列、网络</w:t>
      </w:r>
      <w:r>
        <w:rPr>
          <w:spacing w:val="-83"/>
        </w:rPr>
        <w:t> </w:t>
      </w:r>
      <w:r>
        <w:rPr>
          <w:spacing w:val="-83"/>
        </w:rPr>
      </w:r>
      <w:r>
        <w:rPr>
          <w:spacing w:val="-1"/>
        </w:rPr>
        <w:t>信息安全产品系列、电子数据鉴定系列、刑事技术产品系列的硬件产品及软件产品，其中硬件产品包括自</w:t>
      </w:r>
      <w:r>
        <w:rPr>
          <w:spacing w:val="-83"/>
        </w:rPr>
        <w:t> </w:t>
      </w:r>
      <w:r>
        <w:rPr>
          <w:spacing w:val="-83"/>
        </w:rPr>
      </w:r>
      <w:r>
        <w:rPr>
          <w:spacing w:val="-1"/>
        </w:rPr>
        <w:t>主开发硬件产品及外购配件商品，软件产品包括自主开发标准软件产品和自主开发客户定制软件产品。自</w:t>
      </w:r>
      <w:r>
        <w:rPr>
          <w:spacing w:val="-81"/>
        </w:rPr>
        <w:t> </w:t>
      </w:r>
      <w:r>
        <w:rPr>
          <w:spacing w:val="-81"/>
        </w:rPr>
      </w:r>
      <w:r>
        <w:rPr>
          <w:spacing w:val="-1"/>
        </w:rPr>
        <w:t>主开发标准软件产品指公司自行开发研制的销售时不转让著作权的软件产品，由此开发出来的软件具有自</w:t>
      </w:r>
      <w:r>
        <w:rPr>
          <w:spacing w:val="-81"/>
        </w:rPr>
        <w:t> </w:t>
      </w:r>
      <w:r>
        <w:rPr>
          <w:spacing w:val="-81"/>
        </w:rPr>
      </w:r>
      <w:r>
        <w:rPr>
          <w:spacing w:val="-1"/>
        </w:rPr>
        <w:t>主知识产权、无差异化、可批量复制的特性；自主开发客户定制软件产品指公司根据客户的实际需求进行</w:t>
      </w:r>
      <w:r>
        <w:rPr>
          <w:spacing w:val="-83"/>
        </w:rPr>
        <w:t> </w:t>
      </w:r>
      <w:r>
        <w:rPr>
          <w:spacing w:val="-83"/>
        </w:rPr>
      </w:r>
      <w:r>
        <w:rPr/>
        <w:t>定制、开发的软件产品，由此开发出来的软件不具有通用性。</w:t>
      </w:r>
    </w:p>
    <w:p>
      <w:pPr>
        <w:spacing w:line="240" w:lineRule="auto" w:before="1"/>
        <w:rPr>
          <w:rFonts w:ascii="宋体" w:hAnsi="宋体" w:cs="宋体" w:eastAsia="宋体" w:hint="default"/>
          <w:sz w:val="17"/>
          <w:szCs w:val="17"/>
        </w:rPr>
      </w:pPr>
    </w:p>
    <w:p>
      <w:pPr>
        <w:pStyle w:val="BodyText"/>
        <w:spacing w:line="273" w:lineRule="auto"/>
        <w:ind w:right="211"/>
        <w:jc w:val="both"/>
      </w:pPr>
      <w:r>
        <w:rPr>
          <w:spacing w:val="-1"/>
        </w:rPr>
        <w:t>本集团向客户销售软件产品的同时，为其提供软件应用所需的设备配件及安装服务，如果软件收入与设备</w:t>
      </w:r>
      <w:r>
        <w:rPr>
          <w:spacing w:val="-81"/>
        </w:rPr>
        <w:t> </w:t>
      </w:r>
      <w:r>
        <w:rPr>
          <w:spacing w:val="-81"/>
        </w:rPr>
      </w:r>
      <w:r>
        <w:rPr>
          <w:spacing w:val="-1"/>
        </w:rPr>
        <w:t>配件及安装服务收入能明确区分，则分别作为软件产品销售、硬件产品销售及技术服务进行核算；如果软</w:t>
      </w:r>
      <w:r>
        <w:rPr>
          <w:spacing w:val="-83"/>
        </w:rPr>
        <w:t> </w:t>
      </w:r>
      <w:r>
        <w:rPr>
          <w:spacing w:val="-83"/>
        </w:rPr>
      </w:r>
      <w:r>
        <w:rPr/>
        <w:t>件收入与设备配件及安装服务收入不能明确区分，则将其一并作为硬件产品销售进行核算。</w:t>
      </w:r>
    </w:p>
    <w:p>
      <w:pPr>
        <w:spacing w:line="240" w:lineRule="auto" w:before="1"/>
        <w:rPr>
          <w:rFonts w:ascii="宋体" w:hAnsi="宋体" w:cs="宋体" w:eastAsia="宋体" w:hint="default"/>
          <w:sz w:val="17"/>
          <w:szCs w:val="17"/>
        </w:rPr>
      </w:pPr>
    </w:p>
    <w:p>
      <w:pPr>
        <w:pStyle w:val="BodyText"/>
        <w:spacing w:line="273" w:lineRule="auto"/>
        <w:ind w:right="211"/>
        <w:jc w:val="both"/>
      </w:pPr>
      <w:r>
        <w:rPr>
          <w:spacing w:val="-1"/>
        </w:rPr>
        <w:t>本集团产品销售收入确认的具体标准：无需安装调试的产品在交付并经客户验收合格后确认收入；需安装</w:t>
      </w:r>
      <w:r>
        <w:rPr>
          <w:spacing w:val="-81"/>
        </w:rPr>
        <w:t> </w:t>
      </w:r>
      <w:r>
        <w:rPr>
          <w:spacing w:val="-81"/>
        </w:rPr>
      </w:r>
      <w:r>
        <w:rPr>
          <w:spacing w:val="-1"/>
        </w:rPr>
        <w:t>调试的产品在项目实施完成并经客户验收合格取得对方签字的验收报告后确认收入；对需要分次交付验收</w:t>
      </w:r>
      <w:r>
        <w:rPr>
          <w:spacing w:val="-81"/>
        </w:rPr>
        <w:t> </w:t>
      </w:r>
      <w:r>
        <w:rPr>
          <w:spacing w:val="-81"/>
        </w:rPr>
      </w:r>
      <w:r>
        <w:rPr/>
        <w:t>的，在分次取得验收报告后确认收入。</w:t>
      </w:r>
    </w:p>
    <w:p>
      <w:pPr>
        <w:spacing w:line="240" w:lineRule="auto" w:before="1"/>
        <w:rPr>
          <w:rFonts w:ascii="宋体" w:hAnsi="宋体" w:cs="宋体" w:eastAsia="宋体" w:hint="default"/>
          <w:sz w:val="17"/>
          <w:szCs w:val="17"/>
        </w:rPr>
      </w:pPr>
    </w:p>
    <w:p>
      <w:pPr>
        <w:pStyle w:val="BodyText"/>
        <w:spacing w:line="240" w:lineRule="auto"/>
        <w:ind w:right="0"/>
        <w:jc w:val="both"/>
      </w:pPr>
      <w:r>
        <w:rPr/>
        <w:t>（2）技术服务收入</w:t>
      </w:r>
    </w:p>
    <w:p>
      <w:pPr>
        <w:spacing w:line="240" w:lineRule="auto" w:before="5"/>
        <w:rPr>
          <w:rFonts w:ascii="宋体" w:hAnsi="宋体" w:cs="宋体" w:eastAsia="宋体" w:hint="default"/>
          <w:sz w:val="19"/>
          <w:szCs w:val="19"/>
        </w:rPr>
      </w:pPr>
    </w:p>
    <w:p>
      <w:pPr>
        <w:pStyle w:val="BodyText"/>
        <w:spacing w:line="273" w:lineRule="auto"/>
        <w:ind w:left="153" w:right="102"/>
        <w:jc w:val="left"/>
      </w:pPr>
      <w:r>
        <w:rPr>
          <w:spacing w:val="-5"/>
        </w:rPr>
        <w:t>本集团在已根据合同约定提供了相应服务，取得明确的收款证据，相关成本能够可靠地计量时，确认收入。</w:t>
      </w:r>
      <w:r>
        <w:rPr>
          <w:spacing w:val="-101"/>
        </w:rPr>
        <w:t> </w:t>
      </w:r>
      <w:r>
        <w:rPr>
          <w:spacing w:val="-101"/>
        </w:rPr>
      </w:r>
      <w:r>
        <w:rPr>
          <w:spacing w:val="-3"/>
        </w:rPr>
        <w:t>技术服务收入包括向客户提供的技术支持、技术咨询以及技术培训服务收入等。合同明确约定服务期限的，</w:t>
      </w:r>
      <w:r>
        <w:rPr>
          <w:spacing w:val="-92"/>
        </w:rPr>
        <w:t> </w:t>
      </w:r>
      <w:r>
        <w:rPr>
          <w:spacing w:val="-92"/>
        </w:rPr>
      </w:r>
      <w:r>
        <w:rPr/>
        <w:t>在合同约定的服务期限内，按进度确认收入；合同明确约定服务成果需经客户验收确认的，在本集团提交</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left="153" w:right="148"/>
        <w:jc w:val="both"/>
      </w:pPr>
      <w:r>
        <w:rPr>
          <w:spacing w:val="-5"/>
        </w:rPr>
        <w:t>了相应的服务成果并通过验收，取得客户的验收报告，获得明确的收款证据，相关成本能够可靠地计量时，</w:t>
      </w:r>
      <w:r>
        <w:rPr>
          <w:spacing w:val="-101"/>
        </w:rPr>
        <w:t> </w:t>
      </w:r>
      <w:r>
        <w:rPr>
          <w:spacing w:val="-101"/>
        </w:rPr>
      </w:r>
      <w:r>
        <w:rPr>
          <w:spacing w:val="-1"/>
        </w:rPr>
        <w:t>确认收入；其他服务在本集团提供了相应服务，取得明确的收款证据，相关成本能够可靠地计量时，确认</w:t>
      </w:r>
      <w:r>
        <w:rPr>
          <w:spacing w:val="-82"/>
        </w:rPr>
        <w:t> </w:t>
      </w:r>
      <w:r>
        <w:rPr>
          <w:spacing w:val="-82"/>
        </w:rPr>
      </w:r>
      <w:r>
        <w:rPr>
          <w:spacing w:val="-1"/>
        </w:rPr>
        <w:t>收入。同一合同中，既约定了产品销售金额又约定了服务费金额的，分别按照产品销售收入和服务收入确</w:t>
      </w:r>
      <w:r>
        <w:rPr>
          <w:spacing w:val="-83"/>
        </w:rPr>
        <w:t> </w:t>
      </w:r>
      <w:r>
        <w:rPr>
          <w:spacing w:val="-83"/>
        </w:rPr>
      </w:r>
      <w:r>
        <w:rPr/>
        <w:t>认原则确认相应的收入；如果产品销售收入和服务收入不能区分，则将其一并作为产品销售进行核算。</w:t>
      </w:r>
    </w:p>
    <w:p>
      <w:pPr>
        <w:spacing w:line="240" w:lineRule="auto" w:before="1"/>
        <w:rPr>
          <w:rFonts w:ascii="宋体" w:hAnsi="宋体" w:cs="宋体" w:eastAsia="宋体" w:hint="default"/>
          <w:sz w:val="17"/>
          <w:szCs w:val="17"/>
        </w:rPr>
      </w:pPr>
    </w:p>
    <w:p>
      <w:pPr>
        <w:pStyle w:val="BodyText"/>
        <w:spacing w:line="460" w:lineRule="auto"/>
        <w:ind w:left="153" w:right="951"/>
        <w:jc w:val="left"/>
      </w:pPr>
      <w:r>
        <w:rPr/>
        <w:t>（3）让渡资产使用权 与资产使用权让渡相关的经济利益能够流入及收入的金额能够可靠地计量时，本集团确认收入。</w:t>
      </w:r>
    </w:p>
    <w:p>
      <w:pPr>
        <w:pStyle w:val="BodyText"/>
        <w:spacing w:line="240" w:lineRule="auto" w:before="60"/>
        <w:ind w:left="153" w:right="0"/>
        <w:jc w:val="both"/>
      </w:pPr>
      <w:r>
        <w:rPr/>
        <w:t>（4）建造合同</w:t>
      </w:r>
    </w:p>
    <w:p>
      <w:pPr>
        <w:spacing w:line="240" w:lineRule="auto" w:before="5"/>
        <w:rPr>
          <w:rFonts w:ascii="宋体" w:hAnsi="宋体" w:cs="宋体" w:eastAsia="宋体" w:hint="default"/>
          <w:sz w:val="19"/>
          <w:szCs w:val="19"/>
        </w:rPr>
      </w:pPr>
    </w:p>
    <w:p>
      <w:pPr>
        <w:pStyle w:val="BodyText"/>
        <w:spacing w:line="273" w:lineRule="auto"/>
        <w:ind w:left="153" w:right="150"/>
        <w:jc w:val="both"/>
      </w:pPr>
      <w:r>
        <w:rPr>
          <w:spacing w:val="-1"/>
        </w:rPr>
        <w:t>于资产负债表日，建造合同的结果能够可靠地估计的，本集团根据完工百分比法确认合同收入和费用。如</w:t>
      </w:r>
      <w:r>
        <w:rPr>
          <w:spacing w:val="-83"/>
        </w:rPr>
        <w:t> </w:t>
      </w:r>
      <w:r>
        <w:rPr>
          <w:spacing w:val="-83"/>
        </w:rPr>
      </w:r>
      <w:r>
        <w:rPr>
          <w:spacing w:val="-1"/>
        </w:rPr>
        <w:t>果建造合同的结果不能可靠地估计，则区别情况处理：如合同成本能够收回的，则合同收入根据能够收回</w:t>
      </w:r>
      <w:r>
        <w:rPr>
          <w:spacing w:val="-83"/>
        </w:rPr>
        <w:t> </w:t>
      </w:r>
      <w:r>
        <w:rPr>
          <w:spacing w:val="-83"/>
        </w:rPr>
      </w:r>
      <w:r>
        <w:rPr>
          <w:spacing w:val="-1"/>
        </w:rPr>
        <w:t>的实际合同成本加以确认，合同成本在其发生的当期作为费用；如合同成本不可能收回的，则在发生时作</w:t>
      </w:r>
      <w:r>
        <w:rPr>
          <w:spacing w:val="-83"/>
        </w:rPr>
        <w:t> </w:t>
      </w:r>
      <w:r>
        <w:rPr>
          <w:spacing w:val="-83"/>
        </w:rPr>
      </w:r>
      <w:r>
        <w:rPr/>
        <w:t>为费用，不确认收入。</w:t>
      </w:r>
    </w:p>
    <w:p>
      <w:pPr>
        <w:spacing w:line="240" w:lineRule="auto" w:before="1"/>
        <w:rPr>
          <w:rFonts w:ascii="宋体" w:hAnsi="宋体" w:cs="宋体" w:eastAsia="宋体" w:hint="default"/>
          <w:sz w:val="17"/>
          <w:szCs w:val="17"/>
        </w:rPr>
      </w:pPr>
    </w:p>
    <w:p>
      <w:pPr>
        <w:pStyle w:val="BodyText"/>
        <w:spacing w:line="460" w:lineRule="auto"/>
        <w:ind w:left="153" w:right="150"/>
        <w:jc w:val="both"/>
      </w:pPr>
      <w:r>
        <w:rPr/>
        <w:t>合同预计总成本超过合同总收入的，本集团将预计损失确认为当期费用。 合同完工进度按已经完成的合同工作量占合同预计总工作量的比例确定。</w:t>
      </w:r>
    </w:p>
    <w:p>
      <w:pPr>
        <w:pStyle w:val="BodyText"/>
        <w:spacing w:line="273" w:lineRule="auto" w:before="60"/>
        <w:ind w:left="153" w:right="150"/>
        <w:jc w:val="both"/>
      </w:pPr>
      <w:r>
        <w:rPr>
          <w:spacing w:val="-1"/>
        </w:rPr>
        <w:t>建造合同的结果能够可靠估计是指同时满足：A、合同总收入能够可靠地计量；B、与合同相关的经济利益</w:t>
      </w:r>
      <w:r>
        <w:rPr>
          <w:spacing w:val="-82"/>
        </w:rPr>
        <w:t> </w:t>
      </w:r>
      <w:r>
        <w:rPr>
          <w:spacing w:val="-82"/>
        </w:rPr>
      </w:r>
      <w:r>
        <w:rPr>
          <w:spacing w:val="-1"/>
        </w:rPr>
        <w:t>很可能流入企业；C、实际发生的合同成本能够清楚地区分和可靠地计量；D、合同完工进度和为完成合同</w:t>
      </w:r>
      <w:r>
        <w:rPr>
          <w:spacing w:val="-82"/>
        </w:rPr>
        <w:t> </w:t>
      </w:r>
      <w:r>
        <w:rPr>
          <w:spacing w:val="-82"/>
        </w:rPr>
      </w:r>
      <w:r>
        <w:rPr/>
        <w:t>尚需发生的成本能够可靠地确定。</w:t>
      </w:r>
    </w:p>
    <w:p>
      <w:pPr>
        <w:spacing w:line="240" w:lineRule="auto" w:before="7"/>
        <w:rPr>
          <w:rFonts w:ascii="宋体" w:hAnsi="宋体" w:cs="宋体" w:eastAsia="宋体" w:hint="default"/>
          <w:sz w:val="23"/>
          <w:szCs w:val="23"/>
        </w:rPr>
      </w:pPr>
    </w:p>
    <w:p>
      <w:pPr>
        <w:pStyle w:val="Heading3"/>
        <w:spacing w:line="240" w:lineRule="auto"/>
        <w:ind w:left="153" w:right="0"/>
        <w:jc w:val="both"/>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3" w:right="0"/>
        <w:jc w:val="both"/>
      </w:pPr>
      <w:r>
        <w:rPr/>
        <w:t>政府补助在满足政府补助所附条件并能够收到时确认。</w:t>
      </w:r>
    </w:p>
    <w:p>
      <w:pPr>
        <w:spacing w:line="240" w:lineRule="auto" w:before="5"/>
        <w:rPr>
          <w:rFonts w:ascii="宋体" w:hAnsi="宋体" w:cs="宋体" w:eastAsia="宋体" w:hint="default"/>
          <w:sz w:val="19"/>
          <w:szCs w:val="19"/>
        </w:rPr>
      </w:pPr>
    </w:p>
    <w:p>
      <w:pPr>
        <w:pStyle w:val="BodyText"/>
        <w:spacing w:line="273" w:lineRule="auto"/>
        <w:ind w:left="153" w:right="148"/>
        <w:jc w:val="both"/>
      </w:pPr>
      <w:r>
        <w:rPr>
          <w:spacing w:val="-1"/>
        </w:rPr>
        <w:t>对于货币性资产的政府补助，按照收到或应收的金额计量。对于非货币性资产的政府补助，按照公允价值</w:t>
      </w:r>
      <w:r>
        <w:rPr>
          <w:spacing w:val="-83"/>
        </w:rPr>
        <w:t> </w:t>
      </w:r>
      <w:r>
        <w:rPr>
          <w:spacing w:val="-83"/>
        </w:rPr>
      </w:r>
      <w:r>
        <w:rPr/>
        <w:t>计量；公允价值不能够可靠取得的，按照名义金额1元计量。</w:t>
      </w:r>
    </w:p>
    <w:p>
      <w:pPr>
        <w:spacing w:line="240" w:lineRule="auto" w:before="1"/>
        <w:rPr>
          <w:rFonts w:ascii="宋体" w:hAnsi="宋体" w:cs="宋体" w:eastAsia="宋体" w:hint="default"/>
          <w:sz w:val="17"/>
          <w:szCs w:val="17"/>
        </w:rPr>
      </w:pPr>
    </w:p>
    <w:p>
      <w:pPr>
        <w:pStyle w:val="BodyText"/>
        <w:spacing w:line="273" w:lineRule="auto"/>
        <w:ind w:left="153" w:right="148"/>
        <w:jc w:val="both"/>
      </w:pPr>
      <w:r>
        <w:rPr>
          <w:spacing w:val="-5"/>
        </w:rPr>
        <w:t>与资产相关的政府补助，是指本集团取得的、用于购建或以其他方式形成长期资产的政府补助；除此之外，</w:t>
      </w:r>
      <w:r>
        <w:rPr>
          <w:spacing w:val="-101"/>
        </w:rPr>
        <w:t> </w:t>
      </w:r>
      <w:r>
        <w:rPr>
          <w:spacing w:val="-101"/>
        </w:rPr>
      </w:r>
      <w:r>
        <w:rPr/>
        <w:t>作为与收益相关的政府补助。</w:t>
      </w:r>
    </w:p>
    <w:p>
      <w:pPr>
        <w:spacing w:line="240" w:lineRule="auto" w:before="1"/>
        <w:rPr>
          <w:rFonts w:ascii="宋体" w:hAnsi="宋体" w:cs="宋体" w:eastAsia="宋体" w:hint="default"/>
          <w:sz w:val="17"/>
          <w:szCs w:val="17"/>
        </w:rPr>
      </w:pPr>
    </w:p>
    <w:p>
      <w:pPr>
        <w:pStyle w:val="BodyText"/>
        <w:spacing w:line="273" w:lineRule="auto"/>
        <w:ind w:left="153" w:right="150"/>
        <w:jc w:val="both"/>
      </w:pPr>
      <w:r>
        <w:rPr>
          <w:spacing w:val="-1"/>
        </w:rPr>
        <w:t>对于政府文件未明确规定补助对象的，能够形成长期资产的，与资产价值相对应的政府补助部分作为与资</w:t>
      </w:r>
      <w:r>
        <w:rPr>
          <w:spacing w:val="-81"/>
        </w:rPr>
        <w:t> </w:t>
      </w:r>
      <w:r>
        <w:rPr>
          <w:spacing w:val="-81"/>
        </w:rPr>
      </w:r>
      <w:r>
        <w:rPr>
          <w:spacing w:val="-1"/>
        </w:rPr>
        <w:t>产相关的政府补助，其余部分作为与收益相关的政府补助；难以区分的，将政府补助整体作为与收益相关</w:t>
      </w:r>
      <w:r>
        <w:rPr>
          <w:spacing w:val="-83"/>
        </w:rPr>
        <w:t> </w:t>
      </w:r>
      <w:r>
        <w:rPr>
          <w:spacing w:val="-83"/>
        </w:rPr>
      </w:r>
      <w:r>
        <w:rPr/>
        <w:t>的政府补助。</w:t>
      </w:r>
    </w:p>
    <w:p>
      <w:pPr>
        <w:spacing w:line="240" w:lineRule="auto" w:before="1"/>
        <w:rPr>
          <w:rFonts w:ascii="宋体" w:hAnsi="宋体" w:cs="宋体" w:eastAsia="宋体" w:hint="default"/>
          <w:sz w:val="17"/>
          <w:szCs w:val="17"/>
        </w:rPr>
      </w:pPr>
    </w:p>
    <w:p>
      <w:pPr>
        <w:pStyle w:val="BodyText"/>
        <w:spacing w:line="273" w:lineRule="auto"/>
        <w:ind w:left="153" w:right="150"/>
        <w:jc w:val="both"/>
      </w:pPr>
      <w:r>
        <w:rPr>
          <w:spacing w:val="-1"/>
        </w:rPr>
        <w:t>与资产相关的政府补助，冲减相关资产的账面价值，或者确认为递延收益并在能够满足政府补助所附条件</w:t>
      </w:r>
      <w:r>
        <w:rPr>
          <w:spacing w:val="-81"/>
        </w:rPr>
        <w:t> </w:t>
      </w:r>
      <w:r>
        <w:rPr>
          <w:spacing w:val="-81"/>
        </w:rPr>
      </w:r>
      <w:r>
        <w:rPr/>
        <w:t>后，在相关资产使用期限内按照合理、系统的方法分期计入损益。</w:t>
      </w:r>
    </w:p>
    <w:p>
      <w:pPr>
        <w:spacing w:line="240" w:lineRule="auto" w:before="1"/>
        <w:rPr>
          <w:rFonts w:ascii="宋体" w:hAnsi="宋体" w:cs="宋体" w:eastAsia="宋体" w:hint="default"/>
          <w:sz w:val="17"/>
          <w:szCs w:val="17"/>
        </w:rPr>
      </w:pPr>
    </w:p>
    <w:p>
      <w:pPr>
        <w:pStyle w:val="BodyText"/>
        <w:spacing w:line="273" w:lineRule="auto"/>
        <w:ind w:left="153" w:right="150"/>
        <w:jc w:val="both"/>
      </w:pPr>
      <w:r>
        <w:rPr>
          <w:spacing w:val="-1"/>
        </w:rPr>
        <w:t>与日常活动相关的政府补助，按照经济业务实质，计入其他收益或冲减相关成本费用。与日常活动无关的</w:t>
      </w:r>
      <w:r>
        <w:rPr>
          <w:spacing w:val="-83"/>
        </w:rPr>
        <w:t> </w:t>
      </w:r>
      <w:r>
        <w:rPr>
          <w:spacing w:val="-83"/>
        </w:rPr>
      </w:r>
      <w:r>
        <w:rPr/>
        <w:t>政府补助，计入营业外收支。</w:t>
      </w:r>
    </w:p>
    <w:p>
      <w:pPr>
        <w:spacing w:line="240" w:lineRule="auto" w:before="1"/>
        <w:rPr>
          <w:rFonts w:ascii="宋体" w:hAnsi="宋体" w:cs="宋体" w:eastAsia="宋体" w:hint="default"/>
          <w:sz w:val="17"/>
          <w:szCs w:val="17"/>
        </w:rPr>
      </w:pPr>
    </w:p>
    <w:p>
      <w:pPr>
        <w:pStyle w:val="BodyText"/>
        <w:spacing w:line="273" w:lineRule="auto"/>
        <w:ind w:left="153" w:right="148"/>
        <w:jc w:val="both"/>
      </w:pPr>
      <w:r>
        <w:rPr>
          <w:spacing w:val="-1"/>
        </w:rPr>
        <w:t>已确认的政府补助需要返还时，初始确认时冲减相关资产账面价值的，调整资产账面价值；存在相关递延</w:t>
      </w:r>
      <w:r>
        <w:rPr>
          <w:spacing w:val="-83"/>
        </w:rPr>
        <w:t> </w:t>
      </w:r>
      <w:r>
        <w:rPr>
          <w:spacing w:val="-83"/>
        </w:rPr>
      </w:r>
      <w:r>
        <w:rPr>
          <w:spacing w:val="-5"/>
        </w:rPr>
        <w:t>收益余额的，冲减相关递延收益账面余额，超出部分计入当期损益；属于其他情况的，直接计入当期损益。</w:t>
      </w:r>
    </w:p>
    <w:p>
      <w:pPr>
        <w:spacing w:after="0" w:line="273"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1"/>
        <w:jc w:val="both"/>
      </w:pPr>
      <w:r>
        <w:rPr>
          <w:spacing w:val="-1"/>
        </w:rPr>
        <w:t>对于政府文件未明确规定补助对象的，能够形成长期资产的，与资产价值相对应的政府补助部分作为与资</w:t>
      </w:r>
      <w:r>
        <w:rPr>
          <w:spacing w:val="-81"/>
        </w:rPr>
        <w:t> </w:t>
      </w:r>
      <w:r>
        <w:rPr>
          <w:spacing w:val="-81"/>
        </w:rPr>
      </w:r>
      <w:r>
        <w:rPr>
          <w:spacing w:val="-1"/>
        </w:rPr>
        <w:t>产相关的政府补助，其余部分作为与收益相关的政府补助；难以区分的，将政府补助整体作为与收益相关</w:t>
      </w:r>
      <w:r>
        <w:rPr>
          <w:spacing w:val="-83"/>
        </w:rPr>
        <w:t> </w:t>
      </w:r>
      <w:r>
        <w:rPr>
          <w:spacing w:val="-83"/>
        </w:rPr>
      </w:r>
      <w:r>
        <w:rPr/>
        <w:t>的政府补助。</w:t>
      </w:r>
    </w:p>
    <w:p>
      <w:pPr>
        <w:spacing w:line="240" w:lineRule="auto" w:before="1"/>
        <w:rPr>
          <w:rFonts w:ascii="宋体" w:hAnsi="宋体" w:cs="宋体" w:eastAsia="宋体" w:hint="default"/>
          <w:sz w:val="17"/>
          <w:szCs w:val="17"/>
        </w:rPr>
      </w:pPr>
    </w:p>
    <w:p>
      <w:pPr>
        <w:pStyle w:val="BodyText"/>
        <w:spacing w:line="273" w:lineRule="auto"/>
        <w:ind w:right="102"/>
        <w:jc w:val="left"/>
      </w:pPr>
      <w:r>
        <w:rPr/>
        <w:t>与收益相关的政府补助，用于补偿已发生的相关成本费用或损失的，计入当期损益或冲减相关成本；用于 补偿以后期间的相关成本费用或损失的，则计入递延收益，在能够满足政府补助所附条件后，于相关成本 费用或损失确认期间计入当期损益或冲减相关成本。按照名义金额计量的政府补助，直接计入当期损益。</w:t>
      </w:r>
      <w:r>
        <w:rPr>
          <w:spacing w:val="-34"/>
        </w:rPr>
        <w:t> </w:t>
      </w:r>
      <w:r>
        <w:rPr>
          <w:spacing w:val="-34"/>
        </w:rPr>
      </w:r>
      <w:r>
        <w:rPr/>
        <w:t>本集团对相同或类似的政府补助业务，采用一致的方法处理。</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09"/>
        <w:jc w:val="both"/>
      </w:pPr>
      <w:r>
        <w:rPr>
          <w:spacing w:val="-1"/>
        </w:rPr>
        <w:t>所得税包括当期所得税和递延所得税。除由于企业合并产生的调整商誉，或与直接计入所有者权益的交易</w:t>
      </w:r>
      <w:r>
        <w:rPr>
          <w:spacing w:val="-81"/>
        </w:rPr>
        <w:t> </w:t>
      </w:r>
      <w:r>
        <w:rPr>
          <w:spacing w:val="-81"/>
        </w:rPr>
      </w:r>
      <w:r>
        <w:rPr/>
        <w:t>或者事项相关的递延所得税计入所有者权益外，均作为所得税费用计入当期损益。</w:t>
      </w:r>
    </w:p>
    <w:p>
      <w:pPr>
        <w:spacing w:line="240" w:lineRule="auto" w:before="1"/>
        <w:rPr>
          <w:rFonts w:ascii="宋体" w:hAnsi="宋体" w:cs="宋体" w:eastAsia="宋体" w:hint="default"/>
          <w:sz w:val="17"/>
          <w:szCs w:val="17"/>
        </w:rPr>
      </w:pPr>
    </w:p>
    <w:p>
      <w:pPr>
        <w:pStyle w:val="BodyText"/>
        <w:spacing w:line="273" w:lineRule="auto"/>
        <w:ind w:right="102"/>
        <w:jc w:val="left"/>
      </w:pPr>
      <w:r>
        <w:rPr/>
        <w:t>本集团根据资产、负债于资产负债表日的账面价值与计税基础之间的暂时性差异，采用资产负债表债务法 确认递延所得税。</w:t>
      </w:r>
    </w:p>
    <w:p>
      <w:pPr>
        <w:spacing w:line="240" w:lineRule="auto" w:before="1"/>
        <w:rPr>
          <w:rFonts w:ascii="宋体" w:hAnsi="宋体" w:cs="宋体" w:eastAsia="宋体" w:hint="default"/>
          <w:sz w:val="17"/>
          <w:szCs w:val="17"/>
        </w:rPr>
      </w:pPr>
    </w:p>
    <w:p>
      <w:pPr>
        <w:pStyle w:val="BodyText"/>
        <w:spacing w:line="240" w:lineRule="auto"/>
        <w:ind w:right="0"/>
        <w:jc w:val="both"/>
      </w:pPr>
      <w:r>
        <w:rPr/>
        <w:t>各项应纳税暂时性差异均确认相关的递延所得税负债，除非该应纳税暂时性差异是在以下交易中产生的：</w:t>
      </w:r>
    </w:p>
    <w:p>
      <w:pPr>
        <w:spacing w:line="240" w:lineRule="auto" w:before="5"/>
        <w:rPr>
          <w:rFonts w:ascii="宋体" w:hAnsi="宋体" w:cs="宋体" w:eastAsia="宋体" w:hint="default"/>
          <w:sz w:val="19"/>
          <w:szCs w:val="19"/>
        </w:rPr>
      </w:pPr>
    </w:p>
    <w:p>
      <w:pPr>
        <w:pStyle w:val="BodyText"/>
        <w:spacing w:line="273" w:lineRule="auto"/>
        <w:ind w:right="209"/>
        <w:jc w:val="both"/>
      </w:pPr>
      <w:r>
        <w:rPr>
          <w:spacing w:val="-3"/>
        </w:rPr>
        <w:t>（1）商誉的初始确认，或者具有以下特征的交易中产生的资产或负债的初始确认：该交易不是企业合并，</w:t>
      </w:r>
      <w:r>
        <w:rPr>
          <w:spacing w:val="-92"/>
        </w:rPr>
        <w:t> </w:t>
      </w:r>
      <w:r>
        <w:rPr>
          <w:spacing w:val="-92"/>
        </w:rPr>
      </w:r>
      <w:r>
        <w:rPr/>
        <w:t>并且交易发生时既不影响会计利润也不影响应纳税所得额；</w:t>
      </w:r>
    </w:p>
    <w:p>
      <w:pPr>
        <w:spacing w:line="240" w:lineRule="auto" w:before="1"/>
        <w:rPr>
          <w:rFonts w:ascii="宋体" w:hAnsi="宋体" w:cs="宋体" w:eastAsia="宋体" w:hint="default"/>
          <w:sz w:val="17"/>
          <w:szCs w:val="17"/>
        </w:rPr>
      </w:pPr>
    </w:p>
    <w:p>
      <w:pPr>
        <w:pStyle w:val="BodyText"/>
        <w:spacing w:line="273" w:lineRule="auto"/>
        <w:ind w:right="209"/>
        <w:jc w:val="both"/>
      </w:pPr>
      <w:r>
        <w:rPr>
          <w:spacing w:val="-3"/>
        </w:rPr>
        <w:t>（2）对于与子公司、合营企业及联营企业投资相关的应纳税暂时性差异，该暂时性差异转回的时间能够控</w:t>
      </w:r>
      <w:r>
        <w:rPr>
          <w:spacing w:val="-92"/>
        </w:rPr>
        <w:t> </w:t>
      </w:r>
      <w:r>
        <w:rPr>
          <w:spacing w:val="-92"/>
        </w:rPr>
      </w:r>
      <w:r>
        <w:rPr/>
        <w:t>制并且该暂时性差异在可预见的未来很可能不会转回。</w:t>
      </w:r>
    </w:p>
    <w:p>
      <w:pPr>
        <w:spacing w:line="240" w:lineRule="auto" w:before="1"/>
        <w:rPr>
          <w:rFonts w:ascii="宋体" w:hAnsi="宋体" w:cs="宋体" w:eastAsia="宋体" w:hint="default"/>
          <w:sz w:val="17"/>
          <w:szCs w:val="17"/>
        </w:rPr>
      </w:pPr>
    </w:p>
    <w:p>
      <w:pPr>
        <w:pStyle w:val="BodyText"/>
        <w:spacing w:line="273" w:lineRule="auto"/>
        <w:ind w:right="209"/>
        <w:jc w:val="both"/>
      </w:pPr>
      <w:r>
        <w:rPr>
          <w:spacing w:val="-1"/>
        </w:rPr>
        <w:t>对于可抵扣暂时性差异、能够结转以后年度的可抵扣亏损和税款抵减，本集团以很可能取得用来抵扣可抵</w:t>
      </w:r>
      <w:r>
        <w:rPr>
          <w:spacing w:val="-81"/>
        </w:rPr>
        <w:t> </w:t>
      </w:r>
      <w:r>
        <w:rPr>
          <w:spacing w:val="-81"/>
        </w:rPr>
      </w:r>
      <w:r>
        <w:rPr>
          <w:spacing w:val="-1"/>
        </w:rPr>
        <w:t>扣暂时性差异、可抵扣亏损和税款抵减的未来应纳税所得额为限，确认由此产生的递延所得税资产，除非</w:t>
      </w:r>
      <w:r>
        <w:rPr>
          <w:spacing w:val="-83"/>
        </w:rPr>
        <w:t> </w:t>
      </w:r>
      <w:r>
        <w:rPr>
          <w:spacing w:val="-83"/>
        </w:rPr>
      </w:r>
      <w:r>
        <w:rPr/>
        <w:t>该可抵扣暂时性差异是在以下交易中产生的：</w:t>
      </w:r>
    </w:p>
    <w:p>
      <w:pPr>
        <w:spacing w:line="240" w:lineRule="auto" w:before="1"/>
        <w:rPr>
          <w:rFonts w:ascii="宋体" w:hAnsi="宋体" w:cs="宋体" w:eastAsia="宋体" w:hint="default"/>
          <w:sz w:val="17"/>
          <w:szCs w:val="17"/>
        </w:rPr>
      </w:pPr>
    </w:p>
    <w:p>
      <w:pPr>
        <w:pStyle w:val="BodyText"/>
        <w:spacing w:line="240" w:lineRule="auto"/>
        <w:ind w:right="0"/>
        <w:jc w:val="both"/>
      </w:pPr>
      <w:r>
        <w:rPr/>
        <w:t>（1）该交易不是企业合并，并且交易发生时既不影响会计利润也不影响应纳税所得额；</w:t>
      </w:r>
    </w:p>
    <w:p>
      <w:pPr>
        <w:spacing w:line="240" w:lineRule="auto" w:before="5"/>
        <w:rPr>
          <w:rFonts w:ascii="宋体" w:hAnsi="宋体" w:cs="宋体" w:eastAsia="宋体" w:hint="default"/>
          <w:sz w:val="19"/>
          <w:szCs w:val="19"/>
        </w:rPr>
      </w:pPr>
    </w:p>
    <w:p>
      <w:pPr>
        <w:pStyle w:val="BodyText"/>
        <w:spacing w:line="273" w:lineRule="auto"/>
        <w:ind w:right="209"/>
        <w:jc w:val="both"/>
      </w:pPr>
      <w:r>
        <w:rPr>
          <w:spacing w:val="-3"/>
        </w:rPr>
        <w:t>（2）对于与子公司、合营企业及联营企业投资相关的可抵扣暂时性差异，同时满足下列条件的，确认相应</w:t>
      </w:r>
      <w:r>
        <w:rPr>
          <w:spacing w:val="-97"/>
        </w:rPr>
        <w:t> </w:t>
      </w:r>
      <w:r>
        <w:rPr>
          <w:spacing w:val="-97"/>
        </w:rPr>
      </w:r>
      <w:r>
        <w:rPr>
          <w:spacing w:val="-1"/>
        </w:rPr>
        <w:t>的递延所得税资产：暂时性差异在可预见的未来很可能转回，且未来很可能获得用来抵扣可抵扣暂时性差</w:t>
      </w:r>
      <w:r>
        <w:rPr>
          <w:spacing w:val="-81"/>
        </w:rPr>
        <w:t> </w:t>
      </w:r>
      <w:r>
        <w:rPr>
          <w:spacing w:val="-81"/>
        </w:rPr>
      </w:r>
      <w:r>
        <w:rPr/>
        <w:t>异的应纳税所得额。</w:t>
      </w:r>
    </w:p>
    <w:p>
      <w:pPr>
        <w:spacing w:line="240" w:lineRule="auto" w:before="1"/>
        <w:rPr>
          <w:rFonts w:ascii="宋体" w:hAnsi="宋体" w:cs="宋体" w:eastAsia="宋体" w:hint="default"/>
          <w:sz w:val="17"/>
          <w:szCs w:val="17"/>
        </w:rPr>
      </w:pPr>
    </w:p>
    <w:p>
      <w:pPr>
        <w:pStyle w:val="BodyText"/>
        <w:spacing w:line="273" w:lineRule="auto"/>
        <w:ind w:right="209"/>
        <w:jc w:val="both"/>
      </w:pPr>
      <w:r>
        <w:rPr>
          <w:spacing w:val="-1"/>
        </w:rPr>
        <w:t>于资产负债表日，本集团对递延所得税资产和递延所得税负债，按照预期收回该资产或清偿该负债期间的</w:t>
      </w:r>
      <w:r>
        <w:rPr>
          <w:spacing w:val="-81"/>
        </w:rPr>
        <w:t> </w:t>
      </w:r>
      <w:r>
        <w:rPr>
          <w:spacing w:val="-81"/>
        </w:rPr>
      </w:r>
      <w:r>
        <w:rPr/>
        <w:t>适用税率计量，并反映资产负债表日预期收回资产或清偿负债方式的所得税影响。</w:t>
      </w:r>
    </w:p>
    <w:p>
      <w:pPr>
        <w:spacing w:line="240" w:lineRule="auto" w:before="1"/>
        <w:rPr>
          <w:rFonts w:ascii="宋体" w:hAnsi="宋体" w:cs="宋体" w:eastAsia="宋体" w:hint="default"/>
          <w:sz w:val="17"/>
          <w:szCs w:val="17"/>
        </w:rPr>
      </w:pPr>
    </w:p>
    <w:p>
      <w:pPr>
        <w:pStyle w:val="BodyText"/>
        <w:spacing w:line="273" w:lineRule="auto"/>
        <w:ind w:right="209"/>
        <w:jc w:val="both"/>
      </w:pPr>
      <w:r>
        <w:rPr>
          <w:spacing w:val="-1"/>
        </w:rPr>
        <w:t>于资产负债表日，本集团对递延所得税资产的账面价值进行复核。如果未来期间很可能无法获得足够的应</w:t>
      </w:r>
      <w:r>
        <w:rPr>
          <w:spacing w:val="-81"/>
        </w:rPr>
        <w:t> </w:t>
      </w:r>
      <w:r>
        <w:rPr>
          <w:spacing w:val="-81"/>
        </w:rPr>
      </w:r>
      <w:r>
        <w:rPr>
          <w:spacing w:val="-1"/>
        </w:rPr>
        <w:t>纳税所得额用以抵扣递延所得税资产的利益，减记递延所得税资产的账面价值。在很可能获得足够的应纳</w:t>
      </w:r>
      <w:r>
        <w:rPr>
          <w:spacing w:val="-81"/>
        </w:rPr>
        <w:t> </w:t>
      </w:r>
      <w:r>
        <w:rPr>
          <w:spacing w:val="-81"/>
        </w:rPr>
      </w:r>
      <w:r>
        <w:rPr/>
        <w:t>税所得额时，减记的金额予以转回。</w:t>
      </w:r>
    </w:p>
    <w:p>
      <w:pPr>
        <w:spacing w:after="0" w:line="273" w:lineRule="auto"/>
        <w:jc w:val="both"/>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150"/>
        <w:jc w:val="both"/>
      </w:pPr>
      <w:r>
        <w:rPr>
          <w:spacing w:val="-1"/>
        </w:rPr>
        <w:t>本集团将实质上转移了与资产所有权有关的全部风险和报酬的租赁确认为融资租赁，除融资租赁之外的其</w:t>
      </w:r>
      <w:r>
        <w:rPr>
          <w:spacing w:val="-81"/>
        </w:rPr>
        <w:t> </w:t>
      </w:r>
      <w:r>
        <w:rPr>
          <w:spacing w:val="-81"/>
        </w:rPr>
      </w:r>
      <w:r>
        <w:rPr/>
        <w:t>他租赁确认为经营租赁。</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1）本集团作为出租人</w:t>
      </w:r>
    </w:p>
    <w:p>
      <w:pPr>
        <w:spacing w:line="240" w:lineRule="auto" w:before="5"/>
        <w:rPr>
          <w:rFonts w:ascii="宋体" w:hAnsi="宋体" w:cs="宋体" w:eastAsia="宋体" w:hint="default"/>
          <w:sz w:val="19"/>
          <w:szCs w:val="19"/>
        </w:rPr>
      </w:pPr>
    </w:p>
    <w:p>
      <w:pPr>
        <w:pStyle w:val="BodyText"/>
        <w:spacing w:line="273" w:lineRule="auto"/>
        <w:ind w:left="153" w:right="150"/>
        <w:jc w:val="both"/>
      </w:pPr>
      <w:r>
        <w:rPr>
          <w:spacing w:val="-1"/>
        </w:rPr>
        <w:t>经营租赁中的租金，本集团在租赁期内各个期间按照直线法确认当期损益。发生的初始直接费用，计入当</w:t>
      </w:r>
      <w:r>
        <w:rPr>
          <w:spacing w:val="-83"/>
        </w:rPr>
        <w:t> </w:t>
      </w:r>
      <w:r>
        <w:rPr>
          <w:spacing w:val="-83"/>
        </w:rPr>
      </w:r>
      <w:r>
        <w:rPr/>
        <w:t>期损益。</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2）本集团作为承租人</w:t>
      </w:r>
    </w:p>
    <w:p>
      <w:pPr>
        <w:spacing w:line="240" w:lineRule="auto" w:before="5"/>
        <w:rPr>
          <w:rFonts w:ascii="宋体" w:hAnsi="宋体" w:cs="宋体" w:eastAsia="宋体" w:hint="default"/>
          <w:sz w:val="19"/>
          <w:szCs w:val="19"/>
        </w:rPr>
      </w:pPr>
    </w:p>
    <w:p>
      <w:pPr>
        <w:pStyle w:val="BodyText"/>
        <w:spacing w:line="273" w:lineRule="auto"/>
        <w:ind w:left="153" w:right="151"/>
        <w:jc w:val="both"/>
      </w:pPr>
      <w:r>
        <w:rPr>
          <w:spacing w:val="-1"/>
        </w:rPr>
        <w:t>经营租赁中的租金，本集团在租赁期内各个期间按照直线法计入相关资产成本或当期损益；发生的初始直</w:t>
      </w:r>
      <w:r>
        <w:rPr>
          <w:spacing w:val="-81"/>
        </w:rPr>
        <w:t> </w:t>
      </w:r>
      <w:r>
        <w:rPr>
          <w:spacing w:val="-81"/>
        </w:rPr>
      </w:r>
      <w:r>
        <w:rPr/>
        <w:t>接费用，计入当期损益。</w:t>
      </w:r>
    </w:p>
    <w:p>
      <w:pPr>
        <w:spacing w:line="240" w:lineRule="auto" w:before="7"/>
        <w:rPr>
          <w:rFonts w:ascii="宋体" w:hAnsi="宋体" w:cs="宋体" w:eastAsia="宋体" w:hint="default"/>
          <w:sz w:val="23"/>
          <w:szCs w:val="23"/>
        </w:rPr>
      </w:pPr>
    </w:p>
    <w:p>
      <w:pPr>
        <w:spacing w:line="506" w:lineRule="auto" w:before="0"/>
        <w:ind w:left="153" w:right="69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1）本集团作为出租人</w:t>
      </w:r>
    </w:p>
    <w:p>
      <w:pPr>
        <w:pStyle w:val="BodyText"/>
        <w:spacing w:line="273" w:lineRule="auto" w:before="20"/>
        <w:ind w:left="153" w:right="150"/>
        <w:jc w:val="both"/>
      </w:pPr>
      <w:r>
        <w:rPr>
          <w:spacing w:val="-1"/>
        </w:rPr>
        <w:t>融资租赁中，在租赁期开始日本集团按最低租赁收款额与初始直接费用之和作为应收融资租赁款的入账价</w:t>
      </w:r>
      <w:r>
        <w:rPr>
          <w:spacing w:val="-81"/>
        </w:rPr>
        <w:t> </w:t>
      </w:r>
      <w:r>
        <w:rPr>
          <w:spacing w:val="-81"/>
        </w:rPr>
      </w:r>
      <w:r>
        <w:rPr>
          <w:spacing w:val="-1"/>
        </w:rPr>
        <w:t>值，同时记录未担保余值；将最低租赁收款额、初始直接费用及未担保余值之和与其现值之和的差额确认</w:t>
      </w:r>
      <w:r>
        <w:rPr>
          <w:spacing w:val="-83"/>
        </w:rPr>
        <w:t> </w:t>
      </w:r>
      <w:r>
        <w:rPr>
          <w:spacing w:val="-83"/>
        </w:rPr>
      </w:r>
      <w:r>
        <w:rPr/>
        <w:t>为未实现融资收益。未实现融资收益在租赁期内各个期间采用实际利率法计算确认当期的融资收入。</w:t>
      </w:r>
    </w:p>
    <w:p>
      <w:pPr>
        <w:spacing w:line="240" w:lineRule="auto" w:before="7"/>
        <w:rPr>
          <w:rFonts w:ascii="宋体" w:hAnsi="宋体" w:cs="宋体" w:eastAsia="宋体" w:hint="default"/>
          <w:sz w:val="23"/>
          <w:szCs w:val="23"/>
        </w:rPr>
      </w:pPr>
    </w:p>
    <w:p>
      <w:pPr>
        <w:pStyle w:val="Heading3"/>
        <w:spacing w:line="240" w:lineRule="auto"/>
        <w:ind w:left="153"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3" w:right="0"/>
        <w:jc w:val="both"/>
      </w:pPr>
      <w:r>
        <w:rPr/>
        <w:t>（1）公允价值计量</w:t>
      </w:r>
    </w:p>
    <w:p>
      <w:pPr>
        <w:spacing w:line="240" w:lineRule="auto" w:before="5"/>
        <w:rPr>
          <w:rFonts w:ascii="宋体" w:hAnsi="宋体" w:cs="宋体" w:eastAsia="宋体" w:hint="default"/>
          <w:sz w:val="19"/>
          <w:szCs w:val="19"/>
        </w:rPr>
      </w:pPr>
    </w:p>
    <w:p>
      <w:pPr>
        <w:pStyle w:val="BodyText"/>
        <w:spacing w:line="273" w:lineRule="auto"/>
        <w:ind w:left="153" w:right="150"/>
        <w:jc w:val="both"/>
      </w:pPr>
      <w:r>
        <w:rPr>
          <w:spacing w:val="-1"/>
        </w:rPr>
        <w:t>公允价值是指市场参与者在计量日发生的有序交易中，出售一项资产所能收到或者转移一项负债所需支付</w:t>
      </w:r>
      <w:r>
        <w:rPr>
          <w:spacing w:val="-81"/>
        </w:rPr>
        <w:t> </w:t>
      </w:r>
      <w:r>
        <w:rPr>
          <w:spacing w:val="-81"/>
        </w:rPr>
      </w:r>
      <w:r>
        <w:rPr/>
        <w:t>的价格。</w:t>
      </w:r>
    </w:p>
    <w:p>
      <w:pPr>
        <w:spacing w:line="240" w:lineRule="auto" w:before="1"/>
        <w:rPr>
          <w:rFonts w:ascii="宋体" w:hAnsi="宋体" w:cs="宋体" w:eastAsia="宋体" w:hint="default"/>
          <w:sz w:val="17"/>
          <w:szCs w:val="17"/>
        </w:rPr>
      </w:pPr>
    </w:p>
    <w:p>
      <w:pPr>
        <w:pStyle w:val="BodyText"/>
        <w:spacing w:line="273" w:lineRule="auto"/>
        <w:ind w:left="153" w:right="151"/>
        <w:jc w:val="both"/>
      </w:pPr>
      <w:r>
        <w:rPr>
          <w:spacing w:val="-1"/>
        </w:rPr>
        <w:t>本集团以公允价值计量相关资产或负债，假定出售资产或者转移负债的有序交易在相关资产或负债的主要</w:t>
      </w:r>
      <w:r>
        <w:rPr>
          <w:spacing w:val="-81"/>
        </w:rPr>
        <w:t> </w:t>
      </w:r>
      <w:r>
        <w:rPr>
          <w:spacing w:val="-81"/>
        </w:rPr>
      </w:r>
      <w:r>
        <w:rPr>
          <w:spacing w:val="-1"/>
        </w:rPr>
        <w:t>市场进行；不存在主要市场的，本集团假定该交易在相关资产或负债的最有利市场进行。主要市场（或最</w:t>
      </w:r>
      <w:r>
        <w:rPr>
          <w:spacing w:val="-82"/>
        </w:rPr>
        <w:t> </w:t>
      </w:r>
      <w:r>
        <w:rPr>
          <w:spacing w:val="-82"/>
        </w:rPr>
      </w:r>
      <w:r>
        <w:rPr>
          <w:spacing w:val="-1"/>
        </w:rPr>
        <w:t>有利市场）是本集团在计量日能够进入的交易市场。本集团采用市场参与者在对该资产或负债定价时为实</w:t>
      </w:r>
      <w:r>
        <w:rPr>
          <w:spacing w:val="-81"/>
        </w:rPr>
        <w:t> </w:t>
      </w:r>
      <w:r>
        <w:rPr>
          <w:spacing w:val="-81"/>
        </w:rPr>
      </w:r>
      <w:r>
        <w:rPr/>
        <w:t>现其经济利益最大化所使用的假设。</w:t>
      </w:r>
    </w:p>
    <w:p>
      <w:pPr>
        <w:spacing w:line="240" w:lineRule="auto" w:before="1"/>
        <w:rPr>
          <w:rFonts w:ascii="宋体" w:hAnsi="宋体" w:cs="宋体" w:eastAsia="宋体" w:hint="default"/>
          <w:sz w:val="17"/>
          <w:szCs w:val="17"/>
        </w:rPr>
      </w:pPr>
    </w:p>
    <w:p>
      <w:pPr>
        <w:pStyle w:val="BodyText"/>
        <w:spacing w:line="273" w:lineRule="auto"/>
        <w:ind w:left="153" w:right="151"/>
        <w:jc w:val="both"/>
      </w:pPr>
      <w:r>
        <w:rPr>
          <w:spacing w:val="-1"/>
        </w:rPr>
        <w:t>存在活跃市场的金融资产或金融负债，本集团采用活跃市场中的报价确定其公允价值。金融工具不存在活</w:t>
      </w:r>
      <w:r>
        <w:rPr>
          <w:spacing w:val="-81"/>
        </w:rPr>
        <w:t> </w:t>
      </w:r>
      <w:r>
        <w:rPr>
          <w:spacing w:val="-81"/>
        </w:rPr>
      </w:r>
      <w:r>
        <w:rPr/>
        <w:t>跃市场的，本集团采用估值技术确定其公允价值。</w:t>
      </w:r>
    </w:p>
    <w:p>
      <w:pPr>
        <w:spacing w:line="240" w:lineRule="auto" w:before="1"/>
        <w:rPr>
          <w:rFonts w:ascii="宋体" w:hAnsi="宋体" w:cs="宋体" w:eastAsia="宋体" w:hint="default"/>
          <w:sz w:val="17"/>
          <w:szCs w:val="17"/>
        </w:rPr>
      </w:pPr>
    </w:p>
    <w:p>
      <w:pPr>
        <w:pStyle w:val="BodyText"/>
        <w:spacing w:line="273" w:lineRule="auto"/>
        <w:ind w:left="153" w:right="151"/>
        <w:jc w:val="both"/>
      </w:pPr>
      <w:r>
        <w:rPr>
          <w:spacing w:val="-1"/>
        </w:rPr>
        <w:t>以公允价值计量非金融资产的，考虑市场参与者将该资产用于最佳用途产生经济利益的能力，或者将该资</w:t>
      </w:r>
      <w:r>
        <w:rPr>
          <w:spacing w:val="-81"/>
        </w:rPr>
        <w:t> </w:t>
      </w:r>
      <w:r>
        <w:rPr>
          <w:spacing w:val="-81"/>
        </w:rPr>
      </w:r>
      <w:r>
        <w:rPr/>
        <w:t>产出售给能够用于最佳用途的其他市场参与者产生经济利益的能力。</w:t>
      </w:r>
    </w:p>
    <w:p>
      <w:pPr>
        <w:spacing w:line="240" w:lineRule="auto" w:before="1"/>
        <w:rPr>
          <w:rFonts w:ascii="宋体" w:hAnsi="宋体" w:cs="宋体" w:eastAsia="宋体" w:hint="default"/>
          <w:sz w:val="17"/>
          <w:szCs w:val="17"/>
        </w:rPr>
      </w:pPr>
    </w:p>
    <w:p>
      <w:pPr>
        <w:pStyle w:val="BodyText"/>
        <w:spacing w:line="273" w:lineRule="auto"/>
        <w:ind w:left="153" w:right="150"/>
        <w:jc w:val="both"/>
      </w:pPr>
      <w:r>
        <w:rPr>
          <w:spacing w:val="-1"/>
        </w:rPr>
        <w:t>本集团采用在当前情况下适用并且有足够可利用数据和其他信息支持的估值技术，优先使用相关可观察输</w:t>
      </w:r>
      <w:r>
        <w:rPr>
          <w:spacing w:val="-81"/>
        </w:rPr>
        <w:t> </w:t>
      </w:r>
      <w:r>
        <w:rPr>
          <w:spacing w:val="-81"/>
        </w:rPr>
      </w:r>
      <w:r>
        <w:rPr/>
        <w:t>入值，只有在可观察输入值无法取得或取得不切实可行的情况下，才使用不可观察输入值。</w:t>
      </w:r>
    </w:p>
    <w:p>
      <w:pPr>
        <w:spacing w:line="240" w:lineRule="auto" w:before="1"/>
        <w:rPr>
          <w:rFonts w:ascii="宋体" w:hAnsi="宋体" w:cs="宋体" w:eastAsia="宋体" w:hint="default"/>
          <w:sz w:val="17"/>
          <w:szCs w:val="17"/>
        </w:rPr>
      </w:pPr>
    </w:p>
    <w:p>
      <w:pPr>
        <w:pStyle w:val="BodyText"/>
        <w:spacing w:line="273" w:lineRule="auto"/>
        <w:ind w:left="153" w:right="150"/>
        <w:jc w:val="both"/>
      </w:pPr>
      <w:r>
        <w:rPr>
          <w:spacing w:val="-1"/>
        </w:rPr>
        <w:t>在财务报表中以公允价值计量或披露的资产和负债，根据对公允价值计量整体而言具有重要意义的最低层</w:t>
      </w:r>
      <w:r>
        <w:rPr>
          <w:spacing w:val="-81"/>
        </w:rPr>
        <w:t> </w:t>
      </w:r>
      <w:r>
        <w:rPr>
          <w:spacing w:val="-81"/>
        </w:rPr>
      </w:r>
      <w:r>
        <w:rPr>
          <w:spacing w:val="-1"/>
        </w:rPr>
        <w:t>次输入值，确定所属的公允价值层次：第一层次输入值，是在计量日能够取得的相同资产或负债在活跃市</w:t>
      </w:r>
    </w:p>
    <w:p>
      <w:pPr>
        <w:spacing w:after="0" w:line="273"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208"/>
        <w:jc w:val="left"/>
      </w:pPr>
      <w:r>
        <w:rPr>
          <w:spacing w:val="-1"/>
        </w:rPr>
        <w:t>场上未经调整的报价；第二层次输入值，是除第一层次输入值外相关资产或负债直接或间接可观察的输入</w:t>
      </w:r>
      <w:r>
        <w:rPr>
          <w:spacing w:val="-81"/>
        </w:rPr>
        <w:t> </w:t>
      </w:r>
      <w:r>
        <w:rPr>
          <w:spacing w:val="-81"/>
        </w:rPr>
      </w:r>
      <w:r>
        <w:rPr/>
        <w:t>值；第三层次输入值，是相关资产或负债的不可观察输入值。</w:t>
      </w:r>
    </w:p>
    <w:p>
      <w:pPr>
        <w:spacing w:line="240" w:lineRule="auto" w:before="1"/>
        <w:rPr>
          <w:rFonts w:ascii="宋体" w:hAnsi="宋体" w:cs="宋体" w:eastAsia="宋体" w:hint="default"/>
          <w:sz w:val="17"/>
          <w:szCs w:val="17"/>
        </w:rPr>
      </w:pPr>
    </w:p>
    <w:p>
      <w:pPr>
        <w:pStyle w:val="BodyText"/>
        <w:spacing w:line="273" w:lineRule="auto"/>
        <w:ind w:right="208"/>
        <w:jc w:val="left"/>
      </w:pPr>
      <w:r>
        <w:rPr>
          <w:spacing w:val="-1"/>
        </w:rPr>
        <w:t>每个资产负债表日，本集团对在财务报表中确认的持续以公允价值计量的资产和负债进行重新评估，以确</w:t>
      </w:r>
      <w:r>
        <w:rPr>
          <w:spacing w:val="-81"/>
        </w:rPr>
        <w:t> </w:t>
      </w:r>
      <w:r>
        <w:rPr>
          <w:spacing w:val="-81"/>
        </w:rPr>
      </w:r>
      <w:r>
        <w:rPr/>
        <w:t>定是否在公允价值计量层次之间发生转换。</w:t>
      </w:r>
    </w:p>
    <w:p>
      <w:pPr>
        <w:spacing w:line="240" w:lineRule="auto" w:before="1"/>
        <w:rPr>
          <w:rFonts w:ascii="宋体" w:hAnsi="宋体" w:cs="宋体" w:eastAsia="宋体" w:hint="default"/>
          <w:sz w:val="17"/>
          <w:szCs w:val="17"/>
        </w:rPr>
      </w:pPr>
    </w:p>
    <w:p>
      <w:pPr>
        <w:pStyle w:val="BodyText"/>
        <w:spacing w:line="240" w:lineRule="auto"/>
        <w:ind w:right="0"/>
        <w:jc w:val="both"/>
      </w:pPr>
      <w:r>
        <w:rPr/>
        <w:t>（2）回购股份</w:t>
      </w:r>
    </w:p>
    <w:p>
      <w:pPr>
        <w:spacing w:line="240" w:lineRule="auto" w:before="5"/>
        <w:rPr>
          <w:rFonts w:ascii="宋体" w:hAnsi="宋体" w:cs="宋体" w:eastAsia="宋体" w:hint="default"/>
          <w:sz w:val="19"/>
          <w:szCs w:val="19"/>
        </w:rPr>
      </w:pPr>
    </w:p>
    <w:p>
      <w:pPr>
        <w:pStyle w:val="BodyText"/>
        <w:spacing w:line="273" w:lineRule="auto"/>
        <w:ind w:right="208"/>
        <w:jc w:val="left"/>
      </w:pPr>
      <w:r>
        <w:rPr>
          <w:spacing w:val="-1"/>
        </w:rPr>
        <w:t>本公司回购的股份在注销或者转让之前，作为库存股管理，回购股份的全部支出转作库存股成本。股份回</w:t>
      </w:r>
      <w:r>
        <w:rPr>
          <w:spacing w:val="-83"/>
        </w:rPr>
        <w:t> </w:t>
      </w:r>
      <w:r>
        <w:rPr>
          <w:spacing w:val="-83"/>
        </w:rPr>
      </w:r>
      <w:r>
        <w:rPr/>
        <w:t>购中支付的对价和交易费用减少所有者权益，回购、转让或注销本公司股份时，不确认利得或损失。</w:t>
      </w:r>
    </w:p>
    <w:p>
      <w:pPr>
        <w:spacing w:line="240" w:lineRule="auto" w:before="1"/>
        <w:rPr>
          <w:rFonts w:ascii="宋体" w:hAnsi="宋体" w:cs="宋体" w:eastAsia="宋体" w:hint="default"/>
          <w:sz w:val="17"/>
          <w:szCs w:val="17"/>
        </w:rPr>
      </w:pPr>
    </w:p>
    <w:p>
      <w:pPr>
        <w:pStyle w:val="BodyText"/>
        <w:spacing w:line="273" w:lineRule="auto"/>
        <w:ind w:right="210"/>
        <w:jc w:val="both"/>
      </w:pPr>
      <w:r>
        <w:rPr>
          <w:spacing w:val="-1"/>
        </w:rPr>
        <w:t>转让库存股，按实际收到的金额与库存股账面金额的差额，计入资本公积，资本公积不足冲减的，冲减盈</w:t>
      </w:r>
      <w:r>
        <w:rPr>
          <w:spacing w:val="-82"/>
        </w:rPr>
        <w:t> </w:t>
      </w:r>
      <w:r>
        <w:rPr>
          <w:spacing w:val="-82"/>
        </w:rPr>
      </w:r>
      <w:r>
        <w:rPr>
          <w:spacing w:val="-1"/>
        </w:rPr>
        <w:t>余公积和未分配利润。注销库存股，按股票面值和注销股数减少股本，按注销库存股的账面余额与面值的</w:t>
      </w:r>
      <w:r>
        <w:rPr>
          <w:spacing w:val="-83"/>
        </w:rPr>
        <w:t> </w:t>
      </w:r>
      <w:r>
        <w:rPr>
          <w:spacing w:val="-83"/>
        </w:rPr>
      </w:r>
      <w:r>
        <w:rPr/>
        <w:t>差额，冲减资本公积，资本公积不足冲减的，冲减盈余公积和未分配利润。</w:t>
      </w:r>
    </w:p>
    <w:p>
      <w:pPr>
        <w:spacing w:line="240" w:lineRule="auto" w:before="1"/>
        <w:rPr>
          <w:rFonts w:ascii="宋体" w:hAnsi="宋体" w:cs="宋体" w:eastAsia="宋体" w:hint="default"/>
          <w:sz w:val="17"/>
          <w:szCs w:val="17"/>
        </w:rPr>
      </w:pPr>
    </w:p>
    <w:p>
      <w:pPr>
        <w:pStyle w:val="BodyText"/>
        <w:spacing w:line="240" w:lineRule="auto"/>
        <w:ind w:right="0"/>
        <w:jc w:val="both"/>
      </w:pPr>
      <w:r>
        <w:rPr/>
        <w:t>（3）限制性股票</w:t>
      </w:r>
    </w:p>
    <w:p>
      <w:pPr>
        <w:spacing w:line="240" w:lineRule="auto" w:before="5"/>
        <w:rPr>
          <w:rFonts w:ascii="宋体" w:hAnsi="宋体" w:cs="宋体" w:eastAsia="宋体" w:hint="default"/>
          <w:sz w:val="19"/>
          <w:szCs w:val="19"/>
        </w:rPr>
      </w:pPr>
    </w:p>
    <w:p>
      <w:pPr>
        <w:pStyle w:val="BodyText"/>
        <w:spacing w:line="273" w:lineRule="auto"/>
        <w:ind w:right="211"/>
        <w:jc w:val="both"/>
      </w:pPr>
      <w:r>
        <w:rPr>
          <w:spacing w:val="-1"/>
        </w:rPr>
        <w:t>股权激励计划中，本公司授予被激励对象限制性股票，被激励对象先认购股票，如果后续未达到股权激励</w:t>
      </w:r>
      <w:r>
        <w:rPr>
          <w:spacing w:val="-83"/>
        </w:rPr>
        <w:t> </w:t>
      </w:r>
      <w:r>
        <w:rPr>
          <w:spacing w:val="-83"/>
        </w:rPr>
      </w:r>
      <w:r>
        <w:rPr>
          <w:spacing w:val="-1"/>
        </w:rPr>
        <w:t>计划规定的解锁条件，则本公司按照事先约定的价格回购股票。向职工发行的限制性股票按有关规定履行</w:t>
      </w:r>
      <w:r>
        <w:rPr>
          <w:spacing w:val="-81"/>
        </w:rPr>
        <w:t> </w:t>
      </w:r>
      <w:r>
        <w:rPr>
          <w:spacing w:val="-81"/>
        </w:rPr>
      </w:r>
      <w:r>
        <w:rPr>
          <w:spacing w:val="-1"/>
        </w:rPr>
        <w:t>了注册登记等增资手续的，在授予日，本公司根据收到的职工缴纳的认股款确认股本和资本公积（股本溢</w:t>
      </w:r>
      <w:r>
        <w:rPr>
          <w:spacing w:val="-83"/>
        </w:rPr>
        <w:t> </w:t>
      </w:r>
      <w:r>
        <w:rPr>
          <w:spacing w:val="-83"/>
        </w:rPr>
      </w:r>
      <w:r>
        <w:rPr/>
        <w:t>价）；同时就回购义务确认库存股和其他应付款。</w:t>
      </w:r>
    </w:p>
    <w:p>
      <w:pPr>
        <w:spacing w:line="240" w:lineRule="auto" w:before="1"/>
        <w:rPr>
          <w:rFonts w:ascii="宋体" w:hAnsi="宋体" w:cs="宋体" w:eastAsia="宋体" w:hint="default"/>
          <w:sz w:val="17"/>
          <w:szCs w:val="17"/>
        </w:rPr>
      </w:pPr>
    </w:p>
    <w:p>
      <w:pPr>
        <w:pStyle w:val="BodyText"/>
        <w:spacing w:line="240" w:lineRule="auto"/>
        <w:ind w:right="0"/>
        <w:jc w:val="both"/>
      </w:pPr>
      <w:r>
        <w:rPr/>
        <w:t>（4）重大会计判断和估计</w:t>
      </w:r>
    </w:p>
    <w:p>
      <w:pPr>
        <w:spacing w:line="240" w:lineRule="auto" w:before="5"/>
        <w:rPr>
          <w:rFonts w:ascii="宋体" w:hAnsi="宋体" w:cs="宋体" w:eastAsia="宋体" w:hint="default"/>
          <w:sz w:val="19"/>
          <w:szCs w:val="19"/>
        </w:rPr>
      </w:pPr>
    </w:p>
    <w:p>
      <w:pPr>
        <w:pStyle w:val="BodyText"/>
        <w:spacing w:line="273" w:lineRule="auto"/>
        <w:ind w:right="102"/>
        <w:jc w:val="left"/>
      </w:pPr>
      <w:r>
        <w:rPr/>
        <w:t>本集团根据历史经验和其它因素，包括对未来事项的合理预期，对所采用的重要会计估计和关键假设进行 持续的评价。</w:t>
      </w:r>
    </w:p>
    <w:p>
      <w:pPr>
        <w:spacing w:line="240" w:lineRule="auto" w:before="1"/>
        <w:rPr>
          <w:rFonts w:ascii="宋体" w:hAnsi="宋体" w:cs="宋体" w:eastAsia="宋体" w:hint="default"/>
          <w:sz w:val="17"/>
          <w:szCs w:val="17"/>
        </w:rPr>
      </w:pPr>
    </w:p>
    <w:p>
      <w:pPr>
        <w:pStyle w:val="BodyText"/>
        <w:spacing w:line="240" w:lineRule="auto"/>
        <w:ind w:right="0"/>
        <w:jc w:val="both"/>
      </w:pPr>
      <w:r>
        <w:rPr/>
        <w:t>很可能导致下一会计年度资产和负债的账面价值出现重大调整风险的重要会计估计和关键假设列示如下：</w:t>
      </w:r>
    </w:p>
    <w:p>
      <w:pPr>
        <w:spacing w:line="240" w:lineRule="auto" w:before="5"/>
        <w:rPr>
          <w:rFonts w:ascii="宋体" w:hAnsi="宋体" w:cs="宋体" w:eastAsia="宋体" w:hint="default"/>
          <w:sz w:val="19"/>
          <w:szCs w:val="19"/>
        </w:rPr>
      </w:pPr>
    </w:p>
    <w:p>
      <w:pPr>
        <w:pStyle w:val="BodyText"/>
        <w:spacing w:line="240" w:lineRule="auto"/>
        <w:ind w:left="153" w:right="0"/>
        <w:jc w:val="both"/>
      </w:pPr>
      <w:r>
        <w:rPr/>
        <w:t>（5）商誉减值</w:t>
      </w:r>
    </w:p>
    <w:p>
      <w:pPr>
        <w:spacing w:line="240" w:lineRule="auto" w:before="5"/>
        <w:rPr>
          <w:rFonts w:ascii="宋体" w:hAnsi="宋体" w:cs="宋体" w:eastAsia="宋体" w:hint="default"/>
          <w:sz w:val="19"/>
          <w:szCs w:val="19"/>
        </w:rPr>
      </w:pPr>
    </w:p>
    <w:p>
      <w:pPr>
        <w:pStyle w:val="BodyText"/>
        <w:spacing w:line="273" w:lineRule="auto"/>
        <w:ind w:left="153" w:right="208"/>
        <w:jc w:val="left"/>
      </w:pPr>
      <w:r>
        <w:rPr>
          <w:spacing w:val="-1"/>
        </w:rPr>
        <w:t>本集团至少每年评估商誉是否发生减值。这要求对分配了商誉的资产组的使用价值进行估计。估计使用价</w:t>
      </w:r>
      <w:r>
        <w:rPr>
          <w:spacing w:val="-81"/>
        </w:rPr>
        <w:t> </w:t>
      </w:r>
      <w:r>
        <w:rPr>
          <w:spacing w:val="-81"/>
        </w:rPr>
      </w:r>
      <w:r>
        <w:rPr/>
        <w:t>值时，本集团需要估计未来来自资产组的现金流量，同时选择恰当的折现率计算未来现金流量的现值。</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（6）开发支出</w:t>
      </w:r>
    </w:p>
    <w:p>
      <w:pPr>
        <w:spacing w:line="240" w:lineRule="auto" w:before="5"/>
        <w:rPr>
          <w:rFonts w:ascii="宋体" w:hAnsi="宋体" w:cs="宋体" w:eastAsia="宋体" w:hint="default"/>
          <w:sz w:val="19"/>
          <w:szCs w:val="19"/>
        </w:rPr>
      </w:pPr>
    </w:p>
    <w:p>
      <w:pPr>
        <w:pStyle w:val="BodyText"/>
        <w:spacing w:line="273" w:lineRule="auto"/>
        <w:ind w:left="153" w:right="208"/>
        <w:jc w:val="left"/>
      </w:pPr>
      <w:r>
        <w:rPr>
          <w:spacing w:val="-1"/>
        </w:rPr>
        <w:t>确定资本化的金额时，管理层必须做出有关资产的预期未来现金的产生、应采用的折现率以及预计受益期</w:t>
      </w:r>
      <w:r>
        <w:rPr>
          <w:spacing w:val="-81"/>
        </w:rPr>
        <w:t> </w:t>
      </w:r>
      <w:r>
        <w:rPr>
          <w:spacing w:val="-81"/>
        </w:rPr>
      </w:r>
      <w:r>
        <w:rPr/>
        <w:t>间的假设。</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t>（7）递延所得税资产</w:t>
      </w:r>
    </w:p>
    <w:p>
      <w:pPr>
        <w:spacing w:line="240" w:lineRule="auto" w:before="5"/>
        <w:rPr>
          <w:rFonts w:ascii="宋体" w:hAnsi="宋体" w:cs="宋体" w:eastAsia="宋体" w:hint="default"/>
          <w:sz w:val="19"/>
          <w:szCs w:val="19"/>
        </w:rPr>
      </w:pPr>
    </w:p>
    <w:p>
      <w:pPr>
        <w:pStyle w:val="BodyText"/>
        <w:spacing w:line="273" w:lineRule="auto"/>
        <w:ind w:left="153" w:right="102"/>
        <w:jc w:val="left"/>
      </w:pPr>
      <w:r>
        <w:rPr/>
        <w:t>在很有可能有足够的应纳税利润来抵扣亏损的限度内，应就所有未利用的税务亏损确认递延所得税资产。</w:t>
      </w:r>
      <w:r>
        <w:rPr>
          <w:spacing w:val="-34"/>
        </w:rPr>
        <w:t> </w:t>
      </w:r>
      <w:r>
        <w:rPr>
          <w:spacing w:val="-34"/>
        </w:rPr>
      </w:r>
      <w:r>
        <w:rPr/>
        <w:t>这需要管理层运用大量的判断来估计未来应纳税利润发生的时间和金额，结合纳税筹划策略，以决定应确</w:t>
      </w:r>
      <w:r>
        <w:rPr/>
        <w:t> 认的递延所得税资产的金额。</w:t>
      </w:r>
    </w:p>
    <w:p>
      <w:pPr>
        <w:spacing w:after="0" w:line="273"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82" w:type="dxa"/>
        <w:tblLayout w:type="fixed"/>
        <w:tblCellMar>
          <w:top w:w="0" w:type="dxa"/>
          <w:left w:w="0" w:type="dxa"/>
          <w:bottom w:w="0" w:type="dxa"/>
          <w:right w:w="0" w:type="dxa"/>
        </w:tblCellMar>
        <w:tblLook w:val="01E0"/>
      </w:tblPr>
      <w:tblGrid>
        <w:gridCol w:w="5244"/>
        <w:gridCol w:w="2268"/>
        <w:gridCol w:w="2057"/>
      </w:tblGrid>
      <w:tr>
        <w:trPr>
          <w:trHeight w:val="401" w:hRule="exact"/>
        </w:trPr>
        <w:tc>
          <w:tcPr>
            <w:tcW w:w="5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37"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73" w:hRule="exact"/>
        </w:trPr>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持有待售的非流动资产、处置组和终</w:t>
            </w:r>
          </w:p>
        </w:tc>
        <w:tc>
          <w:tcPr>
            <w:tcW w:w="2268" w:type="dxa"/>
            <w:tcBorders>
              <w:top w:val="single" w:sz="4" w:space="0" w:color="000000"/>
              <w:left w:val="single" w:sz="4" w:space="0" w:color="000000"/>
              <w:bottom w:val="nil" w:sz="6" w:space="0" w:color="auto"/>
              <w:right w:val="single" w:sz="4" w:space="0" w:color="000000"/>
            </w:tcBorders>
          </w:tcPr>
          <w:p>
            <w:pPr/>
          </w:p>
        </w:tc>
        <w:tc>
          <w:tcPr>
            <w:tcW w:w="2057" w:type="dxa"/>
            <w:tcBorders>
              <w:top w:val="single" w:sz="4" w:space="0" w:color="000000"/>
              <w:left w:val="single" w:sz="4" w:space="0" w:color="000000"/>
              <w:bottom w:val="nil" w:sz="6" w:space="0" w:color="auto"/>
              <w:right w:val="single" w:sz="4" w:space="0" w:color="000000"/>
            </w:tcBorders>
          </w:tcPr>
          <w:p>
            <w:pPr/>
          </w:p>
        </w:tc>
      </w:tr>
      <w:tr>
        <w:trPr>
          <w:trHeight w:val="243" w:hRule="exact"/>
        </w:trPr>
        <w:tc>
          <w:tcPr>
            <w:tcW w:w="5244"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22" w:right="0"/>
              <w:jc w:val="left"/>
              <w:rPr>
                <w:rFonts w:ascii="宋体" w:hAnsi="宋体" w:cs="宋体" w:eastAsia="宋体" w:hint="default"/>
                <w:sz w:val="18"/>
                <w:szCs w:val="18"/>
              </w:rPr>
            </w:pPr>
            <w:r>
              <w:rPr>
                <w:rFonts w:ascii="宋体" w:hAnsi="宋体" w:cs="宋体" w:eastAsia="宋体" w:hint="default"/>
                <w:sz w:val="18"/>
                <w:szCs w:val="18"/>
              </w:rPr>
              <w:t>止经营》对于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日之后持有待售的非流动资产或处</w:t>
            </w:r>
          </w:p>
        </w:tc>
        <w:tc>
          <w:tcPr>
            <w:tcW w:w="2268"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、受影响报表项目：</w:t>
            </w:r>
          </w:p>
        </w:tc>
      </w:tr>
      <w:tr>
        <w:trPr>
          <w:trHeight w:val="969" w:hRule="exact"/>
        </w:trPr>
        <w:tc>
          <w:tcPr>
            <w:tcW w:w="5244"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置组的分类、计量和列报，以及终止经营的列报等进行了规定，</w:t>
            </w:r>
          </w:p>
          <w:p>
            <w:pPr>
              <w:pStyle w:val="TableParagraph"/>
              <w:spacing w:line="256" w:lineRule="auto"/>
              <w:ind w:left="22" w:right="169"/>
              <w:jc w:val="left"/>
              <w:rPr>
                <w:rFonts w:ascii="宋体" w:hAnsi="宋体" w:cs="宋体" w:eastAsia="宋体" w:hint="default"/>
                <w:sz w:val="18"/>
                <w:szCs w:val="18"/>
              </w:rPr>
            </w:pPr>
            <w:r>
              <w:rPr>
                <w:rFonts w:ascii="宋体" w:hAnsi="宋体" w:cs="宋体" w:eastAsia="宋体" w:hint="default"/>
                <w:sz w:val="18"/>
                <w:szCs w:val="18"/>
              </w:rPr>
              <w:t>并采用未来适用法进行处理；修改了财务报表的列报，在合并利 润表和利润表中分别列示持续经营损益和终止经营损益等。 对比较报表的列报进行了相应调整：对于当期列报的终止经营，</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02" w:lineRule="auto"/>
              <w:ind w:left="2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日第三届董 事会第二十五次会议审批</w:t>
            </w: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300" w:lineRule="auto" w:before="26"/>
              <w:ind w:left="24"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 </w:t>
            </w:r>
            <w:r>
              <w:rPr>
                <w:rFonts w:ascii="宋体" w:hAnsi="宋体" w:cs="宋体" w:eastAsia="宋体" w:hint="default"/>
                <w:spacing w:val="-8"/>
                <w:sz w:val="18"/>
                <w:szCs w:val="18"/>
              </w:rPr>
              <w:t>影响金额：无；（</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）终止</w:t>
            </w:r>
            <w:r>
              <w:rPr>
                <w:rFonts w:ascii="宋体" w:hAnsi="宋体" w:cs="宋体" w:eastAsia="宋体" w:hint="default"/>
                <w:spacing w:val="-84"/>
                <w:sz w:val="18"/>
                <w:szCs w:val="18"/>
              </w:rPr>
              <w:t> </w:t>
            </w:r>
            <w:r>
              <w:rPr>
                <w:rFonts w:ascii="宋体" w:hAnsi="宋体" w:cs="宋体" w:eastAsia="宋体" w:hint="default"/>
                <w:sz w:val="18"/>
                <w:szCs w:val="18"/>
              </w:rPr>
              <w:t>经营净利润，影响金额：</w:t>
            </w:r>
          </w:p>
        </w:tc>
      </w:tr>
      <w:tr>
        <w:trPr>
          <w:trHeight w:val="245" w:hRule="exact"/>
        </w:trPr>
        <w:tc>
          <w:tcPr>
            <w:tcW w:w="524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原来作为持续经营损益列报的信息重新在比较报表中作为终止经</w:t>
            </w:r>
          </w:p>
        </w:tc>
        <w:tc>
          <w:tcPr>
            <w:tcW w:w="2268"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68" w:hRule="exact"/>
        </w:trPr>
        <w:tc>
          <w:tcPr>
            <w:tcW w:w="5244"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营损益列报。</w:t>
            </w:r>
          </w:p>
        </w:tc>
        <w:tc>
          <w:tcPr>
            <w:tcW w:w="2268" w:type="dxa"/>
            <w:tcBorders>
              <w:top w:val="nil" w:sz="6" w:space="0" w:color="auto"/>
              <w:left w:val="single" w:sz="4" w:space="0" w:color="000000"/>
              <w:bottom w:val="single" w:sz="4" w:space="0" w:color="000000"/>
              <w:right w:val="single" w:sz="4" w:space="0" w:color="000000"/>
            </w:tcBorders>
          </w:tcPr>
          <w:p>
            <w:pPr/>
          </w:p>
        </w:tc>
        <w:tc>
          <w:tcPr>
            <w:tcW w:w="2057"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pacing w:val="-90"/>
                <w:sz w:val="18"/>
                <w:szCs w:val="18"/>
              </w:rPr>
              <w:t>）</w:t>
            </w:r>
            <w:r>
              <w:rPr>
                <w:rFonts w:ascii="宋体" w:hAnsi="宋体" w:cs="宋体" w:eastAsia="宋体" w:hint="default"/>
                <w:sz w:val="18"/>
                <w:szCs w:val="18"/>
              </w:rPr>
              <w:t>，政府补助的</w:t>
            </w:r>
          </w:p>
        </w:tc>
        <w:tc>
          <w:tcPr>
            <w:tcW w:w="2268" w:type="dxa"/>
            <w:tcBorders>
              <w:top w:val="single" w:sz="4" w:space="0" w:color="000000"/>
              <w:left w:val="single" w:sz="4" w:space="0" w:color="000000"/>
              <w:bottom w:val="nil" w:sz="6" w:space="0" w:color="auto"/>
              <w:right w:val="single" w:sz="4" w:space="0" w:color="000000"/>
            </w:tcBorders>
          </w:tcPr>
          <w:p>
            <w:pPr/>
          </w:p>
        </w:tc>
        <w:tc>
          <w:tcPr>
            <w:tcW w:w="2057" w:type="dxa"/>
            <w:tcBorders>
              <w:top w:val="single" w:sz="4" w:space="0" w:color="000000"/>
              <w:left w:val="single" w:sz="4" w:space="0" w:color="000000"/>
              <w:bottom w:val="nil" w:sz="6" w:space="0" w:color="auto"/>
              <w:right w:val="single" w:sz="4" w:space="0" w:color="000000"/>
            </w:tcBorders>
          </w:tcPr>
          <w:p>
            <w:pPr/>
          </w:p>
        </w:tc>
      </w:tr>
      <w:tr>
        <w:trPr>
          <w:trHeight w:val="239" w:hRule="exact"/>
        </w:trPr>
        <w:tc>
          <w:tcPr>
            <w:tcW w:w="52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会计处理方法从总额法改为允许采用净额法，将与资产相关的政</w:t>
            </w:r>
          </w:p>
        </w:tc>
        <w:tc>
          <w:tcPr>
            <w:tcW w:w="2268"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
        </w:tc>
      </w:tr>
      <w:tr>
        <w:trPr>
          <w:trHeight w:val="1668" w:hRule="exact"/>
        </w:trPr>
        <w:tc>
          <w:tcPr>
            <w:tcW w:w="5244" w:type="dxa"/>
            <w:tcBorders>
              <w:top w:val="nil" w:sz="6" w:space="0" w:color="auto"/>
              <w:left w:val="single" w:sz="4" w:space="0" w:color="000000"/>
              <w:bottom w:val="nil" w:sz="6" w:space="0" w:color="auto"/>
              <w:right w:val="single" w:sz="4" w:space="0" w:color="000000"/>
            </w:tcBorders>
          </w:tcPr>
          <w:p>
            <w:pPr>
              <w:pStyle w:val="TableParagraph"/>
              <w:spacing w:line="312" w:lineRule="auto" w:before="78"/>
              <w:ind w:left="22" w:right="35"/>
              <w:jc w:val="left"/>
              <w:rPr>
                <w:rFonts w:ascii="宋体" w:hAnsi="宋体" w:cs="宋体" w:eastAsia="宋体" w:hint="default"/>
                <w:sz w:val="18"/>
                <w:szCs w:val="18"/>
              </w:rPr>
            </w:pPr>
            <w:r>
              <w:rPr>
                <w:rFonts w:ascii="宋体" w:hAnsi="宋体" w:cs="宋体" w:eastAsia="宋体" w:hint="default"/>
                <w:sz w:val="18"/>
                <w:szCs w:val="18"/>
              </w:rPr>
              <w:t>府补助相关递延收益的摊销方式从在相关资产使用寿命内平均分 配改为按照合理、系统的方法分配，并修改了政府补助的列报项 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日尚未摊销完毕的政府补助和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年取得的政 府补助适用修订后的准则。</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对新的披露要求不需提供比较信息，不对比较报表中其他收益的</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00" w:lineRule="auto"/>
              <w:ind w:left="2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日第三届董 事会第十八次会议审批</w:t>
            </w: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宋体" w:hAnsi="宋体" w:cs="宋体" w:eastAsia="宋体" w:hint="default"/>
                <w:sz w:val="18"/>
                <w:szCs w:val="18"/>
              </w:rPr>
              <w:t>受影响报表项目</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）其</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他收益，影响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72,445,403.42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2" w:lineRule="auto" w:before="63"/>
              <w:ind w:left="24" w:right="89"/>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影响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金额</w:t>
            </w:r>
            <w:r>
              <w:rPr>
                <w:rFonts w:ascii="Times New Roman" w:hAnsi="Times New Roman" w:cs="Times New Roman" w:eastAsia="Times New Roman" w:hint="default"/>
                <w:sz w:val="18"/>
                <w:szCs w:val="18"/>
              </w:rPr>
              <w:t>-72,445,403.42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356" w:hRule="exact"/>
        </w:trPr>
        <w:tc>
          <w:tcPr>
            <w:tcW w:w="52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列报进行相应调整。</w:t>
            </w:r>
          </w:p>
        </w:tc>
        <w:tc>
          <w:tcPr>
            <w:tcW w:w="2268" w:type="dxa"/>
            <w:tcBorders>
              <w:top w:val="nil" w:sz="6" w:space="0" w:color="auto"/>
              <w:left w:val="single" w:sz="4" w:space="0" w:color="000000"/>
              <w:bottom w:val="single" w:sz="4" w:space="0" w:color="000000"/>
              <w:right w:val="single" w:sz="4" w:space="0" w:color="000000"/>
            </w:tcBorders>
          </w:tcPr>
          <w:p>
            <w:pPr/>
          </w:p>
        </w:tc>
        <w:tc>
          <w:tcPr>
            <w:tcW w:w="2057" w:type="dxa"/>
            <w:tcBorders>
              <w:top w:val="nil" w:sz="6" w:space="0" w:color="auto"/>
              <w:left w:val="single" w:sz="4" w:space="0" w:color="000000"/>
              <w:bottom w:val="single" w:sz="4" w:space="0" w:color="000000"/>
              <w:right w:val="single" w:sz="4" w:space="0" w:color="000000"/>
            </w:tcBorders>
          </w:tcPr>
          <w:p>
            <w:pPr/>
          </w:p>
        </w:tc>
      </w:tr>
      <w:tr>
        <w:trPr>
          <w:trHeight w:val="694" w:hRule="exact"/>
        </w:trPr>
        <w:tc>
          <w:tcPr>
            <w:tcW w:w="52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根据《关于修订印发一般企业财务报表格式的通知</w:t>
            </w:r>
            <w:r>
              <w:rPr>
                <w:rFonts w:ascii="宋体" w:hAnsi="宋体" w:cs="宋体" w:eastAsia="宋体" w:hint="default"/>
                <w:spacing w:val="-90"/>
                <w:sz w:val="18"/>
                <w:szCs w:val="18"/>
              </w:rPr>
              <w:t>》</w:t>
            </w:r>
            <w:r>
              <w:rPr>
                <w:rFonts w:ascii="宋体" w:hAnsi="宋体" w:cs="宋体" w:eastAsia="宋体" w:hint="default"/>
                <w:sz w:val="18"/>
                <w:szCs w:val="18"/>
              </w:rPr>
              <w:t>（财会</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在利润表中新增</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资产处置</w:t>
            </w:r>
            <w:r>
              <w:rPr>
                <w:rFonts w:ascii="宋体" w:hAnsi="宋体" w:cs="宋体" w:eastAsia="宋体" w:hint="default"/>
                <w:spacing w:val="1"/>
                <w:sz w:val="18"/>
                <w:szCs w:val="18"/>
              </w:rPr>
              <w:t>收</w:t>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行项目，反映企业</w:t>
            </w:r>
          </w:p>
        </w:tc>
        <w:tc>
          <w:tcPr>
            <w:tcW w:w="2268" w:type="dxa"/>
            <w:tcBorders>
              <w:top w:val="single" w:sz="4" w:space="0" w:color="000000"/>
              <w:left w:val="single" w:sz="4" w:space="0" w:color="000000"/>
              <w:bottom w:val="nil" w:sz="6" w:space="0" w:color="auto"/>
              <w:right w:val="single" w:sz="4" w:space="0" w:color="000000"/>
            </w:tcBorders>
          </w:tcPr>
          <w:p>
            <w:pPr/>
          </w:p>
        </w:tc>
        <w:tc>
          <w:tcPr>
            <w:tcW w:w="2057" w:type="dxa"/>
            <w:tcBorders>
              <w:top w:val="single" w:sz="4" w:space="0" w:color="000000"/>
              <w:left w:val="single" w:sz="4" w:space="0" w:color="000000"/>
              <w:bottom w:val="nil" w:sz="6" w:space="0" w:color="auto"/>
              <w:right w:val="single" w:sz="4" w:space="0" w:color="000000"/>
            </w:tcBorders>
          </w:tcPr>
          <w:p>
            <w:pPr>
              <w:pStyle w:val="TableParagraph"/>
              <w:spacing w:line="300" w:lineRule="auto" w:before="52"/>
              <w:ind w:left="24" w:right="4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受影响报表项目：（</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w:t>
            </w:r>
            <w:r>
              <w:rPr>
                <w:rFonts w:ascii="宋体" w:hAnsi="宋体" w:cs="宋体" w:eastAsia="宋体" w:hint="default"/>
                <w:spacing w:val="-84"/>
                <w:sz w:val="18"/>
                <w:szCs w:val="18"/>
              </w:rPr>
              <w:t> </w:t>
            </w:r>
            <w:r>
              <w:rPr>
                <w:rFonts w:ascii="宋体" w:hAnsi="宋体" w:cs="宋体" w:eastAsia="宋体" w:hint="default"/>
                <w:sz w:val="18"/>
                <w:szCs w:val="18"/>
              </w:rPr>
              <w:t>产处置损益，影响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tc>
      </w:tr>
      <w:tr>
        <w:trPr>
          <w:trHeight w:val="243" w:hRule="exact"/>
        </w:trPr>
        <w:tc>
          <w:tcPr>
            <w:tcW w:w="5244" w:type="dxa"/>
            <w:tcBorders>
              <w:top w:val="nil" w:sz="6" w:space="0" w:color="auto"/>
              <w:left w:val="single" w:sz="4" w:space="0" w:color="000000"/>
              <w:bottom w:val="nil" w:sz="6" w:space="0" w:color="auto"/>
              <w:right w:val="single" w:sz="4" w:space="0" w:color="000000"/>
            </w:tcBorders>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出售划分为持有待售的非流动资产（金融工具、长期股权投资和</w:t>
            </w:r>
          </w:p>
        </w:tc>
        <w:tc>
          <w:tcPr>
            <w:tcW w:w="2268"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年金额：</w:t>
            </w:r>
            <w:r>
              <w:rPr>
                <w:rFonts w:ascii="Times New Roman" w:hAnsi="Times New Roman" w:cs="Times New Roman" w:eastAsia="Times New Roman" w:hint="default"/>
                <w:sz w:val="18"/>
                <w:szCs w:val="18"/>
              </w:rPr>
              <w:t>3,433.41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24" w:hRule="exact"/>
        </w:trPr>
        <w:tc>
          <w:tcPr>
            <w:tcW w:w="5244" w:type="dxa"/>
            <w:tcBorders>
              <w:top w:val="nil" w:sz="6" w:space="0" w:color="auto"/>
              <w:left w:val="single" w:sz="4" w:space="0" w:color="000000"/>
              <w:bottom w:val="nil" w:sz="6" w:space="0" w:color="auto"/>
              <w:right w:val="single" w:sz="4" w:space="0" w:color="000000"/>
            </w:tcBorders>
          </w:tcPr>
          <w:p>
            <w:pPr>
              <w:pStyle w:val="TableParagraph"/>
              <w:spacing w:line="191"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投资性房地产除外）或处置组时确认的处置利得或损失，处置未</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划分为持有待售的固定资产、在建工程、生产性生物资产及无形</w:t>
            </w:r>
          </w:p>
        </w:tc>
        <w:tc>
          <w:tcPr>
            <w:tcW w:w="2268"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年度影响利润金额</w:t>
            </w:r>
          </w:p>
        </w:tc>
      </w:tr>
      <w:tr>
        <w:trPr>
          <w:trHeight w:val="935" w:hRule="exact"/>
        </w:trPr>
        <w:tc>
          <w:tcPr>
            <w:tcW w:w="5244" w:type="dxa"/>
            <w:tcBorders>
              <w:top w:val="nil" w:sz="6" w:space="0" w:color="auto"/>
              <w:left w:val="single" w:sz="4" w:space="0" w:color="000000"/>
              <w:bottom w:val="nil" w:sz="6" w:space="0" w:color="auto"/>
              <w:right w:val="single" w:sz="4" w:space="0" w:color="000000"/>
            </w:tcBorders>
          </w:tcPr>
          <w:p>
            <w:pPr>
              <w:pStyle w:val="TableParagraph"/>
              <w:spacing w:line="237" w:lineRule="auto" w:before="1"/>
              <w:ind w:left="22" w:right="169"/>
              <w:jc w:val="both"/>
              <w:rPr>
                <w:rFonts w:ascii="宋体" w:hAnsi="宋体" w:cs="宋体" w:eastAsia="宋体" w:hint="default"/>
                <w:sz w:val="18"/>
                <w:szCs w:val="18"/>
              </w:rPr>
            </w:pPr>
            <w:r>
              <w:rPr>
                <w:rFonts w:ascii="宋体" w:hAnsi="宋体" w:cs="宋体" w:eastAsia="宋体" w:hint="default"/>
                <w:sz w:val="18"/>
                <w:szCs w:val="18"/>
              </w:rPr>
              <w:t>资产而产生的处置利得或损失，以及债务重组中因处置非流动资 产产生的利得或损失和非货币性资产交换产生的利得或损失。相 应的删除“营业外收入”和“营业外支出”项下的“其中：非流 动资产处置利得”和“其中：非流动资产处置损失”项目，反映</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300" w:lineRule="auto" w:before="100"/>
              <w:ind w:left="23"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日第三届董 事会第二十五次会议审批</w:t>
            </w: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）营业外</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收入，影响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9,189.43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年度影</w:t>
            </w:r>
          </w:p>
        </w:tc>
      </w:tr>
      <w:tr>
        <w:trPr>
          <w:trHeight w:val="261" w:hRule="exact"/>
        </w:trPr>
        <w:tc>
          <w:tcPr>
            <w:tcW w:w="524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企业发生的营业利润以外的收益，主要包括债务重组利得或损</w:t>
            </w:r>
          </w:p>
        </w:tc>
        <w:tc>
          <w:tcPr>
            <w:tcW w:w="2268"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4" w:right="0"/>
              <w:jc w:val="left"/>
              <w:rPr>
                <w:rFonts w:ascii="宋体" w:hAnsi="宋体" w:cs="宋体" w:eastAsia="宋体" w:hint="default"/>
                <w:sz w:val="18"/>
                <w:szCs w:val="18"/>
              </w:rPr>
            </w:pPr>
            <w:r>
              <w:rPr>
                <w:rFonts w:ascii="宋体" w:hAnsi="宋体" w:cs="宋体" w:eastAsia="宋体" w:hint="default"/>
                <w:sz w:val="18"/>
                <w:szCs w:val="18"/>
              </w:rPr>
              <w:t>响利润金额</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250" w:hRule="exact"/>
        </w:trPr>
        <w:tc>
          <w:tcPr>
            <w:tcW w:w="5244"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失、与企业日常活动无关的政府补助、公益性捐赠支出、非常损</w:t>
            </w:r>
          </w:p>
        </w:tc>
        <w:tc>
          <w:tcPr>
            <w:tcW w:w="2268" w:type="dxa"/>
            <w:tcBorders>
              <w:top w:val="nil" w:sz="6" w:space="0" w:color="auto"/>
              <w:left w:val="single" w:sz="4" w:space="0" w:color="000000"/>
              <w:bottom w:val="nil" w:sz="6" w:space="0" w:color="auto"/>
              <w:right w:val="single" w:sz="4" w:space="0" w:color="000000"/>
            </w:tcBorders>
          </w:tcPr>
          <w:p>
            <w:pPr/>
          </w:p>
        </w:tc>
        <w:tc>
          <w:tcPr>
            <w:tcW w:w="2057" w:type="dxa"/>
            <w:tcBorders>
              <w:top w:val="nil" w:sz="6" w:space="0" w:color="auto"/>
              <w:left w:val="single" w:sz="4" w:space="0" w:color="000000"/>
              <w:bottom w:val="nil" w:sz="6" w:space="0" w:color="auto"/>
              <w:right w:val="single" w:sz="4" w:space="0" w:color="000000"/>
            </w:tcBorders>
          </w:tcPr>
          <w:p>
            <w:pPr>
              <w:pStyle w:val="TableParagraph"/>
              <w:spacing w:line="244"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）营业外支出，影响</w:t>
            </w:r>
          </w:p>
        </w:tc>
      </w:tr>
      <w:tr>
        <w:trPr>
          <w:trHeight w:val="716" w:hRule="exact"/>
        </w:trPr>
        <w:tc>
          <w:tcPr>
            <w:tcW w:w="5244" w:type="dxa"/>
            <w:tcBorders>
              <w:top w:val="nil" w:sz="6" w:space="0" w:color="auto"/>
              <w:left w:val="single" w:sz="4" w:space="0" w:color="000000"/>
              <w:bottom w:val="single" w:sz="4" w:space="0" w:color="000000"/>
              <w:right w:val="single" w:sz="4" w:space="0" w:color="000000"/>
            </w:tcBorders>
          </w:tcPr>
          <w:p>
            <w:pPr>
              <w:pStyle w:val="TableParagraph"/>
              <w:spacing w:line="190" w:lineRule="exact"/>
              <w:ind w:left="22" w:right="0"/>
              <w:jc w:val="left"/>
              <w:rPr>
                <w:rFonts w:ascii="宋体" w:hAnsi="宋体" w:cs="宋体" w:eastAsia="宋体" w:hint="default"/>
                <w:sz w:val="18"/>
                <w:szCs w:val="18"/>
              </w:rPr>
            </w:pPr>
            <w:r>
              <w:rPr>
                <w:rFonts w:ascii="宋体" w:hAnsi="宋体" w:cs="宋体" w:eastAsia="宋体" w:hint="default"/>
                <w:sz w:val="18"/>
                <w:szCs w:val="18"/>
              </w:rPr>
              <w:t>失、盘盈利得或损失、捐赠利得、流动资产毁损报废损失等。</w:t>
            </w:r>
          </w:p>
          <w:p>
            <w:pPr>
              <w:pStyle w:val="TableParagraph"/>
              <w:spacing w:line="240" w:lineRule="auto" w:before="37"/>
              <w:ind w:left="22" w:right="0"/>
              <w:jc w:val="left"/>
              <w:rPr>
                <w:rFonts w:ascii="宋体" w:hAnsi="宋体" w:cs="宋体" w:eastAsia="宋体" w:hint="default"/>
                <w:sz w:val="18"/>
                <w:szCs w:val="18"/>
              </w:rPr>
            </w:pPr>
            <w:r>
              <w:rPr>
                <w:rFonts w:ascii="宋体" w:hAnsi="宋体" w:cs="宋体" w:eastAsia="宋体" w:hint="default"/>
                <w:sz w:val="18"/>
                <w:szCs w:val="18"/>
              </w:rPr>
              <w:t>对比较报表的列报进行了相应调整。</w:t>
            </w:r>
          </w:p>
        </w:tc>
        <w:tc>
          <w:tcPr>
            <w:tcW w:w="2268" w:type="dxa"/>
            <w:tcBorders>
              <w:top w:val="nil" w:sz="6" w:space="0" w:color="auto"/>
              <w:left w:val="single" w:sz="4" w:space="0" w:color="000000"/>
              <w:bottom w:val="single" w:sz="4" w:space="0" w:color="000000"/>
              <w:right w:val="single" w:sz="4" w:space="0" w:color="000000"/>
            </w:tcBorders>
          </w:tcPr>
          <w:p>
            <w:pPr/>
          </w:p>
        </w:tc>
        <w:tc>
          <w:tcPr>
            <w:tcW w:w="20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r>
              <w:rPr>
                <w:rFonts w:ascii="Times New Roman" w:hAnsi="Times New Roman" w:cs="Times New Roman" w:eastAsia="Times New Roman" w:hint="default"/>
                <w:sz w:val="18"/>
                <w:szCs w:val="18"/>
              </w:rPr>
              <w:t>-5,756.02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年无影响利润</w:t>
            </w:r>
          </w:p>
        </w:tc>
      </w:tr>
    </w:tbl>
    <w:p>
      <w:pPr>
        <w:spacing w:line="240" w:lineRule="auto" w:before="4"/>
        <w:rPr>
          <w:rFonts w:ascii="宋体" w:hAnsi="宋体" w:cs="宋体" w:eastAsia="宋体" w:hint="default"/>
          <w:sz w:val="5"/>
          <w:szCs w:val="5"/>
        </w:rPr>
      </w:pPr>
    </w:p>
    <w:p>
      <w:pPr>
        <w:pStyle w:val="BodyText"/>
        <w:spacing w:line="240" w:lineRule="auto" w:before="35"/>
        <w:ind w:right="0"/>
        <w:jc w:val="left"/>
      </w:pPr>
      <w:r>
        <w:rPr/>
        <w:t>上述会计政策的对期初净资产、期末净资产、净利润、资本公积、其他综合收益均无影响数。</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484" w:lineRule="auto" w:before="35"/>
        <w:ind w:left="154" w:right="79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7"/>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厦门市美亚柏科信息股份有限公司北京分公司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厦门美亚柏科信息安全研究所有限公司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厦门安胜网络科技有限公司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无锡博盾信息科技有限公司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北京美亚宏数科技有限责任公司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北京国信宏数科技有限责任公司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北京美亚智讯信息技术有限公司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厦门美亚商鼎信息科技有限公司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厦门美亚天信会议服务有限公司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430" w:lineRule="atLeast" w:before="166"/>
        <w:ind w:left="153" w:right="0" w:firstLine="1"/>
        <w:jc w:val="left"/>
      </w:pPr>
      <w:r>
        <w:rPr/>
        <w:t>（1）增值税 </w:t>
      </w:r>
      <w:r>
        <w:rPr>
          <w:spacing w:val="-3"/>
        </w:rPr>
        <w:t>根据《国务院关于印发进一步鼓励软件产业和集成电路产业发展若干政策的通知》（国发〔2011〕4号）、</w:t>
      </w:r>
    </w:p>
    <w:p>
      <w:pPr>
        <w:pStyle w:val="BodyText"/>
        <w:spacing w:line="273" w:lineRule="auto" w:before="37"/>
        <w:ind w:left="153" w:right="0"/>
        <w:jc w:val="left"/>
      </w:pPr>
      <w:r>
        <w:rPr>
          <w:spacing w:val="-3"/>
        </w:rPr>
        <w:t>《关于软件产品增值税政策的通知》（财税[2011]100号）规定，对增值税一般纳税人销售其自行开发生产</w:t>
      </w:r>
      <w:r>
        <w:rPr>
          <w:spacing w:val="-84"/>
        </w:rPr>
        <w:t> </w:t>
      </w:r>
      <w:r>
        <w:rPr>
          <w:spacing w:val="-84"/>
        </w:rPr>
      </w:r>
      <w:r>
        <w:rPr/>
        <w:t>的软件产品，按17％的法定税率征收增值税后，对其增值税实际税负超过3％的部分实行即征即退政策。</w:t>
      </w:r>
    </w:p>
    <w:p>
      <w:pPr>
        <w:pStyle w:val="BodyText"/>
        <w:spacing w:line="273" w:lineRule="auto" w:before="127"/>
        <w:ind w:left="153" w:right="0"/>
        <w:jc w:val="left"/>
      </w:pPr>
      <w:r>
        <w:rPr>
          <w:spacing w:val="-1"/>
        </w:rPr>
        <w:t>根据《关于鼓励软件产业和集成电路产业发展有关税收政策问题的通知》（财税【2000】25号）规定，销</w:t>
      </w:r>
      <w:r>
        <w:rPr>
          <w:spacing w:val="-82"/>
        </w:rPr>
        <w:t> </w:t>
      </w:r>
      <w:r>
        <w:rPr>
          <w:spacing w:val="-82"/>
        </w:rPr>
      </w:r>
      <w:r>
        <w:rPr/>
        <w:t>售自行开发生产的软件产品，其增值税实际税负超过3％享受即征即退政策部分的所退税款，用于企业研</w:t>
      </w:r>
    </w:p>
    <w:p>
      <w:pPr>
        <w:spacing w:after="0" w:line="273"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究开发软件产品和扩大再生产，不作为企业所得税应税收入，不征收企业所得税。</w:t>
      </w:r>
    </w:p>
    <w:p>
      <w:pPr>
        <w:pStyle w:val="BodyText"/>
        <w:spacing w:line="240" w:lineRule="auto" w:before="157"/>
        <w:ind w:left="155" w:right="0"/>
        <w:jc w:val="both"/>
      </w:pPr>
      <w:r>
        <w:rPr/>
        <w:t>（2）企业所得税</w:t>
      </w:r>
    </w:p>
    <w:p>
      <w:pPr>
        <w:pStyle w:val="BodyText"/>
        <w:spacing w:line="273" w:lineRule="auto" w:before="157"/>
        <w:ind w:left="153" w:right="208"/>
        <w:jc w:val="both"/>
      </w:pPr>
      <w:r>
        <w:rPr/>
        <w:t>①2008</w:t>
      </w:r>
      <w:r>
        <w:rPr>
          <w:spacing w:val="23"/>
        </w:rPr>
        <w:t> </w:t>
      </w:r>
      <w:r>
        <w:rPr>
          <w:spacing w:val="-10"/>
        </w:rPr>
        <w:t>年9月，本公司经厦门市科学技术局、厦门市财政局、厦门市国税局、厦门市地税局以厦科联【2008】</w:t>
      </w:r>
      <w:r>
        <w:rPr>
          <w:spacing w:val="-103"/>
        </w:rPr>
        <w:t> </w:t>
      </w:r>
      <w:r>
        <w:rPr>
          <w:spacing w:val="-103"/>
        </w:rPr>
      </w:r>
      <w:r>
        <w:rPr/>
        <w:t>65</w:t>
      </w:r>
      <w:r>
        <w:rPr>
          <w:spacing w:val="-24"/>
        </w:rPr>
        <w:t> </w:t>
      </w:r>
      <w:r>
        <w:rPr/>
        <w:t>号文获得高新技术企业认定，高新技术企业证书认定有效期三年；2011年9月，本公司再次获得高新技</w:t>
      </w:r>
      <w:r>
        <w:rPr/>
        <w:t> </w:t>
      </w:r>
      <w:r>
        <w:rPr>
          <w:spacing w:val="-3"/>
        </w:rPr>
        <w:t>术企业认定，于2011年9月26日取得高新技术企业证书，认定有效期三年。根据国科火字【2015】28号文，</w:t>
      </w:r>
      <w:r>
        <w:rPr>
          <w:spacing w:val="-81"/>
        </w:rPr>
        <w:t> </w:t>
      </w:r>
      <w:r>
        <w:rPr>
          <w:spacing w:val="-81"/>
        </w:rPr>
      </w:r>
      <w:r>
        <w:rPr>
          <w:spacing w:val="-3"/>
        </w:rPr>
        <w:t>本公司再次获得高新技术企业认定，发证日期为2014年9月30日，证书编号GR201435100149；2017年10月10</w:t>
      </w:r>
      <w:r>
        <w:rPr>
          <w:spacing w:val="-69"/>
        </w:rPr>
        <w:t> </w:t>
      </w:r>
      <w:r>
        <w:rPr>
          <w:spacing w:val="-69"/>
        </w:rPr>
      </w:r>
      <w:r>
        <w:rPr>
          <w:spacing w:val="-1"/>
        </w:rPr>
        <w:t>日，本公司再次获得高新技术企业认定，证书编号：GR201735100074，本公司根据有关规定，高新技术企</w:t>
      </w:r>
      <w:r>
        <w:rPr>
          <w:spacing w:val="-77"/>
        </w:rPr>
        <w:t> </w:t>
      </w:r>
      <w:r>
        <w:rPr>
          <w:spacing w:val="-77"/>
        </w:rPr>
      </w:r>
      <w:r>
        <w:rPr/>
        <w:t>业享受减按15%的税率征收企业所得税。</w:t>
      </w:r>
    </w:p>
    <w:p>
      <w:pPr>
        <w:pStyle w:val="BodyText"/>
        <w:spacing w:line="273" w:lineRule="auto" w:before="127"/>
        <w:ind w:left="153" w:right="206"/>
        <w:jc w:val="both"/>
      </w:pPr>
      <w:r>
        <w:rPr>
          <w:spacing w:val="-9"/>
        </w:rPr>
        <w:t>根据《财税【2016】49号关于软件和集成电路产业企业所得税优惠政策有关问题的通知》，享受财税〔2012〕</w:t>
      </w:r>
      <w:r>
        <w:rPr>
          <w:spacing w:val="-79"/>
        </w:rPr>
        <w:t> </w:t>
      </w:r>
      <w:r>
        <w:rPr>
          <w:spacing w:val="-79"/>
        </w:rPr>
      </w:r>
      <w:r>
        <w:rPr>
          <w:spacing w:val="-5"/>
        </w:rPr>
        <w:t>27号文件规定的税收优惠政策的软件、集成电路企业，每年汇算清缴时应按照《国家税务总局关于发布〈企</w:t>
      </w:r>
      <w:r>
        <w:rPr>
          <w:spacing w:val="-99"/>
        </w:rPr>
        <w:t> </w:t>
      </w:r>
      <w:r>
        <w:rPr>
          <w:spacing w:val="-99"/>
        </w:rPr>
      </w:r>
      <w:r>
        <w:rPr>
          <w:spacing w:val="-1"/>
        </w:rPr>
        <w:t>业所得税优惠政策事项办理办法〉的公告》（国家税务总局公告2015年第76号）规定向税务机关备案，同</w:t>
      </w:r>
      <w:r>
        <w:rPr>
          <w:spacing w:val="-81"/>
        </w:rPr>
        <w:t> </w:t>
      </w:r>
      <w:r>
        <w:rPr>
          <w:spacing w:val="-81"/>
        </w:rPr>
      </w:r>
      <w:r>
        <w:rPr>
          <w:spacing w:val="-1"/>
        </w:rPr>
        <w:t>时提交《享受企业所得税优惠政策的软件和集成电路企业备案资料明细表》规定的备案资料。本公司申请</w:t>
      </w:r>
      <w:r>
        <w:rPr>
          <w:spacing w:val="-83"/>
        </w:rPr>
        <w:t> </w:t>
      </w:r>
      <w:r>
        <w:rPr>
          <w:spacing w:val="-83"/>
        </w:rPr>
      </w:r>
      <w:r>
        <w:rPr/>
        <w:t>的企业所得税减免备案事项已于2018年3月14日由厦门市地方税务局火炬高新技术产业开发区税务分局受</w:t>
      </w:r>
      <w:r>
        <w:rPr>
          <w:spacing w:val="-36"/>
        </w:rPr>
        <w:t> </w:t>
      </w:r>
      <w:r>
        <w:rPr>
          <w:spacing w:val="-36"/>
        </w:rPr>
      </w:r>
      <w:r>
        <w:rPr>
          <w:spacing w:val="-3"/>
        </w:rPr>
        <w:t>理，税务事项通知书《厦地税火通（2018）257号》本公司预计能够符合财税〔2012〕27号文件规定的税收</w:t>
      </w:r>
      <w:r>
        <w:rPr>
          <w:spacing w:val="-77"/>
        </w:rPr>
        <w:t> </w:t>
      </w:r>
      <w:r>
        <w:rPr>
          <w:spacing w:val="-77"/>
        </w:rPr>
      </w:r>
      <w:r>
        <w:rPr/>
        <w:t>优惠政策，故2017年度企业所得税按10%的税率确认。</w:t>
      </w:r>
    </w:p>
    <w:p>
      <w:pPr>
        <w:pStyle w:val="BodyText"/>
        <w:spacing w:line="273" w:lineRule="auto" w:before="127"/>
        <w:ind w:left="153" w:right="210"/>
        <w:jc w:val="both"/>
      </w:pPr>
      <w:r>
        <w:rPr>
          <w:spacing w:val="-3"/>
        </w:rPr>
        <w:t>②2014年9月30日，子公司美亚研究所经厦门市科学技术局、厦门市财政局、厦门市国家税务局、福建省厦</w:t>
      </w:r>
      <w:r>
        <w:rPr>
          <w:spacing w:val="-92"/>
        </w:rPr>
        <w:t> </w:t>
      </w:r>
      <w:r>
        <w:rPr>
          <w:spacing w:val="-92"/>
        </w:rPr>
      </w:r>
      <w:r>
        <w:rPr>
          <w:spacing w:val="-1"/>
        </w:rPr>
        <w:t>门市地方税务局认定为高新技术企业，证书编号：GR201435100154；2017年10月10日，美亚研究所再次获</w:t>
      </w:r>
      <w:r>
        <w:rPr>
          <w:spacing w:val="-77"/>
        </w:rPr>
        <w:t> </w:t>
      </w:r>
      <w:r>
        <w:rPr>
          <w:spacing w:val="-77"/>
        </w:rPr>
      </w:r>
      <w:r>
        <w:rPr/>
        <w:t>得高新技术企业认定，证书编号：GR201735100130，根据有关规定，</w:t>
      </w:r>
      <w:r>
        <w:rPr>
          <w:spacing w:val="-26"/>
        </w:rPr>
        <w:t> </w:t>
      </w:r>
      <w:r>
        <w:rPr/>
        <w:t>2017年度享受减按15%的税率征收企</w:t>
      </w:r>
      <w:r>
        <w:rPr/>
        <w:t> 业所得税。</w:t>
      </w:r>
    </w:p>
    <w:p>
      <w:pPr>
        <w:pStyle w:val="BodyText"/>
        <w:spacing w:line="273" w:lineRule="auto" w:before="127"/>
        <w:ind w:left="153" w:right="102"/>
        <w:jc w:val="left"/>
      </w:pPr>
      <w:r>
        <w:rPr/>
        <w:t>③2011年11月17日，子公司珠海新德汇经广东省科学技术厅、广东省财政厅、广东省国家税务局、广东省 </w:t>
      </w:r>
      <w:r>
        <w:rPr>
          <w:spacing w:val="-5"/>
        </w:rPr>
        <w:t>地方税务局认定为高新技术企业，证书编号：GR201144000598；2014年10月9日再次获得高新技术企业认定，</w:t>
      </w:r>
      <w:r>
        <w:rPr>
          <w:spacing w:val="-57"/>
        </w:rPr>
        <w:t> </w:t>
      </w:r>
      <w:r>
        <w:rPr>
          <w:spacing w:val="-57"/>
        </w:rPr>
      </w:r>
      <w:r>
        <w:rPr>
          <w:spacing w:val="-3"/>
        </w:rPr>
        <w:t>证书编号：GR201444000050；</w:t>
      </w:r>
      <w:r>
        <w:rPr>
          <w:spacing w:val="-53"/>
        </w:rPr>
        <w:t> </w:t>
      </w:r>
      <w:r>
        <w:rPr/>
        <w:t>2017年12月11日，广东省全国高新技术企业认定管理工作领导小组公示广东</w:t>
      </w:r>
      <w:r>
        <w:rPr/>
        <w:t> 省2017年第二批7528家企业拟认定高新技术企业名单，珠海新德汇在公示名单中，预计能在所得税汇算清 缴前取得高新企业证书，故2017年按15%的税率征收企业所得税</w:t>
      </w:r>
    </w:p>
    <w:p>
      <w:pPr>
        <w:pStyle w:val="BodyText"/>
        <w:spacing w:line="273" w:lineRule="auto" w:before="127"/>
        <w:ind w:left="153" w:right="208"/>
        <w:jc w:val="both"/>
      </w:pPr>
      <w:r>
        <w:rPr>
          <w:spacing w:val="-1"/>
        </w:rPr>
        <w:t>④2012年11月29日，子公司美亚中敏经厦门市科学技术局、厦门市财政局、厦门市国家税务局、厦门市地</w:t>
      </w:r>
      <w:r>
        <w:rPr>
          <w:spacing w:val="-82"/>
        </w:rPr>
        <w:t> </w:t>
      </w:r>
      <w:r>
        <w:rPr>
          <w:spacing w:val="-82"/>
        </w:rPr>
      </w:r>
      <w:r>
        <w:rPr>
          <w:spacing w:val="-6"/>
        </w:rPr>
        <w:t>方税务局认定为高新技术企业；2015年6月29日，再次获得高新技术企业认定，证书编号：GF201535100002，</w:t>
      </w:r>
      <w:r>
        <w:rPr/>
        <w:t> 根据有关规定，2017年度享受减按15%的税率征收企业所得税。</w:t>
      </w:r>
    </w:p>
    <w:p>
      <w:pPr>
        <w:pStyle w:val="BodyText"/>
        <w:spacing w:line="273" w:lineRule="auto" w:before="127"/>
        <w:ind w:left="170" w:right="210"/>
        <w:jc w:val="both"/>
      </w:pPr>
      <w:r>
        <w:rPr>
          <w:spacing w:val="-3"/>
        </w:rPr>
        <w:t>⑤2016年12月1日，子公司安胜科技经厦门市科学技术局、厦门市财政局、厦门市国家税务局、福建省厦门</w:t>
      </w:r>
      <w:r>
        <w:rPr>
          <w:spacing w:val="-103"/>
        </w:rPr>
        <w:t> </w:t>
      </w:r>
      <w:r>
        <w:rPr>
          <w:spacing w:val="-103"/>
        </w:rPr>
      </w:r>
      <w:r>
        <w:rPr/>
        <w:t>市地方税务局认定为高新技术企业，证书编号：GR201635100333，根据有关规定，</w:t>
      </w:r>
      <w:r>
        <w:rPr>
          <w:spacing w:val="-40"/>
        </w:rPr>
        <w:t> </w:t>
      </w:r>
      <w:r>
        <w:rPr/>
        <w:t>2017年度享受减按15%</w:t>
      </w:r>
      <w:r>
        <w:rPr/>
        <w:t> 的税率征收企业所得税。</w:t>
      </w:r>
    </w:p>
    <w:p>
      <w:pPr>
        <w:spacing w:line="240" w:lineRule="auto" w:before="1"/>
        <w:rPr>
          <w:rFonts w:ascii="宋体" w:hAnsi="宋体" w:cs="宋体" w:eastAsia="宋体" w:hint="default"/>
          <w:sz w:val="17"/>
          <w:szCs w:val="17"/>
        </w:rPr>
      </w:pPr>
    </w:p>
    <w:p>
      <w:pPr>
        <w:pStyle w:val="BodyText"/>
        <w:spacing w:line="273" w:lineRule="auto"/>
        <w:ind w:left="153" w:right="209"/>
        <w:jc w:val="both"/>
      </w:pPr>
      <w:r>
        <w:rPr>
          <w:spacing w:val="-7"/>
        </w:rPr>
        <w:t>2017年5月26日，子公司安胜科技取得厦门市软件行业协会颁发的“厦RQ-2017-0053号”《软件企业证书》，</w:t>
      </w:r>
      <w:r>
        <w:rPr>
          <w:spacing w:val="-58"/>
        </w:rPr>
        <w:t> </w:t>
      </w:r>
      <w:r>
        <w:rPr>
          <w:spacing w:val="-58"/>
        </w:rPr>
      </w:r>
      <w:r>
        <w:rPr>
          <w:spacing w:val="-9"/>
        </w:rPr>
        <w:t>被认定为软件企业。根据《关于鼓励软件产业和集成电路产业发展有关税收政策问题的通知》（财税【2000】</w:t>
      </w:r>
      <w:r>
        <w:rPr>
          <w:spacing w:val="-100"/>
        </w:rPr>
        <w:t> </w:t>
      </w:r>
      <w:r>
        <w:rPr>
          <w:spacing w:val="-100"/>
        </w:rPr>
      </w:r>
      <w:r>
        <w:rPr>
          <w:spacing w:val="-1"/>
        </w:rPr>
        <w:t>25号）规定，对新办集成电路设计企业和符合条件的软件企业，经认定后，自获利年度起，享受企业所得</w:t>
      </w:r>
      <w:r>
        <w:rPr>
          <w:spacing w:val="-84"/>
        </w:rPr>
        <w:t> </w:t>
      </w:r>
      <w:r>
        <w:rPr>
          <w:spacing w:val="-84"/>
        </w:rPr>
      </w:r>
      <w:r>
        <w:rPr/>
        <w:t>税“两免三减半”优惠政策。2015年为首个获利年度，2017年度享受减按12.5%的税率征收企业所得税。</w:t>
      </w:r>
    </w:p>
    <w:p>
      <w:pPr>
        <w:pStyle w:val="BodyText"/>
        <w:spacing w:line="273" w:lineRule="auto" w:before="127"/>
        <w:ind w:left="153" w:right="208" w:hanging="1"/>
        <w:jc w:val="both"/>
      </w:pPr>
      <w:r>
        <w:rPr>
          <w:spacing w:val="-3"/>
        </w:rPr>
        <w:t>⑥2014年11月28日，子公司武汉大千取得湖北省经济和信息化委员会“鄂R-2014-0457号”《软件企业认定</w:t>
      </w:r>
      <w:r>
        <w:rPr>
          <w:spacing w:val="-73"/>
        </w:rPr>
        <w:t> </w:t>
      </w:r>
      <w:r>
        <w:rPr>
          <w:spacing w:val="-73"/>
        </w:rPr>
      </w:r>
      <w:r>
        <w:rPr>
          <w:spacing w:val="-5"/>
        </w:rPr>
        <w:t>证书》，被认定为软件企业。根据《关于鼓励软件产业和集成电路产业发展有关税收政策问题的通知》（财</w:t>
      </w:r>
      <w:r>
        <w:rPr/>
        <w:t> </w:t>
      </w:r>
      <w:r>
        <w:rPr>
          <w:spacing w:val="-1"/>
        </w:rPr>
        <w:t>税【2000】25号）规定，对新办集成电路设计企业和符合条件的软件企业，经认定后，自获利年度起，享</w:t>
      </w:r>
      <w:r>
        <w:rPr>
          <w:spacing w:val="-84"/>
        </w:rPr>
        <w:t> </w:t>
      </w:r>
      <w:r>
        <w:rPr>
          <w:spacing w:val="-84"/>
        </w:rPr>
      </w:r>
      <w:r>
        <w:rPr>
          <w:spacing w:val="-3"/>
        </w:rPr>
        <w:t>受企业所得税“两免三减半”优惠政策。2014年为首个获利年度，2017年度享受减按12.5%的税率征收企业</w:t>
      </w:r>
      <w:r>
        <w:rPr>
          <w:spacing w:val="-83"/>
        </w:rPr>
        <w:t> </w:t>
      </w:r>
      <w:r>
        <w:rPr>
          <w:spacing w:val="-83"/>
        </w:rPr>
      </w:r>
      <w:r>
        <w:rPr/>
        <w:t>所得税。</w:t>
      </w:r>
    </w:p>
    <w:p>
      <w:pPr>
        <w:pStyle w:val="BodyText"/>
        <w:spacing w:line="240" w:lineRule="auto" w:before="127"/>
        <w:ind w:left="153" w:right="0"/>
        <w:jc w:val="both"/>
      </w:pPr>
      <w:r>
        <w:rPr/>
        <w:t>⑦2</w:t>
      </w:r>
      <w:r>
        <w:rPr>
          <w:spacing w:val="-1"/>
        </w:rPr>
        <w:t>0</w:t>
      </w:r>
      <w:r>
        <w:rPr/>
        <w:t>15</w:t>
      </w:r>
      <w:r>
        <w:rPr>
          <w:spacing w:val="-2"/>
        </w:rPr>
        <w:t>年</w:t>
      </w:r>
      <w:r>
        <w:rPr/>
        <w:t>1</w:t>
      </w:r>
      <w:r>
        <w:rPr>
          <w:spacing w:val="-1"/>
        </w:rPr>
        <w:t>1</w:t>
      </w:r>
      <w:r>
        <w:rPr/>
        <w:t>月23日</w:t>
      </w:r>
      <w:r>
        <w:rPr>
          <w:spacing w:val="-85"/>
        </w:rPr>
        <w:t>，</w:t>
      </w:r>
      <w:r>
        <w:rPr/>
        <w:t>子</w:t>
      </w:r>
      <w:r>
        <w:rPr>
          <w:spacing w:val="-2"/>
        </w:rPr>
        <w:t>公</w:t>
      </w:r>
      <w:r>
        <w:rPr/>
        <w:t>司江苏税软经江苏省科技厅认定为高新技术企业</w:t>
      </w:r>
      <w:r>
        <w:rPr>
          <w:spacing w:val="-84"/>
        </w:rPr>
        <w:t>，</w:t>
      </w:r>
      <w:r>
        <w:rPr/>
        <w:t>证书编</w:t>
      </w:r>
      <w:r>
        <w:rPr>
          <w:spacing w:val="-84"/>
        </w:rPr>
        <w:t>号</w:t>
      </w:r>
      <w:r>
        <w:rPr>
          <w:spacing w:val="-1"/>
        </w:rPr>
        <w:t>“</w:t>
      </w:r>
      <w:r>
        <w:rPr/>
        <w:t>C</w:t>
      </w:r>
      <w:r>
        <w:rPr>
          <w:spacing w:val="-1"/>
        </w:rPr>
        <w:t>Q</w:t>
      </w:r>
      <w:r>
        <w:rPr/>
        <w:t>2</w:t>
      </w:r>
      <w:r>
        <w:rPr>
          <w:spacing w:val="-1"/>
        </w:rPr>
        <w:t>0</w:t>
      </w:r>
      <w:r>
        <w:rPr/>
        <w:t>1</w:t>
      </w:r>
      <w:r>
        <w:rPr>
          <w:spacing w:val="-1"/>
        </w:rPr>
        <w:t>5</w:t>
      </w:r>
      <w:r>
        <w:rPr/>
        <w:t>3</w:t>
      </w:r>
      <w:r>
        <w:rPr>
          <w:spacing w:val="-1"/>
        </w:rPr>
        <w:t>2</w:t>
      </w:r>
      <w:r>
        <w:rPr/>
        <w:t>0</w:t>
      </w:r>
      <w:r>
        <w:rPr>
          <w:spacing w:val="-1"/>
        </w:rPr>
        <w:t>2</w:t>
      </w:r>
      <w:r>
        <w:rPr/>
        <w:t>0</w:t>
      </w:r>
      <w:r>
        <w:rPr>
          <w:spacing w:val="-1"/>
        </w:rPr>
        <w:t>1</w:t>
      </w:r>
      <w:r>
        <w:rPr/>
        <w:t>0</w:t>
      </w:r>
      <w:r>
        <w:rPr>
          <w:spacing w:val="-1"/>
        </w:rPr>
        <w:t>1</w:t>
      </w:r>
      <w:r>
        <w:rPr/>
        <w:t>01</w:t>
      </w:r>
      <w:r>
        <w:rPr>
          <w:spacing w:val="-86"/>
        </w:rPr>
        <w:t>”</w:t>
      </w:r>
      <w:r>
        <w:rPr/>
        <w:t>，</w:t>
      </w:r>
    </w:p>
    <w:p>
      <w:pPr>
        <w:spacing w:after="0" w:line="240" w:lineRule="auto"/>
        <w:jc w:val="both"/>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有效期三年；根据有关规定，高新技术企业享受减按15%的税率征收企业所得税。</w:t>
      </w:r>
    </w:p>
    <w:p>
      <w:pPr>
        <w:pStyle w:val="BodyText"/>
        <w:spacing w:line="273" w:lineRule="auto" w:before="157"/>
        <w:ind w:left="153" w:right="148"/>
        <w:jc w:val="both"/>
      </w:pPr>
      <w:r>
        <w:rPr>
          <w:spacing w:val="-3"/>
        </w:rPr>
        <w:t>⑧2016年11月30日，子公司无锡博盾通过了江苏省软件行业协会软件企业认证，取得“苏RQ-2016-B0264”</w:t>
      </w:r>
      <w:r>
        <w:rPr>
          <w:spacing w:val="-65"/>
        </w:rPr>
        <w:t> </w:t>
      </w:r>
      <w:r>
        <w:rPr>
          <w:spacing w:val="-65"/>
        </w:rPr>
      </w:r>
      <w:r>
        <w:rPr/>
        <w:t>软件企业证书。</w:t>
      </w:r>
    </w:p>
    <w:p>
      <w:pPr>
        <w:pStyle w:val="BodyText"/>
        <w:spacing w:line="273" w:lineRule="auto" w:before="127"/>
        <w:ind w:left="153" w:right="148"/>
        <w:jc w:val="both"/>
      </w:pPr>
      <w:r>
        <w:rPr>
          <w:spacing w:val="-5"/>
        </w:rPr>
        <w:t>根据《关于进一步鼓励软件产业和集成电路产业发展企业所得税政策的通知》（财税【2012】27号）规定，</w:t>
      </w:r>
      <w:r>
        <w:rPr>
          <w:spacing w:val="-91"/>
        </w:rPr>
        <w:t> </w:t>
      </w:r>
      <w:r>
        <w:rPr>
          <w:spacing w:val="-91"/>
        </w:rPr>
      </w:r>
      <w:r>
        <w:rPr>
          <w:spacing w:val="-1"/>
        </w:rPr>
        <w:t>对新办集成电路设计企业和符合条件的软件企业，经认定后，在2017年12月31日前自获利年度起，享受企</w:t>
      </w:r>
      <w:r>
        <w:rPr>
          <w:spacing w:val="-83"/>
        </w:rPr>
        <w:t> </w:t>
      </w:r>
      <w:r>
        <w:rPr>
          <w:spacing w:val="-83"/>
        </w:rPr>
      </w:r>
      <w:r>
        <w:rPr/>
        <w:t>业所得税“两免三减半”优惠政策。无锡博盾尚未盈利，尚未开始享受两免三减半政策。</w:t>
      </w:r>
    </w:p>
    <w:p>
      <w:pPr>
        <w:spacing w:line="240" w:lineRule="auto" w:before="1"/>
        <w:rPr>
          <w:rFonts w:ascii="宋体" w:hAnsi="宋体" w:cs="宋体" w:eastAsia="宋体" w:hint="default"/>
          <w:sz w:val="17"/>
          <w:szCs w:val="17"/>
        </w:rPr>
      </w:pPr>
    </w:p>
    <w:p>
      <w:pPr>
        <w:pStyle w:val="BodyText"/>
        <w:spacing w:line="273" w:lineRule="auto"/>
        <w:ind w:left="153" w:right="150"/>
        <w:jc w:val="both"/>
      </w:pPr>
      <w:r>
        <w:rPr>
          <w:spacing w:val="-1"/>
        </w:rPr>
        <w:t>⑨2017年10月25日，子公司国信宏数经北京市科学技术委员会、北京市财政局、北京市国家税务局、北京</w:t>
      </w:r>
      <w:r>
        <w:rPr>
          <w:spacing w:val="-82"/>
        </w:rPr>
        <w:t> </w:t>
      </w:r>
      <w:r>
        <w:rPr>
          <w:spacing w:val="-82"/>
        </w:rPr>
      </w:r>
      <w:r>
        <w:rPr>
          <w:spacing w:val="-1"/>
        </w:rPr>
        <w:t>市地方税务局认定为高新技术企业，证书编号GR201711003458”，有效期三年；根据有关规定，高新技术</w:t>
      </w:r>
      <w:r>
        <w:rPr>
          <w:spacing w:val="-77"/>
        </w:rPr>
        <w:t> </w:t>
      </w:r>
      <w:r>
        <w:rPr>
          <w:spacing w:val="-77"/>
        </w:rPr>
      </w:r>
      <w:r>
        <w:rPr/>
        <w:t>企业享受减按15%的税率征收企业所得税。</w:t>
      </w:r>
    </w:p>
    <w:p>
      <w:pPr>
        <w:spacing w:line="240" w:lineRule="auto" w:before="7"/>
        <w:rPr>
          <w:rFonts w:ascii="宋体" w:hAnsi="宋体" w:cs="宋体" w:eastAsia="宋体" w:hint="default"/>
          <w:sz w:val="23"/>
          <w:szCs w:val="23"/>
        </w:rPr>
      </w:pPr>
    </w:p>
    <w:p>
      <w:pPr>
        <w:spacing w:line="484" w:lineRule="auto" w:before="0"/>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1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31,434.34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46,217.77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1,049,715,981.21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951,006,632.84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34,886,112.95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17,318,965.24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1,084,633,528.50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968,371,815.85</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73" w:lineRule="auto"/>
        <w:ind w:left="153" w:right="0"/>
        <w:jc w:val="left"/>
      </w:pPr>
      <w:r>
        <w:rPr>
          <w:spacing w:val="-3"/>
        </w:rPr>
        <w:t>（1）银行存款年末余额1,049,715,981.21元，其中定期存款796,107,419.29元，在编制现金流量表时不作</w:t>
      </w:r>
      <w:r>
        <w:rPr>
          <w:spacing w:val="-77"/>
        </w:rPr>
        <w:t> </w:t>
      </w:r>
      <w:r>
        <w:rPr>
          <w:spacing w:val="-77"/>
        </w:rPr>
      </w:r>
      <w:r>
        <w:rPr/>
        <w:t>为现金及现金等价物。</w:t>
      </w:r>
    </w:p>
    <w:p>
      <w:pPr>
        <w:spacing w:line="240" w:lineRule="auto" w:before="1"/>
        <w:rPr>
          <w:rFonts w:ascii="宋体" w:hAnsi="宋体" w:cs="宋体" w:eastAsia="宋体" w:hint="default"/>
          <w:sz w:val="17"/>
          <w:szCs w:val="17"/>
        </w:rPr>
      </w:pPr>
    </w:p>
    <w:p>
      <w:pPr>
        <w:pStyle w:val="BodyText"/>
        <w:spacing w:line="273" w:lineRule="auto"/>
        <w:ind w:left="153" w:right="147"/>
        <w:jc w:val="both"/>
      </w:pPr>
      <w:r>
        <w:rPr/>
        <w:t>（2）其他货币资金年末余额34,886,112.95元，其中保函保证金28,349,567.29元，银行承兑汇票保证金</w:t>
      </w:r>
      <w:r>
        <w:rPr>
          <w:spacing w:val="-46"/>
        </w:rPr>
        <w:t> </w:t>
      </w:r>
      <w:r>
        <w:rPr>
          <w:spacing w:val="-46"/>
        </w:rPr>
      </w:r>
      <w:r>
        <w:rPr>
          <w:spacing w:val="-1"/>
        </w:rPr>
        <w:t>6,170,800.00元，在编制现金流量表时不作为现金及现金等价物。除此以外，截至2017年12月31日止，本</w:t>
      </w:r>
      <w:r>
        <w:rPr>
          <w:spacing w:val="-72"/>
        </w:rPr>
        <w:t> </w:t>
      </w:r>
      <w:r>
        <w:rPr>
          <w:spacing w:val="-72"/>
        </w:rPr>
      </w:r>
      <w:r>
        <w:rPr/>
        <w:t>集团不存在抵押、质押或冻结、或存放在境外且资金汇回受到限制的款项。</w:t>
      </w:r>
    </w:p>
    <w:p>
      <w:pPr>
        <w:spacing w:line="240" w:lineRule="auto" w:before="7"/>
        <w:rPr>
          <w:rFonts w:ascii="宋体" w:hAnsi="宋体" w:cs="宋体" w:eastAsia="宋体" w:hint="default"/>
          <w:sz w:val="23"/>
          <w:szCs w:val="23"/>
        </w:rPr>
      </w:pPr>
    </w:p>
    <w:p>
      <w:pPr>
        <w:pStyle w:val="Heading3"/>
        <w:spacing w:line="240" w:lineRule="auto"/>
        <w:ind w:left="153" w:right="0"/>
        <w:jc w:val="both"/>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335,945.60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332,100.00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335,945.60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332,100.00</w:t>
            </w:r>
          </w:p>
        </w:tc>
      </w:tr>
    </w:tbl>
    <w:p>
      <w:pPr>
        <w:spacing w:line="240" w:lineRule="auto" w:before="1"/>
        <w:rPr>
          <w:rFonts w:ascii="宋体" w:hAnsi="宋体" w:cs="宋体" w:eastAsia="宋体" w:hint="default"/>
          <w:sz w:val="19"/>
          <w:szCs w:val="19"/>
        </w:rPr>
      </w:pPr>
    </w:p>
    <w:p>
      <w:pPr>
        <w:pStyle w:val="Heading3"/>
        <w:spacing w:line="506" w:lineRule="auto" w:before="35"/>
        <w:ind w:right="6713"/>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）期末公司已质押的应收票据</w:t>
      </w:r>
      <w:r>
        <w:rPr>
          <w:spacing w:val="1"/>
          <w:w w:val="99"/>
        </w:rPr>
        <w:t> </w:t>
      </w:r>
      <w:r>
        <w:rPr>
          <w:rFonts w:ascii="宋体" w:hAnsi="宋体" w:cs="宋体" w:eastAsia="宋体" w:hint="default"/>
          <w:b w:val="0"/>
          <w:bCs w:val="0"/>
        </w:rPr>
        <w:t>不适用</w:t>
      </w:r>
    </w:p>
    <w:p>
      <w:pPr>
        <w:pStyle w:val="Heading3"/>
        <w:spacing w:line="506" w:lineRule="auto" w:before="104"/>
        <w:ind w:right="3551"/>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spacing w:val="1"/>
          <w:w w:val="99"/>
        </w:rPr>
        <w:t> </w:t>
      </w:r>
      <w:r>
        <w:rPr>
          <w:rFonts w:ascii="宋体" w:hAnsi="宋体" w:cs="宋体" w:eastAsia="宋体" w:hint="default"/>
          <w:b w:val="0"/>
          <w:bCs w:val="0"/>
        </w:rPr>
        <w:t>不适用</w:t>
      </w:r>
    </w:p>
    <w:p>
      <w:pPr>
        <w:pStyle w:val="Heading3"/>
        <w:spacing w:line="506" w:lineRule="auto" w:before="104"/>
        <w:ind w:right="4605"/>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）期末公司因出票人未履约而将其转应收账款的票据</w:t>
      </w:r>
      <w:r>
        <w:rPr>
          <w:spacing w:val="1"/>
          <w:w w:val="99"/>
        </w:rPr>
        <w:t> </w:t>
      </w:r>
      <w:r>
        <w:rPr>
          <w:rFonts w:ascii="宋体" w:hAnsi="宋体" w:cs="宋体" w:eastAsia="宋体" w:hint="default"/>
          <w:b w:val="0"/>
          <w:bCs w:val="0"/>
        </w:rPr>
        <w:t>不适用</w:t>
      </w:r>
    </w:p>
    <w:p>
      <w:pPr>
        <w:pStyle w:val="Heading3"/>
        <w:spacing w:line="240" w:lineRule="auto" w:before="104"/>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633"/>
        <w:gridCol w:w="763"/>
        <w:gridCol w:w="762"/>
        <w:gridCol w:w="762"/>
        <w:gridCol w:w="763"/>
        <w:gridCol w:w="788"/>
        <w:gridCol w:w="654"/>
        <w:gridCol w:w="762"/>
        <w:gridCol w:w="814"/>
        <w:gridCol w:w="932"/>
        <w:gridCol w:w="931"/>
      </w:tblGrid>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4,383,00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4,383,00</w:t>
            </w:r>
          </w:p>
          <w:p>
            <w:pPr>
              <w:pStyle w:val="TableParagraph"/>
              <w:spacing w:line="240" w:lineRule="auto" w:before="106"/>
              <w:ind w:left="414"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388,646,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898.74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48,716,4</w:t>
            </w:r>
          </w:p>
          <w:p>
            <w:pPr>
              <w:pStyle w:val="TableParagraph"/>
              <w:spacing w:line="240" w:lineRule="auto" w:before="106"/>
              <w:ind w:left="324" w:right="0"/>
              <w:jc w:val="left"/>
              <w:rPr>
                <w:rFonts w:ascii="Times New Roman" w:hAnsi="Times New Roman" w:cs="Times New Roman" w:eastAsia="Times New Roman" w:hint="default"/>
                <w:sz w:val="18"/>
                <w:szCs w:val="18"/>
              </w:rPr>
            </w:pPr>
            <w:r>
              <w:rPr>
                <w:rFonts w:ascii="Times New Roman"/>
                <w:sz w:val="18"/>
              </w:rPr>
              <w:t>33.58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339,930,4</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65.16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304,230</w:t>
            </w:r>
          </w:p>
          <w:p>
            <w:pPr>
              <w:pStyle w:val="TableParagraph"/>
              <w:spacing w:line="240" w:lineRule="auto" w:before="106"/>
              <w:ind w:left="81" w:right="0"/>
              <w:jc w:val="left"/>
              <w:rPr>
                <w:rFonts w:ascii="Times New Roman" w:hAnsi="Times New Roman" w:cs="Times New Roman" w:eastAsia="Times New Roman" w:hint="default"/>
                <w:sz w:val="18"/>
                <w:szCs w:val="18"/>
              </w:rPr>
            </w:pPr>
            <w:r>
              <w:rPr>
                <w:rFonts w:ascii="Times New Roman"/>
                <w:sz w:val="18"/>
              </w:rPr>
              <w:t>,922.83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41,050,33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263,180,58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5.91</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393,064,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898.74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53,134,4</w:t>
            </w:r>
          </w:p>
          <w:p>
            <w:pPr>
              <w:pStyle w:val="TableParagraph"/>
              <w:spacing w:line="240" w:lineRule="auto" w:before="106"/>
              <w:ind w:left="324" w:right="0"/>
              <w:jc w:val="left"/>
              <w:rPr>
                <w:rFonts w:ascii="Times New Roman" w:hAnsi="Times New Roman" w:cs="Times New Roman" w:eastAsia="Times New Roman" w:hint="default"/>
                <w:sz w:val="18"/>
                <w:szCs w:val="18"/>
              </w:rPr>
            </w:pPr>
            <w:r>
              <w:rPr>
                <w:rFonts w:ascii="Times New Roman"/>
                <w:sz w:val="18"/>
              </w:rPr>
              <w:t>33.58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339,930,4</w:t>
            </w:r>
          </w:p>
          <w:p>
            <w:pPr>
              <w:pStyle w:val="TableParagraph"/>
              <w:spacing w:line="240" w:lineRule="auto" w:before="106"/>
              <w:ind w:left="351" w:right="0"/>
              <w:jc w:val="left"/>
              <w:rPr>
                <w:rFonts w:ascii="Times New Roman" w:hAnsi="Times New Roman" w:cs="Times New Roman" w:eastAsia="Times New Roman" w:hint="default"/>
                <w:sz w:val="18"/>
                <w:szCs w:val="18"/>
              </w:rPr>
            </w:pPr>
            <w:r>
              <w:rPr>
                <w:rFonts w:ascii="Times New Roman"/>
                <w:sz w:val="18"/>
              </w:rPr>
              <w:t>65.16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304,230</w:t>
            </w:r>
          </w:p>
          <w:p>
            <w:pPr>
              <w:pStyle w:val="TableParagraph"/>
              <w:spacing w:line="240" w:lineRule="auto" w:before="106"/>
              <w:ind w:left="81" w:right="0"/>
              <w:jc w:val="left"/>
              <w:rPr>
                <w:rFonts w:ascii="Times New Roman" w:hAnsi="Times New Roman" w:cs="Times New Roman" w:eastAsia="Times New Roman" w:hint="default"/>
                <w:sz w:val="18"/>
                <w:szCs w:val="18"/>
              </w:rPr>
            </w:pPr>
            <w:r>
              <w:rPr>
                <w:rFonts w:ascii="Times New Roman"/>
                <w:sz w:val="18"/>
              </w:rPr>
              <w:t>,922.83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41,050,33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6.92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263,180,58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5.91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6"/>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4" w:space="4534"/>
            <w:col w:w="1122"/>
          </w:cols>
        </w:sectPr>
      </w:pP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694"/>
        <w:gridCol w:w="1134"/>
        <w:gridCol w:w="1416"/>
        <w:gridCol w:w="1702"/>
        <w:gridCol w:w="2624"/>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3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8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94"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7"/>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北京瑞邦一网科技发展有限公司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4,383,000.00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4" w:right="0"/>
              <w:jc w:val="left"/>
              <w:rPr>
                <w:rFonts w:ascii="Times New Roman" w:hAnsi="Times New Roman" w:cs="Times New Roman" w:eastAsia="Times New Roman" w:hint="default"/>
                <w:sz w:val="18"/>
                <w:szCs w:val="18"/>
              </w:rPr>
            </w:pPr>
            <w:r>
              <w:rPr>
                <w:rFonts w:ascii="Times New Roman"/>
                <w:sz w:val="18"/>
              </w:rPr>
              <w:t>100.00%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1"/>
              <w:jc w:val="right"/>
              <w:rPr>
                <w:rFonts w:ascii="宋体" w:hAnsi="宋体" w:cs="宋体" w:eastAsia="宋体" w:hint="default"/>
                <w:sz w:val="18"/>
                <w:szCs w:val="18"/>
              </w:rPr>
            </w:pPr>
            <w:r>
              <w:rPr>
                <w:rFonts w:ascii="宋体" w:hAnsi="宋体" w:cs="宋体" w:eastAsia="宋体" w:hint="default"/>
                <w:sz w:val="18"/>
                <w:szCs w:val="18"/>
              </w:rPr>
              <w:t>已列入经营异常名录</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4,383,000.00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4,383,000.00</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2"/>
        <w:gridCol w:w="2392"/>
        <w:gridCol w:w="2393"/>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281,482,119.46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14,074,105.96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281,482,119.46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14,074,105.96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54,151,126.35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5,415,112.64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20,709,943.29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6,212,982.99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17,872,693.44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8,936,346.73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1,765,654.72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1,412,523.78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12,665,361.48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12,665,361.48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388,646,898.74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48,716,433.58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12.53%</w:t>
            </w:r>
          </w:p>
        </w:tc>
      </w:tr>
    </w:tbl>
    <w:p>
      <w:pPr>
        <w:spacing w:line="360" w:lineRule="auto" w:before="51"/>
        <w:ind w:left="153" w:right="545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12,118,369.27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34,272.61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485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860"/>
        </w:sectPr>
      </w:pPr>
    </w:p>
    <w:p>
      <w:pPr>
        <w:spacing w:line="357" w:lineRule="auto"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860"/>
          <w:cols w:num="2" w:equalWidth="0">
            <w:col w:w="3215" w:space="5704"/>
            <w:col w:w="1151"/>
          </w:cols>
        </w:sectPr>
      </w:pPr>
    </w:p>
    <w:p>
      <w:pPr>
        <w:spacing w:line="240" w:lineRule="auto" w:before="13"/>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1702"/>
        <w:gridCol w:w="1842"/>
        <w:gridCol w:w="3700"/>
        <w:gridCol w:w="2414"/>
      </w:tblGrid>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78" w:right="0"/>
              <w:jc w:val="center"/>
              <w:rPr>
                <w:rFonts w:ascii="宋体" w:hAnsi="宋体" w:cs="宋体" w:eastAsia="宋体" w:hint="default"/>
                <w:sz w:val="18"/>
                <w:szCs w:val="18"/>
              </w:rPr>
            </w:pPr>
            <w:r>
              <w:rPr>
                <w:rFonts w:ascii="宋体" w:hAnsi="宋体" w:cs="宋体" w:eastAsia="宋体" w:hint="default"/>
                <w:b/>
                <w:bCs/>
                <w:sz w:val="18"/>
                <w:szCs w:val="18"/>
              </w:rPr>
              <w:t>应收账款年末余额</w:t>
            </w:r>
            <w:r>
              <w:rPr>
                <w:rFonts w:ascii="宋体" w:hAnsi="宋体" w:cs="宋体" w:eastAsia="宋体" w:hint="default"/>
                <w:sz w:val="18"/>
                <w:szCs w:val="18"/>
              </w:rPr>
            </w:r>
          </w:p>
        </w:tc>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占应收账款年末余额合计数的比例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w w:val="95"/>
                <w:sz w:val="18"/>
                <w:szCs w:val="18"/>
              </w:rPr>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b/>
                <w:bCs/>
                <w:w w:val="95"/>
                <w:sz w:val="18"/>
                <w:szCs w:val="18"/>
              </w:rPr>
              <w:t>坏账准备年末余额</w:t>
            </w:r>
            <w:r>
              <w:rPr>
                <w:rFonts w:ascii="宋体" w:hAnsi="宋体" w:cs="宋体" w:eastAsia="宋体" w:hint="default"/>
                <w:sz w:val="18"/>
                <w:szCs w:val="18"/>
              </w:rPr>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24" w:right="0"/>
              <w:jc w:val="center"/>
              <w:rPr>
                <w:rFonts w:ascii="Times New Roman" w:hAnsi="Times New Roman" w:cs="Times New Roman" w:eastAsia="Times New Roman" w:hint="default"/>
                <w:sz w:val="18"/>
                <w:szCs w:val="18"/>
              </w:rPr>
            </w:pPr>
            <w:r>
              <w:rPr>
                <w:rFonts w:ascii="Times New Roman"/>
                <w:sz w:val="18"/>
              </w:rPr>
              <w:t>11,538,928.00</w:t>
            </w:r>
          </w:p>
        </w:tc>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2.94</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576,946.40</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8" w:right="0"/>
              <w:jc w:val="center"/>
              <w:rPr>
                <w:rFonts w:ascii="Times New Roman" w:hAnsi="Times New Roman" w:cs="Times New Roman" w:eastAsia="Times New Roman" w:hint="default"/>
                <w:sz w:val="18"/>
                <w:szCs w:val="18"/>
              </w:rPr>
            </w:pPr>
            <w:r>
              <w:rPr>
                <w:rFonts w:ascii="Times New Roman"/>
                <w:sz w:val="18"/>
              </w:rPr>
              <w:t>10,803,600.07</w:t>
            </w:r>
          </w:p>
        </w:tc>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2.75</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1,331,430.02</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18" w:right="0"/>
              <w:jc w:val="center"/>
              <w:rPr>
                <w:rFonts w:ascii="Times New Roman" w:hAnsi="Times New Roman" w:cs="Times New Roman" w:eastAsia="Times New Roman" w:hint="default"/>
                <w:sz w:val="18"/>
                <w:szCs w:val="18"/>
              </w:rPr>
            </w:pPr>
            <w:r>
              <w:rPr>
                <w:rFonts w:ascii="Times New Roman"/>
                <w:sz w:val="18"/>
              </w:rPr>
              <w:t>10,683,200.00</w:t>
            </w:r>
          </w:p>
        </w:tc>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2.72</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824,160.00</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08" w:right="0"/>
              <w:jc w:val="center"/>
              <w:rPr>
                <w:rFonts w:ascii="Times New Roman" w:hAnsi="Times New Roman" w:cs="Times New Roman" w:eastAsia="Times New Roman" w:hint="default"/>
                <w:sz w:val="18"/>
                <w:szCs w:val="18"/>
              </w:rPr>
            </w:pPr>
            <w:r>
              <w:rPr>
                <w:rFonts w:ascii="Times New Roman"/>
                <w:sz w:val="18"/>
              </w:rPr>
              <w:t>8,821,123.10</w:t>
            </w:r>
          </w:p>
        </w:tc>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2.24</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4,379,876.50</w:t>
            </w: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8" w:right="0"/>
              <w:jc w:val="center"/>
              <w:rPr>
                <w:rFonts w:ascii="Times New Roman" w:hAnsi="Times New Roman" w:cs="Times New Roman" w:eastAsia="Times New Roman" w:hint="default"/>
                <w:sz w:val="18"/>
                <w:szCs w:val="18"/>
              </w:rPr>
            </w:pPr>
            <w:r>
              <w:rPr>
                <w:rFonts w:ascii="Times New Roman"/>
                <w:sz w:val="18"/>
              </w:rPr>
              <w:t>8,264,900.00</w:t>
            </w:r>
          </w:p>
        </w:tc>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2.10</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413,245.00</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1" w:right="0"/>
              <w:jc w:val="center"/>
              <w:rPr>
                <w:rFonts w:ascii="Times New Roman" w:hAnsi="Times New Roman" w:cs="Times New Roman" w:eastAsia="Times New Roman" w:hint="default"/>
                <w:sz w:val="18"/>
                <w:szCs w:val="18"/>
              </w:rPr>
            </w:pPr>
            <w:r>
              <w:rPr>
                <w:rFonts w:ascii="Times New Roman"/>
                <w:sz w:val="18"/>
              </w:rPr>
              <w:t>50,111,751.17</w:t>
            </w:r>
          </w:p>
        </w:tc>
        <w:tc>
          <w:tcPr>
            <w:tcW w:w="3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12.75</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7,525,657.92</w:t>
            </w:r>
          </w:p>
        </w:tc>
      </w:tr>
    </w:tbl>
    <w:p>
      <w:pPr>
        <w:spacing w:line="240" w:lineRule="auto" w:before="1"/>
        <w:rPr>
          <w:rFonts w:ascii="宋体" w:hAnsi="宋体" w:cs="宋体" w:eastAsia="宋体" w:hint="default"/>
          <w:sz w:val="19"/>
          <w:szCs w:val="19"/>
        </w:rPr>
      </w:pPr>
    </w:p>
    <w:p>
      <w:pPr>
        <w:spacing w:line="506" w:lineRule="auto" w:before="35"/>
        <w:ind w:left="154" w:right="485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年末，无因金融资产转移而终止确认的应收账款情况。</w:t>
      </w:r>
    </w:p>
    <w:p>
      <w:pPr>
        <w:spacing w:line="520" w:lineRule="auto" w:before="104"/>
        <w:ind w:left="154" w:right="422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spacing w:val="1"/>
          <w:w w:val="99"/>
          <w:sz w:val="21"/>
          <w:szCs w:val="21"/>
        </w:rPr>
        <w:t> </w:t>
      </w:r>
      <w:r>
        <w:rPr>
          <w:rFonts w:ascii="宋体" w:hAnsi="宋体" w:cs="宋体" w:eastAsia="宋体" w:hint="default"/>
          <w:sz w:val="21"/>
          <w:szCs w:val="21"/>
        </w:rPr>
        <w:t>年末，无转移应收账款且继续涉入形成的资产、负债的金额。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pStyle w:val="Heading3"/>
        <w:spacing w:line="240" w:lineRule="auto" w:before="49"/>
        <w:ind w:right="485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3"/>
          <w:szCs w:val="23"/>
        </w:rPr>
      </w:pPr>
    </w:p>
    <w:p>
      <w:pPr>
        <w:spacing w:before="44"/>
        <w:ind w:left="0" w:right="2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12"/>
        <w:gridCol w:w="1915"/>
        <w:gridCol w:w="1914"/>
        <w:gridCol w:w="1914"/>
        <w:gridCol w:w="209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0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33,535,657.29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24,976,737.93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2,250,407.87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1,230,289.86</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733,276.26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96,834.58</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328,370.46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481,971.67</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36,847,711.88</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26,785,834.04</w:t>
            </w:r>
          </w:p>
        </w:tc>
        <w:tc>
          <w:tcPr>
            <w:tcW w:w="20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年且金额重要的预付款项未及时结算原因的说明：年末无账龄超过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年的金额重要预付款项。</w:t>
      </w:r>
    </w:p>
    <w:p>
      <w:pPr>
        <w:spacing w:line="240" w:lineRule="auto" w:before="10"/>
        <w:rPr>
          <w:rFonts w:ascii="宋体" w:hAnsi="宋体" w:cs="宋体" w:eastAsia="宋体" w:hint="default"/>
          <w:sz w:val="25"/>
          <w:szCs w:val="25"/>
        </w:rPr>
      </w:pPr>
    </w:p>
    <w:p>
      <w:pPr>
        <w:pStyle w:val="Heading3"/>
        <w:spacing w:line="240" w:lineRule="auto"/>
        <w:ind w:right="485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spacing w:before="44"/>
        <w:ind w:left="0" w:right="27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2410"/>
        <w:gridCol w:w="3527"/>
        <w:gridCol w:w="3685"/>
      </w:tblGrid>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4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34" w:right="0"/>
              <w:jc w:val="left"/>
              <w:rPr>
                <w:rFonts w:ascii="宋体" w:hAnsi="宋体" w:cs="宋体" w:eastAsia="宋体" w:hint="default"/>
                <w:sz w:val="18"/>
                <w:szCs w:val="18"/>
              </w:rPr>
            </w:pPr>
            <w:r>
              <w:rPr>
                <w:rFonts w:ascii="宋体" w:hAnsi="宋体" w:cs="宋体" w:eastAsia="宋体" w:hint="default"/>
                <w:b/>
                <w:bCs/>
                <w:sz w:val="18"/>
                <w:szCs w:val="18"/>
              </w:rPr>
              <w:t>预付款项年末余额</w:t>
            </w:r>
            <w:r>
              <w:rPr>
                <w:rFonts w:ascii="宋体" w:hAnsi="宋体" w:cs="宋体" w:eastAsia="宋体" w:hint="default"/>
                <w:sz w:val="18"/>
                <w:szCs w:val="18"/>
              </w:rPr>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占预付款项年末余额合计数的比例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5"/>
              <w:jc w:val="right"/>
              <w:rPr>
                <w:rFonts w:ascii="Times New Roman" w:hAnsi="Times New Roman" w:cs="Times New Roman" w:eastAsia="Times New Roman" w:hint="default"/>
                <w:sz w:val="18"/>
                <w:szCs w:val="18"/>
              </w:rPr>
            </w:pPr>
            <w:r>
              <w:rPr>
                <w:rFonts w:ascii="Times New Roman"/>
                <w:spacing w:val="-1"/>
                <w:sz w:val="18"/>
              </w:rPr>
              <w:t>3,000,000.00</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8.14</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5"/>
              <w:jc w:val="right"/>
              <w:rPr>
                <w:rFonts w:ascii="Times New Roman" w:hAnsi="Times New Roman" w:cs="Times New Roman" w:eastAsia="Times New Roman" w:hint="default"/>
                <w:sz w:val="18"/>
                <w:szCs w:val="18"/>
              </w:rPr>
            </w:pPr>
            <w:r>
              <w:rPr>
                <w:rFonts w:ascii="Times New Roman"/>
                <w:spacing w:val="-1"/>
                <w:sz w:val="18"/>
              </w:rPr>
              <w:t>2,663,578.88</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86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2410"/>
        <w:gridCol w:w="3527"/>
        <w:gridCol w:w="3685"/>
      </w:tblGrid>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5"/>
              <w:jc w:val="right"/>
              <w:rPr>
                <w:rFonts w:ascii="Times New Roman" w:hAnsi="Times New Roman" w:cs="Times New Roman" w:eastAsia="Times New Roman" w:hint="default"/>
                <w:sz w:val="18"/>
                <w:szCs w:val="18"/>
              </w:rPr>
            </w:pPr>
            <w:r>
              <w:rPr>
                <w:rFonts w:ascii="Times New Roman"/>
                <w:spacing w:val="-1"/>
                <w:sz w:val="18"/>
              </w:rPr>
              <w:t>2,222,222.24</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6.03</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5"/>
              <w:jc w:val="right"/>
              <w:rPr>
                <w:rFonts w:ascii="Times New Roman" w:hAnsi="Times New Roman" w:cs="Times New Roman" w:eastAsia="Times New Roman" w:hint="default"/>
                <w:sz w:val="18"/>
                <w:szCs w:val="18"/>
              </w:rPr>
            </w:pPr>
            <w:r>
              <w:rPr>
                <w:rFonts w:ascii="Times New Roman"/>
                <w:spacing w:val="-1"/>
                <w:sz w:val="18"/>
              </w:rPr>
              <w:t>2,061,229.06</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5.59</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35"/>
              <w:jc w:val="right"/>
              <w:rPr>
                <w:rFonts w:ascii="Times New Roman" w:hAnsi="Times New Roman" w:cs="Times New Roman" w:eastAsia="Times New Roman" w:hint="default"/>
                <w:sz w:val="18"/>
                <w:szCs w:val="18"/>
              </w:rPr>
            </w:pPr>
            <w:r>
              <w:rPr>
                <w:rFonts w:ascii="Times New Roman"/>
                <w:spacing w:val="-1"/>
                <w:sz w:val="18"/>
              </w:rPr>
              <w:t>1,804,671.14</w:t>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4.9</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36"/>
              <w:jc w:val="right"/>
              <w:rPr>
                <w:rFonts w:ascii="Times New Roman" w:hAnsi="Times New Roman" w:cs="Times New Roman" w:eastAsia="Times New Roman" w:hint="default"/>
                <w:sz w:val="18"/>
                <w:szCs w:val="18"/>
              </w:rPr>
            </w:pPr>
            <w:r>
              <w:rPr>
                <w:rFonts w:ascii="Times New Roman"/>
                <w:b/>
                <w:spacing w:val="-1"/>
                <w:sz w:val="18"/>
              </w:rPr>
              <w:t>11,751,701.32</w:t>
            </w:r>
            <w:r>
              <w:rPr>
                <w:rFonts w:ascii="Times New Roman"/>
                <w:spacing w:val="-1"/>
                <w:sz w:val="18"/>
              </w:rPr>
            </w:r>
          </w:p>
        </w:tc>
        <w:tc>
          <w:tcPr>
            <w:tcW w:w="3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31.89</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本年实际核销的预付款项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302,281.36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2,902,673.90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1,524,155.26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2,902,673.90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1,524,155.26</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633"/>
        <w:gridCol w:w="763"/>
        <w:gridCol w:w="762"/>
        <w:gridCol w:w="762"/>
        <w:gridCol w:w="763"/>
        <w:gridCol w:w="788"/>
        <w:gridCol w:w="654"/>
        <w:gridCol w:w="762"/>
        <w:gridCol w:w="814"/>
        <w:gridCol w:w="932"/>
        <w:gridCol w:w="931"/>
      </w:tblGrid>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62,787,8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16,046,8</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64.16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46,741,02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56,669,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775.92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13,839,93</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42,829,838.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62,787,8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16,046,8</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64.16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46,741,02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56,669,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775.92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13,839,93</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7.24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42,829,838.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0"/>
        <w:gridCol w:w="2393"/>
        <w:gridCol w:w="2393"/>
        <w:gridCol w:w="2392"/>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27,057,422.36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1,352,871.11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27,057,422.36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1,352,871.11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10,239,418.48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1,023,941.85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4,581,339.12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1,374,401.74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3,861,496.20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1,930,748.10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5,365,077.33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4,292,061.86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6,072,839.50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6,072,839.50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57,177,592.99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16,046,864.16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360" w:lineRule="auto" w:before="51"/>
        <w:ind w:left="153" w:right="-1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4" w:right="3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655" w:space="4265"/>
            <w:col w:w="1030"/>
          </w:cols>
        </w:sectPr>
      </w:pPr>
    </w:p>
    <w:p>
      <w:pPr>
        <w:spacing w:line="240" w:lineRule="auto" w:before="13"/>
        <w:rPr>
          <w:rFonts w:ascii="宋体" w:hAnsi="宋体" w:cs="宋体" w:eastAsia="宋体" w:hint="default"/>
          <w:sz w:val="7"/>
          <w:szCs w:val="7"/>
        </w:rPr>
      </w:pPr>
    </w:p>
    <w:tbl>
      <w:tblPr>
        <w:tblW w:w="0" w:type="auto"/>
        <w:jc w:val="left"/>
        <w:tblInd w:w="164" w:type="dxa"/>
        <w:tblLayout w:type="fixed"/>
        <w:tblCellMar>
          <w:top w:w="0" w:type="dxa"/>
          <w:left w:w="0" w:type="dxa"/>
          <w:bottom w:w="0" w:type="dxa"/>
          <w:right w:w="0" w:type="dxa"/>
        </w:tblCellMar>
        <w:tblLook w:val="01E0"/>
      </w:tblPr>
      <w:tblGrid>
        <w:gridCol w:w="2560"/>
        <w:gridCol w:w="2368"/>
        <w:gridCol w:w="2532"/>
        <w:gridCol w:w="2162"/>
      </w:tblGrid>
      <w:tr>
        <w:trPr>
          <w:trHeight w:val="347" w:hRule="exact"/>
        </w:trPr>
        <w:tc>
          <w:tcPr>
            <w:tcW w:w="2560" w:type="dxa"/>
            <w:vMerge w:val="restart"/>
            <w:tcBorders>
              <w:top w:val="single" w:sz="6" w:space="0" w:color="000000"/>
              <w:left w:val="single" w:sz="6" w:space="0" w:color="000000"/>
              <w:right w:val="single" w:sz="6" w:space="0" w:color="000000"/>
            </w:tcBorders>
            <w:shd w:val="clear" w:color="auto" w:fill="D3D3D3"/>
          </w:tcPr>
          <w:p>
            <w:pPr>
              <w:pStyle w:val="TableParagraph"/>
              <w:spacing w:line="240" w:lineRule="auto" w:before="21"/>
              <w:ind w:left="112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7062" w:type="dxa"/>
            <w:gridSpan w:val="3"/>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42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560" w:type="dxa"/>
            <w:vMerge/>
            <w:tcBorders>
              <w:left w:val="single" w:sz="6" w:space="0" w:color="000000"/>
              <w:bottom w:val="single" w:sz="6" w:space="0" w:color="000000"/>
              <w:right w:val="single" w:sz="6" w:space="0" w:color="000000"/>
            </w:tcBorders>
            <w:shd w:val="clear" w:color="auto" w:fill="D3D3D3"/>
          </w:tcPr>
          <w:p>
            <w:pPr/>
          </w:p>
        </w:tc>
        <w:tc>
          <w:tcPr>
            <w:tcW w:w="2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93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11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21"/>
              <w:ind w:left="922"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32" w:hRule="exact"/>
        </w:trPr>
        <w:tc>
          <w:tcPr>
            <w:tcW w:w="2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2"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5,610,297.34</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2560"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16"/>
              <w:ind w:left="4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8"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5,610,297.34</w:t>
            </w:r>
          </w:p>
        </w:tc>
        <w:tc>
          <w:tcPr>
            <w:tcW w:w="253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0</w:t>
            </w:r>
          </w:p>
        </w:tc>
        <w:tc>
          <w:tcPr>
            <w:tcW w:w="2162" w:type="dxa"/>
            <w:tcBorders>
              <w:top w:val="single" w:sz="6" w:space="0" w:color="000000"/>
              <w:left w:val="single" w:sz="6" w:space="0" w:color="000000"/>
              <w:bottom w:val="single" w:sz="6" w:space="0" w:color="000000"/>
              <w:right w:val="single" w:sz="6" w:space="0" w:color="000000"/>
            </w:tcBorders>
            <w:shd w:val="clear" w:color="auto" w:fill="D3D3D3"/>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2,206,926.92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6"/>
        <w:gridCol w:w="3192"/>
        <w:gridCol w:w="3228"/>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67"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1,311,343.28</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2,355,623.66</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51,640,850.64</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46,405,434.87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86"/>
        <w:gridCol w:w="3192"/>
        <w:gridCol w:w="3228"/>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6,157,592.46</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4,178,925.22</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代收代垫款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3,296,209.89</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3,588,037.34</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381,894.06</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141,754.83</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62,787,890.33</w:t>
            </w:r>
          </w:p>
        </w:tc>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56,669,775.92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134"/>
        <w:gridCol w:w="1276"/>
        <w:gridCol w:w="1276"/>
        <w:gridCol w:w="2690"/>
        <w:gridCol w:w="1595"/>
        <w:gridCol w:w="1595"/>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4,694,600.00</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234,730.00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3,400,000.00</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170,000.00</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3,340,000.00</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2,150,000.00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1,190,000.00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2,910,000.00</w:t>
            </w:r>
          </w:p>
        </w:tc>
      </w:tr>
      <w:tr>
        <w:trPr>
          <w:trHeight w:val="362" w:hRule="exact"/>
        </w:trPr>
        <w:tc>
          <w:tcPr>
            <w:tcW w:w="1134"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26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356,350.00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2,460,900.00</w:t>
            </w:r>
          </w:p>
        </w:tc>
        <w:tc>
          <w:tcPr>
            <w:tcW w:w="26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1,858,100.00</w:t>
            </w:r>
            <w:r>
              <w:rPr>
                <w:rFonts w:ascii="宋体" w:hAnsi="宋体" w:cs="宋体" w:eastAsia="宋体" w:hint="default"/>
                <w:sz w:val="18"/>
                <w:szCs w:val="18"/>
              </w:rPr>
              <w:t>；</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52,450.00</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180,000.00</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320,562.50</w:t>
            </w:r>
          </w:p>
        </w:tc>
      </w:tr>
      <w:tr>
        <w:trPr>
          <w:trHeight w:val="348" w:hRule="exact"/>
        </w:trPr>
        <w:tc>
          <w:tcPr>
            <w:tcW w:w="1134"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26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14,000.00</w:t>
            </w:r>
          </w:p>
        </w:tc>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2,412,290.00</w:t>
            </w:r>
          </w:p>
        </w:tc>
        <w:tc>
          <w:tcPr>
            <w:tcW w:w="2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631,650.00</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1,780,640.00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921,902.50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16,307,790.00</w:t>
            </w:r>
          </w:p>
        </w:tc>
        <w:tc>
          <w:tcPr>
            <w:tcW w:w="2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4,557,195.00</w:t>
            </w:r>
          </w:p>
        </w:tc>
      </w:tr>
    </w:tbl>
    <w:p>
      <w:pPr>
        <w:spacing w:line="240" w:lineRule="auto" w:before="1"/>
        <w:rPr>
          <w:rFonts w:ascii="宋体" w:hAnsi="宋体" w:cs="宋体" w:eastAsia="宋体" w:hint="default"/>
          <w:sz w:val="19"/>
          <w:szCs w:val="19"/>
        </w:rPr>
      </w:pPr>
    </w:p>
    <w:p>
      <w:pPr>
        <w:pStyle w:val="Heading3"/>
        <w:spacing w:line="506" w:lineRule="auto" w:before="35"/>
        <w:ind w:left="153" w:right="6925"/>
        <w:jc w:val="left"/>
        <w:rPr>
          <w:rFonts w:ascii="宋体" w:hAnsi="宋体" w:cs="宋体" w:eastAsia="宋体" w:hint="default"/>
          <w:b w:val="0"/>
          <w:bCs w:val="0"/>
        </w:rPr>
      </w:pPr>
      <w:r>
        <w:rPr/>
        <w:t>（</w:t>
      </w:r>
      <w:r>
        <w:rPr>
          <w:rFonts w:ascii="Times New Roman" w:hAnsi="Times New Roman" w:cs="Times New Roman" w:eastAsia="Times New Roman" w:hint="default"/>
        </w:rPr>
        <w:t>6</w:t>
      </w:r>
      <w:r>
        <w:rPr/>
        <w:t>）涉及政府补助的应收款项</w:t>
      </w:r>
      <w:r>
        <w:rPr>
          <w:spacing w:val="1"/>
          <w:w w:val="99"/>
        </w:rPr>
        <w:t> </w:t>
      </w:r>
      <w:r>
        <w:rPr>
          <w:rFonts w:ascii="宋体" w:hAnsi="宋体" w:cs="宋体" w:eastAsia="宋体" w:hint="default"/>
          <w:b w:val="0"/>
          <w:bCs w:val="0"/>
        </w:rPr>
        <w:t>无</w:t>
      </w:r>
    </w:p>
    <w:p>
      <w:pPr>
        <w:spacing w:line="506" w:lineRule="auto" w:before="104"/>
        <w:ind w:left="154" w:right="452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年末，无因金融资产转移而终止确认的其他应收款情况。</w:t>
      </w:r>
    </w:p>
    <w:p>
      <w:pPr>
        <w:spacing w:line="520" w:lineRule="auto" w:before="104"/>
        <w:ind w:left="154" w:right="38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b/>
          <w:bCs/>
          <w:spacing w:val="1"/>
          <w:w w:val="99"/>
          <w:sz w:val="21"/>
          <w:szCs w:val="21"/>
        </w:rPr>
        <w:t> </w:t>
      </w:r>
      <w:r>
        <w:rPr>
          <w:rFonts w:ascii="宋体" w:hAnsi="宋体" w:cs="宋体" w:eastAsia="宋体" w:hint="default"/>
          <w:sz w:val="21"/>
          <w:szCs w:val="21"/>
        </w:rPr>
        <w:t>年末，无转移其他应收款且继续涉入形成的资产、负债的金额。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357" w:lineRule="auto" w:before="76"/>
        <w:ind w:left="153" w:right="6531"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after="0" w:line="357"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45,557,433.73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2,117,063.75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43,440,369.98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26,417,096.22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2,052,926.32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24,364,169.90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11,247,405.62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239,303.66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11,008,101.96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9,077,577.72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413,319.39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8,664,258.33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71,379,978.54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984,837.98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70,395,140.56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49,492,441.35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2,418,668.89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47,073,772.46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246,623,041.87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18,177,712.53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228,445,329.34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211,861,135.86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5,383,167.12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206,477,968.74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573,187.71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573,187.71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1,662,423.70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1,662,423.70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375,381,047.47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21,518,917.92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353,862,129.55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298,510,674.85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10,268,081.72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288,242,593.13</w:t>
            </w:r>
          </w:p>
        </w:tc>
      </w:tr>
    </w:tbl>
    <w:p>
      <w:pPr>
        <w:spacing w:line="338" w:lineRule="auto" w:before="51"/>
        <w:ind w:left="154" w:right="149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3"/>
        <w:ind w:left="154" w:right="59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上市公司从事广播电影电视业务》的披露要求 否</w:t>
      </w:r>
    </w:p>
    <w:p>
      <w:pPr>
        <w:spacing w:line="340" w:lineRule="auto" w:before="42"/>
        <w:ind w:left="154" w:right="772"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 否</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0" w:type="dxa"/>
        <w:tblLayout w:type="fixed"/>
        <w:tblCellMar>
          <w:top w:w="0" w:type="dxa"/>
          <w:left w:w="0" w:type="dxa"/>
          <w:bottom w:w="0" w:type="dxa"/>
          <w:right w:w="0" w:type="dxa"/>
        </w:tblCellMar>
        <w:tblLook w:val="01E0"/>
      </w:tblPr>
      <w:tblGrid>
        <w:gridCol w:w="1242"/>
        <w:gridCol w:w="143"/>
        <w:gridCol w:w="1351"/>
        <w:gridCol w:w="1367"/>
        <w:gridCol w:w="1367"/>
        <w:gridCol w:w="1160"/>
        <w:gridCol w:w="282"/>
        <w:gridCol w:w="1291"/>
        <w:gridCol w:w="1295"/>
      </w:tblGrid>
      <w:tr>
        <w:trPr>
          <w:trHeight w:val="402" w:hRule="exact"/>
        </w:trPr>
        <w:tc>
          <w:tcPr>
            <w:tcW w:w="138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85" w:type="dxa"/>
            <w:gridSpan w:val="2"/>
            <w:vMerge/>
            <w:tcBorders>
              <w:left w:val="single" w:sz="4" w:space="0" w:color="000000"/>
              <w:bottom w:val="single" w:sz="4" w:space="0" w:color="000000"/>
              <w:right w:val="single" w:sz="4" w:space="0" w:color="000000"/>
            </w:tcBorders>
            <w:shd w:val="clear" w:color="auto" w:fill="D3D3D3"/>
          </w:tcPr>
          <w:p>
            <w:pPr/>
          </w:p>
        </w:tc>
        <w:tc>
          <w:tcPr>
            <w:tcW w:w="1351"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2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2,052,926.32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2,117,063.75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2,052,926.32</w:t>
            </w:r>
          </w:p>
        </w:tc>
        <w:tc>
          <w:tcPr>
            <w:tcW w:w="129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2,117,063.75</w:t>
            </w:r>
          </w:p>
        </w:tc>
      </w:tr>
      <w:tr>
        <w:trPr>
          <w:trHeight w:val="402" w:hRule="exact"/>
        </w:trPr>
        <w:tc>
          <w:tcPr>
            <w:tcW w:w="13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413,319.39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239,303.66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413,319.39</w:t>
            </w:r>
          </w:p>
        </w:tc>
        <w:tc>
          <w:tcPr>
            <w:tcW w:w="129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239,303.66</w:t>
            </w:r>
          </w:p>
        </w:tc>
      </w:tr>
      <w:tr>
        <w:trPr>
          <w:trHeight w:val="402" w:hRule="exact"/>
        </w:trPr>
        <w:tc>
          <w:tcPr>
            <w:tcW w:w="13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2,418,668.89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417,690.58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1,851,521.49</w:t>
            </w:r>
          </w:p>
        </w:tc>
        <w:tc>
          <w:tcPr>
            <w:tcW w:w="129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984,837.98</w:t>
            </w:r>
          </w:p>
        </w:tc>
      </w:tr>
      <w:tr>
        <w:trPr>
          <w:trHeight w:val="402"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5,383,167.12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16,145,482.69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3,350,937.28</w:t>
            </w:r>
          </w:p>
        </w:tc>
        <w:tc>
          <w:tcPr>
            <w:tcW w:w="1291"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18,177,712.53</w:t>
            </w:r>
          </w:p>
        </w:tc>
      </w:tr>
      <w:tr>
        <w:trPr>
          <w:trHeight w:val="404" w:hRule="exact"/>
        </w:trPr>
        <w:tc>
          <w:tcPr>
            <w:tcW w:w="1385" w:type="dxa"/>
            <w:gridSpan w:val="2"/>
            <w:tcBorders>
              <w:top w:val="single" w:sz="4" w:space="0" w:color="000000"/>
              <w:left w:val="single" w:sz="4" w:space="0" w:color="000000"/>
              <w:bottom w:val="single" w:sz="6"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10,268,081.72</w:t>
            </w:r>
          </w:p>
        </w:tc>
        <w:tc>
          <w:tcPr>
            <w:tcW w:w="136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18,919,540.68</w:t>
            </w:r>
          </w:p>
        </w:tc>
        <w:tc>
          <w:tcPr>
            <w:tcW w:w="1367"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442"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7,668,704.48</w:t>
            </w:r>
          </w:p>
        </w:tc>
        <w:tc>
          <w:tcPr>
            <w:tcW w:w="1291" w:type="dxa"/>
            <w:tcBorders>
              <w:top w:val="single" w:sz="4" w:space="0" w:color="000000"/>
              <w:left w:val="single" w:sz="4" w:space="0" w:color="000000"/>
              <w:bottom w:val="single" w:sz="6" w:space="0" w:color="000000"/>
              <w:right w:val="single" w:sz="4" w:space="0" w:color="000000"/>
            </w:tcBorders>
          </w:tcPr>
          <w:p>
            <w:pPr/>
          </w:p>
        </w:tc>
        <w:tc>
          <w:tcPr>
            <w:tcW w:w="129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21,518,917.92</w:t>
            </w:r>
          </w:p>
        </w:tc>
      </w:tr>
      <w:tr>
        <w:trPr>
          <w:trHeight w:val="971"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538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确定可变现净值的具体依据</w:t>
            </w:r>
          </w:p>
        </w:tc>
        <w:tc>
          <w:tcPr>
            <w:tcW w:w="28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14" w:right="1016"/>
              <w:jc w:val="left"/>
              <w:rPr>
                <w:rFonts w:ascii="宋体" w:hAnsi="宋体" w:cs="宋体" w:eastAsia="宋体" w:hint="default"/>
                <w:sz w:val="18"/>
                <w:szCs w:val="18"/>
              </w:rPr>
            </w:pPr>
            <w:r>
              <w:rPr>
                <w:rFonts w:ascii="宋体" w:hAnsi="宋体" w:cs="宋体" w:eastAsia="宋体" w:hint="default"/>
                <w:sz w:val="18"/>
                <w:szCs w:val="18"/>
              </w:rPr>
              <w:t>本年转回或转销 存货跌价准备的原因</w:t>
            </w:r>
          </w:p>
        </w:tc>
      </w:tr>
      <w:tr>
        <w:trPr>
          <w:trHeight w:val="659"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5388" w:type="dxa"/>
            <w:gridSpan w:val="5"/>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2"/>
                <w:sz w:val="18"/>
                <w:szCs w:val="18"/>
              </w:rPr>
              <w:t>估计售价减去至完工时估计将要发生的成本、估计的销售费用以及相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关税费</w:t>
            </w:r>
          </w:p>
        </w:tc>
        <w:tc>
          <w:tcPr>
            <w:tcW w:w="28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计提跌价的原材料已领用</w:t>
            </w:r>
          </w:p>
        </w:tc>
      </w:tr>
      <w:tr>
        <w:trPr>
          <w:trHeight w:val="659"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5388" w:type="dxa"/>
            <w:gridSpan w:val="5"/>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宋体" w:hAnsi="宋体" w:cs="宋体" w:eastAsia="宋体" w:hint="default"/>
                <w:sz w:val="18"/>
                <w:szCs w:val="18"/>
              </w:rPr>
            </w:pPr>
            <w:r>
              <w:rPr>
                <w:rFonts w:ascii="宋体" w:hAnsi="宋体" w:cs="宋体" w:eastAsia="宋体" w:hint="default"/>
                <w:spacing w:val="-2"/>
                <w:sz w:val="18"/>
                <w:szCs w:val="18"/>
              </w:rPr>
              <w:t>估计售价减去至完工时估计将要发生的成本、估计的销售费用以及相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关税费</w:t>
            </w:r>
          </w:p>
        </w:tc>
        <w:tc>
          <w:tcPr>
            <w:tcW w:w="28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计提跌价的在产品已销售</w:t>
            </w:r>
          </w:p>
        </w:tc>
      </w:tr>
      <w:tr>
        <w:trPr>
          <w:trHeight w:val="348"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538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估计售价减去估计的销售费用以及相关税费</w:t>
            </w:r>
          </w:p>
        </w:tc>
        <w:tc>
          <w:tcPr>
            <w:tcW w:w="28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计提跌价的库存商品已销售</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538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估计售价减去估计的销售费用以及相关税费</w:t>
            </w:r>
          </w:p>
        </w:tc>
        <w:tc>
          <w:tcPr>
            <w:tcW w:w="28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4" w:right="0"/>
              <w:jc w:val="left"/>
              <w:rPr>
                <w:rFonts w:ascii="宋体" w:hAnsi="宋体" w:cs="宋体" w:eastAsia="宋体" w:hint="default"/>
                <w:sz w:val="18"/>
                <w:szCs w:val="18"/>
              </w:rPr>
            </w:pPr>
            <w:r>
              <w:rPr>
                <w:rFonts w:ascii="宋体" w:hAnsi="宋体" w:cs="宋体" w:eastAsia="宋体" w:hint="default"/>
                <w:sz w:val="18"/>
                <w:szCs w:val="18"/>
              </w:rPr>
              <w:t>计提跌价的发出商品已销售</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2"/>
        <w:gridCol w:w="3191"/>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17,809,480.86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672,987.52</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199,779.93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915,260.34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947,090.58</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18,924,521.13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1,620,078.10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99"/>
        <w:gridCol w:w="1195"/>
        <w:gridCol w:w="1196"/>
        <w:gridCol w:w="1195"/>
        <w:gridCol w:w="1248"/>
        <w:gridCol w:w="1368"/>
        <w:gridCol w:w="1367"/>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290,305,000.00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290,305,000.00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91,861,350.00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91,861,350.00</w:t>
            </w: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230,625,000.00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230,625,000.00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59,680,000.00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59,680,000.00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91,861,350.00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91,861,350.00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290,305,000.00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290,305,000.00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91,861,350.00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91,861,350.00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544"/>
        <w:gridCol w:w="1843"/>
        <w:gridCol w:w="1559"/>
        <w:gridCol w:w="992"/>
        <w:gridCol w:w="1632"/>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992"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债务工具的摊余成本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48,981,350.00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48,981,350.00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230,625,000.00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230,625,000.00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181,643,650.00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181,643,650.00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134"/>
        <w:gridCol w:w="851"/>
        <w:gridCol w:w="850"/>
        <w:gridCol w:w="851"/>
        <w:gridCol w:w="992"/>
        <w:gridCol w:w="818"/>
        <w:gridCol w:w="850"/>
        <w:gridCol w:w="851"/>
        <w:gridCol w:w="708"/>
        <w:gridCol w:w="1026"/>
        <w:gridCol w:w="632"/>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54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2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02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57" w:right="56"/>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63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40" w:right="41"/>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3D3D3"/>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026" w:type="dxa"/>
            <w:vMerge/>
            <w:tcBorders>
              <w:left w:val="single" w:sz="4" w:space="0" w:color="000000"/>
              <w:bottom w:val="single" w:sz="4" w:space="0" w:color="000000"/>
              <w:right w:val="single" w:sz="4" w:space="0" w:color="000000"/>
            </w:tcBorders>
            <w:shd w:val="clear" w:color="auto" w:fill="D3D3D3"/>
          </w:tcPr>
          <w:p>
            <w:pPr/>
          </w:p>
        </w:tc>
        <w:tc>
          <w:tcPr>
            <w:tcW w:w="6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杭州攀克网 络技术有限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10.71%</w:t>
            </w: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福建宏创科 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厦门市巨龙 信息科技有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w:t>
            </w: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深圳市中新 赛克科技股 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48,981,35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48,981,35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海峡国家版 权交易中心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厦门市美桐</w:t>
            </w:r>
          </w:p>
        </w:tc>
        <w:tc>
          <w:tcPr>
            <w:tcW w:w="851"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026" w:type="dxa"/>
            <w:tcBorders>
              <w:top w:val="single" w:sz="4" w:space="0" w:color="000000"/>
              <w:left w:val="single" w:sz="4" w:space="0" w:color="000000"/>
              <w:bottom w:val="nil" w:sz="6" w:space="0" w:color="auto"/>
              <w:right w:val="single" w:sz="4" w:space="0" w:color="000000"/>
            </w:tcBorders>
          </w:tcPr>
          <w:p>
            <w:pPr/>
          </w:p>
        </w:tc>
        <w:tc>
          <w:tcPr>
            <w:tcW w:w="632" w:type="dxa"/>
            <w:vMerge w:val="restart"/>
            <w:tcBorders>
              <w:top w:val="single" w:sz="4" w:space="0" w:color="000000"/>
              <w:left w:val="single" w:sz="4" w:space="0" w:color="000000"/>
              <w:right w:val="single" w:sz="4" w:space="0" w:color="000000"/>
            </w:tcBorders>
          </w:tcPr>
          <w:p>
            <w:pPr/>
          </w:p>
        </w:tc>
      </w:tr>
      <w:tr>
        <w:trPr>
          <w:trHeight w:val="936" w:hRule="exact"/>
        </w:trPr>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9"/>
              <w:jc w:val="left"/>
              <w:rPr>
                <w:rFonts w:ascii="宋体" w:hAnsi="宋体" w:cs="宋体" w:eastAsia="宋体" w:hint="default"/>
                <w:sz w:val="18"/>
                <w:szCs w:val="18"/>
              </w:rPr>
            </w:pPr>
            <w:r>
              <w:rPr>
                <w:rFonts w:ascii="宋体" w:hAnsi="宋体" w:cs="宋体" w:eastAsia="宋体" w:hint="default"/>
                <w:sz w:val="18"/>
                <w:szCs w:val="18"/>
              </w:rPr>
              <w:t>股权投资基 金合伙企业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1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0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13.45%</w:t>
            </w:r>
          </w:p>
        </w:tc>
        <w:tc>
          <w:tcPr>
            <w:tcW w:w="632" w:type="dxa"/>
            <w:vMerge/>
            <w:tcBorders>
              <w:left w:val="single" w:sz="4" w:space="0" w:color="000000"/>
              <w:right w:val="single" w:sz="4" w:space="0" w:color="000000"/>
            </w:tcBorders>
          </w:tcPr>
          <w:p>
            <w:pPr/>
          </w:p>
        </w:tc>
      </w:tr>
      <w:tr>
        <w:trPr>
          <w:trHeight w:val="357" w:hRule="exact"/>
        </w:trPr>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851"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026" w:type="dxa"/>
            <w:tcBorders>
              <w:top w:val="nil" w:sz="6" w:space="0" w:color="auto"/>
              <w:left w:val="single" w:sz="4" w:space="0" w:color="000000"/>
              <w:bottom w:val="single" w:sz="4" w:space="0" w:color="000000"/>
              <w:right w:val="single" w:sz="4" w:space="0" w:color="000000"/>
            </w:tcBorders>
          </w:tcPr>
          <w:p>
            <w:pPr/>
          </w:p>
        </w:tc>
        <w:tc>
          <w:tcPr>
            <w:tcW w:w="632" w:type="dxa"/>
            <w:vMerge/>
            <w:tcBorders>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厦门斯坦道 科学仪器股 份有限公司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w:t>
            </w: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91,861,35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16,800,00</w:t>
            </w:r>
          </w:p>
          <w:p>
            <w:pPr>
              <w:pStyle w:val="TableParagraph"/>
              <w:spacing w:line="240" w:lineRule="auto" w:before="105"/>
              <w:ind w:left="502" w:right="0"/>
              <w:jc w:val="lef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48,981,35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5" w:lineRule="exact"/>
        <w:ind w:right="0"/>
        <w:jc w:val="left"/>
        <w:rPr>
          <w:sz w:val="24"/>
          <w:szCs w:val="24"/>
        </w:rPr>
      </w:pPr>
      <w:r>
        <w:rPr/>
        <w:t>本年深圳市中新赛克科技股份有限公司在深交所上市，本公司持有的股权按公允价值计量</w:t>
      </w:r>
      <w:r>
        <w:rPr>
          <w:sz w:val="24"/>
          <w:szCs w:val="24"/>
        </w:rPr>
        <w:t>。</w:t>
      </w:r>
    </w:p>
    <w:p>
      <w:pPr>
        <w:spacing w:after="0" w:line="275" w:lineRule="exact"/>
        <w:jc w:val="left"/>
        <w:rPr>
          <w:sz w:val="24"/>
          <w:szCs w:val="24"/>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506" w:lineRule="auto" w:before="35"/>
        <w:ind w:right="5239" w:hanging="1"/>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）报告期内可供出售金融资产减值的变动情况</w:t>
      </w:r>
      <w:r>
        <w:rPr>
          <w:w w:val="99"/>
        </w:rPr>
        <w:t> </w:t>
      </w:r>
      <w:r>
        <w:rPr>
          <w:rFonts w:ascii="宋体" w:hAnsi="宋体" w:cs="宋体" w:eastAsia="宋体" w:hint="default"/>
          <w:b w:val="0"/>
          <w:bCs w:val="0"/>
        </w:rPr>
        <w:t>无</w:t>
      </w:r>
    </w:p>
    <w:p>
      <w:pPr>
        <w:pStyle w:val="Heading3"/>
        <w:spacing w:line="506" w:lineRule="auto" w:before="104"/>
        <w:ind w:right="1581"/>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5</w:t>
      </w:r>
      <w:r>
        <w:rPr>
          <w:w w:val="95"/>
        </w:rPr>
        <w:t>）可供出售权益工具期末公允价值严重下跌或非暂时性下跌但未计提减值准备的相关说明   </w:t>
      </w:r>
      <w:r>
        <w:rPr>
          <w:spacing w:val="15"/>
          <w:w w:val="95"/>
        </w:rPr>
        <w:t> </w:t>
      </w:r>
      <w:r>
        <w:rPr>
          <w:spacing w:val="15"/>
          <w:w w:val="95"/>
        </w:rPr>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7"/>
        <w:rPr>
          <w:rFonts w:ascii="宋体" w:hAnsi="宋体" w:cs="宋体" w:eastAsia="宋体" w:hint="default"/>
          <w:b/>
          <w:bCs/>
          <w:sz w:val="24"/>
          <w:szCs w:val="24"/>
        </w:rPr>
      </w:pPr>
    </w:p>
    <w:p>
      <w:pPr>
        <w:pStyle w:val="Heading3"/>
        <w:spacing w:line="506" w:lineRule="auto"/>
        <w:ind w:right="7346"/>
        <w:jc w:val="left"/>
        <w:rPr>
          <w:rFonts w:ascii="宋体" w:hAnsi="宋体" w:cs="宋体" w:eastAsia="宋体" w:hint="default"/>
          <w:b w:val="0"/>
          <w:bCs w:val="0"/>
        </w:rPr>
      </w:pPr>
      <w:r>
        <w:rPr/>
        <w:t>（</w:t>
      </w:r>
      <w:r>
        <w:rPr>
          <w:rFonts w:ascii="Times New Roman" w:hAnsi="Times New Roman" w:cs="Times New Roman" w:eastAsia="Times New Roman" w:hint="default"/>
        </w:rPr>
        <w:t>1</w:t>
      </w:r>
      <w:r>
        <w:rPr/>
        <w:t>）持有至到期投资情况</w:t>
      </w:r>
      <w:r>
        <w:rPr>
          <w:w w:val="99"/>
        </w:rPr>
        <w:t> </w:t>
      </w:r>
      <w:r>
        <w:rPr>
          <w:rFonts w:ascii="宋体" w:hAnsi="宋体" w:cs="宋体" w:eastAsia="宋体" w:hint="default"/>
          <w:b w:val="0"/>
          <w:bCs w:val="0"/>
        </w:rPr>
        <w:t>无</w:t>
      </w:r>
    </w:p>
    <w:p>
      <w:pPr>
        <w:pStyle w:val="Heading3"/>
        <w:spacing w:line="506" w:lineRule="auto" w:before="104"/>
        <w:ind w:right="6713"/>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）期末重要的持有至到期投资</w:t>
      </w:r>
      <w:r>
        <w:rPr>
          <w:spacing w:val="1"/>
          <w:w w:val="99"/>
        </w:rPr>
        <w:t> </w:t>
      </w:r>
      <w:r>
        <w:rPr>
          <w:rFonts w:ascii="宋体" w:hAnsi="宋体" w:cs="宋体" w:eastAsia="宋体" w:hint="default"/>
          <w:b w:val="0"/>
          <w:bCs w:val="0"/>
        </w:rPr>
        <w:t>无</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268"/>
        <w:gridCol w:w="851"/>
        <w:gridCol w:w="991"/>
        <w:gridCol w:w="1134"/>
        <w:gridCol w:w="1134"/>
        <w:gridCol w:w="992"/>
        <w:gridCol w:w="1276"/>
        <w:gridCol w:w="923"/>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67" w:right="95" w:hanging="270"/>
              <w:jc w:val="left"/>
              <w:rPr>
                <w:rFonts w:ascii="宋体" w:hAnsi="宋体" w:cs="宋体" w:eastAsia="宋体" w:hint="default"/>
                <w:sz w:val="18"/>
                <w:szCs w:val="18"/>
              </w:rPr>
            </w:pPr>
            <w:r>
              <w:rPr>
                <w:rFonts w:ascii="宋体" w:hAnsi="宋体" w:cs="宋体" w:eastAsia="宋体" w:hint="default"/>
                <w:sz w:val="18"/>
                <w:szCs w:val="18"/>
              </w:rPr>
              <w:t>折现率区 间</w:t>
            </w:r>
          </w:p>
        </w:tc>
      </w:tr>
      <w:tr>
        <w:trPr>
          <w:trHeight w:val="401" w:hRule="exact"/>
        </w:trPr>
        <w:tc>
          <w:tcPr>
            <w:tcW w:w="2268" w:type="dxa"/>
            <w:vMerge/>
            <w:tcBorders>
              <w:left w:val="single" w:sz="4" w:space="0" w:color="000000"/>
              <w:bottom w:val="single" w:sz="4" w:space="0" w:color="000000"/>
              <w:right w:val="single" w:sz="4" w:space="0" w:color="000000"/>
            </w:tcBorders>
            <w:shd w:val="clear" w:color="auto" w:fill="D3D3D3"/>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92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811,671.78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811,671.78</w:t>
            </w: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其中：未实现融资收益</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163,328.22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163,328.22</w:t>
            </w: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811,671.78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811,671.78</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5"/>
          <w:szCs w:val="5"/>
        </w:rPr>
      </w:pPr>
    </w:p>
    <w:p>
      <w:pPr>
        <w:pStyle w:val="BodyText"/>
        <w:spacing w:line="256" w:lineRule="auto" w:before="35"/>
        <w:ind w:left="153" w:right="321"/>
        <w:jc w:val="left"/>
      </w:pPr>
      <w:r>
        <w:rPr/>
        <w:t>长期应收款年初数系珠海新德汇作为融资租赁出租方租赁设备形成的融资租赁款，款项于</w:t>
      </w:r>
      <w:r>
        <w:rPr>
          <w:rFonts w:ascii="Times New Roman" w:hAnsi="Times New Roman" w:cs="Times New Roman" w:eastAsia="Times New Roman" w:hint="default"/>
        </w:rPr>
        <w:t>2017</w:t>
      </w:r>
      <w:r>
        <w:rPr/>
        <w:t>年度已收 回。</w:t>
      </w:r>
    </w:p>
    <w:p>
      <w:pPr>
        <w:spacing w:line="240" w:lineRule="auto" w:before="8"/>
        <w:rPr>
          <w:rFonts w:ascii="宋体" w:hAnsi="宋体" w:cs="宋体" w:eastAsia="宋体" w:hint="default"/>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厦门服云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3,657,153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44" w:right="20" w:firstLine="660"/>
              <w:jc w:val="right"/>
              <w:rPr>
                <w:rFonts w:ascii="Times New Roman" w:hAnsi="Times New Roman" w:cs="Times New Roman" w:eastAsia="Times New Roman" w:hint="default"/>
                <w:sz w:val="18"/>
                <w:szCs w:val="18"/>
              </w:rPr>
            </w:pPr>
            <w:r>
              <w:rPr>
                <w:rFonts w:ascii="Times New Roman"/>
                <w:sz w:val="18"/>
              </w:rPr>
              <w:t>- 3,269,723</w:t>
            </w:r>
          </w:p>
          <w:p>
            <w:pPr>
              <w:pStyle w:val="TableParagraph"/>
              <w:spacing w:line="240" w:lineRule="auto" w:before="6"/>
              <w:ind w:right="20"/>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1,452,996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1,840,425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北京万诚 信用评价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324,958.6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44" w:right="20" w:firstLine="660"/>
              <w:jc w:val="right"/>
              <w:rPr>
                <w:rFonts w:ascii="Times New Roman" w:hAnsi="Times New Roman" w:cs="Times New Roman" w:eastAsia="Times New Roman" w:hint="default"/>
                <w:sz w:val="18"/>
                <w:szCs w:val="18"/>
              </w:rPr>
            </w:pPr>
            <w:r>
              <w:rPr>
                <w:rFonts w:ascii="Times New Roman"/>
                <w:sz w:val="18"/>
              </w:rPr>
              <w:t>- 229,713.8</w:t>
            </w:r>
          </w:p>
          <w:p>
            <w:pPr>
              <w:pStyle w:val="TableParagraph"/>
              <w:spacing w:line="240" w:lineRule="auto" w:before="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95,244.83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厦门正信</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世纪信息</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1,899,763</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1,836,915</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.41</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62,847.74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.67</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厦门市美</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亚梧桐投</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343,495.6</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2,048,458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2,391,953</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资管理有</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.83</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北京万方 智讯信息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0" w:lineRule="auto"/>
              <w:ind w:left="44" w:right="20" w:firstLine="660"/>
              <w:jc w:val="right"/>
              <w:rPr>
                <w:rFonts w:ascii="Times New Roman" w:hAnsi="Times New Roman" w:cs="Times New Roman" w:eastAsia="Times New Roman" w:hint="default"/>
                <w:sz w:val="18"/>
                <w:szCs w:val="18"/>
              </w:rPr>
            </w:pPr>
            <w:r>
              <w:rPr>
                <w:rFonts w:ascii="Times New Roman"/>
                <w:sz w:val="18"/>
              </w:rPr>
              <w:t>- 1,289,510</w:t>
            </w:r>
          </w:p>
          <w:p>
            <w:pPr>
              <w:pStyle w:val="TableParagraph"/>
              <w:spacing w:line="240" w:lineRule="auto" w:before="6"/>
              <w:ind w:right="20"/>
              <w:jc w:val="right"/>
              <w:rPr>
                <w:rFonts w:ascii="Times New Roman" w:hAnsi="Times New Roman" w:cs="Times New Roman" w:eastAsia="Times New Roman" w:hint="default"/>
                <w:sz w:val="18"/>
                <w:szCs w:val="18"/>
              </w:rPr>
            </w:pPr>
            <w:r>
              <w:rPr>
                <w:rFonts w:ascii="Times New Roman"/>
                <w:sz w:val="18"/>
              </w:rPr>
              <w:t>.82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510,489.1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沈阳城市</w:t>
            </w: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2,000,000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112,789.6</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2,112,789</w:t>
            </w:r>
          </w:p>
        </w:tc>
        <w:tc>
          <w:tcPr>
            <w:tcW w:w="798" w:type="dxa"/>
            <w:vMerge/>
            <w:tcBorders>
              <w:left w:val="single" w:sz="4" w:space="0" w:color="000000"/>
              <w:right w:val="single" w:sz="4" w:space="0" w:color="000000"/>
            </w:tcBorders>
          </w:tcPr>
          <w:p>
            <w:pPr/>
          </w:p>
        </w:tc>
      </w:tr>
      <w:tr>
        <w:trPr>
          <w:trHeight w:val="313"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7</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.67</w:t>
            </w:r>
          </w:p>
        </w:tc>
        <w:tc>
          <w:tcPr>
            <w:tcW w:w="798" w:type="dxa"/>
            <w:vMerge/>
            <w:tcBorders>
              <w:left w:val="single" w:sz="4" w:space="0" w:color="000000"/>
              <w:right w:val="single" w:sz="4" w:space="0" w:color="000000"/>
            </w:tcBorders>
          </w:tcPr>
          <w:p>
            <w:pPr/>
          </w:p>
        </w:tc>
      </w:tr>
      <w:tr>
        <w:trPr>
          <w:trHeight w:val="351"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6,225,370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44" w:right="20" w:firstLine="660"/>
              <w:jc w:val="right"/>
              <w:rPr>
                <w:rFonts w:ascii="Times New Roman" w:hAnsi="Times New Roman" w:cs="Times New Roman" w:eastAsia="Times New Roman" w:hint="default"/>
                <w:sz w:val="18"/>
                <w:szCs w:val="18"/>
              </w:rPr>
            </w:pPr>
            <w:r>
              <w:rPr>
                <w:rFonts w:ascii="Times New Roman"/>
                <w:sz w:val="18"/>
              </w:rPr>
              <w:t>- 2,690,548</w:t>
            </w:r>
          </w:p>
          <w:p>
            <w:pPr>
              <w:pStyle w:val="TableParagraph"/>
              <w:spacing w:line="240" w:lineRule="auto" w:before="6"/>
              <w:ind w:right="20"/>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1,452,996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8,787,819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6,225,370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2"/>
              <w:ind w:left="44" w:right="20" w:firstLine="660"/>
              <w:jc w:val="right"/>
              <w:rPr>
                <w:rFonts w:ascii="Times New Roman" w:hAnsi="Times New Roman" w:cs="Times New Roman" w:eastAsia="Times New Roman" w:hint="default"/>
                <w:sz w:val="18"/>
                <w:szCs w:val="18"/>
              </w:rPr>
            </w:pPr>
            <w:r>
              <w:rPr>
                <w:rFonts w:ascii="Times New Roman"/>
                <w:sz w:val="18"/>
              </w:rPr>
              <w:t>- 2,690,548</w:t>
            </w:r>
          </w:p>
          <w:p>
            <w:pPr>
              <w:pStyle w:val="TableParagraph"/>
              <w:spacing w:line="240" w:lineRule="auto" w:before="6"/>
              <w:ind w:right="20"/>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1,452,996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8,787,819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260"/>
        <w:gridCol w:w="1842"/>
        <w:gridCol w:w="1560"/>
        <w:gridCol w:w="1417"/>
        <w:gridCol w:w="1490"/>
      </w:tblGrid>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9,279,225.79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9,279,225.79</w:t>
            </w: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9,279,225.79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9,279,225.79</w:t>
            </w: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9,279,225.79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9,279,225.79</w:t>
            </w: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1,098,972.22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1,098,972.22</w:t>
            </w: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1,098,972.22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1,098,972.22</w:t>
            </w: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1,098,972.22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1,098,972.22</w:t>
            </w: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260"/>
        <w:gridCol w:w="1842"/>
        <w:gridCol w:w="1560"/>
        <w:gridCol w:w="1417"/>
        <w:gridCol w:w="1490"/>
      </w:tblGrid>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5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5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3" w:right="0"/>
              <w:jc w:val="left"/>
              <w:rPr>
                <w:rFonts w:ascii="Times New Roman" w:hAnsi="Times New Roman" w:cs="Times New Roman" w:eastAsia="Times New Roman" w:hint="default"/>
                <w:sz w:val="18"/>
                <w:szCs w:val="18"/>
              </w:rPr>
            </w:pPr>
            <w:r>
              <w:rPr>
                <w:rFonts w:ascii="Times New Roman"/>
                <w:sz w:val="18"/>
              </w:rPr>
              <w:t>8,180,253.57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8,180,253.57</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268"/>
        <w:gridCol w:w="1842"/>
        <w:gridCol w:w="1277"/>
        <w:gridCol w:w="1417"/>
        <w:gridCol w:w="1417"/>
        <w:gridCol w:w="1343"/>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7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7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1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1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3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265,061,680.15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7,936,786.32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17,643,194.09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78,573,428.25</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369,215,088.81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16,123,003.45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4,628,187.67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1,478,930.34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24,636,066.50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46,866,187.96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4,628,187.67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1,478,930.34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24,636,066.50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30,743,184.51</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6,843,777.66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6,843,777.66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）其他增加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9,279,225.79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9,279,225.79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1,642,430.73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2,801,386.51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3,067,758.21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7,511,575.45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1,642,430.73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2,801,386.51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3,067,758.21</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7,511,575.45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281,184,683.60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10,922,543.26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16,320,737.92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100,141,736.54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408,569,701.32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50,164,239.48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2,128,834.25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12,751,373.41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41,061,826.39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106,106,273.53</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18,562,664.19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1,662,937.68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1,448,389.55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12,644,840.54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34,318,831.96</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17,463,691.97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1,662,937.68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1,448,389.55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12,644,840.54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33,219,859.74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268"/>
        <w:gridCol w:w="1842"/>
        <w:gridCol w:w="1277"/>
        <w:gridCol w:w="1417"/>
        <w:gridCol w:w="1417"/>
        <w:gridCol w:w="1343"/>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1,098,972.22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1,098,972.22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640,513.80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2,602,046.17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1,748,508.97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4,991,068.94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640,513.80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2,602,046.17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1,748,508.97</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4,991,068.94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68,726,903.67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3,151,258.13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11,597,716.79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51,958,157.96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135,434,036.55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212,457,779.93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7,771,285.13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4,723,021.13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48,183,578.58</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273,135,664.77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214,897,440.67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5,807,952.07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4,891,820.68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37,511,601.86</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263,108,815.28</w:t>
            </w:r>
          </w:p>
        </w:tc>
      </w:tr>
    </w:tbl>
    <w:p>
      <w:pPr>
        <w:spacing w:line="240" w:lineRule="auto" w:before="1"/>
        <w:rPr>
          <w:rFonts w:ascii="宋体" w:hAnsi="宋体" w:cs="宋体" w:eastAsia="宋体" w:hint="default"/>
          <w:sz w:val="19"/>
          <w:szCs w:val="19"/>
        </w:rPr>
      </w:pPr>
    </w:p>
    <w:p>
      <w:pPr>
        <w:pStyle w:val="Heading3"/>
        <w:spacing w:line="506" w:lineRule="auto" w:before="35"/>
        <w:ind w:left="153" w:right="6925"/>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）暂时闲置的固定资产情况</w:t>
      </w:r>
      <w:r>
        <w:rPr>
          <w:spacing w:val="1"/>
          <w:w w:val="99"/>
        </w:rPr>
        <w:t> </w:t>
      </w:r>
      <w:r>
        <w:rPr>
          <w:rFonts w:ascii="宋体" w:hAnsi="宋体" w:cs="宋体" w:eastAsia="宋体" w:hint="default"/>
          <w:b w:val="0"/>
          <w:bCs w:val="0"/>
        </w:rPr>
        <w:t>无</w:t>
      </w:r>
    </w:p>
    <w:p>
      <w:pPr>
        <w:pStyle w:val="Heading3"/>
        <w:spacing w:line="506" w:lineRule="auto" w:before="104"/>
        <w:ind w:left="153" w:right="6082"/>
        <w:jc w:val="left"/>
        <w:rPr>
          <w:rFonts w:ascii="宋体" w:hAnsi="宋体" w:cs="宋体" w:eastAsia="宋体" w:hint="default"/>
          <w:b w:val="0"/>
          <w:bCs w:val="0"/>
        </w:rPr>
      </w:pPr>
      <w:r>
        <w:rPr/>
        <w:t>（</w:t>
      </w:r>
      <w:r>
        <w:rPr>
          <w:rFonts w:ascii="Times New Roman" w:hAnsi="Times New Roman" w:cs="Times New Roman" w:eastAsia="Times New Roman" w:hint="default"/>
        </w:rPr>
        <w:t>3</w:t>
      </w:r>
      <w:r>
        <w:rPr/>
        <w:t>）通过融资租赁租入的固定资产情况</w:t>
      </w:r>
      <w:r>
        <w:rPr>
          <w:w w:val="99"/>
        </w:rPr>
        <w:t> </w:t>
      </w:r>
      <w:r>
        <w:rPr>
          <w:rFonts w:ascii="宋体" w:hAnsi="宋体" w:cs="宋体" w:eastAsia="宋体" w:hint="default"/>
          <w:b w:val="0"/>
          <w:bCs w:val="0"/>
        </w:rPr>
        <w:t>无</w:t>
      </w:r>
    </w:p>
    <w:p>
      <w:pPr>
        <w:pStyle w:val="Heading3"/>
        <w:spacing w:line="506" w:lineRule="auto" w:before="104"/>
        <w:ind w:right="6503"/>
        <w:jc w:val="left"/>
        <w:rPr>
          <w:rFonts w:ascii="宋体" w:hAnsi="宋体" w:cs="宋体" w:eastAsia="宋体" w:hint="default"/>
          <w:b w:val="0"/>
          <w:bCs w:val="0"/>
        </w:rPr>
      </w:pPr>
      <w:r>
        <w:rPr/>
        <w:t>（</w:t>
      </w:r>
      <w:r>
        <w:rPr>
          <w:rFonts w:ascii="Times New Roman" w:hAnsi="Times New Roman" w:cs="Times New Roman" w:eastAsia="Times New Roman" w:hint="default"/>
        </w:rPr>
        <w:t>4</w:t>
      </w:r>
      <w:r>
        <w:rPr/>
        <w:t>）通过经营租赁租出的固定资产</w:t>
      </w:r>
      <w:r>
        <w:rPr>
          <w:w w:val="99"/>
        </w:rPr>
        <w:t> </w:t>
      </w:r>
      <w:r>
        <w:rPr>
          <w:rFonts w:ascii="宋体" w:hAnsi="宋体" w:cs="宋体" w:eastAsia="宋体" w:hint="default"/>
          <w:b w:val="0"/>
          <w:bCs w:val="0"/>
        </w:rPr>
        <w:t>无</w:t>
      </w:r>
    </w:p>
    <w:p>
      <w:pPr>
        <w:pStyle w:val="Heading3"/>
        <w:spacing w:line="240" w:lineRule="auto" w:before="104"/>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2" w:right="0"/>
              <w:jc w:val="left"/>
              <w:rPr>
                <w:rFonts w:ascii="Times New Roman" w:hAnsi="Times New Roman" w:cs="Times New Roman" w:eastAsia="Times New Roman" w:hint="default"/>
                <w:sz w:val="18"/>
                <w:szCs w:val="18"/>
              </w:rPr>
            </w:pPr>
            <w:r>
              <w:rPr>
                <w:rFonts w:ascii="Times New Roman"/>
                <w:sz w:val="18"/>
              </w:rPr>
              <w:t>138,173,118.08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551"/>
        <w:gridCol w:w="1134"/>
        <w:gridCol w:w="992"/>
        <w:gridCol w:w="1134"/>
        <w:gridCol w:w="1276"/>
        <w:gridCol w:w="1116"/>
        <w:gridCol w:w="1367"/>
      </w:tblGrid>
      <w:tr>
        <w:trPr>
          <w:trHeight w:val="401" w:hRule="exact"/>
        </w:trPr>
        <w:tc>
          <w:tcPr>
            <w:tcW w:w="25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6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5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551"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二单元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楼装修工程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41,557.27</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41,557.27</w:t>
            </w:r>
          </w:p>
        </w:tc>
      </w:tr>
      <w:tr>
        <w:trPr>
          <w:trHeight w:val="714"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2"/>
              <w:jc w:val="left"/>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楼购房及装 修工程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2,177,440.41</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2,177,440.41</w:t>
            </w:r>
          </w:p>
        </w:tc>
      </w:tr>
      <w:tr>
        <w:trPr>
          <w:trHeight w:val="714"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6"/>
              <w:jc w:val="left"/>
              <w:rPr>
                <w:rFonts w:ascii="宋体" w:hAnsi="宋体" w:cs="宋体" w:eastAsia="宋体" w:hint="default"/>
                <w:sz w:val="18"/>
                <w:szCs w:val="18"/>
              </w:rPr>
            </w:pPr>
            <w:r>
              <w:rPr>
                <w:rFonts w:ascii="宋体" w:hAnsi="宋体" w:cs="宋体" w:eastAsia="宋体" w:hint="default"/>
                <w:sz w:val="18"/>
                <w:szCs w:val="18"/>
              </w:rPr>
              <w:t>太原天鹅堡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号楼购房及装修 工程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1,130,000.00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1,130,000.00</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3,348,997.68</w:t>
            </w:r>
          </w:p>
        </w:tc>
        <w:tc>
          <w:tcPr>
            <w:tcW w:w="111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3,348,997.68</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732"/>
        <w:gridCol w:w="736"/>
        <w:gridCol w:w="736"/>
        <w:gridCol w:w="737"/>
        <w:gridCol w:w="736"/>
        <w:gridCol w:w="736"/>
        <w:gridCol w:w="737"/>
        <w:gridCol w:w="736"/>
        <w:gridCol w:w="736"/>
        <w:gridCol w:w="737"/>
        <w:gridCol w:w="736"/>
        <w:gridCol w:w="736"/>
        <w:gridCol w:w="737"/>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其中： 本期利 息资本 化金额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2"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东海火</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113"/>
              <w:jc w:val="both"/>
              <w:rPr>
                <w:rFonts w:ascii="宋体" w:hAnsi="宋体" w:cs="宋体" w:eastAsia="宋体" w:hint="default"/>
                <w:sz w:val="18"/>
                <w:szCs w:val="18"/>
              </w:rPr>
            </w:pPr>
            <w:r>
              <w:rPr>
                <w:rFonts w:ascii="宋体" w:hAnsi="宋体" w:cs="宋体" w:eastAsia="宋体" w:hint="default"/>
                <w:sz w:val="18"/>
                <w:szCs w:val="18"/>
              </w:rPr>
              <w:t>炬科技 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 购房及 装修工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0" w:right="0"/>
              <w:jc w:val="center"/>
              <w:rPr>
                <w:rFonts w:ascii="Times New Roman" w:hAnsi="Times New Roman" w:cs="Times New Roman" w:eastAsia="Times New Roman" w:hint="default"/>
                <w:sz w:val="18"/>
                <w:szCs w:val="18"/>
              </w:rPr>
            </w:pPr>
            <w:r>
              <w:rPr>
                <w:rFonts w:ascii="Times New Roman"/>
                <w:sz w:val="18"/>
              </w:rPr>
              <w:t>266,098,</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650.82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3" w:right="0"/>
              <w:jc w:val="left"/>
              <w:rPr>
                <w:rFonts w:ascii="Times New Roman" w:hAnsi="Times New Roman" w:cs="Times New Roman" w:eastAsia="Times New Roman" w:hint="default"/>
                <w:sz w:val="18"/>
                <w:szCs w:val="18"/>
              </w:rPr>
            </w:pPr>
            <w:r>
              <w:rPr>
                <w:rFonts w:ascii="Times New Roman"/>
                <w:sz w:val="18"/>
              </w:rPr>
              <w:t>2,177,44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0.41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3" w:right="0"/>
              <w:jc w:val="left"/>
              <w:rPr>
                <w:rFonts w:ascii="Times New Roman" w:hAnsi="Times New Roman" w:cs="Times New Roman" w:eastAsia="Times New Roman" w:hint="default"/>
                <w:sz w:val="18"/>
                <w:szCs w:val="18"/>
              </w:rPr>
            </w:pPr>
            <w:r>
              <w:rPr>
                <w:rFonts w:ascii="Times New Roman"/>
                <w:sz w:val="18"/>
              </w:rPr>
              <w:t>2,746,06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7.53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3" w:right="0"/>
              <w:jc w:val="left"/>
              <w:rPr>
                <w:rFonts w:ascii="Times New Roman" w:hAnsi="Times New Roman" w:cs="Times New Roman" w:eastAsia="Times New Roman" w:hint="default"/>
                <w:sz w:val="18"/>
                <w:szCs w:val="18"/>
              </w:rPr>
            </w:pPr>
            <w:r>
              <w:rPr>
                <w:rFonts w:ascii="Times New Roman"/>
                <w:sz w:val="18"/>
              </w:rPr>
              <w:t>3,535,60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8.97</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3" w:right="0"/>
              <w:jc w:val="left"/>
              <w:rPr>
                <w:rFonts w:ascii="Times New Roman" w:hAnsi="Times New Roman" w:cs="Times New Roman" w:eastAsia="Times New Roman" w:hint="default"/>
                <w:sz w:val="18"/>
                <w:szCs w:val="18"/>
              </w:rPr>
            </w:pPr>
            <w:r>
              <w:rPr>
                <w:rFonts w:ascii="Times New Roman"/>
                <w:sz w:val="18"/>
              </w:rPr>
              <w:t>1,387,89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8.97</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77.95%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77.95%</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63" w:right="23"/>
              <w:jc w:val="right"/>
              <w:rPr>
                <w:rFonts w:ascii="宋体" w:hAnsi="宋体" w:cs="宋体" w:eastAsia="宋体" w:hint="default"/>
                <w:sz w:val="18"/>
                <w:szCs w:val="18"/>
              </w:rPr>
            </w:pPr>
            <w:r>
              <w:rPr>
                <w:rFonts w:ascii="宋体" w:hAnsi="宋体" w:cs="宋体" w:eastAsia="宋体" w:hint="default"/>
                <w:sz w:val="18"/>
                <w:szCs w:val="18"/>
              </w:rPr>
              <w:t>超募及 自有资</w:t>
            </w:r>
          </w:p>
          <w:p>
            <w:pPr>
              <w:pStyle w:val="TableParagraph"/>
              <w:spacing w:line="240" w:lineRule="auto" w:before="20"/>
              <w:ind w:right="23"/>
              <w:jc w:val="right"/>
              <w:rPr>
                <w:rFonts w:ascii="宋体" w:hAnsi="宋体" w:cs="宋体" w:eastAsia="宋体" w:hint="default"/>
                <w:sz w:val="18"/>
                <w:szCs w:val="18"/>
              </w:rPr>
            </w:pPr>
            <w:r>
              <w:rPr>
                <w:rFonts w:ascii="宋体" w:hAnsi="宋体" w:cs="宋体" w:eastAsia="宋体" w:hint="default"/>
                <w:sz w:val="18"/>
                <w:szCs w:val="18"/>
              </w:rPr>
              <w:t>金</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太原天</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鹅堡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号楼购 房及装</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1,730,00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1,130,00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528,235.</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1,658,23</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5.11</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95.85%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100.00%</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62"/>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修工程</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观日路 </w:t>
            </w:r>
            <w:r>
              <w:rPr>
                <w:rFonts w:ascii="Times New Roman" w:hAnsi="Times New Roman" w:cs="Times New Roman" w:eastAsia="Times New Roman" w:hint="default"/>
                <w:sz w:val="18"/>
                <w:szCs w:val="18"/>
              </w:rPr>
              <w:t>14#</w:t>
            </w:r>
            <w:r>
              <w:rPr>
                <w:rFonts w:ascii="宋体" w:hAnsi="宋体" w:cs="宋体" w:eastAsia="宋体" w:hint="default"/>
                <w:sz w:val="18"/>
                <w:szCs w:val="18"/>
              </w:rPr>
              <w:t>号楼 装修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2,449,02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3.60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2,449,02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1,649,93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799,090.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2"/>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358"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美亚中</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敏办公 厂房装</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3" w:right="0"/>
              <w:jc w:val="left"/>
              <w:rPr>
                <w:rFonts w:ascii="Times New Roman" w:hAnsi="Times New Roman" w:cs="Times New Roman" w:eastAsia="Times New Roman" w:hint="default"/>
                <w:sz w:val="18"/>
                <w:szCs w:val="18"/>
              </w:rPr>
            </w:pPr>
            <w:r>
              <w:rPr>
                <w:rFonts w:ascii="Times New Roman"/>
                <w:sz w:val="18"/>
              </w:rPr>
              <w:t>2,336,80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9.91</w:t>
            </w: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3" w:right="0"/>
              <w:jc w:val="left"/>
              <w:rPr>
                <w:rFonts w:ascii="Times New Roman" w:hAnsi="Times New Roman" w:cs="Times New Roman" w:eastAsia="Times New Roman" w:hint="default"/>
                <w:sz w:val="18"/>
                <w:szCs w:val="18"/>
              </w:rPr>
            </w:pPr>
            <w:r>
              <w:rPr>
                <w:rFonts w:ascii="Times New Roman"/>
                <w:sz w:val="18"/>
              </w:rPr>
              <w:t>2,336,80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9.91</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3" w:right="0"/>
              <w:jc w:val="left"/>
              <w:rPr>
                <w:rFonts w:ascii="Times New Roman" w:hAnsi="Times New Roman" w:cs="Times New Roman" w:eastAsia="Times New Roman" w:hint="default"/>
                <w:sz w:val="18"/>
                <w:szCs w:val="18"/>
              </w:rPr>
            </w:pPr>
            <w:r>
              <w:rPr>
                <w:rFonts w:ascii="Times New Roman"/>
                <w:sz w:val="18"/>
              </w:rPr>
              <w:t>2,336,80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9.91</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62"/>
              <w:jc w:val="left"/>
              <w:rPr>
                <w:rFonts w:ascii="宋体" w:hAnsi="宋体" w:cs="宋体" w:eastAsia="宋体" w:hint="default"/>
                <w:sz w:val="18"/>
                <w:szCs w:val="18"/>
              </w:rPr>
            </w:pPr>
            <w:r>
              <w:rPr>
                <w:rFonts w:ascii="宋体" w:hAnsi="宋体" w:cs="宋体" w:eastAsia="宋体" w:hint="default"/>
                <w:sz w:val="18"/>
                <w:szCs w:val="18"/>
              </w:rPr>
              <w:t>自有资 金</w:t>
            </w:r>
          </w:p>
        </w:tc>
      </w:tr>
      <w:tr>
        <w:trPr>
          <w:trHeight w:val="351"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修</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1,353,75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1,353,75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1,353,75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自有资</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732"/>
        <w:gridCol w:w="736"/>
        <w:gridCol w:w="736"/>
        <w:gridCol w:w="737"/>
        <w:gridCol w:w="736"/>
        <w:gridCol w:w="736"/>
        <w:gridCol w:w="737"/>
        <w:gridCol w:w="736"/>
        <w:gridCol w:w="736"/>
        <w:gridCol w:w="737"/>
        <w:gridCol w:w="736"/>
        <w:gridCol w:w="736"/>
        <w:gridCol w:w="737"/>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7"/>
              <w:jc w:val="both"/>
              <w:rPr>
                <w:rFonts w:ascii="宋体" w:hAnsi="宋体" w:cs="宋体" w:eastAsia="宋体" w:hint="default"/>
                <w:sz w:val="18"/>
                <w:szCs w:val="18"/>
              </w:rPr>
            </w:pPr>
            <w:r>
              <w:rPr>
                <w:rFonts w:ascii="宋体" w:hAnsi="宋体" w:cs="宋体" w:eastAsia="宋体" w:hint="default"/>
                <w:sz w:val="18"/>
                <w:szCs w:val="18"/>
              </w:rPr>
              <w:t>数据研 究中心 装修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273,968,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234.33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3,307,44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9,413,88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6,843,77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5,877,54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公司是否需遵守《深圳证券交易所创业板行业信息披露指引第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上市公司从事互联网游戏业务》的披露要求</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3"/>
        <w:ind w:left="0" w:right="14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700"/>
        <w:gridCol w:w="994"/>
        <w:gridCol w:w="850"/>
        <w:gridCol w:w="708"/>
        <w:gridCol w:w="1063"/>
        <w:gridCol w:w="1063"/>
        <w:gridCol w:w="1062"/>
        <w:gridCol w:w="1063"/>
        <w:gridCol w:w="1063"/>
      </w:tblGrid>
      <w:tr>
        <w:trPr>
          <w:trHeight w:val="1026"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7" w:right="78"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5"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5"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06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武汉大千无 形资产评估 增值</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700"/>
        <w:gridCol w:w="994"/>
        <w:gridCol w:w="850"/>
        <w:gridCol w:w="708"/>
        <w:gridCol w:w="1063"/>
        <w:gridCol w:w="1063"/>
        <w:gridCol w:w="1062"/>
        <w:gridCol w:w="1063"/>
        <w:gridCol w:w="1063"/>
      </w:tblGrid>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8,081,663.98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278,400.00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7,260,900.00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105,618,489.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121,239,453.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26</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1,501,474.64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27,237,374.0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28,738,848.7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1,501,474.64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1,501,474.64</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27,237,374.0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27,237,374.0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37"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687,333.62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687,333.62</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687,333.62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687,333.62</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8,895,805.00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278,400.00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7,260,900.00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132,855,863.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149,290,968.</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3,986,323.97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142,886.49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2,904,360.00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55,696,263.1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62,729,833.6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1,502,015.34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27,840.12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1,452,180.00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12,217,766.0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15,199,801.5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1,502,015.34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27,840.12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1,452,180.00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12,217,766.0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15,199,801.5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32,424.50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32,424.50</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32,424.50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32,424.50</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5,455,914.81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170,726.61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4,356,540.00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67,914,029.1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77,897,210.6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16,195,950.3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16,195,950.3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7,041,109.80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7,041,109.80</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7,041,109.80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7,041,109.80</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1700"/>
        <w:gridCol w:w="994"/>
        <w:gridCol w:w="850"/>
        <w:gridCol w:w="708"/>
        <w:gridCol w:w="1063"/>
        <w:gridCol w:w="1063"/>
        <w:gridCol w:w="1062"/>
        <w:gridCol w:w="1063"/>
        <w:gridCol w:w="1063"/>
      </w:tblGrid>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23,237,060.1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23,237,060.1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3,439,890.19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107,673.39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2,904,360.00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41,704,774.0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48,156,697.5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4,095,340.01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135,513.51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4,356,540.00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33,726,275.7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42,313,669.2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86.60%</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89"/>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26"/>
        <w:ind w:right="0"/>
        <w:jc w:val="both"/>
      </w:pPr>
      <w:r>
        <w:rPr/>
        <w:t>其他说明：</w:t>
      </w:r>
    </w:p>
    <w:p>
      <w:pPr>
        <w:pStyle w:val="BodyText"/>
        <w:spacing w:line="240" w:lineRule="auto" w:before="76"/>
        <w:ind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日，厦门大学资产评估土地房地产估价有限责任公司出具了</w:t>
      </w:r>
      <w:r>
        <w:rPr>
          <w:rFonts w:ascii="Times New Roman" w:hAnsi="Times New Roman" w:cs="Times New Roman" w:eastAsia="Times New Roman" w:hint="default"/>
        </w:rPr>
        <w:t>“</w:t>
      </w:r>
      <w:r>
        <w:rPr/>
        <w:t>大学评估</w:t>
      </w:r>
      <w:r>
        <w:rPr>
          <w:rFonts w:ascii="Times New Roman" w:hAnsi="Times New Roman" w:cs="Times New Roman" w:eastAsia="Times New Roman" w:hint="default"/>
        </w:rPr>
        <w:t>[2018]830001</w:t>
      </w:r>
      <w:r>
        <w:rPr/>
        <w:t>号</w:t>
      </w:r>
      <w:r>
        <w:rPr>
          <w:rFonts w:ascii="Times New Roman" w:hAnsi="Times New Roman" w:cs="Times New Roman" w:eastAsia="Times New Roman" w:hint="default"/>
        </w:rPr>
        <w:t>”</w:t>
      </w:r>
    </w:p>
    <w:p>
      <w:pPr>
        <w:pStyle w:val="BodyText"/>
        <w:spacing w:line="264" w:lineRule="auto" w:before="21"/>
        <w:ind w:left="153" w:right="142"/>
        <w:jc w:val="both"/>
      </w:pPr>
      <w:r>
        <w:rPr>
          <w:spacing w:val="3"/>
        </w:rPr>
        <w:t>《厦门市美亚柏科信息股份有限公司以财务报告为目的而了解资产价值涉及的电子数据分析系统等一组</w:t>
      </w:r>
      <w:r>
        <w:rPr>
          <w:spacing w:val="-78"/>
        </w:rPr>
        <w:t> </w:t>
      </w:r>
      <w:r>
        <w:rPr>
          <w:spacing w:val="-78"/>
        </w:rPr>
      </w:r>
      <w:r>
        <w:rPr>
          <w:spacing w:val="-1"/>
        </w:rPr>
        <w:t>无形资产评估报告书》，对截止评估基准日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日，本集团根据评估结果相应计提无形资产减值</w:t>
      </w:r>
      <w:r>
        <w:rPr>
          <w:spacing w:val="-85"/>
        </w:rPr>
        <w:t> </w:t>
      </w:r>
      <w:r>
        <w:rPr>
          <w:spacing w:val="-85"/>
        </w:rPr>
      </w:r>
      <w:r>
        <w:rPr/>
        <w:t>准备</w:t>
      </w:r>
      <w:r>
        <w:rPr>
          <w:rFonts w:ascii="Times New Roman" w:hAnsi="Times New Roman" w:cs="Times New Roman" w:eastAsia="Times New Roman" w:hint="default"/>
        </w:rPr>
        <w:t>23,237,060.18</w:t>
      </w:r>
      <w:r>
        <w:rPr/>
        <w:t>元。</w:t>
      </w:r>
    </w:p>
    <w:p>
      <w:pPr>
        <w:spacing w:line="240" w:lineRule="auto" w:before="5"/>
        <w:rPr>
          <w:rFonts w:ascii="宋体" w:hAnsi="宋体" w:cs="宋体" w:eastAsia="宋体" w:hint="default"/>
          <w:sz w:val="16"/>
          <w:szCs w:val="16"/>
        </w:rPr>
      </w:pPr>
    </w:p>
    <w:p>
      <w:pPr>
        <w:pStyle w:val="BodyText"/>
        <w:spacing w:line="261" w:lineRule="auto"/>
        <w:ind w:left="153" w:right="148"/>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日，北京国融兴华资产评估有限责任公司（以下简称</w:t>
      </w:r>
      <w:r>
        <w:rPr>
          <w:rFonts w:ascii="Times New Roman" w:hAnsi="Times New Roman" w:cs="Times New Roman" w:eastAsia="Times New Roman" w:hint="default"/>
          <w:spacing w:val="-2"/>
        </w:rPr>
        <w:t>“</w:t>
      </w:r>
      <w:r>
        <w:rPr>
          <w:spacing w:val="-2"/>
        </w:rPr>
        <w:t>国融兴华</w:t>
      </w:r>
      <w:r>
        <w:rPr>
          <w:rFonts w:ascii="Times New Roman" w:hAnsi="Times New Roman" w:cs="Times New Roman" w:eastAsia="Times New Roman" w:hint="default"/>
          <w:spacing w:val="-2"/>
        </w:rPr>
        <w:t>”</w:t>
      </w:r>
      <w:r>
        <w:rPr>
          <w:spacing w:val="-2"/>
        </w:rPr>
        <w:t>）出具了</w:t>
      </w:r>
      <w:r>
        <w:rPr>
          <w:rFonts w:ascii="Times New Roman" w:hAnsi="Times New Roman" w:cs="Times New Roman" w:eastAsia="Times New Roman" w:hint="default"/>
          <w:spacing w:val="-2"/>
        </w:rPr>
        <w:t>“</w:t>
      </w:r>
      <w:r>
        <w:rPr>
          <w:spacing w:val="-2"/>
        </w:rPr>
        <w:t>国融兴华评报</w:t>
      </w:r>
      <w:r>
        <w:rPr>
          <w:spacing w:val="-100"/>
        </w:rPr>
        <w:t> </w:t>
      </w:r>
      <w:r>
        <w:rPr>
          <w:spacing w:val="-100"/>
        </w:rPr>
      </w:r>
      <w:r>
        <w:rPr/>
        <w:t>字</w:t>
      </w:r>
      <w:r>
        <w:rPr>
          <w:rFonts w:ascii="Times New Roman" w:hAnsi="Times New Roman" w:cs="Times New Roman" w:eastAsia="Times New Roman" w:hint="default"/>
        </w:rPr>
        <w:t>(2018)</w:t>
      </w:r>
      <w:r>
        <w:rPr/>
        <w:t>第 </w:t>
      </w:r>
      <w:r>
        <w:rPr>
          <w:rFonts w:ascii="Times New Roman" w:hAnsi="Times New Roman" w:cs="Times New Roman" w:eastAsia="Times New Roman" w:hint="default"/>
        </w:rPr>
        <w:t>020035</w:t>
      </w:r>
      <w:r>
        <w:rPr/>
        <w:t>号</w:t>
      </w:r>
      <w:r>
        <w:rPr>
          <w:rFonts w:ascii="Times New Roman" w:hAnsi="Times New Roman" w:cs="Times New Roman" w:eastAsia="Times New Roman" w:hint="default"/>
        </w:rPr>
        <w:t>”</w:t>
      </w:r>
      <w:r>
        <w:rPr/>
        <w:t>《厦门市美亚柏科信息股份有限公司减值测试所涉及的武汉大千信息技术有限公司</w:t>
      </w:r>
      <w:r>
        <w:rPr>
          <w:spacing w:val="-65"/>
        </w:rPr>
        <w:t> </w:t>
      </w:r>
      <w:r>
        <w:rPr>
          <w:spacing w:val="-65"/>
        </w:rPr>
      </w:r>
      <w:r>
        <w:rPr>
          <w:spacing w:val="-1"/>
        </w:rPr>
        <w:t>资产组及相关无形资产组合可收回金额资产评估报告》，对武汉大千预计未来现金流现值及其持有的无形</w:t>
      </w:r>
      <w:r>
        <w:rPr>
          <w:spacing w:val="-81"/>
        </w:rPr>
        <w:t> </w:t>
      </w:r>
      <w:r>
        <w:rPr>
          <w:spacing w:val="-81"/>
        </w:rPr>
      </w:r>
      <w:r>
        <w:rPr>
          <w:spacing w:val="-1"/>
        </w:rPr>
        <w:t>资产组合市场价值采用现金流折现方法（</w:t>
      </w:r>
      <w:r>
        <w:rPr>
          <w:rFonts w:ascii="Times New Roman" w:hAnsi="Times New Roman" w:cs="Times New Roman" w:eastAsia="Times New Roman" w:hint="default"/>
          <w:spacing w:val="-1"/>
        </w:rPr>
        <w:t>DCF</w:t>
      </w:r>
      <w:r>
        <w:rPr>
          <w:spacing w:val="-1"/>
        </w:rPr>
        <w:t>）进行评估，截止评估基准日</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日，武汉大千无</w:t>
      </w:r>
      <w:r>
        <w:rPr>
          <w:spacing w:val="-76"/>
        </w:rPr>
        <w:t> </w:t>
      </w:r>
      <w:r>
        <w:rPr>
          <w:spacing w:val="-76"/>
        </w:rPr>
      </w:r>
      <w:r>
        <w:rPr/>
        <w:t>形资产组合市场价值为</w:t>
      </w:r>
      <w:r>
        <w:rPr>
          <w:rFonts w:ascii="Times New Roman" w:hAnsi="Times New Roman" w:cs="Times New Roman" w:eastAsia="Times New Roman" w:hint="default"/>
        </w:rPr>
        <w:t>350.70</w:t>
      </w:r>
      <w:r>
        <w:rPr/>
        <w:t>万元。截止年末，本公司溢价收购武汉大千所形成的无形资产评估增值未发</w:t>
      </w:r>
      <w:r>
        <w:rPr>
          <w:spacing w:val="-82"/>
        </w:rPr>
        <w:t> </w:t>
      </w:r>
      <w:r>
        <w:rPr>
          <w:spacing w:val="-82"/>
        </w:rPr>
      </w:r>
      <w:r>
        <w:rPr/>
        <w:t>生减值情况。</w:t>
      </w:r>
    </w:p>
    <w:p>
      <w:pPr>
        <w:spacing w:line="240" w:lineRule="auto" w:before="4"/>
        <w:rPr>
          <w:rFonts w:ascii="宋体" w:hAnsi="宋体" w:cs="宋体" w:eastAsia="宋体" w:hint="default"/>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59"/>
        <w:gridCol w:w="1135"/>
        <w:gridCol w:w="1242"/>
        <w:gridCol w:w="992"/>
        <w:gridCol w:w="600"/>
        <w:gridCol w:w="1384"/>
        <w:gridCol w:w="1277"/>
        <w:gridCol w:w="457"/>
        <w:gridCol w:w="920"/>
      </w:tblGrid>
      <w:tr>
        <w:trPr>
          <w:trHeight w:val="401" w:hRule="exact"/>
        </w:trPr>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6"/>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8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1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59" w:type="dxa"/>
            <w:vMerge/>
            <w:tcBorders>
              <w:left w:val="single" w:sz="4" w:space="0" w:color="000000"/>
              <w:bottom w:val="single" w:sz="4" w:space="0" w:color="000000"/>
              <w:right w:val="single" w:sz="4" w:space="0" w:color="000000"/>
            </w:tcBorders>
            <w:shd w:val="clear" w:color="auto" w:fill="D3D3D3"/>
          </w:tcPr>
          <w:p>
            <w:pPr/>
          </w:p>
        </w:tc>
        <w:tc>
          <w:tcPr>
            <w:tcW w:w="1135" w:type="dxa"/>
            <w:vMerge/>
            <w:tcBorders>
              <w:left w:val="single" w:sz="4" w:space="0" w:color="000000"/>
              <w:bottom w:val="single" w:sz="4" w:space="0" w:color="000000"/>
              <w:right w:val="single" w:sz="4" w:space="0" w:color="000000"/>
            </w:tcBorders>
            <w:shd w:val="clear" w:color="auto" w:fill="D3D3D3"/>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计入当期损益</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52"/>
              <w:ind w:left="22" w:right="6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w:t>
            </w:r>
            <w:r>
              <w:rPr>
                <w:rFonts w:ascii="宋体" w:hAnsi="宋体" w:cs="宋体" w:eastAsia="宋体" w:hint="default"/>
                <w:sz w:val="18"/>
                <w:szCs w:val="18"/>
              </w:rPr>
              <w:t>情报信息共享平 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2,155,988.39</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3,533,878.96</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5,689,867.35</w:t>
            </w:r>
          </w:p>
        </w:tc>
        <w:tc>
          <w:tcPr>
            <w:tcW w:w="1277"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取证魔方系统</w:t>
            </w:r>
            <w:r>
              <w:rPr>
                <w:rFonts w:ascii="Times New Roman" w:hAnsi="Times New Roman" w:cs="Times New Roman" w:eastAsia="Times New Roman" w:hint="default"/>
                <w:sz w:val="18"/>
                <w:szCs w:val="18"/>
              </w:rPr>
              <w:t>.V3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1,550,746.24</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4,215,133.01</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5,765,879.25</w:t>
            </w:r>
          </w:p>
        </w:tc>
        <w:tc>
          <w:tcPr>
            <w:tcW w:w="1277"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取证塔系统</w:t>
            </w:r>
            <w:r>
              <w:rPr>
                <w:rFonts w:ascii="Times New Roman" w:hAnsi="Times New Roman" w:cs="Times New Roman" w:eastAsia="Times New Roman" w:hint="default"/>
                <w:sz w:val="18"/>
                <w:szCs w:val="18"/>
              </w:rPr>
              <w:t>.V5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2,986,606.42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5,132,337.20</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6,895,205.39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1,223,738.23</w:t>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电子鹰无人机反制 系统</w:t>
            </w:r>
            <w:r>
              <w:rPr>
                <w:rFonts w:ascii="Times New Roman" w:hAnsi="Times New Roman" w:cs="Times New Roman" w:eastAsia="Times New Roman" w:hint="default"/>
                <w:sz w:val="18"/>
                <w:szCs w:val="18"/>
              </w:rPr>
              <w:t>.V3</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2,113,913.14</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1,603,373.43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510,539.71</w:t>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指挥及情报信息应 用系统</w:t>
            </w:r>
            <w:r>
              <w:rPr>
                <w:rFonts w:ascii="Times New Roman" w:hAnsi="Times New Roman" w:cs="Times New Roman" w:eastAsia="Times New Roman" w:hint="default"/>
                <w:sz w:val="18"/>
                <w:szCs w:val="18"/>
              </w:rPr>
              <w:t>.V1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2,061,812.24</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411,743.65</w:t>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1,650,068.5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559"/>
        <w:gridCol w:w="1135"/>
        <w:gridCol w:w="1242"/>
        <w:gridCol w:w="992"/>
        <w:gridCol w:w="600"/>
        <w:gridCol w:w="1384"/>
        <w:gridCol w:w="1277"/>
        <w:gridCol w:w="457"/>
        <w:gridCol w:w="920"/>
      </w:tblGrid>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超级警务通</w:t>
            </w:r>
            <w:r>
              <w:rPr>
                <w:rFonts w:ascii="Times New Roman" w:hAnsi="Times New Roman" w:cs="Times New Roman" w:eastAsia="Times New Roman" w:hint="default"/>
                <w:sz w:val="18"/>
                <w:szCs w:val="18"/>
              </w:rPr>
              <w:t>.V1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2,352,616.99</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121,698.50</w:t>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2,230,918.4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266"/>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手机并行采集系 统</w:t>
            </w:r>
            <w:r>
              <w:rPr>
                <w:rFonts w:ascii="Times New Roman" w:hAnsi="Times New Roman" w:cs="Times New Roman" w:eastAsia="Times New Roman" w:hint="default"/>
                <w:sz w:val="18"/>
                <w:szCs w:val="18"/>
              </w:rPr>
              <w:t>.V2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3,304,649.50</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1,457,630.86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1,847,018.64</w:t>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远程服务器取证系 统</w:t>
            </w:r>
            <w:r>
              <w:rPr>
                <w:rFonts w:ascii="Times New Roman" w:hAnsi="Times New Roman" w:cs="Times New Roman" w:eastAsia="Times New Roman" w:hint="default"/>
                <w:sz w:val="18"/>
                <w:szCs w:val="18"/>
              </w:rPr>
              <w:t>.V1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2,508,656.71</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2,339,412.64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169,244.07</w:t>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小安警用机器人系 统</w:t>
            </w:r>
            <w:r>
              <w:rPr>
                <w:rFonts w:ascii="Times New Roman" w:hAnsi="Times New Roman" w:cs="Times New Roman" w:eastAsia="Times New Roman" w:hint="default"/>
                <w:sz w:val="18"/>
                <w:szCs w:val="18"/>
              </w:rPr>
              <w:t>.V1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4,129,708.31</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1,148,366.95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2,981,341.36</w:t>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移动终端批量阵地 式查缉系统</w:t>
            </w:r>
            <w:r>
              <w:rPr>
                <w:rFonts w:ascii="Times New Roman" w:hAnsi="Times New Roman" w:cs="Times New Roman" w:eastAsia="Times New Roman" w:hint="default"/>
                <w:sz w:val="18"/>
                <w:szCs w:val="18"/>
              </w:rPr>
              <w:t>.V1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6,074,385.14</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2,337,638.22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3,736,746.92</w:t>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蛛网电子数据采集 分析系统</w:t>
            </w:r>
            <w:r>
              <w:rPr>
                <w:rFonts w:ascii="Times New Roman" w:hAnsi="Times New Roman" w:cs="Times New Roman" w:eastAsia="Times New Roman" w:hint="default"/>
                <w:sz w:val="18"/>
                <w:szCs w:val="18"/>
              </w:rPr>
              <w:t>.V4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4,520,910.47</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1,885,738.09</w:t>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2,635,172.3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446"/>
              <w:jc w:val="left"/>
              <w:rPr>
                <w:rFonts w:ascii="Times New Roman" w:hAnsi="Times New Roman" w:cs="Times New Roman" w:eastAsia="Times New Roman" w:hint="default"/>
                <w:sz w:val="18"/>
                <w:szCs w:val="18"/>
              </w:rPr>
            </w:pPr>
            <w:r>
              <w:rPr>
                <w:rFonts w:ascii="宋体" w:hAnsi="宋体" w:cs="宋体" w:eastAsia="宋体" w:hint="default"/>
                <w:sz w:val="18"/>
                <w:szCs w:val="18"/>
              </w:rPr>
              <w:t>实验室管理系 统</w:t>
            </w:r>
            <w:r>
              <w:rPr>
                <w:rFonts w:ascii="Times New Roman" w:hAnsi="Times New Roman" w:cs="Times New Roman" w:eastAsia="Times New Roman" w:hint="default"/>
                <w:sz w:val="18"/>
                <w:szCs w:val="18"/>
              </w:rPr>
              <w:t>.V4</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2,267,984.17</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858,204.98</w:t>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1,409,779.1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手机云数据取证系 统</w:t>
            </w:r>
            <w:r>
              <w:rPr>
                <w:rFonts w:ascii="Times New Roman" w:hAnsi="Times New Roman" w:cs="Times New Roman" w:eastAsia="Times New Roman" w:hint="default"/>
                <w:sz w:val="18"/>
                <w:szCs w:val="18"/>
              </w:rPr>
              <w:t>.V1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3,247,802.08</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3,247,802.0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86"/>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互联网信息应急指 挥系统</w:t>
            </w:r>
            <w:r>
              <w:rPr>
                <w:rFonts w:ascii="Times New Roman" w:hAnsi="Times New Roman" w:cs="Times New Roman" w:eastAsia="Times New Roman" w:hint="default"/>
                <w:sz w:val="18"/>
                <w:szCs w:val="18"/>
              </w:rPr>
              <w:t>.V1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32,412.03</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32,412.03</w:t>
            </w: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pacing w:val="-1"/>
                <w:sz w:val="18"/>
              </w:rPr>
              <w:t>157,977,014.30</w:t>
            </w:r>
            <w:r>
              <w:rPr>
                <w:rFonts w:ascii="Arial Narrow"/>
                <w:sz w:val="18"/>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Narrow" w:hAnsi="Arial Narrow" w:cs="Arial Narrow" w:eastAsia="Arial Narrow" w:hint="default"/>
                <w:sz w:val="18"/>
                <w:szCs w:val="18"/>
              </w:rPr>
            </w:pPr>
            <w:r>
              <w:rPr>
                <w:rFonts w:ascii="Arial Narrow"/>
                <w:spacing w:val="-1"/>
                <w:sz w:val="18"/>
              </w:rPr>
              <w:t>157,977,014.30</w:t>
            </w:r>
            <w:r>
              <w:rPr>
                <w:rFonts w:ascii="Arial Narrow"/>
                <w:sz w:val="18"/>
              </w:rPr>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6,693,341.05</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203,473,214.25</w:t>
            </w:r>
          </w:p>
        </w:tc>
        <w:tc>
          <w:tcPr>
            <w:tcW w:w="99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27,237,374.09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171,723,028.45</w:t>
            </w:r>
            <w:r>
              <w:rPr>
                <w:rFonts w:ascii="Arial Narrow"/>
                <w:sz w:val="18"/>
              </w:rPr>
            </w:r>
          </w:p>
        </w:tc>
        <w:tc>
          <w:tcPr>
            <w:tcW w:w="457"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11,206,152.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8"/>
          <w:szCs w:val="8"/>
        </w:rPr>
      </w:pPr>
    </w:p>
    <w:tbl>
      <w:tblPr>
        <w:tblW w:w="0" w:type="auto"/>
        <w:jc w:val="left"/>
        <w:tblInd w:w="164" w:type="dxa"/>
        <w:tblLayout w:type="fixed"/>
        <w:tblCellMar>
          <w:top w:w="0" w:type="dxa"/>
          <w:left w:w="0" w:type="dxa"/>
          <w:bottom w:w="0" w:type="dxa"/>
          <w:right w:w="0" w:type="dxa"/>
        </w:tblCellMar>
        <w:tblLook w:val="01E0"/>
      </w:tblPr>
      <w:tblGrid>
        <w:gridCol w:w="2128"/>
        <w:gridCol w:w="1559"/>
        <w:gridCol w:w="4111"/>
        <w:gridCol w:w="1842"/>
      </w:tblGrid>
      <w:tr>
        <w:trPr>
          <w:trHeight w:val="630"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9" w:right="0"/>
              <w:jc w:val="left"/>
              <w:rPr>
                <w:rFonts w:ascii="宋体" w:hAnsi="宋体" w:cs="宋体" w:eastAsia="宋体" w:hint="default"/>
                <w:sz w:val="18"/>
                <w:szCs w:val="18"/>
              </w:rPr>
            </w:pPr>
            <w:r>
              <w:rPr>
                <w:rFonts w:ascii="宋体" w:hAnsi="宋体" w:cs="宋体" w:eastAsia="宋体" w:hint="default"/>
                <w:b/>
                <w:bCs/>
                <w:sz w:val="18"/>
                <w:szCs w:val="18"/>
              </w:rPr>
              <w:t>资本化开始时点</w:t>
            </w:r>
            <w:r>
              <w:rPr>
                <w:rFonts w:ascii="宋体" w:hAnsi="宋体" w:cs="宋体" w:eastAsia="宋体" w:hint="default"/>
                <w:sz w:val="18"/>
                <w:szCs w:val="18"/>
              </w:rPr>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24" w:right="0"/>
              <w:jc w:val="left"/>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9" w:right="0"/>
              <w:jc w:val="left"/>
              <w:rPr>
                <w:rFonts w:ascii="宋体" w:hAnsi="宋体" w:cs="宋体" w:eastAsia="宋体" w:hint="default"/>
                <w:sz w:val="18"/>
                <w:szCs w:val="18"/>
              </w:rPr>
            </w:pPr>
            <w:r>
              <w:rPr>
                <w:rFonts w:ascii="宋体" w:hAnsi="宋体" w:cs="宋体" w:eastAsia="宋体" w:hint="default"/>
                <w:b/>
                <w:bCs/>
                <w:sz w:val="18"/>
                <w:szCs w:val="18"/>
              </w:rPr>
              <w:t>截至年末的研发进度</w:t>
            </w:r>
            <w:r>
              <w:rPr>
                <w:rFonts w:ascii="宋体" w:hAnsi="宋体" w:cs="宋体" w:eastAsia="宋体" w:hint="default"/>
                <w:sz w:val="18"/>
                <w:szCs w:val="18"/>
              </w:rPr>
            </w:r>
          </w:p>
        </w:tc>
      </w:tr>
      <w:tr>
        <w:trPr>
          <w:trHeight w:val="1363"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w:t>
            </w:r>
            <w:r>
              <w:rPr>
                <w:rFonts w:ascii="宋体" w:hAnsi="宋体" w:cs="宋体" w:eastAsia="宋体" w:hint="default"/>
                <w:sz w:val="18"/>
                <w:szCs w:val="18"/>
              </w:rPr>
              <w:t>情报信息共享平台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V1.0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0"/>
              <w:jc w:val="both"/>
              <w:rPr>
                <w:rFonts w:ascii="宋体" w:hAnsi="宋体" w:cs="宋体" w:eastAsia="宋体" w:hint="default"/>
                <w:sz w:val="18"/>
                <w:szCs w:val="18"/>
              </w:rPr>
            </w:pPr>
            <w:r>
              <w:rPr>
                <w:rFonts w:ascii="宋体" w:hAnsi="宋体" w:cs="宋体" w:eastAsia="宋体" w:hint="default"/>
                <w:spacing w:val="-3"/>
                <w:sz w:val="18"/>
                <w:szCs w:val="18"/>
              </w:rPr>
              <w:t>完成研发项目在技术上具有可行性，项目实施完成后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具有较好的市场容量和市场占有率，可以为项目收益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提供有力保证，同时公司有足够的技术、财务等资源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的支持，并单独核算，支出能够可靠的计量</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48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取证魔方系统</w:t>
            </w:r>
            <w:r>
              <w:rPr>
                <w:rFonts w:ascii="Times New Roman" w:hAnsi="Times New Roman" w:cs="Times New Roman" w:eastAsia="Times New Roman" w:hint="default"/>
                <w:sz w:val="18"/>
                <w:szCs w:val="18"/>
              </w:rPr>
              <w:t>.V3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426"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取证塔系统</w:t>
            </w:r>
            <w:r>
              <w:rPr>
                <w:rFonts w:ascii="Times New Roman" w:hAnsi="Times New Roman" w:cs="Times New Roman" w:eastAsia="Times New Roman" w:hint="default"/>
                <w:sz w:val="18"/>
                <w:szCs w:val="18"/>
              </w:rPr>
              <w:t>.V5</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电子鹰无人机反制系统</w:t>
            </w:r>
            <w:r>
              <w:rPr>
                <w:rFonts w:ascii="Times New Roman" w:hAnsi="Times New Roman" w:cs="Times New Roman" w:eastAsia="Times New Roman" w:hint="default"/>
                <w:sz w:val="18"/>
                <w:szCs w:val="18"/>
              </w:rPr>
              <w:t>.V3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73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9"/>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指挥及</w:t>
            </w:r>
            <w:r>
              <w:rPr>
                <w:rFonts w:ascii="宋体" w:hAnsi="宋体" w:cs="宋体" w:eastAsia="宋体" w:hint="default"/>
                <w:spacing w:val="-56"/>
                <w:sz w:val="18"/>
                <w:szCs w:val="18"/>
              </w:rPr>
              <w:t> </w:t>
            </w:r>
            <w:r>
              <w:rPr>
                <w:rFonts w:ascii="宋体" w:hAnsi="宋体" w:cs="宋体" w:eastAsia="宋体" w:hint="default"/>
                <w:spacing w:val="16"/>
                <w:sz w:val="18"/>
                <w:szCs w:val="18"/>
              </w:rPr>
              <w:t>情报</w:t>
            </w:r>
            <w:r>
              <w:rPr>
                <w:rFonts w:ascii="宋体" w:hAnsi="宋体" w:cs="宋体" w:eastAsia="宋体" w:hint="default"/>
                <w:spacing w:val="-56"/>
                <w:sz w:val="18"/>
                <w:szCs w:val="18"/>
              </w:rPr>
              <w:t> </w:t>
            </w:r>
            <w:r>
              <w:rPr>
                <w:rFonts w:ascii="宋体" w:hAnsi="宋体" w:cs="宋体" w:eastAsia="宋体" w:hint="default"/>
                <w:spacing w:val="22"/>
                <w:sz w:val="18"/>
                <w:szCs w:val="18"/>
              </w:rPr>
              <w:t>信息应</w:t>
            </w:r>
            <w:r>
              <w:rPr>
                <w:rFonts w:ascii="宋体" w:hAnsi="宋体" w:cs="宋体" w:eastAsia="宋体" w:hint="default"/>
                <w:spacing w:val="-56"/>
                <w:sz w:val="18"/>
                <w:szCs w:val="18"/>
              </w:rPr>
              <w:t> </w:t>
            </w:r>
            <w:r>
              <w:rPr>
                <w:rFonts w:ascii="宋体" w:hAnsi="宋体" w:cs="宋体" w:eastAsia="宋体" w:hint="default"/>
                <w:spacing w:val="16"/>
                <w:sz w:val="18"/>
                <w:szCs w:val="18"/>
              </w:rPr>
              <w:t>用系</w:t>
            </w:r>
            <w:r>
              <w:rPr>
                <w:rFonts w:ascii="宋体" w:hAnsi="宋体" w:cs="宋体" w:eastAsia="宋体" w:hint="default"/>
                <w:spacing w:val="-57"/>
                <w:sz w:val="18"/>
                <w:szCs w:val="18"/>
              </w:rPr>
              <w:t> </w:t>
            </w:r>
            <w:r>
              <w:rPr>
                <w:rFonts w:ascii="宋体" w:hAnsi="宋体" w:cs="宋体" w:eastAsia="宋体" w:hint="default"/>
                <w:sz w:val="18"/>
                <w:szCs w:val="18"/>
              </w:rPr>
              <w:t>统</w:t>
            </w:r>
            <w:r>
              <w:rPr>
                <w:rFonts w:ascii="Times New Roman" w:hAnsi="Times New Roman" w:cs="Times New Roman" w:eastAsia="Times New Roman" w:hint="default"/>
                <w:sz w:val="18"/>
                <w:szCs w:val="18"/>
              </w:rPr>
              <w:t>.V1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项目开发阶段</w:t>
            </w:r>
          </w:p>
        </w:tc>
      </w:tr>
      <w:tr>
        <w:trPr>
          <w:trHeight w:val="73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超级警务通</w:t>
            </w:r>
            <w:r>
              <w:rPr>
                <w:rFonts w:ascii="Times New Roman" w:hAnsi="Times New Roman" w:cs="Times New Roman" w:eastAsia="Times New Roman" w:hint="default"/>
                <w:sz w:val="18"/>
                <w:szCs w:val="18"/>
              </w:rPr>
              <w:t>.V1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16"/>
              <w:jc w:val="left"/>
              <w:rPr>
                <w:rFonts w:ascii="宋体" w:hAnsi="宋体" w:cs="宋体" w:eastAsia="宋体" w:hint="default"/>
                <w:sz w:val="18"/>
                <w:szCs w:val="18"/>
              </w:rPr>
            </w:pPr>
            <w:r>
              <w:rPr>
                <w:rFonts w:ascii="宋体" w:hAnsi="宋体" w:cs="宋体" w:eastAsia="宋体" w:hint="default"/>
                <w:spacing w:val="14"/>
                <w:sz w:val="18"/>
                <w:szCs w:val="18"/>
              </w:rPr>
              <w:t>完成研发设计</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pacing w:val="12"/>
                <w:sz w:val="18"/>
                <w:szCs w:val="18"/>
              </w:rPr>
              <w:t>准备进</w:t>
            </w:r>
            <w:r>
              <w:rPr>
                <w:rFonts w:ascii="宋体" w:hAnsi="宋体" w:cs="宋体" w:eastAsia="宋体" w:hint="default"/>
                <w:spacing w:val="-88"/>
                <w:sz w:val="18"/>
                <w:szCs w:val="18"/>
              </w:rPr>
              <w:t> </w:t>
            </w:r>
            <w:r>
              <w:rPr>
                <w:rFonts w:ascii="宋体" w:hAnsi="宋体" w:cs="宋体" w:eastAsia="宋体" w:hint="default"/>
                <w:sz w:val="18"/>
                <w:szCs w:val="18"/>
              </w:rPr>
              <w:t>入样机开发工作</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手机并行采集系统</w:t>
            </w:r>
            <w:r>
              <w:rPr>
                <w:rFonts w:ascii="Times New Roman" w:hAnsi="Times New Roman" w:cs="Times New Roman" w:eastAsia="Times New Roman" w:hint="default"/>
                <w:sz w:val="18"/>
                <w:szCs w:val="18"/>
              </w:rPr>
              <w:t>.V2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远程服务器取证系统</w:t>
            </w:r>
            <w:r>
              <w:rPr>
                <w:rFonts w:ascii="Times New Roman" w:hAnsi="Times New Roman" w:cs="Times New Roman" w:eastAsia="Times New Roman" w:hint="default"/>
                <w:sz w:val="18"/>
                <w:szCs w:val="18"/>
              </w:rPr>
              <w:t>.V1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完结</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2128"/>
        <w:gridCol w:w="1559"/>
        <w:gridCol w:w="4111"/>
        <w:gridCol w:w="1842"/>
      </w:tblGrid>
      <w:tr>
        <w:trPr>
          <w:trHeight w:val="42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小安警用机器人系统</w:t>
            </w:r>
            <w:r>
              <w:rPr>
                <w:rFonts w:ascii="Times New Roman" w:hAnsi="Times New Roman" w:cs="Times New Roman" w:eastAsia="Times New Roman" w:hint="default"/>
                <w:sz w:val="18"/>
                <w:szCs w:val="18"/>
              </w:rPr>
              <w:t>.V1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73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移动终端批量阵地式查缉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系统</w:t>
            </w:r>
            <w:r>
              <w:rPr>
                <w:rFonts w:ascii="Times New Roman" w:hAnsi="Times New Roman" w:cs="Times New Roman" w:eastAsia="Times New Roman" w:hint="default"/>
                <w:sz w:val="18"/>
                <w:szCs w:val="18"/>
              </w:rPr>
              <w:t>.V1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完结</w:t>
            </w:r>
          </w:p>
        </w:tc>
      </w:tr>
      <w:tr>
        <w:trPr>
          <w:trHeight w:val="738"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蛛网电子数据采集分析系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统</w:t>
            </w:r>
            <w:r>
              <w:rPr>
                <w:rFonts w:ascii="Times New Roman" w:hAnsi="Times New Roman" w:cs="Times New Roman" w:eastAsia="Times New Roman" w:hint="default"/>
                <w:sz w:val="18"/>
                <w:szCs w:val="18"/>
              </w:rPr>
              <w:t>.V4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完成第一个版本研发，</w:t>
            </w:r>
            <w:r>
              <w:rPr>
                <w:rFonts w:ascii="宋体" w:hAnsi="宋体" w:cs="宋体" w:eastAsia="宋体" w:hint="default"/>
                <w:spacing w:val="-71"/>
                <w:sz w:val="18"/>
                <w:szCs w:val="18"/>
              </w:rPr>
              <w:t> </w:t>
            </w:r>
            <w:r>
              <w:rPr>
                <w:rFonts w:ascii="宋体" w:hAnsi="宋体" w:cs="宋体" w:eastAsia="宋体" w:hint="default"/>
                <w:sz w:val="18"/>
                <w:szCs w:val="18"/>
              </w:rPr>
              <w:t>并将进行测试</w:t>
            </w:r>
          </w:p>
        </w:tc>
      </w:tr>
      <w:tr>
        <w:trPr>
          <w:trHeight w:val="739"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实验室管理系统</w:t>
            </w:r>
            <w:r>
              <w:rPr>
                <w:rFonts w:ascii="Times New Roman" w:hAnsi="Times New Roman" w:cs="Times New Roman" w:eastAsia="Times New Roman" w:hint="default"/>
                <w:sz w:val="18"/>
                <w:szCs w:val="18"/>
              </w:rPr>
              <w:t>.V4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基本完成研发框架，进</w:t>
            </w:r>
            <w:r>
              <w:rPr>
                <w:rFonts w:ascii="宋体" w:hAnsi="宋体" w:cs="宋体" w:eastAsia="宋体" w:hint="default"/>
                <w:spacing w:val="-71"/>
                <w:sz w:val="18"/>
                <w:szCs w:val="18"/>
              </w:rPr>
              <w:t> </w:t>
            </w:r>
            <w:r>
              <w:rPr>
                <w:rFonts w:ascii="宋体" w:hAnsi="宋体" w:cs="宋体" w:eastAsia="宋体" w:hint="default"/>
                <w:sz w:val="18"/>
                <w:szCs w:val="18"/>
              </w:rPr>
              <w:t>入测试阶段</w:t>
            </w:r>
          </w:p>
        </w:tc>
      </w:tr>
      <w:tr>
        <w:trPr>
          <w:trHeight w:val="427"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手机云数据取证系统</w:t>
            </w:r>
            <w:r>
              <w:rPr>
                <w:rFonts w:ascii="Times New Roman" w:hAnsi="Times New Roman" w:cs="Times New Roman" w:eastAsia="Times New Roman" w:hint="default"/>
                <w:sz w:val="18"/>
                <w:szCs w:val="18"/>
              </w:rPr>
              <w:t>.V1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进入软件开发阶段</w:t>
            </w:r>
          </w:p>
        </w:tc>
      </w:tr>
      <w:tr>
        <w:trPr>
          <w:trHeight w:val="1051" w:hRule="exact"/>
        </w:trPr>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9"/>
              <w:jc w:val="left"/>
              <w:rPr>
                <w:rFonts w:ascii="Times New Roman" w:hAnsi="Times New Roman" w:cs="Times New Roman" w:eastAsia="Times New Roman" w:hint="default"/>
                <w:sz w:val="18"/>
                <w:szCs w:val="18"/>
              </w:rPr>
            </w:pPr>
            <w:r>
              <w:rPr>
                <w:rFonts w:ascii="宋体" w:hAnsi="宋体" w:cs="宋体" w:eastAsia="宋体" w:hint="default"/>
                <w:spacing w:val="22"/>
                <w:sz w:val="18"/>
                <w:szCs w:val="18"/>
              </w:rPr>
              <w:t>互联网</w:t>
            </w:r>
            <w:r>
              <w:rPr>
                <w:rFonts w:ascii="宋体" w:hAnsi="宋体" w:cs="宋体" w:eastAsia="宋体" w:hint="default"/>
                <w:spacing w:val="-56"/>
                <w:sz w:val="18"/>
                <w:szCs w:val="18"/>
              </w:rPr>
              <w:t> </w:t>
            </w:r>
            <w:r>
              <w:rPr>
                <w:rFonts w:ascii="宋体" w:hAnsi="宋体" w:cs="宋体" w:eastAsia="宋体" w:hint="default"/>
                <w:spacing w:val="16"/>
                <w:sz w:val="18"/>
                <w:szCs w:val="18"/>
              </w:rPr>
              <w:t>信息</w:t>
            </w:r>
            <w:r>
              <w:rPr>
                <w:rFonts w:ascii="宋体" w:hAnsi="宋体" w:cs="宋体" w:eastAsia="宋体" w:hint="default"/>
                <w:spacing w:val="-56"/>
                <w:sz w:val="18"/>
                <w:szCs w:val="18"/>
              </w:rPr>
              <w:t> </w:t>
            </w:r>
            <w:r>
              <w:rPr>
                <w:rFonts w:ascii="宋体" w:hAnsi="宋体" w:cs="宋体" w:eastAsia="宋体" w:hint="default"/>
                <w:spacing w:val="22"/>
                <w:sz w:val="18"/>
                <w:szCs w:val="18"/>
              </w:rPr>
              <w:t>应急指</w:t>
            </w:r>
            <w:r>
              <w:rPr>
                <w:rFonts w:ascii="宋体" w:hAnsi="宋体" w:cs="宋体" w:eastAsia="宋体" w:hint="default"/>
                <w:spacing w:val="-56"/>
                <w:sz w:val="18"/>
                <w:szCs w:val="18"/>
              </w:rPr>
              <w:t> </w:t>
            </w:r>
            <w:r>
              <w:rPr>
                <w:rFonts w:ascii="宋体" w:hAnsi="宋体" w:cs="宋体" w:eastAsia="宋体" w:hint="default"/>
                <w:spacing w:val="16"/>
                <w:sz w:val="18"/>
                <w:szCs w:val="18"/>
              </w:rPr>
              <w:t>挥系</w:t>
            </w:r>
            <w:r>
              <w:rPr>
                <w:rFonts w:ascii="宋体" w:hAnsi="宋体" w:cs="宋体" w:eastAsia="宋体" w:hint="default"/>
                <w:spacing w:val="-57"/>
                <w:sz w:val="18"/>
                <w:szCs w:val="18"/>
              </w:rPr>
              <w:t> </w:t>
            </w:r>
            <w:r>
              <w:rPr>
                <w:rFonts w:ascii="宋体" w:hAnsi="宋体" w:cs="宋体" w:eastAsia="宋体" w:hint="default"/>
                <w:sz w:val="18"/>
                <w:szCs w:val="18"/>
              </w:rPr>
              <w:t>统</w:t>
            </w:r>
            <w:r>
              <w:rPr>
                <w:rFonts w:ascii="Times New Roman" w:hAnsi="Times New Roman" w:cs="Times New Roman" w:eastAsia="Times New Roman" w:hint="default"/>
                <w:sz w:val="18"/>
                <w:szCs w:val="18"/>
              </w:rPr>
              <w:t>.V1</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111"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both"/>
              <w:rPr>
                <w:rFonts w:ascii="宋体" w:hAnsi="宋体" w:cs="宋体" w:eastAsia="宋体" w:hint="default"/>
                <w:sz w:val="18"/>
                <w:szCs w:val="18"/>
              </w:rPr>
            </w:pPr>
            <w:r>
              <w:rPr>
                <w:rFonts w:ascii="宋体" w:hAnsi="宋体" w:cs="宋体" w:eastAsia="宋体" w:hint="default"/>
                <w:sz w:val="18"/>
                <w:szCs w:val="18"/>
              </w:rPr>
              <w:t>完成第一版本的研发和</w:t>
            </w:r>
            <w:r>
              <w:rPr>
                <w:rFonts w:ascii="宋体" w:hAnsi="宋体" w:cs="宋体" w:eastAsia="宋体" w:hint="default"/>
                <w:spacing w:val="-71"/>
                <w:sz w:val="18"/>
                <w:szCs w:val="18"/>
              </w:rPr>
              <w:t> </w:t>
            </w:r>
            <w:r>
              <w:rPr>
                <w:rFonts w:ascii="宋体" w:hAnsi="宋体" w:cs="宋体" w:eastAsia="宋体" w:hint="default"/>
                <w:sz w:val="18"/>
                <w:szCs w:val="18"/>
              </w:rPr>
              <w:t>测试，进入第二版本软</w:t>
            </w:r>
            <w:r>
              <w:rPr>
                <w:rFonts w:ascii="宋体" w:hAnsi="宋体" w:cs="宋体" w:eastAsia="宋体" w:hint="default"/>
                <w:spacing w:val="-71"/>
                <w:sz w:val="18"/>
                <w:szCs w:val="18"/>
              </w:rPr>
              <w:t> </w:t>
            </w:r>
            <w:r>
              <w:rPr>
                <w:rFonts w:ascii="宋体" w:hAnsi="宋体" w:cs="宋体" w:eastAsia="宋体" w:hint="default"/>
                <w:sz w:val="18"/>
                <w:szCs w:val="18"/>
              </w:rPr>
              <w:t>件开发阶段。</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2454"/>
        <w:gridCol w:w="1889"/>
        <w:gridCol w:w="1511"/>
        <w:gridCol w:w="1886"/>
        <w:gridCol w:w="1877"/>
      </w:tblGrid>
      <w:tr>
        <w:trPr>
          <w:trHeight w:val="714" w:hRule="exact"/>
        </w:trPr>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951" w:right="140" w:hanging="810"/>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43,856,030.99</w:t>
            </w:r>
          </w:p>
        </w:tc>
        <w:tc>
          <w:tcPr>
            <w:tcW w:w="1511"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43,856,030.99</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498,346,182.89</w:t>
            </w:r>
          </w:p>
        </w:tc>
        <w:tc>
          <w:tcPr>
            <w:tcW w:w="1511"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498,346,182.89</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23,426,464.98</w:t>
            </w:r>
          </w:p>
        </w:tc>
        <w:tc>
          <w:tcPr>
            <w:tcW w:w="1511"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23,426,464.98</w:t>
            </w:r>
          </w:p>
        </w:tc>
      </w:tr>
      <w:tr>
        <w:trPr>
          <w:trHeight w:val="402" w:hRule="exact"/>
        </w:trPr>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565,628,678.86</w:t>
            </w:r>
          </w:p>
        </w:tc>
        <w:tc>
          <w:tcPr>
            <w:tcW w:w="1511"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565,628,678.86</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2212"/>
        <w:gridCol w:w="2028"/>
        <w:gridCol w:w="1841"/>
        <w:gridCol w:w="1775"/>
        <w:gridCol w:w="1774"/>
      </w:tblGrid>
      <w:tr>
        <w:trPr>
          <w:trHeight w:val="714"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740" w:right="109" w:hanging="630"/>
              <w:jc w:val="left"/>
              <w:rPr>
                <w:rFonts w:ascii="宋体" w:hAnsi="宋体" w:cs="宋体" w:eastAsia="宋体" w:hint="default"/>
                <w:sz w:val="18"/>
                <w:szCs w:val="18"/>
              </w:rPr>
            </w:pPr>
            <w:r>
              <w:rPr>
                <w:rFonts w:ascii="宋体" w:hAnsi="宋体" w:cs="宋体" w:eastAsia="宋体" w:hint="default"/>
                <w:sz w:val="18"/>
                <w:szCs w:val="18"/>
              </w:rPr>
              <w:t>被投资单位名称或形成商 誉的事项</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2,907,000.00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20,519,464.98</w:t>
            </w:r>
          </w:p>
        </w:tc>
        <w:tc>
          <w:tcPr>
            <w:tcW w:w="1775"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23,426,464.98</w:t>
            </w:r>
          </w:p>
        </w:tc>
      </w:tr>
      <w:tr>
        <w:trPr>
          <w:trHeight w:val="403" w:hRule="exact"/>
        </w:trPr>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2,907,000.00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20,519,464.98</w:t>
            </w:r>
          </w:p>
        </w:tc>
        <w:tc>
          <w:tcPr>
            <w:tcW w:w="1775"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23,426,464.98</w:t>
            </w:r>
          </w:p>
        </w:tc>
      </w:tr>
    </w:tbl>
    <w:p>
      <w:pPr>
        <w:pStyle w:val="BodyText"/>
        <w:spacing w:line="240" w:lineRule="auto" w:before="26"/>
        <w:ind w:right="0"/>
        <w:jc w:val="left"/>
      </w:pPr>
      <w:r>
        <w:rPr/>
        <w:t>说明商誉减值测试过程、参数及商誉减值损失的确认方法：</w:t>
      </w:r>
    </w:p>
    <w:p>
      <w:pPr>
        <w:pStyle w:val="BodyText"/>
        <w:spacing w:line="256" w:lineRule="auto" w:before="75"/>
        <w:ind w:left="153" w:right="178"/>
        <w:jc w:val="left"/>
        <w:rPr>
          <w:rFonts w:ascii="Times New Roman" w:hAnsi="Times New Roman" w:cs="Times New Roman" w:eastAsia="Times New Roman" w:hint="default"/>
        </w:rPr>
      </w:pPr>
      <w:r>
        <w:rPr/>
        <w:t>本集团聘请北京国融兴华资产评估有限责任公司对以</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t>日为基准日的武汉大千、江苏税 软、珠海新德汇预计未来现金流现值进行评估，并于</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18</w:t>
      </w:r>
      <w:r>
        <w:rPr>
          <w:rFonts w:ascii="Times New Roman" w:hAnsi="Times New Roman" w:cs="Times New Roman" w:eastAsia="Times New Roman" w:hint="default"/>
          <w:spacing w:val="-15"/>
        </w:rPr>
        <w:t> </w:t>
      </w:r>
      <w:r>
        <w:rPr/>
        <w:t>日对武汉大千、江苏税软、珠海新德 汇分别出具了</w:t>
      </w:r>
      <w:r>
        <w:rPr>
          <w:rFonts w:ascii="Times New Roman" w:hAnsi="Times New Roman" w:cs="Times New Roman" w:eastAsia="Times New Roman" w:hint="default"/>
        </w:rPr>
        <w:t>“</w:t>
      </w:r>
      <w:r>
        <w:rPr/>
        <w:t>国融兴华评报字</w:t>
      </w:r>
      <w:r>
        <w:rPr>
          <w:rFonts w:ascii="Times New Roman" w:hAnsi="Times New Roman" w:cs="Times New Roman" w:eastAsia="Times New Roman" w:hint="default"/>
        </w:rPr>
        <w:t>[2018]</w:t>
      </w:r>
      <w:r>
        <w:rPr/>
        <w:t>第 </w:t>
      </w:r>
      <w:r>
        <w:rPr>
          <w:rFonts w:ascii="Times New Roman" w:hAnsi="Times New Roman" w:cs="Times New Roman" w:eastAsia="Times New Roman" w:hint="default"/>
        </w:rPr>
        <w:t>020035</w:t>
      </w:r>
      <w:r>
        <w:rPr/>
        <w:t>号</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国融兴华评报字</w:t>
      </w:r>
      <w:r>
        <w:rPr>
          <w:rFonts w:ascii="Times New Roman" w:hAnsi="Times New Roman" w:cs="Times New Roman" w:eastAsia="Times New Roman" w:hint="default"/>
        </w:rPr>
        <w:t>[2018]</w:t>
      </w:r>
      <w:r>
        <w:rPr/>
        <w:t>第 </w:t>
      </w:r>
      <w:r>
        <w:rPr>
          <w:rFonts w:ascii="Times New Roman" w:hAnsi="Times New Roman" w:cs="Times New Roman" w:eastAsia="Times New Roman" w:hint="default"/>
        </w:rPr>
        <w:t>020037</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评估报告、</w:t>
      </w:r>
      <w:r>
        <w:rPr>
          <w:rFonts w:ascii="Times New Roman" w:hAnsi="Times New Roman" w:cs="Times New Roman" w:eastAsia="Times New Roman" w:hint="default"/>
        </w:rPr>
        <w:t>“</w:t>
      </w:r>
      <w:r>
        <w:rPr/>
        <w:t>国 融兴华评报字</w:t>
      </w:r>
      <w:r>
        <w:rPr>
          <w:rFonts w:ascii="Times New Roman" w:hAnsi="Times New Roman" w:cs="Times New Roman" w:eastAsia="Times New Roman" w:hint="default"/>
        </w:rPr>
        <w:t>[2018]</w:t>
      </w:r>
      <w:r>
        <w:rPr/>
        <w:t>第</w:t>
      </w:r>
      <w:r>
        <w:rPr>
          <w:rFonts w:ascii="Times New Roman" w:hAnsi="Times New Roman" w:cs="Times New Roman" w:eastAsia="Times New Roman" w:hint="default"/>
        </w:rPr>
        <w:t>020039</w:t>
      </w:r>
      <w:r>
        <w:rPr/>
        <w:t>号</w:t>
      </w:r>
      <w:r>
        <w:rPr>
          <w:rFonts w:ascii="Times New Roman" w:hAnsi="Times New Roman" w:cs="Times New Roman" w:eastAsia="Times New Roman" w:hint="default"/>
        </w:rPr>
        <w:t>”</w:t>
      </w:r>
      <w:r>
        <w:rPr/>
        <w:t>评估报告，评估报告所载上述项目采用现金流折现方法（</w:t>
      </w:r>
      <w:r>
        <w:rPr>
          <w:rFonts w:ascii="Times New Roman" w:hAnsi="Times New Roman" w:cs="Times New Roman" w:eastAsia="Times New Roman" w:hint="default"/>
        </w:rPr>
        <w:t>DCF</w:t>
      </w:r>
      <w:r>
        <w:rPr/>
        <w:t>）对武汉 大千、珠海新德汇、江苏税软预计未来现金流现值进行评估，预计未来现金流现值</w:t>
      </w:r>
      <w:r>
        <w:rPr>
          <w:rFonts w:ascii="Times New Roman" w:hAnsi="Times New Roman" w:cs="Times New Roman" w:eastAsia="Times New Roman" w:hint="default"/>
        </w:rPr>
        <w:t>=</w:t>
      </w:r>
      <w:r>
        <w:rPr/>
        <w:t>经营性资产价值</w:t>
      </w:r>
      <w:r>
        <w:rPr>
          <w:rFonts w:ascii="Times New Roman" w:hAnsi="Times New Roman" w:cs="Times New Roman" w:eastAsia="Times New Roman" w:hint="default"/>
        </w:rPr>
        <w:t>+</w:t>
      </w:r>
      <w:r>
        <w:rPr/>
        <w:t>溢 余资产价值</w:t>
      </w:r>
      <w:r>
        <w:rPr>
          <w:rFonts w:ascii="Times New Roman" w:hAnsi="Times New Roman" w:cs="Times New Roman" w:eastAsia="Times New Roman" w:hint="default"/>
        </w:rPr>
        <w:t>+</w:t>
      </w:r>
      <w:r>
        <w:rPr/>
        <w:t>非经营性资产价值</w:t>
      </w:r>
      <w:r>
        <w:rPr>
          <w:rFonts w:ascii="Times New Roman" w:hAnsi="Times New Roman" w:cs="Times New Roman" w:eastAsia="Times New Roman" w:hint="default"/>
        </w:rPr>
        <w:t>-</w:t>
      </w:r>
      <w:r>
        <w:rPr/>
        <w:t>非经营性负债价值，其中折现率选取权益资本成本</w:t>
      </w:r>
      <w:r>
        <w:rPr>
          <w:rFonts w:ascii="Times New Roman" w:hAnsi="Times New Roman" w:cs="Times New Roman" w:eastAsia="Times New Roman" w:hint="default"/>
        </w:rPr>
        <w:t>(CAPM)</w:t>
      </w:r>
      <w:r>
        <w:rPr/>
        <w:t>计算。根据评 估报告结果，武汉大千、江苏税软、珠海新德汇评估价值分别为</w:t>
      </w:r>
      <w:r>
        <w:rPr>
          <w:rFonts w:ascii="Times New Roman" w:hAnsi="Times New Roman" w:cs="Times New Roman" w:eastAsia="Times New Roman" w:hint="default"/>
        </w:rPr>
        <w:t>1,920.00</w:t>
      </w:r>
      <w:r>
        <w:rPr/>
        <w:t>万元、</w:t>
      </w:r>
      <w:r>
        <w:rPr>
          <w:rFonts w:ascii="Times New Roman" w:hAnsi="Times New Roman" w:cs="Times New Roman" w:eastAsia="Times New Roman" w:hint="default"/>
        </w:rPr>
        <w:t>65,100.00</w:t>
      </w:r>
      <w:r>
        <w:rPr/>
        <w:t>万元、</w:t>
      </w:r>
      <w:r>
        <w:rPr>
          <w:rFonts w:ascii="Times New Roman" w:hAnsi="Times New Roman" w:cs="Times New Roman" w:eastAsia="Times New Roman" w:hint="default"/>
        </w:rPr>
        <w:t>67,500.00</w:t>
      </w:r>
    </w:p>
    <w:p>
      <w:pPr>
        <w:spacing w:after="0" w:line="256"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line="240" w:lineRule="auto" w:before="1"/>
        <w:rPr>
          <w:rFonts w:ascii="Times New Roman" w:hAnsi="Times New Roman" w:cs="Times New Roman" w:eastAsia="Times New Roman" w:hint="default"/>
          <w:sz w:val="28"/>
          <w:szCs w:val="28"/>
        </w:rPr>
      </w:pPr>
    </w:p>
    <w:p>
      <w:pPr>
        <w:pStyle w:val="BodyText"/>
        <w:spacing w:line="259" w:lineRule="auto" w:before="35"/>
        <w:ind w:left="153" w:right="163"/>
        <w:jc w:val="left"/>
      </w:pPr>
      <w:r>
        <w:rPr/>
        <w:t>万元。截止年末，本公司溢价收购武汉大千所形成的商誉发生减值</w:t>
      </w:r>
      <w:r>
        <w:rPr>
          <w:rFonts w:ascii="Times New Roman" w:hAnsi="Times New Roman" w:cs="Times New Roman" w:eastAsia="Times New Roman" w:hint="default"/>
        </w:rPr>
        <w:t>23,426,464.98</w:t>
      </w:r>
      <w:r>
        <w:rPr/>
        <w:t>元，溢价收购江苏税软、 珠海新德汇所形成的商誉未发生减值情况。</w:t>
      </w:r>
    </w:p>
    <w:p>
      <w:pPr>
        <w:pStyle w:val="BodyText"/>
        <w:spacing w:line="240" w:lineRule="auto" w:before="60"/>
        <w:ind w:left="153" w:right="0"/>
        <w:jc w:val="left"/>
      </w:pPr>
      <w:r>
        <w:rPr/>
        <w:t>其他说明</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85"/>
        <w:gridCol w:w="1205"/>
        <w:gridCol w:w="1594"/>
        <w:gridCol w:w="1595"/>
        <w:gridCol w:w="1594"/>
        <w:gridCol w:w="159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2,263,617.96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13,461,888.04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1,732,113.49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13,993,392.51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6" w:right="0"/>
              <w:jc w:val="left"/>
              <w:rPr>
                <w:rFonts w:ascii="Times New Roman" w:hAnsi="Times New Roman" w:cs="Times New Roman" w:eastAsia="Times New Roman" w:hint="default"/>
                <w:sz w:val="18"/>
                <w:szCs w:val="18"/>
              </w:rPr>
            </w:pPr>
            <w:r>
              <w:rPr>
                <w:rFonts w:ascii="Times New Roman"/>
                <w:sz w:val="18"/>
              </w:rPr>
              <w:t>2,263,617.96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13,461,888.04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1,732,113.49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13,993,392.51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90,508,730.97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10,043,904.43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81,277,929.00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8,856,767.35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43,987,030.69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5,151,518.24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23,791,144.10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3,552,673.08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17,012,738.19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2,510,423.70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23,409,129.17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4,821,122.87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56,673,264.63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5,667,326.46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36,932,610.81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3,693,261.08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21,669,515.04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2,406,951.50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20,771,758.93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2,113,175.93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124,482,516.21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14,193,762.05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203,047,076.70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23,300,211.28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354,333,795.73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39,973,886.38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389,229,648.71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46,337,211.59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834"/>
        <w:gridCol w:w="1843"/>
        <w:gridCol w:w="1559"/>
        <w:gridCol w:w="1843"/>
        <w:gridCol w:w="1490"/>
      </w:tblGrid>
      <w:tr>
        <w:trPr>
          <w:trHeight w:val="206" w:hRule="exact"/>
        </w:trPr>
        <w:tc>
          <w:tcPr>
            <w:tcW w:w="2834" w:type="dxa"/>
            <w:tcBorders>
              <w:top w:val="single" w:sz="4" w:space="0" w:color="000000"/>
              <w:left w:val="single" w:sz="4" w:space="0" w:color="000000"/>
              <w:bottom w:val="nil" w:sz="6" w:space="0" w:color="auto"/>
              <w:right w:val="single" w:sz="4" w:space="0" w:color="000000"/>
            </w:tcBorders>
            <w:shd w:val="clear" w:color="auto" w:fill="D3D3D3"/>
          </w:tcPr>
          <w:p>
            <w:pPr/>
          </w:p>
        </w:tc>
        <w:tc>
          <w:tcPr>
            <w:tcW w:w="340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83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gridSpan w:val="2"/>
            <w:vMerge/>
            <w:tcBorders>
              <w:left w:val="single" w:sz="4" w:space="0" w:color="000000"/>
              <w:bottom w:val="single" w:sz="4" w:space="0" w:color="000000"/>
              <w:right w:val="single" w:sz="4" w:space="0" w:color="000000"/>
            </w:tcBorders>
            <w:shd w:val="clear" w:color="auto" w:fill="D3D3D3"/>
          </w:tcPr>
          <w:p>
            <w:pPr/>
          </w:p>
        </w:tc>
        <w:tc>
          <w:tcPr>
            <w:tcW w:w="3334"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34" w:type="dxa"/>
            <w:vMerge/>
            <w:tcBorders>
              <w:left w:val="single" w:sz="4" w:space="0" w:color="000000"/>
              <w:bottom w:val="nil" w:sz="6" w:space="0" w:color="auto"/>
              <w:right w:val="single" w:sz="4" w:space="0" w:color="000000"/>
            </w:tcBorders>
            <w:shd w:val="clear" w:color="auto" w:fill="D3D3D3"/>
          </w:tcPr>
          <w:p>
            <w:pPr/>
          </w:p>
        </w:tc>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4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28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843"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843" w:type="dxa"/>
            <w:vMerge/>
            <w:tcBorders>
              <w:left w:val="single" w:sz="4" w:space="0" w:color="000000"/>
              <w:bottom w:val="single" w:sz="4" w:space="0" w:color="000000"/>
              <w:right w:val="single" w:sz="4" w:space="0" w:color="000000"/>
            </w:tcBorders>
            <w:shd w:val="clear" w:color="auto" w:fill="D3D3D3"/>
          </w:tcPr>
          <w:p>
            <w:pPr/>
          </w:p>
        </w:tc>
        <w:tc>
          <w:tcPr>
            <w:tcW w:w="149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2,904,360.00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363,045.00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4,356,540.00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544,567.50</w:t>
            </w:r>
          </w:p>
        </w:tc>
      </w:tr>
      <w:tr>
        <w:trPr>
          <w:trHeight w:val="714"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计入其他综合收益的可供出售金融 资产公允价值变动</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181,643,650.00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18,164,365.00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184,548,010.00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18,527,410.00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4,356,540.00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544,567.50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2" w:right="53"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39,973,886.38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46,337,211.59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18,527,410.00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544,567.50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191,484.69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76,377.26</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29,059,633.41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629,417.75</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29,251,118.10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705,795.01</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8"/>
        <w:gridCol w:w="2395"/>
        <w:gridCol w:w="2393"/>
        <w:gridCol w:w="2392"/>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171,338.32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171,338.32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410,031.15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410,031.15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9,136,945.88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48,048.28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19,341,318.06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29,059,633.41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629,417.75</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5,805,800.00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4,617,320.00</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5,805,800.00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4,617,320.00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137,547,268.03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91,601,397.32</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7,422,897.59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4,385,406.00</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144,970,165.62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95,986,803.32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318,267,807.88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350,474,048.13</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318,267,807.88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350,474,048.13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17,147,572.65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尚未验收</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5,084,754.79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2,517,094.02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2,448,186.33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2,154,928.14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29,352,535.93</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410"/>
        <w:gridCol w:w="1418"/>
        <w:gridCol w:w="1914"/>
        <w:gridCol w:w="1914"/>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84,631,907.34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365,181,444.66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349,911,410.58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99,901,941.42</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 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267,790.61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21,290,514.35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20,825,598.09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732,706.87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319,869.69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219,869.69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84,899,697.95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386,791,828.70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370,956,878.36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100,734,648.29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410"/>
        <w:gridCol w:w="1418"/>
        <w:gridCol w:w="1914"/>
        <w:gridCol w:w="1914"/>
        <w:gridCol w:w="1914"/>
      </w:tblGrid>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83,934,443.00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305,017,642.38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290,197,681.53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98,754,403.85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8,845,441.95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8,845,441.95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133,801.29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11,064,408.07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10,983,452.76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214,756.60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120,193.20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9,609,633.43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9,537,961.43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191,865.20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4,592.03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299,539.24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297,747.77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6,383.50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9,016.06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1,155,235.40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1,147,743.56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16,507.90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19,173,171.13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19,135,446.13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37,725.00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563,663.05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3,126,820.24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2,795,427.32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895,055.97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、股权激励</w:t>
            </w:r>
          </w:p>
        </w:tc>
        <w:tc>
          <w:tcPr>
            <w:tcW w:w="141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17,953,960.89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17,953,960.89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84,631,907.34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365,181,444.66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349,911,410.58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99,901,941.42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246,502.58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19,560,314.55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19,415,047.08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391,770.05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1,033,769.94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1,030,631.47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14,426.53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696,429.86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379,919.54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326,510.29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267,790.61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21,290,514.35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20,825,598.09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732,706.87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320"/>
        <w:jc w:val="left"/>
      </w:pPr>
      <w:r>
        <w:rPr/>
        <w:t>辞退福利为本集团提前与员工解除劳动合同关系，根据劳动合同相关规定，在与员工协商一致后给予的 劳动补偿。</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27,965,048.90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30,383,515.70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31,734,864.47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16,057,409.17</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719,680.63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668,518.57</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1,946,295.67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2,161,843.73</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834,126.70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927,638.77</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550,046.96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614,869.07</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218,699.90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152,683.00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1,146,960.30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1,138,749.61</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63,111.45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63,111.45</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65,178,834.98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52,168,339.07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5,887,885.52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3,543,004.89</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5,997,847.93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6,330,430.83</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73,012,668.00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110,759,559.00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1,485,952.09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1,242,323.60</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86,384,353.54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121,875,318.32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6"/>
        <w:gridCol w:w="1594"/>
        <w:gridCol w:w="1595"/>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23,571,758.93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2,427,000.00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4,329,243.89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21,669,515.04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23,571,758.93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2,427,000.00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4,329,243.89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21,669,515.04</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410"/>
        <w:gridCol w:w="1134"/>
        <w:gridCol w:w="1134"/>
        <w:gridCol w:w="1418"/>
        <w:gridCol w:w="850"/>
        <w:gridCol w:w="1276"/>
        <w:gridCol w:w="1349"/>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43" w:right="73"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308" w:right="103"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厦门超级计算（云计算）中心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1,979,696.95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1,979,696.95</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厦门超级计算中心滚动支持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面向新型信息技术和应用环境 的网络技术研究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25,038.46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22,156.84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2,881.62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电子取证关键技术研究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55,213.40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34,298.32</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20,915.08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面向互联网的海量信息分析挖 掘关键技术及系统研究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55,712.47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28,339.66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27,372.81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企业技术改造项目补助资金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科技政策定额扶持资金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80,497.65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80,343.48</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3"/>
              <w:jc w:val="left"/>
              <w:rPr>
                <w:rFonts w:ascii="Times New Roman" w:hAnsi="Times New Roman" w:cs="Times New Roman" w:eastAsia="Times New Roman" w:hint="default"/>
                <w:sz w:val="18"/>
                <w:szCs w:val="18"/>
              </w:rPr>
            </w:pPr>
            <w:r>
              <w:rPr>
                <w:rFonts w:ascii="宋体" w:hAnsi="宋体" w:cs="宋体" w:eastAsia="宋体" w:hint="default"/>
                <w:sz w:val="18"/>
                <w:szCs w:val="18"/>
              </w:rPr>
              <w:t>国家服务业发展引导资金</w:t>
            </w:r>
            <w:r>
              <w:rPr>
                <w:rFonts w:ascii="Times New Roman" w:hAnsi="Times New Roman" w:cs="Times New Roman" w:eastAsia="Times New Roman" w:hint="default"/>
                <w:sz w:val="18"/>
                <w:szCs w:val="18"/>
              </w:rPr>
              <w:t>"</w:t>
            </w:r>
            <w:r>
              <w:rPr>
                <w:rFonts w:ascii="宋体" w:hAnsi="宋体" w:cs="宋体" w:eastAsia="宋体" w:hint="default"/>
                <w:sz w:val="18"/>
                <w:szCs w:val="18"/>
              </w:rPr>
              <w:t>电 子数据存证云</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1,125,803.44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874,196.56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物联网实时图像识别</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优秀骨干人才软件产业化项目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基于手机云的手机综合取证 系统</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468,521.24</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231,478.76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43"/>
              <w:jc w:val="left"/>
              <w:rPr>
                <w:rFonts w:ascii="Times New Roman" w:hAnsi="Times New Roman" w:cs="Times New Roman" w:eastAsia="Times New Roman" w:hint="default"/>
                <w:sz w:val="18"/>
                <w:szCs w:val="18"/>
              </w:rPr>
            </w:pPr>
            <w:r>
              <w:rPr>
                <w:rFonts w:ascii="宋体" w:hAnsi="宋体" w:cs="宋体" w:eastAsia="宋体" w:hint="default"/>
                <w:sz w:val="18"/>
                <w:szCs w:val="18"/>
              </w:rPr>
              <w:t>省级企业技术中心</w:t>
            </w:r>
            <w:r>
              <w:rPr>
                <w:rFonts w:ascii="Times New Roman" w:hAnsi="Times New Roman" w:cs="Times New Roman" w:eastAsia="Times New Roman" w:hint="default"/>
                <w:sz w:val="18"/>
                <w:szCs w:val="18"/>
              </w:rPr>
              <w:t>"</w:t>
            </w:r>
            <w:r>
              <w:rPr>
                <w:rFonts w:ascii="宋体" w:hAnsi="宋体" w:cs="宋体" w:eastAsia="宋体" w:hint="default"/>
                <w:sz w:val="18"/>
                <w:szCs w:val="18"/>
              </w:rPr>
              <w:t>电子数据 分析系统平台建设</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博士后工作站科技政策定额扶 持资金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基于内容感知的智能视频浓缩 设备产学研资金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2410"/>
        <w:gridCol w:w="1134"/>
        <w:gridCol w:w="1134"/>
        <w:gridCol w:w="1418"/>
        <w:gridCol w:w="850"/>
        <w:gridCol w:w="1276"/>
        <w:gridCol w:w="1349"/>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安全服务器项目创新资金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失泄密取证系统的产业化项目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多源、多通道数据取证技术研 究项目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基于云技术的证据链综合取证 平台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270,083.96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229,916.04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基于云计算平台的空气质量预 报预警与决策支持服务关键技 术研究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科技发展专项资金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信息产业发展专项资金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宙斯眼安卓手机恶意程序调查 系统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分布式电子数据取证关键技术 研究项目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中小企业技术创新基金配套项 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年支持大数据示范应用 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23,571,758.93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4,329,243.89</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21,669,515.04</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194"/>
        <w:gridCol w:w="1198"/>
        <w:gridCol w:w="1196"/>
        <w:gridCol w:w="1195"/>
        <w:gridCol w:w="1196"/>
        <w:gridCol w:w="1196"/>
        <w:gridCol w:w="1195"/>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3D3D3"/>
          </w:tcPr>
          <w:p>
            <w:pP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496,340,506.00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913,900.00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-223,700.00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690,200.00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497,030,706.00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56" w:lineRule="auto"/>
        <w:ind w:left="153" w:right="148"/>
        <w:jc w:val="both"/>
      </w:pPr>
      <w:r>
        <w:rPr>
          <w:spacing w:val="-2"/>
        </w:rPr>
        <w:t>（</w:t>
      </w:r>
      <w:r>
        <w:rPr>
          <w:rFonts w:ascii="Times New Roman" w:hAnsi="Times New Roman" w:cs="Times New Roman" w:eastAsia="Times New Roman" w:hint="default"/>
          <w:spacing w:val="-2"/>
        </w:rPr>
        <w:t>1</w:t>
      </w:r>
      <w:r>
        <w:rPr>
          <w:spacing w:val="-2"/>
        </w:rPr>
        <w:t>）本年股本增加</w:t>
      </w:r>
      <w:r>
        <w:rPr>
          <w:rFonts w:ascii="Times New Roman" w:hAnsi="Times New Roman" w:cs="Times New Roman" w:eastAsia="Times New Roman" w:hint="default"/>
          <w:spacing w:val="-2"/>
        </w:rPr>
        <w:t>91.39</w:t>
      </w:r>
      <w:r>
        <w:rPr>
          <w:spacing w:val="-2"/>
        </w:rPr>
        <w:t>万股系：根据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日召开的第三届董事会第二十一次会议，本公司向</w:t>
      </w:r>
      <w:r>
        <w:rPr>
          <w:rFonts w:ascii="Times New Roman" w:hAnsi="Times New Roman" w:cs="Times New Roman" w:eastAsia="Times New Roman" w:hint="default"/>
          <w:spacing w:val="-2"/>
        </w:rPr>
        <w:t>101</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3"/>
        </w:rPr>
        <w:t>名自然人定向发行限制性股票</w:t>
      </w:r>
      <w:r>
        <w:rPr>
          <w:rFonts w:ascii="Times New Roman" w:hAnsi="Times New Roman" w:cs="Times New Roman" w:eastAsia="Times New Roman" w:hint="default"/>
          <w:spacing w:val="-3"/>
        </w:rPr>
        <w:t>91.39</w:t>
      </w:r>
      <w:r>
        <w:rPr>
          <w:spacing w:val="-3"/>
        </w:rPr>
        <w:t>万股（每股面值</w:t>
      </w:r>
      <w:r>
        <w:rPr>
          <w:rFonts w:ascii="Times New Roman" w:hAnsi="Times New Roman" w:cs="Times New Roman" w:eastAsia="Times New Roman" w:hint="default"/>
          <w:spacing w:val="-3"/>
        </w:rPr>
        <w:t>1.00</w:t>
      </w:r>
      <w:r>
        <w:rPr>
          <w:spacing w:val="-3"/>
        </w:rPr>
        <w:t>元），</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101</w:t>
      </w:r>
      <w:r>
        <w:rPr>
          <w:spacing w:val="-3"/>
        </w:rPr>
        <w:t>名特定增发对象均已行权并</w:t>
      </w:r>
      <w:r>
        <w:rPr>
          <w:spacing w:val="-76"/>
        </w:rPr>
        <w:t> </w:t>
      </w:r>
      <w:r>
        <w:rPr>
          <w:spacing w:val="-76"/>
        </w:rPr>
      </w:r>
      <w:r>
        <w:rPr>
          <w:spacing w:val="-2"/>
        </w:rPr>
        <w:t>以现金出资认购发行的股份。本次股权激励增资</w:t>
      </w:r>
      <w:r>
        <w:rPr>
          <w:rFonts w:ascii="Times New Roman" w:hAnsi="Times New Roman" w:cs="Times New Roman" w:eastAsia="Times New Roman" w:hint="default"/>
          <w:spacing w:val="-2"/>
        </w:rPr>
        <w:t>91.39</w:t>
      </w:r>
      <w:r>
        <w:rPr>
          <w:spacing w:val="-2"/>
        </w:rPr>
        <w:t>万元，业经致同会计师事务所（特殊普通合伙）出具</w:t>
      </w:r>
      <w:r>
        <w:rPr>
          <w:spacing w:val="-89"/>
        </w:rPr>
        <w:t> </w:t>
      </w:r>
      <w:r>
        <w:rPr>
          <w:spacing w:val="-89"/>
        </w:rPr>
      </w:r>
      <w:r>
        <w:rPr>
          <w:rFonts w:ascii="Times New Roman" w:hAnsi="Times New Roman" w:cs="Times New Roman" w:eastAsia="Times New Roman" w:hint="default"/>
        </w:rPr>
        <w:t>“</w:t>
      </w:r>
      <w:r>
        <w:rPr/>
        <w:t>致同验字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350ZA0061</w:t>
      </w:r>
      <w:r>
        <w:rPr/>
        <w:t>号</w:t>
      </w:r>
      <w:r>
        <w:rPr>
          <w:rFonts w:ascii="Times New Roman" w:hAnsi="Times New Roman" w:cs="Times New Roman" w:eastAsia="Times New Roman" w:hint="default"/>
        </w:rPr>
        <w:t>”</w:t>
      </w:r>
      <w:r>
        <w:rPr/>
        <w:t>验资报告审验。</w:t>
      </w:r>
    </w:p>
    <w:p>
      <w:pPr>
        <w:spacing w:line="240" w:lineRule="auto" w:before="12"/>
        <w:rPr>
          <w:rFonts w:ascii="宋体" w:hAnsi="宋体" w:cs="宋体" w:eastAsia="宋体" w:hint="default"/>
          <w:sz w:val="16"/>
          <w:szCs w:val="16"/>
        </w:rPr>
      </w:pPr>
    </w:p>
    <w:p>
      <w:pPr>
        <w:pStyle w:val="BodyText"/>
        <w:spacing w:line="240" w:lineRule="auto"/>
        <w:ind w:left="153" w:right="0"/>
        <w:jc w:val="both"/>
      </w:pPr>
      <w:r>
        <w:rPr/>
        <w:t>（</w:t>
      </w:r>
      <w:r>
        <w:rPr>
          <w:rFonts w:ascii="Times New Roman" w:hAnsi="Times New Roman" w:cs="Times New Roman" w:eastAsia="Times New Roman" w:hint="default"/>
        </w:rPr>
        <w:t>2</w:t>
      </w:r>
      <w:r>
        <w:rPr/>
        <w:t>）本年股本减少</w:t>
      </w:r>
      <w:r>
        <w:rPr>
          <w:rFonts w:ascii="Times New Roman" w:hAnsi="Times New Roman" w:cs="Times New Roman" w:eastAsia="Times New Roman" w:hint="default"/>
        </w:rPr>
        <w:t>22.37</w:t>
      </w:r>
      <w:r>
        <w:rPr/>
        <w:t>万股系：根据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日召开的第三届董事会第十七次会议决议、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p>
    <w:p>
      <w:pPr>
        <w:pStyle w:val="BodyText"/>
        <w:spacing w:line="240" w:lineRule="auto" w:before="21"/>
        <w:ind w:left="153" w:right="0"/>
        <w:jc w:val="both"/>
      </w:pPr>
      <w:r>
        <w:rPr>
          <w:rFonts w:ascii="Times New Roman" w:hAnsi="Times New Roman" w:cs="Times New Roman" w:eastAsia="Times New Roman" w:hint="default"/>
        </w:rPr>
        <w:t>23</w:t>
      </w:r>
      <w:r>
        <w:rPr/>
        <w:t>日召开的第三届董事会第十八次会议决议，本公司回购注销限制性股票</w:t>
      </w:r>
      <w:r>
        <w:rPr>
          <w:rFonts w:ascii="Times New Roman" w:hAnsi="Times New Roman" w:cs="Times New Roman" w:eastAsia="Times New Roman" w:hint="default"/>
        </w:rPr>
        <w:t>22.37</w:t>
      </w:r>
      <w:r>
        <w:rPr/>
        <w:t>万股，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月，股票回</w:t>
      </w:r>
    </w:p>
    <w:p>
      <w:pPr>
        <w:spacing w:after="0" w:line="24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spacing w:val="6"/>
        </w:rPr>
        <w:t>购已完成。本次股票回购</w:t>
      </w:r>
      <w:r>
        <w:rPr>
          <w:rFonts w:ascii="Times New Roman" w:hAnsi="Times New Roman" w:cs="Times New Roman" w:eastAsia="Times New Roman" w:hint="default"/>
          <w:spacing w:val="6"/>
        </w:rPr>
        <w:t>22.37</w:t>
      </w:r>
      <w:r>
        <w:rPr>
          <w:spacing w:val="6"/>
        </w:rPr>
        <w:t>万股，业经致同会计师事务所（特殊普通合伙）出具</w:t>
      </w:r>
      <w:r>
        <w:rPr>
          <w:rFonts w:ascii="Times New Roman" w:hAnsi="Times New Roman" w:cs="Times New Roman" w:eastAsia="Times New Roman" w:hint="default"/>
          <w:spacing w:val="6"/>
        </w:rPr>
        <w:t>“</w:t>
      </w:r>
      <w:r>
        <w:rPr>
          <w:spacing w:val="6"/>
        </w:rPr>
        <w:t>致同验字</w:t>
      </w:r>
      <w:r>
        <w:rPr>
          <w:rFonts w:ascii="Times New Roman" w:hAnsi="Times New Roman" w:cs="Times New Roman" w:eastAsia="Times New Roman" w:hint="default"/>
          <w:spacing w:val="6"/>
        </w:rPr>
        <w:t>(2017)</w:t>
      </w:r>
      <w:r>
        <w:rPr>
          <w:spacing w:val="6"/>
        </w:rPr>
        <w:t>第</w:t>
      </w:r>
    </w:p>
    <w:p>
      <w:pPr>
        <w:pStyle w:val="BodyText"/>
        <w:spacing w:line="240" w:lineRule="auto" w:before="21"/>
        <w:ind w:right="0"/>
        <w:jc w:val="left"/>
      </w:pPr>
      <w:r>
        <w:rPr>
          <w:rFonts w:ascii="Times New Roman" w:hAnsi="Times New Roman" w:cs="Times New Roman" w:eastAsia="Times New Roman" w:hint="default"/>
        </w:rPr>
        <w:t>350ZA0060</w:t>
      </w:r>
      <w:r>
        <w:rPr/>
        <w:t>号</w:t>
      </w:r>
      <w:r>
        <w:rPr>
          <w:rFonts w:ascii="Times New Roman" w:hAnsi="Times New Roman" w:cs="Times New Roman" w:eastAsia="Times New Roman" w:hint="default"/>
        </w:rPr>
        <w:t>”</w:t>
      </w:r>
      <w:r>
        <w:rPr/>
        <w:t>验资报告审验。</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775,149,927.26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8,024,042.00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4,054,078.38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779,119,890.88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82,117,218.41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19,406,957.25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13,425,757.71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88,098,417.95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857,267,145.67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27,430,999.25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17,479,836.09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867,218,308.83</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3"/>
        <w:rPr>
          <w:rFonts w:ascii="宋体" w:hAnsi="宋体" w:cs="宋体" w:eastAsia="宋体" w:hint="default"/>
          <w:sz w:val="12"/>
          <w:szCs w:val="12"/>
        </w:rPr>
      </w:pPr>
    </w:p>
    <w:p>
      <w:pPr>
        <w:pStyle w:val="BodyText"/>
        <w:spacing w:line="256" w:lineRule="auto"/>
        <w:ind w:right="151" w:hanging="1"/>
        <w:jc w:val="both"/>
      </w:pPr>
      <w:r>
        <w:rPr>
          <w:spacing w:val="-1"/>
        </w:rPr>
        <w:t>说明</w:t>
      </w:r>
      <w:r>
        <w:rPr>
          <w:rFonts w:ascii="Times New Roman" w:hAnsi="Times New Roman" w:cs="Times New Roman" w:eastAsia="Times New Roman" w:hint="default"/>
          <w:spacing w:val="-1"/>
        </w:rPr>
        <w:t>1</w:t>
      </w:r>
      <w:r>
        <w:rPr>
          <w:spacing w:val="-1"/>
        </w:rPr>
        <w:t>：资本公积</w:t>
      </w:r>
      <w:r>
        <w:rPr>
          <w:rFonts w:ascii="Times New Roman" w:hAnsi="Times New Roman" w:cs="Times New Roman" w:eastAsia="Times New Roman" w:hint="default"/>
          <w:spacing w:val="-1"/>
        </w:rPr>
        <w:t>-</w:t>
      </w:r>
      <w:r>
        <w:rPr>
          <w:spacing w:val="-1"/>
        </w:rPr>
        <w:t>股本溢价本年增加</w:t>
      </w:r>
      <w:r>
        <w:rPr>
          <w:rFonts w:ascii="Times New Roman" w:hAnsi="Times New Roman" w:cs="Times New Roman" w:eastAsia="Times New Roman" w:hint="default"/>
          <w:spacing w:val="-1"/>
        </w:rPr>
        <w:t>8,024,042.00</w:t>
      </w:r>
      <w:r>
        <w:rPr>
          <w:spacing w:val="-1"/>
        </w:rPr>
        <w:t>元，系根据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日召开的第三届董事会第二十一</w:t>
      </w:r>
      <w:r>
        <w:rPr>
          <w:spacing w:val="-102"/>
        </w:rPr>
        <w:t> </w:t>
      </w:r>
      <w:r>
        <w:rPr>
          <w:spacing w:val="-102"/>
        </w:rPr>
      </w:r>
      <w:r>
        <w:rPr>
          <w:spacing w:val="-3"/>
        </w:rPr>
        <w:t>次会议，本公司向</w:t>
      </w:r>
      <w:r>
        <w:rPr>
          <w:rFonts w:ascii="Times New Roman" w:hAnsi="Times New Roman" w:cs="Times New Roman" w:eastAsia="Times New Roman" w:hint="default"/>
          <w:spacing w:val="-3"/>
        </w:rPr>
        <w:t>101</w:t>
      </w:r>
      <w:r>
        <w:rPr>
          <w:spacing w:val="-3"/>
        </w:rPr>
        <w:t>名自然人定向发行限制性股票</w:t>
      </w:r>
      <w:r>
        <w:rPr>
          <w:rFonts w:ascii="Times New Roman" w:hAnsi="Times New Roman" w:cs="Times New Roman" w:eastAsia="Times New Roman" w:hint="default"/>
          <w:spacing w:val="-3"/>
        </w:rPr>
        <w:t>91.39</w:t>
      </w:r>
      <w:r>
        <w:rPr>
          <w:spacing w:val="-3"/>
        </w:rPr>
        <w:t>万股，每股面值</w:t>
      </w:r>
      <w:r>
        <w:rPr>
          <w:rFonts w:ascii="Times New Roman" w:hAnsi="Times New Roman" w:cs="Times New Roman" w:eastAsia="Times New Roman" w:hint="default"/>
          <w:spacing w:val="-3"/>
        </w:rPr>
        <w:t>1.00</w:t>
      </w:r>
      <w:r>
        <w:rPr>
          <w:spacing w:val="-3"/>
        </w:rPr>
        <w:t>元，发行价格</w:t>
      </w:r>
      <w:r>
        <w:rPr>
          <w:rFonts w:ascii="Times New Roman" w:hAnsi="Times New Roman" w:cs="Times New Roman" w:eastAsia="Times New Roman" w:hint="default"/>
          <w:spacing w:val="-3"/>
        </w:rPr>
        <w:t>9.78</w:t>
      </w:r>
      <w:r>
        <w:rPr>
          <w:spacing w:val="-3"/>
        </w:rPr>
        <w:t>元</w:t>
      </w:r>
      <w:r>
        <w:rPr>
          <w:rFonts w:ascii="Times New Roman" w:hAnsi="Times New Roman" w:cs="Times New Roman" w:eastAsia="Times New Roman" w:hint="default"/>
          <w:spacing w:val="-3"/>
        </w:rPr>
        <w:t>/</w:t>
      </w:r>
      <w:r>
        <w:rPr>
          <w:spacing w:val="-3"/>
        </w:rPr>
        <w:t>股，募集</w:t>
      </w:r>
      <w:r>
        <w:rPr>
          <w:spacing w:val="-85"/>
        </w:rPr>
        <w:t> </w:t>
      </w:r>
      <w:r>
        <w:rPr>
          <w:spacing w:val="-85"/>
        </w:rPr>
      </w:r>
      <w:r>
        <w:rPr/>
        <w:t>资金总额</w:t>
      </w:r>
      <w:r>
        <w:rPr>
          <w:rFonts w:ascii="Times New Roman" w:hAnsi="Times New Roman" w:cs="Times New Roman" w:eastAsia="Times New Roman" w:hint="default"/>
        </w:rPr>
        <w:t>8,937,942.00</w:t>
      </w:r>
      <w:r>
        <w:rPr/>
        <w:t>元，其中计入股本</w:t>
      </w:r>
      <w:r>
        <w:rPr>
          <w:rFonts w:ascii="Times New Roman" w:hAnsi="Times New Roman" w:cs="Times New Roman" w:eastAsia="Times New Roman" w:hint="default"/>
        </w:rPr>
        <w:t>913,900.00</w:t>
      </w:r>
      <w:r>
        <w:rPr/>
        <w:t>元，计入资本公积</w:t>
      </w:r>
      <w:r>
        <w:rPr>
          <w:rFonts w:ascii="Times New Roman" w:hAnsi="Times New Roman" w:cs="Times New Roman" w:eastAsia="Times New Roman" w:hint="default"/>
        </w:rPr>
        <w:t>8,024,042.00</w:t>
      </w:r>
      <w:r>
        <w:rPr/>
        <w:t>元。</w:t>
      </w:r>
    </w:p>
    <w:p>
      <w:pPr>
        <w:spacing w:line="240" w:lineRule="auto" w:before="12"/>
        <w:rPr>
          <w:rFonts w:ascii="宋体" w:hAnsi="宋体" w:cs="宋体" w:eastAsia="宋体" w:hint="default"/>
          <w:sz w:val="16"/>
          <w:szCs w:val="16"/>
        </w:rPr>
      </w:pPr>
    </w:p>
    <w:p>
      <w:pPr>
        <w:pStyle w:val="BodyText"/>
        <w:spacing w:line="256" w:lineRule="auto"/>
        <w:ind w:right="128" w:hanging="1"/>
        <w:jc w:val="both"/>
      </w:pPr>
      <w:r>
        <w:rPr>
          <w:spacing w:val="-1"/>
        </w:rPr>
        <w:t>说明</w:t>
      </w:r>
      <w:r>
        <w:rPr>
          <w:rFonts w:ascii="Times New Roman" w:hAnsi="Times New Roman" w:cs="Times New Roman" w:eastAsia="Times New Roman" w:hint="default"/>
          <w:spacing w:val="-1"/>
        </w:rPr>
        <w:t>2</w:t>
      </w:r>
      <w:r>
        <w:rPr>
          <w:spacing w:val="-1"/>
        </w:rPr>
        <w:t>：资本公积</w:t>
      </w:r>
      <w:r>
        <w:rPr>
          <w:rFonts w:ascii="Times New Roman" w:hAnsi="Times New Roman" w:cs="Times New Roman" w:eastAsia="Times New Roman" w:hint="default"/>
          <w:spacing w:val="-1"/>
        </w:rPr>
        <w:t>-</w:t>
      </w:r>
      <w:r>
        <w:rPr>
          <w:spacing w:val="-1"/>
        </w:rPr>
        <w:t>股本溢价本年减少</w:t>
      </w:r>
      <w:r>
        <w:rPr>
          <w:rFonts w:ascii="Times New Roman" w:hAnsi="Times New Roman" w:cs="Times New Roman" w:eastAsia="Times New Roman" w:hint="default"/>
          <w:spacing w:val="-1"/>
        </w:rPr>
        <w:t>4,054,078.38</w:t>
      </w:r>
      <w:r>
        <w:rPr>
          <w:spacing w:val="-1"/>
        </w:rPr>
        <w:t>元，系（</w:t>
      </w:r>
      <w:r>
        <w:rPr>
          <w:rFonts w:ascii="Times New Roman" w:hAnsi="Times New Roman" w:cs="Times New Roman" w:eastAsia="Times New Roman" w:hint="default"/>
          <w:spacing w:val="-1"/>
        </w:rPr>
        <w:t>1</w:t>
      </w:r>
      <w:r>
        <w:rPr>
          <w:spacing w:val="-1"/>
        </w:rPr>
        <w:t>）根据</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28</w:t>
      </w:r>
      <w:r>
        <w:rPr>
          <w:spacing w:val="-1"/>
        </w:rPr>
        <w:t>日召开的第三届董事会第十</w:t>
      </w:r>
      <w:r>
        <w:rPr/>
        <w:t> 七次会议决议、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日召开的第三届董事会第十八次会议决议，本公司回购已离职的</w:t>
      </w:r>
      <w:r>
        <w:rPr>
          <w:rFonts w:ascii="Times New Roman" w:hAnsi="Times New Roman" w:cs="Times New Roman" w:eastAsia="Times New Roman" w:hint="default"/>
        </w:rPr>
        <w:t>18</w:t>
      </w:r>
      <w:r>
        <w:rPr/>
        <w:t>名股权激</w:t>
      </w:r>
      <w:r>
        <w:rPr>
          <w:spacing w:val="-39"/>
        </w:rPr>
        <w:t> </w:t>
      </w:r>
      <w:r>
        <w:rPr>
          <w:spacing w:val="8"/>
        </w:rPr>
        <w:t>励对象共计</w:t>
      </w:r>
      <w:r>
        <w:rPr>
          <w:rFonts w:ascii="Times New Roman" w:hAnsi="Times New Roman" w:cs="Times New Roman" w:eastAsia="Times New Roman" w:hint="default"/>
          <w:spacing w:val="8"/>
        </w:rPr>
        <w:t>223,700</w:t>
      </w:r>
      <w:r>
        <w:rPr>
          <w:rFonts w:ascii="Times New Roman" w:hAnsi="Times New Roman" w:cs="Times New Roman" w:eastAsia="Times New Roman" w:hint="default"/>
          <w:spacing w:val="-31"/>
        </w:rPr>
        <w:t> </w:t>
      </w:r>
      <w:r>
        <w:rPr>
          <w:spacing w:val="16"/>
        </w:rPr>
        <w:t>股限制性股票，</w:t>
      </w:r>
      <w:r>
        <w:rPr>
          <w:spacing w:val="-84"/>
        </w:rPr>
        <w:t> </w:t>
      </w:r>
      <w:r>
        <w:rPr>
          <w:spacing w:val="9"/>
        </w:rPr>
        <w:t>减少库存股</w:t>
      </w:r>
      <w:r>
        <w:rPr>
          <w:rFonts w:ascii="Times New Roman" w:hAnsi="Times New Roman" w:cs="Times New Roman" w:eastAsia="Times New Roman" w:hint="default"/>
          <w:spacing w:val="9"/>
        </w:rPr>
        <w:t>2,717,955.00</w:t>
      </w:r>
      <w:r>
        <w:rPr>
          <w:spacing w:val="9"/>
        </w:rPr>
        <w:t>元，减少股本</w:t>
      </w:r>
      <w:r>
        <w:rPr>
          <w:spacing w:val="-83"/>
        </w:rPr>
        <w:t> </w:t>
      </w:r>
      <w:r>
        <w:rPr>
          <w:rFonts w:ascii="Times New Roman" w:hAnsi="Times New Roman" w:cs="Times New Roman" w:eastAsia="Times New Roman" w:hint="default"/>
          <w:spacing w:val="10"/>
        </w:rPr>
        <w:t>223,700</w:t>
      </w:r>
      <w:r>
        <w:rPr>
          <w:spacing w:val="10"/>
        </w:rPr>
        <w:t>股，减少资本公积</w:t>
      </w:r>
      <w:r>
        <w:rPr>
          <w:spacing w:val="-99"/>
        </w:rPr>
        <w:t> </w:t>
      </w:r>
      <w:r>
        <w:rPr>
          <w:rFonts w:ascii="Times New Roman" w:hAnsi="Times New Roman" w:cs="Times New Roman" w:eastAsia="Times New Roman" w:hint="default"/>
        </w:rPr>
        <w:t>2,494,255.00</w:t>
      </w:r>
      <w:r>
        <w:rPr/>
        <w:t>元；（</w:t>
      </w:r>
      <w:r>
        <w:rPr>
          <w:rFonts w:ascii="Times New Roman" w:hAnsi="Times New Roman" w:cs="Times New Roman" w:eastAsia="Times New Roman" w:hint="default"/>
        </w:rPr>
        <w:t>2</w:t>
      </w:r>
      <w:r>
        <w:rPr/>
        <w:t>）本公司本年对子公司美亚宏数增资，减少资本公积</w:t>
      </w:r>
      <w:r>
        <w:rPr>
          <w:rFonts w:ascii="Times New Roman" w:hAnsi="Times New Roman" w:cs="Times New Roman" w:eastAsia="Times New Roman" w:hint="default"/>
        </w:rPr>
        <w:t>1,559,823.38</w:t>
      </w:r>
      <w:r>
        <w:rPr/>
        <w:t>元。</w:t>
      </w:r>
    </w:p>
    <w:p>
      <w:pPr>
        <w:spacing w:line="240" w:lineRule="auto" w:before="12"/>
        <w:rPr>
          <w:rFonts w:ascii="宋体" w:hAnsi="宋体" w:cs="宋体" w:eastAsia="宋体" w:hint="default"/>
          <w:sz w:val="16"/>
          <w:szCs w:val="16"/>
        </w:rPr>
      </w:pPr>
    </w:p>
    <w:p>
      <w:pPr>
        <w:pStyle w:val="BodyText"/>
        <w:spacing w:line="256" w:lineRule="auto"/>
        <w:ind w:right="150"/>
        <w:jc w:val="both"/>
      </w:pPr>
      <w:r>
        <w:rPr/>
        <w:t>说明</w:t>
      </w:r>
      <w:r>
        <w:rPr>
          <w:rFonts w:ascii="Times New Roman" w:hAnsi="Times New Roman" w:cs="Times New Roman" w:eastAsia="Times New Roman" w:hint="default"/>
        </w:rPr>
        <w:t>3</w:t>
      </w:r>
      <w:r>
        <w:rPr/>
        <w:t>：资本公积</w:t>
      </w:r>
      <w:r>
        <w:rPr>
          <w:rFonts w:ascii="Times New Roman" w:hAnsi="Times New Roman" w:cs="Times New Roman" w:eastAsia="Times New Roman" w:hint="default"/>
        </w:rPr>
        <w:t>-</w:t>
      </w:r>
      <w:r>
        <w:rPr/>
        <w:t>其他资本公积本年增加</w:t>
      </w:r>
      <w:r>
        <w:rPr>
          <w:rFonts w:ascii="Times New Roman" w:hAnsi="Times New Roman" w:cs="Times New Roman" w:eastAsia="Times New Roman" w:hint="default"/>
        </w:rPr>
        <w:t>19,406,957.25</w:t>
      </w:r>
      <w:r>
        <w:rPr/>
        <w:t>元，系：（</w:t>
      </w:r>
      <w:r>
        <w:rPr>
          <w:rFonts w:ascii="Times New Roman" w:hAnsi="Times New Roman" w:cs="Times New Roman" w:eastAsia="Times New Roman" w:hint="default"/>
        </w:rPr>
        <w:t>1</w:t>
      </w:r>
      <w:r>
        <w:rPr/>
        <w:t>）本年股权激励费用摊销</w:t>
      </w:r>
      <w:r>
        <w:rPr>
          <w:rFonts w:ascii="Times New Roman" w:hAnsi="Times New Roman" w:cs="Times New Roman" w:eastAsia="Times New Roman" w:hint="default"/>
        </w:rPr>
        <w:t>17,953,960.89 </w:t>
      </w:r>
      <w:r>
        <w:rPr/>
        <w:t>元；（</w:t>
      </w:r>
      <w:r>
        <w:rPr>
          <w:rFonts w:ascii="Times New Roman" w:hAnsi="Times New Roman" w:cs="Times New Roman" w:eastAsia="Times New Roman" w:hint="default"/>
        </w:rPr>
        <w:t>2</w:t>
      </w:r>
      <w:r>
        <w:rPr/>
        <w:t>）本公司按权益法确认对厦门服云信息科技有限公司的其他权益变动</w:t>
      </w:r>
      <w:r>
        <w:rPr>
          <w:rFonts w:ascii="Times New Roman" w:hAnsi="Times New Roman" w:cs="Times New Roman" w:eastAsia="Times New Roman" w:hint="default"/>
        </w:rPr>
        <w:t>1,452,996.36</w:t>
      </w:r>
      <w:r>
        <w:rPr/>
        <w:t>元。</w:t>
      </w:r>
    </w:p>
    <w:p>
      <w:pPr>
        <w:spacing w:line="240" w:lineRule="auto" w:before="12"/>
        <w:rPr>
          <w:rFonts w:ascii="宋体" w:hAnsi="宋体" w:cs="宋体" w:eastAsia="宋体" w:hint="default"/>
          <w:sz w:val="16"/>
          <w:szCs w:val="16"/>
        </w:rPr>
      </w:pPr>
    </w:p>
    <w:p>
      <w:pPr>
        <w:pStyle w:val="BodyText"/>
        <w:spacing w:line="256" w:lineRule="auto"/>
        <w:ind w:right="151"/>
        <w:jc w:val="both"/>
      </w:pPr>
      <w:r>
        <w:rPr>
          <w:spacing w:val="-3"/>
        </w:rPr>
        <w:t>说明</w:t>
      </w:r>
      <w:r>
        <w:rPr>
          <w:rFonts w:ascii="Times New Roman" w:hAnsi="Times New Roman" w:cs="Times New Roman" w:eastAsia="Times New Roman" w:hint="default"/>
          <w:spacing w:val="-3"/>
        </w:rPr>
        <w:t>4</w:t>
      </w:r>
      <w:r>
        <w:rPr>
          <w:spacing w:val="-3"/>
        </w:rPr>
        <w:t>：资本公积-其他资本公积本年减少13,425,757.71元，系本公司员工持有的限制性股票以后行权可抵</w:t>
      </w:r>
      <w:r>
        <w:rPr>
          <w:spacing w:val="-75"/>
        </w:rPr>
        <w:t> </w:t>
      </w:r>
      <w:r>
        <w:rPr>
          <w:spacing w:val="-75"/>
        </w:rPr>
      </w:r>
      <w:r>
        <w:rPr/>
        <w:t>减应纳税所得税额产生的资本公积调减13,425,757.71元。</w:t>
      </w:r>
    </w:p>
    <w:p>
      <w:pPr>
        <w:spacing w:line="240" w:lineRule="auto" w:before="8"/>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110,759,559.00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8,937,942.00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45,797,883.00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73,899,618.00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110,759,559.00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8,937,942.00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45,797,883.00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73,899,618.00</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3"/>
        <w:rPr>
          <w:rFonts w:ascii="宋体" w:hAnsi="宋体" w:cs="宋体" w:eastAsia="宋体" w:hint="default"/>
          <w:sz w:val="12"/>
          <w:szCs w:val="12"/>
        </w:rPr>
      </w:pPr>
    </w:p>
    <w:p>
      <w:pPr>
        <w:pStyle w:val="BodyText"/>
        <w:spacing w:line="256" w:lineRule="auto"/>
        <w:ind w:right="148"/>
        <w:jc w:val="both"/>
      </w:pPr>
      <w:r>
        <w:rPr/>
        <w:t>说明</w:t>
      </w:r>
      <w:r>
        <w:rPr>
          <w:rFonts w:ascii="Times New Roman" w:hAnsi="Times New Roman" w:cs="Times New Roman" w:eastAsia="Times New Roman" w:hint="default"/>
        </w:rPr>
        <w:t>1</w:t>
      </w:r>
      <w:r>
        <w:rPr/>
        <w:t>：库存股本年增加</w:t>
      </w:r>
      <w:r>
        <w:rPr>
          <w:rFonts w:ascii="Times New Roman" w:hAnsi="Times New Roman" w:cs="Times New Roman" w:eastAsia="Times New Roman" w:hint="default"/>
        </w:rPr>
        <w:t>8,937,942.00</w:t>
      </w:r>
      <w:r>
        <w:rPr/>
        <w:t>元，系本年本公司向激励对象授予第二期限制性股票（预留部分），</w:t>
      </w:r>
      <w:r>
        <w:rPr>
          <w:spacing w:val="-86"/>
        </w:rPr>
        <w:t> </w:t>
      </w:r>
      <w:r>
        <w:rPr>
          <w:spacing w:val="-86"/>
        </w:rPr>
      </w:r>
      <w:r>
        <w:rPr/>
        <w:t>向</w:t>
      </w:r>
      <w:r>
        <w:rPr>
          <w:spacing w:val="-85"/>
        </w:rPr>
        <w:t> </w:t>
      </w:r>
      <w:r>
        <w:rPr>
          <w:rFonts w:ascii="Times New Roman" w:hAnsi="Times New Roman" w:cs="Times New Roman" w:eastAsia="Times New Roman" w:hint="default"/>
          <w:spacing w:val="15"/>
        </w:rPr>
        <w:t>101</w:t>
      </w:r>
      <w:r>
        <w:rPr>
          <w:spacing w:val="15"/>
        </w:rPr>
        <w:t>名自然人定向发行限制性股票</w:t>
      </w:r>
      <w:r>
        <w:rPr>
          <w:spacing w:val="-85"/>
        </w:rPr>
        <w:t> </w:t>
      </w:r>
      <w:r>
        <w:rPr>
          <w:rFonts w:ascii="Times New Roman" w:hAnsi="Times New Roman" w:cs="Times New Roman" w:eastAsia="Times New Roman" w:hint="default"/>
          <w:spacing w:val="14"/>
        </w:rPr>
        <w:t>91.39</w:t>
      </w:r>
      <w:r>
        <w:rPr>
          <w:spacing w:val="14"/>
        </w:rPr>
        <w:t>万股，每股面值</w:t>
      </w:r>
      <w:r>
        <w:rPr>
          <w:rFonts w:ascii="Times New Roman" w:hAnsi="Times New Roman" w:cs="Times New Roman" w:eastAsia="Times New Roman" w:hint="default"/>
          <w:spacing w:val="14"/>
        </w:rPr>
        <w:t>1</w:t>
      </w:r>
      <w:r>
        <w:rPr>
          <w:spacing w:val="14"/>
        </w:rPr>
        <w:t>元，发行价格</w:t>
      </w:r>
      <w:r>
        <w:rPr>
          <w:rFonts w:ascii="Times New Roman" w:hAnsi="Times New Roman" w:cs="Times New Roman" w:eastAsia="Times New Roman" w:hint="default"/>
          <w:spacing w:val="14"/>
        </w:rPr>
        <w:t>9.78</w:t>
      </w:r>
      <w:r>
        <w:rPr>
          <w:spacing w:val="14"/>
        </w:rPr>
        <w:t>元</w:t>
      </w:r>
      <w:r>
        <w:rPr>
          <w:rFonts w:ascii="Times New Roman" w:hAnsi="Times New Roman" w:cs="Times New Roman" w:eastAsia="Times New Roman" w:hint="default"/>
          <w:spacing w:val="14"/>
        </w:rPr>
        <w:t>/</w:t>
      </w:r>
      <w:r>
        <w:rPr>
          <w:spacing w:val="14"/>
        </w:rPr>
        <w:t>股，募集资金总额</w:t>
      </w:r>
      <w:r>
        <w:rPr>
          <w:spacing w:val="-103"/>
        </w:rPr>
        <w:t> </w:t>
      </w:r>
      <w:r>
        <w:rPr>
          <w:spacing w:val="-103"/>
        </w:rPr>
      </w:r>
      <w:r>
        <w:rPr>
          <w:rFonts w:ascii="Times New Roman" w:hAnsi="Times New Roman" w:cs="Times New Roman" w:eastAsia="Times New Roman" w:hint="default"/>
          <w:spacing w:val="-1"/>
        </w:rPr>
        <w:t>8,937,942.00</w:t>
      </w:r>
      <w:r>
        <w:rPr>
          <w:spacing w:val="-1"/>
        </w:rPr>
        <w:t>元，其中计入股本</w:t>
      </w:r>
      <w:r>
        <w:rPr>
          <w:rFonts w:ascii="Times New Roman" w:hAnsi="Times New Roman" w:cs="Times New Roman" w:eastAsia="Times New Roman" w:hint="default"/>
          <w:spacing w:val="-1"/>
        </w:rPr>
        <w:t>913,900.00</w:t>
      </w:r>
      <w:r>
        <w:rPr>
          <w:spacing w:val="-1"/>
        </w:rPr>
        <w:t>元，计入资本公积</w:t>
      </w:r>
      <w:r>
        <w:rPr>
          <w:rFonts w:ascii="Times New Roman" w:hAnsi="Times New Roman" w:cs="Times New Roman" w:eastAsia="Times New Roman" w:hint="default"/>
          <w:spacing w:val="-1"/>
        </w:rPr>
        <w:t>8,024,042.00</w:t>
      </w:r>
      <w:r>
        <w:rPr>
          <w:spacing w:val="-1"/>
        </w:rPr>
        <w:t>元，同时确认库存股和其他应付款</w:t>
      </w:r>
    </w:p>
    <w:p>
      <w:pPr>
        <w:pStyle w:val="BodyText"/>
        <w:spacing w:line="240" w:lineRule="auto" w:before="5"/>
        <w:ind w:right="0"/>
        <w:jc w:val="both"/>
      </w:pPr>
      <w:r>
        <w:rPr>
          <w:rFonts w:ascii="Times New Roman" w:hAnsi="Times New Roman" w:cs="Times New Roman" w:eastAsia="Times New Roman" w:hint="default"/>
        </w:rPr>
        <w:t>8,937,942.00</w:t>
      </w:r>
      <w:r>
        <w:rPr/>
        <w:t>元。</w:t>
      </w:r>
    </w:p>
    <w:p>
      <w:pPr>
        <w:spacing w:after="0" w:line="24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64" w:lineRule="auto" w:before="35"/>
        <w:ind w:right="151" w:hanging="1"/>
        <w:jc w:val="both"/>
      </w:pPr>
      <w:r>
        <w:rPr>
          <w:spacing w:val="-4"/>
        </w:rPr>
        <w:t>说明</w:t>
      </w:r>
      <w:r>
        <w:rPr>
          <w:rFonts w:ascii="Times New Roman" w:hAnsi="Times New Roman" w:cs="Times New Roman" w:eastAsia="Times New Roman" w:hint="default"/>
          <w:spacing w:val="-4"/>
        </w:rPr>
        <w:t>2</w:t>
      </w:r>
      <w:r>
        <w:rPr>
          <w:spacing w:val="-4"/>
        </w:rPr>
        <w:t>：库存股本年减少</w:t>
      </w:r>
      <w:r>
        <w:rPr>
          <w:rFonts w:ascii="Times New Roman" w:hAnsi="Times New Roman" w:cs="Times New Roman" w:eastAsia="Times New Roman" w:hint="default"/>
          <w:spacing w:val="-4"/>
        </w:rPr>
        <w:t>45,797,883.00</w:t>
      </w:r>
      <w:r>
        <w:rPr>
          <w:spacing w:val="-4"/>
        </w:rPr>
        <w:t>元系：（</w:t>
      </w:r>
      <w:r>
        <w:rPr>
          <w:rFonts w:ascii="Times New Roman" w:hAnsi="Times New Roman" w:cs="Times New Roman" w:eastAsia="Times New Roman" w:hint="default"/>
          <w:spacing w:val="-4"/>
        </w:rPr>
        <w:t>1</w:t>
      </w:r>
      <w:r>
        <w:rPr>
          <w:spacing w:val="-4"/>
        </w:rPr>
        <w:t>）根据</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11</w:t>
      </w:r>
      <w:r>
        <w:rPr>
          <w:spacing w:val="-4"/>
        </w:rPr>
        <w:t>日召开第三届董事会第二十二次会议，</w:t>
      </w:r>
      <w:r>
        <w:rPr>
          <w:spacing w:val="-64"/>
        </w:rPr>
        <w:t> </w:t>
      </w:r>
      <w:r>
        <w:rPr>
          <w:spacing w:val="-64"/>
        </w:rPr>
      </w:r>
      <w:r>
        <w:rPr>
          <w:spacing w:val="-1"/>
        </w:rPr>
        <w:t>审议通过了《关于公司第二期限制性股票激励计划首次授予部分第一个解锁期解锁条件成就的议案》，申</w:t>
      </w:r>
      <w:r>
        <w:rPr>
          <w:spacing w:val="-84"/>
        </w:rPr>
        <w:t> </w:t>
      </w:r>
      <w:r>
        <w:rPr>
          <w:spacing w:val="-84"/>
        </w:rPr>
      </w:r>
      <w:r>
        <w:rPr/>
        <w:t>请解禁对象共</w:t>
      </w:r>
      <w:r>
        <w:rPr>
          <w:rFonts w:ascii="Times New Roman" w:hAnsi="Times New Roman" w:cs="Times New Roman" w:eastAsia="Times New Roman" w:hint="default"/>
        </w:rPr>
        <w:t>449</w:t>
      </w:r>
      <w:r>
        <w:rPr/>
        <w:t>名，解禁股数为</w:t>
      </w:r>
      <w:r>
        <w:rPr>
          <w:rFonts w:ascii="Times New Roman" w:hAnsi="Times New Roman" w:cs="Times New Roman" w:eastAsia="Times New Roman" w:hint="default"/>
        </w:rPr>
        <w:t>3,515,760</w:t>
      </w:r>
      <w:r>
        <w:rPr/>
        <w:t>股，减少库存股和其他应付款</w:t>
      </w:r>
      <w:r>
        <w:rPr>
          <w:rFonts w:ascii="Times New Roman" w:hAnsi="Times New Roman" w:cs="Times New Roman" w:eastAsia="Times New Roman" w:hint="default"/>
        </w:rPr>
        <w:t>42,716,484.00</w:t>
      </w:r>
      <w:r>
        <w:rPr/>
        <w:t>元；</w:t>
      </w:r>
    </w:p>
    <w:p>
      <w:pPr>
        <w:spacing w:line="240" w:lineRule="auto" w:before="5"/>
        <w:rPr>
          <w:rFonts w:ascii="宋体" w:hAnsi="宋体" w:cs="宋体" w:eastAsia="宋体" w:hint="default"/>
          <w:sz w:val="16"/>
          <w:szCs w:val="16"/>
        </w:rPr>
      </w:pPr>
    </w:p>
    <w:p>
      <w:pPr>
        <w:pStyle w:val="BodyText"/>
        <w:spacing w:line="240" w:lineRule="auto"/>
        <w:ind w:right="0"/>
        <w:jc w:val="both"/>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日召开第三届董事会第十五会议，本公司向全体股东按每</w:t>
      </w:r>
      <w:r>
        <w:rPr>
          <w:rFonts w:ascii="Times New Roman" w:hAnsi="Times New Roman" w:cs="Times New Roman" w:eastAsia="Times New Roman" w:hint="default"/>
        </w:rPr>
        <w:t>10</w:t>
      </w:r>
      <w:r>
        <w:rPr/>
        <w:t>股派发现金股利人民币</w:t>
      </w:r>
    </w:p>
    <w:p>
      <w:pPr>
        <w:pStyle w:val="BodyText"/>
        <w:spacing w:line="240" w:lineRule="auto" w:before="21"/>
        <w:ind w:right="0"/>
        <w:jc w:val="both"/>
      </w:pPr>
      <w:r>
        <w:rPr>
          <w:rFonts w:ascii="Times New Roman" w:hAnsi="Times New Roman" w:cs="Times New Roman" w:eastAsia="Times New Roman" w:hint="default"/>
        </w:rPr>
        <w:t>0.4</w:t>
      </w:r>
      <w:r>
        <w:rPr/>
        <w:t>元（含税）；分红时本公司股权激励对象共持有</w:t>
      </w:r>
      <w:r>
        <w:rPr>
          <w:rFonts w:ascii="Times New Roman" w:hAnsi="Times New Roman" w:cs="Times New Roman" w:eastAsia="Times New Roman" w:hint="default"/>
        </w:rPr>
        <w:t>9,086,100</w:t>
      </w:r>
      <w:r>
        <w:rPr/>
        <w:t>股，减少库存股和其他应付款</w:t>
      </w:r>
      <w:r>
        <w:rPr>
          <w:rFonts w:ascii="Times New Roman" w:hAnsi="Times New Roman" w:cs="Times New Roman" w:eastAsia="Times New Roman" w:hint="default"/>
        </w:rPr>
        <w:t>363,444.00</w:t>
      </w:r>
      <w:r>
        <w:rPr/>
        <w:t>元；</w:t>
      </w:r>
    </w:p>
    <w:p>
      <w:pPr>
        <w:spacing w:line="240" w:lineRule="auto" w:before="2"/>
        <w:rPr>
          <w:rFonts w:ascii="宋体" w:hAnsi="宋体" w:cs="宋体" w:eastAsia="宋体" w:hint="default"/>
          <w:sz w:val="18"/>
          <w:szCs w:val="18"/>
        </w:rPr>
      </w:pPr>
    </w:p>
    <w:p>
      <w:pPr>
        <w:pStyle w:val="BodyText"/>
        <w:spacing w:line="256" w:lineRule="auto"/>
        <w:ind w:right="132"/>
        <w:jc w:val="both"/>
      </w:pPr>
      <w:r>
        <w:rPr/>
        <w:t>（</w:t>
      </w:r>
      <w:r>
        <w:rPr>
          <w:rFonts w:ascii="Times New Roman" w:hAnsi="Times New Roman" w:cs="Times New Roman" w:eastAsia="Times New Roman" w:hint="default"/>
        </w:rPr>
        <w:t>3</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日召开的第三届董事会第十七次会议决议、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日召开的第三届董事会第</w:t>
      </w:r>
      <w:r>
        <w:rPr>
          <w:spacing w:val="-42"/>
        </w:rPr>
        <w:t> </w:t>
      </w:r>
      <w:r>
        <w:rPr>
          <w:spacing w:val="-42"/>
        </w:rPr>
      </w:r>
      <w:r>
        <w:rPr>
          <w:spacing w:val="16"/>
        </w:rPr>
        <w:t>十八次会议决议，</w:t>
      </w:r>
      <w:r>
        <w:rPr>
          <w:spacing w:val="-79"/>
        </w:rPr>
        <w:t> </w:t>
      </w:r>
      <w:r>
        <w:rPr>
          <w:spacing w:val="15"/>
        </w:rPr>
        <w:t>本公司回购已离职的</w:t>
      </w:r>
      <w:r>
        <w:rPr>
          <w:rFonts w:ascii="Times New Roman" w:hAnsi="Times New Roman" w:cs="Times New Roman" w:eastAsia="Times New Roman" w:hint="default"/>
          <w:spacing w:val="15"/>
        </w:rPr>
        <w:t>18</w:t>
      </w:r>
      <w:r>
        <w:rPr>
          <w:rFonts w:ascii="Times New Roman" w:hAnsi="Times New Roman" w:cs="Times New Roman" w:eastAsia="Times New Roman" w:hint="default"/>
          <w:spacing w:val="-27"/>
        </w:rPr>
        <w:t> </w:t>
      </w:r>
      <w:r>
        <w:rPr>
          <w:spacing w:val="14"/>
        </w:rPr>
        <w:t>名股权激励对象共计</w:t>
      </w:r>
      <w:r>
        <w:rPr>
          <w:rFonts w:ascii="Times New Roman" w:hAnsi="Times New Roman" w:cs="Times New Roman" w:eastAsia="Times New Roman" w:hint="default"/>
          <w:spacing w:val="14"/>
        </w:rPr>
        <w:t>223,700</w:t>
      </w:r>
      <w:r>
        <w:rPr>
          <w:spacing w:val="14"/>
        </w:rPr>
        <w:t>股限制性股票，减少库存股</w:t>
      </w:r>
      <w:r>
        <w:rPr>
          <w:spacing w:val="-92"/>
        </w:rPr>
        <w:t> </w:t>
      </w:r>
      <w:r>
        <w:rPr>
          <w:rFonts w:ascii="Times New Roman" w:hAnsi="Times New Roman" w:cs="Times New Roman" w:eastAsia="Times New Roman" w:hint="default"/>
        </w:rPr>
        <w:t>2,717,955.00</w:t>
      </w:r>
      <w:r>
        <w:rPr/>
        <w:t>元，减少股本</w:t>
      </w:r>
      <w:r>
        <w:rPr>
          <w:rFonts w:ascii="Times New Roman" w:hAnsi="Times New Roman" w:cs="Times New Roman" w:eastAsia="Times New Roman" w:hint="default"/>
        </w:rPr>
        <w:t>223,700</w:t>
      </w:r>
      <w:r>
        <w:rPr/>
        <w:t>股，减少资本公积</w:t>
      </w:r>
      <w:r>
        <w:rPr>
          <w:rFonts w:ascii="Times New Roman" w:hAnsi="Times New Roman" w:cs="Times New Roman" w:eastAsia="Times New Roman" w:hint="default"/>
        </w:rPr>
        <w:t>2,494,255.00</w:t>
      </w:r>
      <w:r>
        <w:rPr/>
        <w:t>元。</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985"/>
        <w:gridCol w:w="850"/>
        <w:gridCol w:w="1276"/>
        <w:gridCol w:w="960"/>
        <w:gridCol w:w="1166"/>
        <w:gridCol w:w="1276"/>
        <w:gridCol w:w="852"/>
        <w:gridCol w:w="1204"/>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3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2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7"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2" w:right="91" w:hanging="270"/>
              <w:jc w:val="left"/>
              <w:rPr>
                <w:rFonts w:ascii="宋体" w:hAnsi="宋体" w:cs="宋体" w:eastAsia="宋体" w:hint="default"/>
                <w:sz w:val="18"/>
                <w:szCs w:val="18"/>
              </w:rPr>
            </w:pPr>
            <w:r>
              <w:rPr>
                <w:rFonts w:ascii="宋体" w:hAnsi="宋体" w:cs="宋体" w:eastAsia="宋体" w:hint="default"/>
                <w:sz w:val="18"/>
                <w:szCs w:val="18"/>
              </w:rPr>
              <w:t>本期所得税前 发生额</w:t>
            </w:r>
          </w:p>
        </w:tc>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 w:right="23"/>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88" w:right="36" w:hanging="450"/>
              <w:jc w:val="left"/>
              <w:rPr>
                <w:rFonts w:ascii="宋体" w:hAnsi="宋体" w:cs="宋体" w:eastAsia="宋体" w:hint="default"/>
                <w:sz w:val="18"/>
                <w:szCs w:val="18"/>
              </w:rPr>
            </w:pPr>
            <w:r>
              <w:rPr>
                <w:rFonts w:ascii="宋体" w:hAnsi="宋体" w:cs="宋体" w:eastAsia="宋体" w:hint="default"/>
                <w:sz w:val="18"/>
                <w:szCs w:val="18"/>
              </w:rPr>
              <w:t>减：所得税费 用</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2" w:right="91"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20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50"/>
              <w:jc w:val="left"/>
              <w:rPr>
                <w:rFonts w:ascii="宋体" w:hAnsi="宋体" w:cs="宋体" w:eastAsia="宋体" w:hint="default"/>
                <w:sz w:val="18"/>
                <w:szCs w:val="18"/>
              </w:rPr>
            </w:pPr>
            <w:r>
              <w:rPr>
                <w:rFonts w:ascii="宋体" w:hAnsi="宋体" w:cs="宋体" w:eastAsia="宋体" w:hint="default"/>
                <w:sz w:val="18"/>
                <w:szCs w:val="18"/>
              </w:rPr>
              <w:t>二、以后将重分类进损 益的其他综合收益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181,643,650.00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18,164,365.00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163,479,285.00</w:t>
            </w:r>
            <w:r>
              <w:rPr>
                <w:rFonts w:ascii="Arial Narrow"/>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50" w:firstLine="540"/>
              <w:jc w:val="left"/>
              <w:rPr>
                <w:rFonts w:ascii="宋体" w:hAnsi="宋体" w:cs="宋体" w:eastAsia="宋体" w:hint="default"/>
                <w:sz w:val="18"/>
                <w:szCs w:val="18"/>
              </w:rPr>
            </w:pPr>
            <w:r>
              <w:rPr>
                <w:rFonts w:ascii="宋体" w:hAnsi="宋体" w:cs="宋体" w:eastAsia="宋体" w:hint="default"/>
                <w:sz w:val="18"/>
                <w:szCs w:val="18"/>
              </w:rPr>
              <w:t>可供出售金融资 产公允价值变动损益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181,643,650.00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18,164,365.00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Arial Narrow" w:hAnsi="Arial Narrow" w:cs="Arial Narrow" w:eastAsia="Arial Narrow" w:hint="default"/>
                <w:sz w:val="18"/>
                <w:szCs w:val="18"/>
              </w:rPr>
            </w:pPr>
            <w:r>
              <w:rPr>
                <w:rFonts w:ascii="Arial Narrow"/>
                <w:spacing w:val="-1"/>
                <w:sz w:val="18"/>
              </w:rPr>
              <w:t>163,479,285.00</w:t>
            </w:r>
            <w:r>
              <w:rPr>
                <w:rFonts w:ascii="Arial Narrow"/>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163,479,285.00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181,643,650.00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 w:right="0"/>
              <w:jc w:val="center"/>
              <w:rPr>
                <w:rFonts w:ascii="Times New Roman" w:hAnsi="Times New Roman" w:cs="Times New Roman" w:eastAsia="Times New Roman" w:hint="default"/>
                <w:sz w:val="18"/>
                <w:szCs w:val="18"/>
              </w:rPr>
            </w:pPr>
            <w:r>
              <w:rPr>
                <w:rFonts w:ascii="Times New Roman"/>
                <w:sz w:val="18"/>
              </w:rPr>
              <w:t>18,164,365.00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Arial Narrow" w:hAnsi="Arial Narrow" w:cs="Arial Narrow" w:eastAsia="Arial Narrow" w:hint="default"/>
                <w:sz w:val="18"/>
                <w:szCs w:val="18"/>
              </w:rPr>
            </w:pPr>
            <w:r>
              <w:rPr>
                <w:rFonts w:ascii="Arial Narrow"/>
                <w:spacing w:val="-1"/>
                <w:sz w:val="18"/>
              </w:rPr>
              <w:t>163,479,285.00</w:t>
            </w:r>
            <w:r>
              <w:rPr>
                <w:rFonts w:ascii="Arial Narrow"/>
                <w:sz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163,479,285.00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pStyle w:val="BodyText"/>
        <w:spacing w:line="273" w:lineRule="auto" w:before="89"/>
        <w:ind w:left="153" w:right="0"/>
        <w:jc w:val="left"/>
      </w:pPr>
      <w:r>
        <w:rPr>
          <w:spacing w:val="-1"/>
        </w:rPr>
        <w:t>其他综合收益的税后净额本期发生额为163,479,285.00元，均为归属于母公司股东的其他综合收益的税</w:t>
      </w:r>
      <w:r>
        <w:rPr>
          <w:spacing w:val="-80"/>
        </w:rPr>
        <w:t> </w:t>
      </w:r>
      <w:r>
        <w:rPr>
          <w:spacing w:val="-80"/>
        </w:rPr>
      </w:r>
      <w:r>
        <w:rPr/>
        <w:t>后净额。</w:t>
      </w:r>
    </w:p>
    <w:p>
      <w:pPr>
        <w:spacing w:line="240" w:lineRule="auto" w:before="7"/>
        <w:rPr>
          <w:rFonts w:ascii="宋体" w:hAnsi="宋体" w:cs="宋体" w:eastAsia="宋体" w:hint="default"/>
          <w:sz w:val="23"/>
          <w:szCs w:val="23"/>
        </w:rPr>
      </w:pPr>
    </w:p>
    <w:p>
      <w:pPr>
        <w:pStyle w:val="Heading3"/>
        <w:spacing w:line="240" w:lineRule="auto"/>
        <w:ind w:left="153"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57,142,499.12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17,897,386.25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75,039,885.37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57,142,499.12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17,897,386.25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75,039,885.37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90"/>
        <w:ind w:right="0"/>
        <w:jc w:val="left"/>
      </w:pPr>
      <w:r>
        <w:rPr/>
        <w:t>本年度盈余公积增加数系本公司根据本年度母公司实现的净利润的</w:t>
      </w:r>
      <w:r>
        <w:rPr>
          <w:rFonts w:ascii="Times New Roman" w:hAnsi="Times New Roman" w:cs="Times New Roman" w:eastAsia="Times New Roman" w:hint="default"/>
        </w:rPr>
        <w:t>10</w:t>
      </w:r>
      <w:r>
        <w:rPr/>
        <w:t>％提取</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678"/>
        <w:gridCol w:w="1970"/>
        <w:gridCol w:w="2918"/>
      </w:tblGrid>
      <w:tr>
        <w:trPr>
          <w:trHeight w:val="401"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566,397,841.60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408,351,375.98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566,397,841.60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408,351,375.98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271,716,271.45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182,624,041.44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17,897,386.25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9,959,943.64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19,853,620.24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14,617,632.18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2,610,259.74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797,752,846.82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566,397,841.60</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其中：子公司当年提取的盈余公积归属于母公司的金额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6,464,038.47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8,954,750.15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pStyle w:val="BodyText"/>
        <w:spacing w:line="240" w:lineRule="auto" w:before="90"/>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w:t>
      </w:r>
    </w:p>
    <w:p>
      <w:pPr>
        <w:pStyle w:val="BodyText"/>
        <w:spacing w:line="240" w:lineRule="auto" w:before="62"/>
        <w:ind w:left="153" w:right="0"/>
        <w:jc w:val="left"/>
      </w:pPr>
      <w:r>
        <w:rPr>
          <w:rFonts w:ascii="Times New Roman" w:hAnsi="Times New Roman" w:cs="Times New Roman" w:eastAsia="Times New Roman" w:hint="default"/>
        </w:rPr>
        <w:t>2)</w:t>
      </w:r>
      <w:r>
        <w:rPr/>
        <w:t>、由于会计政策变更，影响期初未分配利润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w:t>
      </w:r>
    </w:p>
    <w:p>
      <w:pPr>
        <w:pStyle w:val="BodyText"/>
        <w:spacing w:line="240" w:lineRule="auto" w:before="61"/>
        <w:ind w:left="153" w:right="0"/>
        <w:jc w:val="left"/>
      </w:pPr>
      <w:r>
        <w:rPr>
          <w:rFonts w:ascii="Times New Roman" w:hAnsi="Times New Roman" w:cs="Times New Roman" w:eastAsia="Times New Roman" w:hint="default"/>
        </w:rPr>
        <w:t>3)</w:t>
      </w:r>
      <w:r>
        <w:rPr/>
        <w:t>、由于重大会计差错更正，影响期初未分配利润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1"/>
        </w:rPr>
        <w:t> </w:t>
      </w:r>
      <w:r>
        <w:rPr/>
        <w:t>元。</w:t>
      </w:r>
    </w:p>
    <w:p>
      <w:pPr>
        <w:pStyle w:val="BodyText"/>
        <w:spacing w:line="240" w:lineRule="auto" w:before="61"/>
        <w:ind w:left="153" w:right="0"/>
        <w:jc w:val="left"/>
      </w:pPr>
      <w:r>
        <w:rPr>
          <w:rFonts w:ascii="Times New Roman" w:hAnsi="Times New Roman" w:cs="Times New Roman" w:eastAsia="Times New Roman" w:hint="default"/>
        </w:rPr>
        <w:t>4)</w:t>
      </w:r>
      <w:r>
        <w:rPr/>
        <w:t>、由于同一控制导致的合并范围变更，影响期初未分配利润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1"/>
        </w:rPr>
        <w:t> </w:t>
      </w:r>
      <w:r>
        <w:rPr/>
        <w:t>元。</w:t>
      </w:r>
    </w:p>
    <w:p>
      <w:pPr>
        <w:pStyle w:val="BodyText"/>
        <w:spacing w:line="240" w:lineRule="auto" w:before="62"/>
        <w:ind w:left="153" w:right="0"/>
        <w:jc w:val="left"/>
      </w:pPr>
      <w:r>
        <w:rPr>
          <w:rFonts w:ascii="Times New Roman" w:hAnsi="Times New Roman" w:cs="Times New Roman" w:eastAsia="Times New Roman" w:hint="default"/>
        </w:rPr>
        <w:t>5)</w:t>
      </w:r>
      <w:r>
        <w:rPr/>
        <w:t>、其他调整合计影响期初未分配利润</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1"/>
        </w:rPr>
        <w:t> </w:t>
      </w:r>
      <w:r>
        <w:rPr/>
        <w:t>元。</w:t>
      </w:r>
    </w:p>
    <w:p>
      <w:pPr>
        <w:pStyle w:val="BodyText"/>
        <w:spacing w:line="240" w:lineRule="auto" w:before="59"/>
        <w:ind w:left="153" w:right="0"/>
        <w:jc w:val="left"/>
      </w:pPr>
      <w:r>
        <w:rPr>
          <w:rFonts w:ascii="Times New Roman" w:hAnsi="Times New Roman" w:cs="Times New Roman" w:eastAsia="Times New Roman" w:hint="default"/>
        </w:rPr>
        <w:t>6</w:t>
      </w:r>
      <w:r>
        <w:rPr>
          <w:spacing w:val="-105"/>
        </w:rPr>
        <w:t>）</w:t>
      </w:r>
      <w:r>
        <w:rPr/>
        <w:t>、本年</w:t>
      </w:r>
      <w:r>
        <w:rPr>
          <w:spacing w:val="-2"/>
        </w:rPr>
        <w:t>其</w:t>
      </w:r>
      <w:r>
        <w:rPr/>
        <w:t>他调减</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w:t>
      </w:r>
      <w:r>
        <w:rPr>
          <w:rFonts w:ascii="Times New Roman" w:hAnsi="Times New Roman" w:cs="Times New Roman" w:eastAsia="Times New Roman" w:hint="default"/>
        </w:rPr>
        <w:t>6</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5</w:t>
      </w:r>
      <w:r>
        <w:rPr>
          <w:rFonts w:ascii="Times New Roman" w:hAnsi="Times New Roman" w:cs="Times New Roman" w:eastAsia="Times New Roman" w:hint="default"/>
        </w:rPr>
        <w:t>9.</w:t>
      </w:r>
      <w:r>
        <w:rPr>
          <w:rFonts w:ascii="Times New Roman" w:hAnsi="Times New Roman" w:cs="Times New Roman" w:eastAsia="Times New Roman" w:hint="default"/>
          <w:spacing w:val="-1"/>
        </w:rPr>
        <w:t>7</w:t>
      </w:r>
      <w:r>
        <w:rPr>
          <w:rFonts w:ascii="Times New Roman" w:hAnsi="Times New Roman" w:cs="Times New Roman" w:eastAsia="Times New Roman" w:hint="default"/>
        </w:rPr>
        <w:t>4 </w:t>
      </w:r>
      <w:r>
        <w:rPr/>
        <w:t>元</w:t>
      </w:r>
      <w:r>
        <w:rPr>
          <w:spacing w:val="-2"/>
        </w:rPr>
        <w:t>，</w:t>
      </w:r>
      <w:r>
        <w:rPr/>
        <w:t>系本公司子公司美亚宏数对其控股子公司国信宏数增资，少数股东权</w:t>
      </w:r>
    </w:p>
    <w:p>
      <w:pPr>
        <w:pStyle w:val="BodyText"/>
        <w:spacing w:line="240" w:lineRule="auto" w:before="22"/>
        <w:ind w:right="0"/>
        <w:jc w:val="left"/>
      </w:pPr>
      <w:r>
        <w:rPr/>
        <w:t>益增加</w:t>
      </w:r>
      <w:r>
        <w:rPr>
          <w:spacing w:val="-57"/>
        </w:rPr>
        <w:t> </w:t>
      </w:r>
      <w:r>
        <w:rPr>
          <w:rFonts w:ascii="Times New Roman" w:hAnsi="Times New Roman" w:cs="Times New Roman" w:eastAsia="Times New Roman" w:hint="default"/>
        </w:rPr>
        <w:t>2,610,259.74</w:t>
      </w:r>
      <w:r>
        <w:rPr>
          <w:rFonts w:ascii="Times New Roman" w:hAnsi="Times New Roman" w:cs="Times New Roman" w:eastAsia="Times New Roman" w:hint="default"/>
          <w:spacing w:val="-4"/>
        </w:rPr>
        <w:t> </w:t>
      </w:r>
      <w:r>
        <w:rPr/>
        <w:t>元，美亚宏数无资本公积故调减未分配利润。</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1,336,178,959.72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478,816,760.55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997,515,337.67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345,109,820.40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461,451.65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393,165.71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235,834.33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1,336,640,411.37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478,816,760.55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997,908,503.38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345,345,654.73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7,294,018.25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7,185,532.70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5,201,395.24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5,130,458.62</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2,349,282.38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1,522,193.55</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126,222.90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84,148.60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10,480.00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813,857.90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512,286.92</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60,750.16</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15,813,959.47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14,505,850.55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111,597,211.10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81,706,849.72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31,994,402.15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23,800,289.13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13,208,885.03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9,794,598.10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3,701,591.24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3,060,414.29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7,880,894.51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5,310,624.34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7,256,840.67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531,900.00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3,399,815.97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2,503,825.66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1,353,218.59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2,046,873.77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2,480,132.57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2,692,682.41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1,791,631.53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794,334.04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3,381,218.02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2,243,377.32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3,842,375.11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2,014,267.47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3,761,036.07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2,755,322.98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企业年金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333,999.08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316,440.29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386,511.90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355,394.18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1,085,056.65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1,182,597.10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286,266.34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2,096,586.63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197,741,086.53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143,206,377.43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182,309,709.93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155,379,116.95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37,158,618.22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32,565,887.62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44,998,283.44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43,674,825.47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29,896,970.37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25,875,436.46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15,844,211.38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15,371,614.54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17,624,574.50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12,738,809.48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932,021.50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5,927,223.54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4,666,962.86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5,709,485.00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4,554,242.83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3,660,978.12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2,779,277.46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3,274,421.96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w:t>
            </w:r>
            <w:r>
              <w:rPr>
                <w:rFonts w:ascii="Times New Roman" w:hAnsi="Times New Roman" w:cs="Times New Roman" w:eastAsia="Times New Roman" w:hint="default"/>
                <w:sz w:val="18"/>
                <w:szCs w:val="18"/>
              </w:rPr>
              <w:t>(</w:t>
            </w:r>
            <w:r>
              <w:rPr>
                <w:rFonts w:ascii="宋体" w:hAnsi="宋体" w:cs="宋体" w:eastAsia="宋体" w:hint="default"/>
                <w:sz w:val="18"/>
                <w:szCs w:val="18"/>
              </w:rPr>
              <w:t>护</w:t>
            </w:r>
            <w:r>
              <w:rPr>
                <w:rFonts w:ascii="Times New Roman" w:hAnsi="Times New Roman" w:cs="Times New Roman" w:eastAsia="Times New Roman" w:hint="default"/>
                <w:sz w:val="18"/>
                <w:szCs w:val="18"/>
              </w:rPr>
              <w:t>)</w:t>
            </w:r>
            <w:r>
              <w:rPr>
                <w:rFonts w:ascii="宋体" w:hAnsi="宋体" w:cs="宋体" w:eastAsia="宋体" w:hint="default"/>
                <w:sz w:val="18"/>
                <w:szCs w:val="18"/>
              </w:rPr>
              <w:t>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3,278,762.14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3,137,168.49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2,734,229.32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2,427,632.23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2,705,520.92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2,067,026.76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5,479,718.24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5,339,654.29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1,286,025.39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1,002,721.98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515,000.01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1,605,344.99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1,386,924.38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1,549,170.61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805,116.89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残疾人补助金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348,418.51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263,834.05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企业年金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125,671.26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129,169.52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会员年费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514,437.49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578,576.11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无形资产评估增值摊销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1,452,180.00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1,452,180.00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429,205.63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684,152.07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1,966,381.48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1,915,915.16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369,924,397.94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321,119,211.61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12,908,778.14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6,350,082.17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539,371.85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-376,372.07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175,452.04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170,765.96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-12,193,954.25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-6,555,688.28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14,627,577.55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14,250,965.71</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18,919,540.68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6,967,454.88</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7,041,109.80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12,414,409.91</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20,519,464.98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2,907,000.00</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61,107,693.01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36,539,830.50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460"/>
        <w:gridCol w:w="3190"/>
        <w:gridCol w:w="2918"/>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-2,690,548.33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-6,211,637.58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1,879,393.00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45,945.21</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按权益法核算的长期股权投资分红</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-811,155.33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-3,515,692.37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3,433.41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6096"/>
        <w:gridCol w:w="1842"/>
        <w:gridCol w:w="1631"/>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软件产品增值税返还</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3" w:right="0"/>
              <w:jc w:val="left"/>
              <w:rPr>
                <w:rFonts w:ascii="Times New Roman" w:hAnsi="Times New Roman" w:cs="Times New Roman" w:eastAsia="Times New Roman" w:hint="default"/>
                <w:sz w:val="18"/>
                <w:szCs w:val="18"/>
              </w:rPr>
            </w:pPr>
            <w:r>
              <w:rPr>
                <w:rFonts w:ascii="Times New Roman"/>
                <w:sz w:val="18"/>
              </w:rPr>
              <w:t>47,866,970.23</w:t>
            </w: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6096"/>
        <w:gridCol w:w="1842"/>
        <w:gridCol w:w="1631"/>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高新技术成果转化项目扶持资金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2,829,559.00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厦门超级计算中心（云计算中心）</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1,979,696.95</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年厦门市软件和服务业发展专项资金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年度第一批企业研发经费补助资金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上合组织演练专项经费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1,743,936.24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引进和培育优秀软件信息企业六条措施落户成长奖励</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年中国软件百强</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软件和信息服务业发展专项资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第四届厦门市质量奖奖励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国家服务业发展引导资金</w:t>
            </w:r>
            <w:r>
              <w:rPr>
                <w:rFonts w:ascii="Times New Roman" w:hAnsi="Times New Roman" w:cs="Times New Roman" w:eastAsia="Times New Roman" w:hint="default"/>
                <w:sz w:val="18"/>
                <w:szCs w:val="18"/>
              </w:rPr>
              <w:t>"</w:t>
            </w:r>
            <w:r>
              <w:rPr>
                <w:rFonts w:ascii="宋体" w:hAnsi="宋体" w:cs="宋体" w:eastAsia="宋体" w:hint="default"/>
                <w:sz w:val="18"/>
                <w:szCs w:val="18"/>
              </w:rPr>
              <w:t>电子数据存证云</w:t>
            </w:r>
            <w:r>
              <w:rPr>
                <w:rFonts w:ascii="Times New Roman" w:hAnsi="Times New Roman" w:cs="Times New Roman" w:eastAsia="Times New Roman"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1,125,803.44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质量技术专项奖励资金</w:t>
            </w:r>
            <w:r>
              <w:rPr>
                <w:rFonts w:ascii="Times New Roman" w:hAnsi="Times New Roman" w:cs="Times New Roman" w:eastAsia="Times New Roman" w:hint="default"/>
                <w:sz w:val="18"/>
                <w:szCs w:val="18"/>
              </w:rPr>
              <w:t>--</w:t>
            </w:r>
            <w:r>
              <w:rPr>
                <w:rFonts w:ascii="宋体" w:hAnsi="宋体" w:cs="宋体" w:eastAsia="宋体" w:hint="default"/>
                <w:sz w:val="18"/>
                <w:szCs w:val="18"/>
              </w:rPr>
              <w:t>质量奖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科学仪器设备资源共享优惠补贴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903,168.00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研究开发补助资金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828,900.00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优秀骨干人才承担的软件产业化项目（基于知识图谱的网络舆情分析系统）</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众创空间补助款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557,838.00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鄂财企发</w:t>
            </w:r>
            <w:r>
              <w:rPr>
                <w:rFonts w:ascii="Times New Roman" w:hAnsi="Times New Roman" w:cs="Times New Roman" w:eastAsia="Times New Roman" w:hint="default"/>
                <w:sz w:val="18"/>
                <w:szCs w:val="18"/>
              </w:rPr>
              <w:t>[2017]68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省科技项目补贴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失业保险支持企业稳定岗位工作补贴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492,442.48</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优秀骨干人才软件产业化项目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基于手机云的手机综合取证系统</w:t>
            </w:r>
            <w:r>
              <w:rPr>
                <w:rFonts w:ascii="Times New Roman" w:hAnsi="Times New Roman" w:cs="Times New Roman" w:eastAsia="Times New Roman"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468,521.24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市科学技术局，企业研发经费补助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463,900.00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年产业转型升级专项资金物联网支持项目</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思明区促进互联网经济发展办法</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543,014.00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厦门市科学技术局</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年度研发经费补助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422,100.00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基于云技术的证据链综合取证平台</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270,083.96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科技发展专项资金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宙斯眼安卓手机恶意程序调查系统</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厦门市技术交易奖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170,700.00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年小微企业引才补贴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安全服务器项目创新资金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社保补差补贴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83,426.76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科技政策定额扶持资金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80,343.48</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市财政局新增规模以上工业企业奖励资金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年软件和信息服务发展专项资金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江苏省互联网产业园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园区重点互联网企业奖励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思明区质量技术品牌奖励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6096"/>
        <w:gridCol w:w="1842"/>
        <w:gridCol w:w="1631"/>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安全服务器项目资金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电子取证关键技术研究</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34,298.32</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企业研发经费补助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面向互联网的海量信息分析挖掘关键技术及系统研究</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28,339.66</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面向新型信息技术和应用环境的网络技术研究</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22,156.84</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纳税大户企业奖励金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知识产权资助资金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毕业生补贴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18,400.90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科学技术局科创红包补贴</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10,643.00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高新技术产品奖励</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6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5,360.92</w:t>
            </w:r>
          </w:p>
        </w:tc>
        <w:tc>
          <w:tcPr>
            <w:tcW w:w="1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8"/>
        <w:gridCol w:w="2395"/>
        <w:gridCol w:w="2393"/>
        <w:gridCol w:w="2392"/>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62,485,587.12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1,007,751.12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365,952.96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1,007,751.12</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1,007,751.12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62,851,540.08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1,007,751.12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992"/>
        <w:gridCol w:w="1417"/>
        <w:gridCol w:w="709"/>
        <w:gridCol w:w="1843"/>
        <w:gridCol w:w="991"/>
        <w:gridCol w:w="709"/>
        <w:gridCol w:w="708"/>
        <w:gridCol w:w="1134"/>
        <w:gridCol w:w="1064"/>
      </w:tblGrid>
      <w:tr>
        <w:trPr>
          <w:trHeight w:val="714" w:hRule="exact"/>
        </w:trPr>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发放原 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 w:right="38"/>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9" w:right="78"/>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 w:right="78"/>
              <w:jc w:val="left"/>
              <w:rPr>
                <w:rFonts w:ascii="宋体" w:hAnsi="宋体" w:cs="宋体" w:eastAsia="宋体" w:hint="default"/>
                <w:sz w:val="18"/>
                <w:szCs w:val="18"/>
              </w:rPr>
            </w:pPr>
            <w:r>
              <w:rPr>
                <w:rFonts w:ascii="宋体" w:hAnsi="宋体" w:cs="宋体" w:eastAsia="宋体" w:hint="default"/>
                <w:sz w:val="18"/>
                <w:szCs w:val="18"/>
              </w:rPr>
              <w:t>本期发 生金额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8"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厦门国家税务</w:t>
            </w: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软件产品增 值税返还</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2"/>
              <w:jc w:val="both"/>
              <w:rPr>
                <w:rFonts w:ascii="宋体" w:hAnsi="宋体" w:cs="宋体" w:eastAsia="宋体" w:hint="default"/>
                <w:sz w:val="18"/>
                <w:szCs w:val="18"/>
              </w:rPr>
            </w:pPr>
            <w:r>
              <w:rPr>
                <w:rFonts w:ascii="宋体" w:hAnsi="宋体" w:cs="宋体" w:eastAsia="宋体" w:hint="default"/>
                <w:sz w:val="18"/>
                <w:szCs w:val="18"/>
              </w:rPr>
              <w:t>局、珠海国家税 务局、无锡国家 税务局、武汉国</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43,166,505.67</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家税务局</w:t>
            </w: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厦门超级计 算中心（云 计算中心）</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国家发改委、厦 门市科技局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3,280,000.00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5"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35"/>
              <w:jc w:val="center"/>
              <w:rPr>
                <w:rFonts w:ascii="宋体" w:hAnsi="宋体" w:cs="宋体" w:eastAsia="宋体" w:hint="default"/>
                <w:sz w:val="18"/>
                <w:szCs w:val="18"/>
              </w:rPr>
            </w:pPr>
            <w:r>
              <w:rPr>
                <w:rFonts w:ascii="宋体" w:hAnsi="宋体" w:cs="宋体" w:eastAsia="宋体" w:hint="default"/>
                <w:sz w:val="18"/>
                <w:szCs w:val="18"/>
              </w:rPr>
              <w:t>面向互联网</w:t>
            </w: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634"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59"/>
              <w:jc w:val="left"/>
              <w:rPr>
                <w:rFonts w:ascii="宋体" w:hAnsi="宋体" w:cs="宋体" w:eastAsia="宋体" w:hint="default"/>
                <w:sz w:val="18"/>
                <w:szCs w:val="18"/>
              </w:rPr>
            </w:pPr>
            <w:r>
              <w:rPr>
                <w:rFonts w:ascii="宋体" w:hAnsi="宋体" w:cs="宋体" w:eastAsia="宋体" w:hint="default"/>
                <w:sz w:val="18"/>
                <w:szCs w:val="18"/>
              </w:rPr>
              <w:t>的海量信息 分析挖掘关</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22"/>
              <w:jc w:val="left"/>
              <w:rPr>
                <w:rFonts w:ascii="宋体" w:hAnsi="宋体" w:cs="宋体" w:eastAsia="宋体" w:hint="default"/>
                <w:sz w:val="18"/>
                <w:szCs w:val="18"/>
              </w:rPr>
            </w:pPr>
            <w:r>
              <w:rPr>
                <w:rFonts w:ascii="宋体" w:hAnsi="宋体" w:cs="宋体" w:eastAsia="宋体" w:hint="default"/>
                <w:sz w:val="18"/>
                <w:szCs w:val="18"/>
              </w:rPr>
              <w:t>公安部科技信息 化局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88"/>
              <w:jc w:val="left"/>
              <w:rPr>
                <w:rFonts w:ascii="宋体" w:hAnsi="宋体" w:cs="宋体" w:eastAsia="宋体" w:hint="default"/>
                <w:sz w:val="18"/>
                <w:szCs w:val="18"/>
              </w:rPr>
            </w:pPr>
            <w:r>
              <w:rPr>
                <w:rFonts w:ascii="宋体" w:hAnsi="宋体" w:cs="宋体" w:eastAsia="宋体" w:hint="default"/>
                <w:sz w:val="18"/>
                <w:szCs w:val="18"/>
              </w:rPr>
              <w:t>持特定行业、产业而 获得的补助（按国家</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1,664,287.53</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7" w:hRule="exact"/>
        </w:trPr>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5"/>
              <w:jc w:val="center"/>
              <w:rPr>
                <w:rFonts w:ascii="宋体" w:hAnsi="宋体" w:cs="宋体" w:eastAsia="宋体" w:hint="default"/>
                <w:sz w:val="18"/>
                <w:szCs w:val="18"/>
              </w:rPr>
            </w:pPr>
            <w:r>
              <w:rPr>
                <w:rFonts w:ascii="宋体" w:hAnsi="宋体" w:cs="宋体" w:eastAsia="宋体" w:hint="default"/>
                <w:sz w:val="18"/>
                <w:szCs w:val="18"/>
              </w:rPr>
              <w:t>键技术及系</w:t>
            </w: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级政策规定依法取</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992"/>
        <w:gridCol w:w="1417"/>
        <w:gridCol w:w="709"/>
        <w:gridCol w:w="1843"/>
        <w:gridCol w:w="991"/>
        <w:gridCol w:w="709"/>
        <w:gridCol w:w="708"/>
        <w:gridCol w:w="1134"/>
        <w:gridCol w:w="1064"/>
      </w:tblGrid>
      <w:tr>
        <w:trPr>
          <w:trHeight w:val="36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统研究</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年厦 门市企业兼 并重组专项 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厦门市财政局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8"/>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1,617,000.00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面向新型信 息技术和应 用环境的网 络技术研究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2"/>
              <w:jc w:val="left"/>
              <w:rPr>
                <w:rFonts w:ascii="宋体" w:hAnsi="宋体" w:cs="宋体" w:eastAsia="宋体" w:hint="default"/>
                <w:sz w:val="18"/>
                <w:szCs w:val="18"/>
              </w:rPr>
            </w:pPr>
            <w:r>
              <w:rPr>
                <w:rFonts w:ascii="宋体" w:hAnsi="宋体" w:cs="宋体" w:eastAsia="宋体" w:hint="default"/>
                <w:sz w:val="18"/>
                <w:szCs w:val="18"/>
              </w:rPr>
              <w:t>公安部科技信息 化局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1,294,961.54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财政资助招</w:t>
            </w: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收博士后研</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厦门市财政局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引资等地方性扶持政</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究人员</w:t>
            </w: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策而获得的补助</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一批软件和</w:t>
            </w: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持特定行业、产业而</w:t>
            </w:r>
          </w:p>
        </w:tc>
        <w:tc>
          <w:tcPr>
            <w:tcW w:w="99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信息服务业</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厦门市财政局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获得的补助（按国家</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1,031,750.00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发展专项资</w:t>
            </w: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级政策规定依法取</w:t>
            </w:r>
          </w:p>
        </w:tc>
        <w:tc>
          <w:tcPr>
            <w:tcW w:w="99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电子取证关 键技术研究</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公安部科技信息 化局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904,786.60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科学仪器设</w:t>
            </w: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备资源共享</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厦门市财政局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引资等地方性扶持政</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776,563.00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优惠补贴</w:t>
            </w: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策而获得的补助</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第一批企业 研发经费补 助资金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厦门市财政局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1,430,700.00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59"/>
              <w:jc w:val="both"/>
              <w:rPr>
                <w:rFonts w:ascii="宋体" w:hAnsi="宋体" w:cs="宋体" w:eastAsia="宋体" w:hint="default"/>
                <w:sz w:val="18"/>
                <w:szCs w:val="18"/>
              </w:rPr>
            </w:pPr>
            <w:r>
              <w:rPr>
                <w:rFonts w:ascii="宋体" w:hAnsi="宋体" w:cs="宋体" w:eastAsia="宋体" w:hint="default"/>
                <w:sz w:val="18"/>
                <w:szCs w:val="18"/>
              </w:rPr>
              <w:t>产学研项目 资助经费</w:t>
            </w:r>
            <w:r>
              <w:rPr>
                <w:rFonts w:ascii="Times New Roman" w:hAnsi="Times New Roman" w:cs="Times New Roman" w:eastAsia="Times New Roman" w:hint="default"/>
                <w:sz w:val="18"/>
                <w:szCs w:val="18"/>
              </w:rPr>
              <w:t>-- </w:t>
            </w:r>
            <w:r>
              <w:rPr>
                <w:rFonts w:ascii="宋体" w:hAnsi="宋体" w:cs="宋体" w:eastAsia="宋体" w:hint="default"/>
                <w:sz w:val="18"/>
                <w:szCs w:val="18"/>
              </w:rPr>
              <w:t>基于物联网 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2"/>
              <w:jc w:val="left"/>
              <w:rPr>
                <w:rFonts w:ascii="宋体" w:hAnsi="宋体" w:cs="宋体" w:eastAsia="宋体" w:hint="default"/>
                <w:sz w:val="18"/>
                <w:szCs w:val="18"/>
              </w:rPr>
            </w:pPr>
            <w:r>
              <w:rPr>
                <w:rFonts w:ascii="宋体" w:hAnsi="宋体" w:cs="宋体" w:eastAsia="宋体" w:hint="default"/>
                <w:sz w:val="18"/>
                <w:szCs w:val="18"/>
              </w:rPr>
              <w:t>厦门市思明区科 技和信息化局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年厦 门市工程技 术研究中心 评估优秀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厦门市财政局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因从事国家鼓励和扶 持特定行业、产业而 获得的补助（按国家 级政策规定依法取 得）</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992"/>
        <w:gridCol w:w="1417"/>
        <w:gridCol w:w="709"/>
        <w:gridCol w:w="1843"/>
        <w:gridCol w:w="991"/>
        <w:gridCol w:w="709"/>
        <w:gridCol w:w="708"/>
        <w:gridCol w:w="1134"/>
        <w:gridCol w:w="1064"/>
      </w:tblGrid>
      <w:tr>
        <w:trPr>
          <w:trHeight w:val="133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失业保险支 持企业稳定 岗位工作补 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2"/>
              <w:jc w:val="both"/>
              <w:rPr>
                <w:rFonts w:ascii="宋体" w:hAnsi="宋体" w:cs="宋体" w:eastAsia="宋体" w:hint="default"/>
                <w:sz w:val="18"/>
                <w:szCs w:val="18"/>
              </w:rPr>
            </w:pPr>
            <w:r>
              <w:rPr>
                <w:rFonts w:ascii="宋体" w:hAnsi="宋体" w:cs="宋体" w:eastAsia="宋体" w:hint="default"/>
                <w:sz w:val="18"/>
                <w:szCs w:val="18"/>
              </w:rPr>
              <w:t>厦门市社会保险 管理中心、无锡 市劳动就业管理 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88"/>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601,767.82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厦门市知识产权 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众创空间补 助款</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厦门市科学技术 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302,654.00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软件产品登 记奖励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厦门市财政局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8"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国家知识产 权优势企业</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厦门市知识产权 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年厦 门市技术交 易奖</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厦门市科学技术 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177,200.00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5"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国内发明专 利</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厦门市思明区科 技和信息化局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160,000.00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电子数据取</w:t>
            </w: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持特定行业、产业而</w:t>
            </w:r>
          </w:p>
        </w:tc>
        <w:tc>
          <w:tcPr>
            <w:tcW w:w="99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证综合平台</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获得的补助（按国家</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156,205.09</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9"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产业化项目</w:t>
            </w:r>
          </w:p>
        </w:tc>
        <w:tc>
          <w:tcPr>
            <w:tcW w:w="1417"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级政策规定依法取</w:t>
            </w:r>
          </w:p>
        </w:tc>
        <w:tc>
          <w:tcPr>
            <w:tcW w:w="991"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06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技术服务项 目补贴</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厦门市科学技术 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129,300.00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手机数据取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厦门市经信局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100,001.28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992"/>
        <w:gridCol w:w="1417"/>
        <w:gridCol w:w="709"/>
        <w:gridCol w:w="1843"/>
        <w:gridCol w:w="991"/>
        <w:gridCol w:w="709"/>
        <w:gridCol w:w="708"/>
        <w:gridCol w:w="1134"/>
        <w:gridCol w:w="1064"/>
      </w:tblGrid>
      <w:tr>
        <w:trPr>
          <w:trHeight w:val="98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证分析系统 购置设备补 助</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88"/>
              <w:jc w:val="left"/>
              <w:rPr>
                <w:rFonts w:ascii="宋体" w:hAnsi="宋体" w:cs="宋体" w:eastAsia="宋体" w:hint="default"/>
                <w:sz w:val="18"/>
                <w:szCs w:val="18"/>
              </w:rPr>
            </w:pPr>
            <w:r>
              <w:rPr>
                <w:rFonts w:ascii="宋体" w:hAnsi="宋体" w:cs="宋体" w:eastAsia="宋体" w:hint="default"/>
                <w:sz w:val="18"/>
                <w:szCs w:val="18"/>
              </w:rPr>
              <w:t>新及改造等获得的补 助</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鼓励企业加 大研发投入 奖励</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厦门市财政局</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因研究开发、技术更 新及改造等获得的补 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香洲区</w:t>
            </w: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企业研究开 发费补助资</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珠海市香洲区财 政局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45,500.00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纳税大户企 业奖励金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厦门火炬高新区 管委会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厦门火炬高技术</w:t>
            </w: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业财政扶持</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产业开发区管理</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新及改造等获得的补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222,700.00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委员会</w:t>
            </w: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毕业生补贴</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珠海市财政局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引资等地方性扶持政</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50,257.50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策而获得的补助</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社保补差补 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2"/>
              <w:jc w:val="both"/>
              <w:rPr>
                <w:rFonts w:ascii="宋体" w:hAnsi="宋体" w:cs="宋体" w:eastAsia="宋体" w:hint="default"/>
                <w:sz w:val="18"/>
                <w:szCs w:val="18"/>
              </w:rPr>
            </w:pPr>
            <w:r>
              <w:rPr>
                <w:rFonts w:ascii="宋体" w:hAnsi="宋体" w:cs="宋体" w:eastAsia="宋体" w:hint="default"/>
                <w:sz w:val="18"/>
                <w:szCs w:val="18"/>
              </w:rPr>
              <w:t>厦门火炬高技术 产业开发区管理 委员、</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50,826.18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59"/>
              <w:jc w:val="both"/>
              <w:rPr>
                <w:rFonts w:ascii="宋体" w:hAnsi="宋体" w:cs="宋体" w:eastAsia="宋体" w:hint="default"/>
                <w:sz w:val="18"/>
                <w:szCs w:val="18"/>
              </w:rPr>
            </w:pPr>
            <w:r>
              <w:rPr>
                <w:rFonts w:ascii="宋体" w:hAnsi="宋体" w:cs="宋体" w:eastAsia="宋体" w:hint="default"/>
                <w:sz w:val="18"/>
                <w:szCs w:val="18"/>
              </w:rPr>
              <w:t>科学技术局 科创红包补 贴</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厦门市科学技术 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94,600.00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科学技术局 资金补助</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厦门市科学技术 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8"/>
              <w:jc w:val="both"/>
              <w:rPr>
                <w:rFonts w:ascii="宋体" w:hAnsi="宋体" w:cs="宋体" w:eastAsia="宋体" w:hint="default"/>
                <w:sz w:val="18"/>
                <w:szCs w:val="18"/>
              </w:rPr>
            </w:pPr>
            <w:r>
              <w:rPr>
                <w:rFonts w:ascii="宋体" w:hAnsi="宋体" w:cs="宋体" w:eastAsia="宋体" w:hint="default"/>
                <w:sz w:val="18"/>
                <w:szCs w:val="18"/>
              </w:rPr>
              <w:t>持特定行业、产业而 获得的补助（按国家 级政策规定依法取</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200,000.00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福建省互联 网经济优秀 人才创业启 动支持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2"/>
              <w:jc w:val="left"/>
              <w:rPr>
                <w:rFonts w:ascii="宋体" w:hAnsi="宋体" w:cs="宋体" w:eastAsia="宋体" w:hint="default"/>
                <w:sz w:val="18"/>
                <w:szCs w:val="18"/>
              </w:rPr>
            </w:pPr>
            <w:r>
              <w:rPr>
                <w:rFonts w:ascii="宋体" w:hAnsi="宋体" w:cs="宋体" w:eastAsia="宋体" w:hint="default"/>
                <w:sz w:val="18"/>
                <w:szCs w:val="18"/>
              </w:rPr>
              <w:t>福建省留学人员 创业园管理中心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8"/>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992"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因从事国家鼓励和扶</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633"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知识产权资 助资金</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22"/>
              <w:jc w:val="left"/>
              <w:rPr>
                <w:rFonts w:ascii="宋体" w:hAnsi="宋体" w:cs="宋体" w:eastAsia="宋体" w:hint="default"/>
                <w:sz w:val="18"/>
                <w:szCs w:val="18"/>
              </w:rPr>
            </w:pPr>
            <w:r>
              <w:rPr>
                <w:rFonts w:ascii="宋体" w:hAnsi="宋体" w:cs="宋体" w:eastAsia="宋体" w:hint="default"/>
                <w:sz w:val="18"/>
                <w:szCs w:val="18"/>
              </w:rPr>
              <w:t>厦门市知识产权 局</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2" w:right="188"/>
              <w:jc w:val="left"/>
              <w:rPr>
                <w:rFonts w:ascii="宋体" w:hAnsi="宋体" w:cs="宋体" w:eastAsia="宋体" w:hint="default"/>
                <w:sz w:val="18"/>
                <w:szCs w:val="18"/>
              </w:rPr>
            </w:pPr>
            <w:r>
              <w:rPr>
                <w:rFonts w:ascii="宋体" w:hAnsi="宋体" w:cs="宋体" w:eastAsia="宋体" w:hint="default"/>
                <w:sz w:val="18"/>
                <w:szCs w:val="18"/>
              </w:rPr>
              <w:t>持特定行业、产业而 获得的补助（按国家</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8" w:hRule="exact"/>
        </w:trPr>
        <w:tc>
          <w:tcPr>
            <w:tcW w:w="99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级政策规定依法取</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992"/>
        <w:gridCol w:w="1417"/>
        <w:gridCol w:w="709"/>
        <w:gridCol w:w="1843"/>
        <w:gridCol w:w="991"/>
        <w:gridCol w:w="709"/>
        <w:gridCol w:w="708"/>
        <w:gridCol w:w="1134"/>
        <w:gridCol w:w="1064"/>
      </w:tblGrid>
      <w:tr>
        <w:trPr>
          <w:trHeight w:val="362" w:hRule="exact"/>
        </w:trPr>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得）</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科技发展专 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无锡市人民政府 新区管理委员会</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14"/>
              <w:jc w:val="righ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1,270,700.00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无锡市社会保险 基金管理中心</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14"/>
              <w:jc w:val="right"/>
              <w:rPr>
                <w:rFonts w:ascii="宋体" w:hAnsi="宋体" w:cs="宋体" w:eastAsia="宋体" w:hint="default"/>
                <w:sz w:val="18"/>
                <w:szCs w:val="18"/>
              </w:rPr>
            </w:pPr>
            <w:r>
              <w:rPr>
                <w:rFonts w:ascii="宋体" w:hAnsi="宋体" w:cs="宋体" w:eastAsia="宋体" w:hint="default"/>
                <w:sz w:val="18"/>
                <w:szCs w:val="18"/>
              </w:rPr>
              <w:t>补助</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8"/>
              <w:jc w:val="both"/>
              <w:rPr>
                <w:rFonts w:ascii="宋体" w:hAnsi="宋体" w:cs="宋体" w:eastAsia="宋体" w:hint="default"/>
                <w:sz w:val="18"/>
                <w:szCs w:val="18"/>
              </w:rPr>
            </w:pPr>
            <w:r>
              <w:rPr>
                <w:rFonts w:ascii="宋体" w:hAnsi="宋体" w:cs="宋体" w:eastAsia="宋体" w:hint="default"/>
                <w:sz w:val="18"/>
                <w:szCs w:val="18"/>
              </w:rPr>
              <w:t>因符合地方政府招商 引资等地方性扶持政 策而获得的补助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31,918.28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高新区新建</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珠海高新技术产</w:t>
            </w:r>
          </w:p>
        </w:tc>
        <w:tc>
          <w:tcPr>
            <w:tcW w:w="709"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w:t>
            </w:r>
          </w:p>
        </w:tc>
        <w:tc>
          <w:tcPr>
            <w:tcW w:w="991"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研发机构奖</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业开发区发展改</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314"/>
              <w:jc w:val="right"/>
              <w:rPr>
                <w:rFonts w:ascii="宋体" w:hAnsi="宋体" w:cs="宋体" w:eastAsia="宋体" w:hint="default"/>
                <w:sz w:val="18"/>
                <w:szCs w:val="18"/>
              </w:rPr>
            </w:pPr>
            <w:r>
              <w:rPr>
                <w:rFonts w:ascii="宋体" w:hAnsi="宋体" w:cs="宋体" w:eastAsia="宋体" w:hint="default"/>
                <w:sz w:val="18"/>
                <w:szCs w:val="18"/>
              </w:rPr>
              <w:t>奖励</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引资等地方性扶持政</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vMerge/>
            <w:tcBorders>
              <w:left w:val="single" w:sz="4" w:space="0" w:color="000000"/>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100,000.00</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励资金</w:t>
            </w: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革和财政局</w:t>
            </w:r>
          </w:p>
        </w:tc>
        <w:tc>
          <w:tcPr>
            <w:tcW w:w="709"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策而获得的补助</w:t>
            </w:r>
          </w:p>
        </w:tc>
        <w:tc>
          <w:tcPr>
            <w:tcW w:w="991"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30,402.63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62,485,587.12</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8"/>
        <w:gridCol w:w="2395"/>
        <w:gridCol w:w="2393"/>
        <w:gridCol w:w="2392"/>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880,000.00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237,475.27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1,641.02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214,598.54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138,783.49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214,598.54</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146,584.22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163,547.86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146,584.22</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1,241,182.76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1,531,978.17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1,241,182.76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38,685,091.04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27,786,542.49</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-4,155,246.64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-4,974,725.17</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34,529,844.40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22,811,817.32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6236"/>
        <w:gridCol w:w="3331"/>
      </w:tblGrid>
      <w:tr>
        <w:trPr>
          <w:trHeight w:val="402" w:hRule="exact"/>
        </w:trPr>
        <w:tc>
          <w:tcPr>
            <w:tcW w:w="6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296,834,717.98</w:t>
            </w: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29,683,471.80</w:t>
            </w: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5,772,954.90</w:t>
            </w: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-907,766.53</w:t>
            </w: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-187,939.30</w:t>
            </w: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5,553,570.74</w:t>
            </w: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-416,794.42</w:t>
            </w:r>
          </w:p>
        </w:tc>
      </w:tr>
      <w:tr>
        <w:trPr>
          <w:trHeight w:val="401" w:hRule="exact"/>
        </w:trPr>
        <w:tc>
          <w:tcPr>
            <w:tcW w:w="6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6,720,388.33</w:t>
            </w: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151,382.72</w:t>
            </w: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21,617.63</w:t>
            </w: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-11,861,041.47</w:t>
            </w:r>
          </w:p>
        </w:tc>
      </w:tr>
      <w:tr>
        <w:trPr>
          <w:trHeight w:val="403" w:hRule="exact"/>
        </w:trPr>
        <w:tc>
          <w:tcPr>
            <w:tcW w:w="6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3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34,529,844.40</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spacing w:line="544" w:lineRule="auto" w:before="0"/>
        <w:ind w:left="154" w:right="78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收政府补助专项资金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22,130,597.42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14,188,024.75</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3,043,951.32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1,397,033.61</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代收股权激励个税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23,332,332.68</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收到的保证金、押金及其他往来款等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5,430,943.03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7,854,301.97</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30,605,491.77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46,771,693.01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15,647,922.05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5,050,589.19</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支付其他保证金、押金及其他往来款等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28,537,168.96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34,769,206.47</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支付期间费用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105,586,859.73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96,187,957.23</w:t>
            </w: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149,771,950.74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136,007,752.89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非公开发行股份支付的中介机构费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9,233,100.00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支付应付票据保证金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1,553,480.00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4,617,320.00</w:t>
            </w:r>
          </w:p>
        </w:tc>
      </w:tr>
      <w:tr>
        <w:trPr>
          <w:trHeight w:val="402" w:hRule="exact"/>
        </w:trPr>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回购员工股权激励款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3,604,905.00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5,158,385.00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13,850,420.00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5528"/>
        <w:gridCol w:w="1984"/>
        <w:gridCol w:w="2056"/>
      </w:tblGrid>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6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6" w:right="0"/>
              <w:jc w:val="left"/>
              <w:rPr>
                <w:rFonts w:ascii="Times New Roman" w:hAnsi="Times New Roman" w:cs="Times New Roman" w:eastAsia="Times New Roman" w:hint="default"/>
                <w:sz w:val="18"/>
                <w:szCs w:val="18"/>
              </w:rPr>
            </w:pPr>
            <w:r>
              <w:rPr>
                <w:rFonts w:ascii="Times New Roman"/>
                <w:sz w:val="18"/>
              </w:rPr>
              <w:t>262,304,873.58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8" w:right="0"/>
              <w:jc w:val="left"/>
              <w:rPr>
                <w:rFonts w:ascii="Times New Roman" w:hAnsi="Times New Roman" w:cs="Times New Roman" w:eastAsia="Times New Roman" w:hint="default"/>
                <w:sz w:val="18"/>
                <w:szCs w:val="18"/>
              </w:rPr>
            </w:pPr>
            <w:r>
              <w:rPr>
                <w:rFonts w:ascii="Times New Roman"/>
                <w:sz w:val="18"/>
              </w:rPr>
              <w:t>178,742,819.06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5528"/>
        <w:gridCol w:w="1984"/>
        <w:gridCol w:w="2056"/>
      </w:tblGrid>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61,107,693.01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36,539,830.50</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33,219,859.74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29,046,851.08</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15,199,801.50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22,006,180.80</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1,732,113.49</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2,175,882.79</w:t>
            </w:r>
          </w:p>
        </w:tc>
      </w:tr>
      <w:tr>
        <w:trPr>
          <w:trHeight w:val="714"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9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9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-3,433.41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3,500.00</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204,598.54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117,298.37</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Narrow" w:hAnsi="Arial Narrow" w:cs="Arial Narrow" w:eastAsia="Arial Narrow" w:hint="default"/>
                <w:sz w:val="18"/>
                <w:szCs w:val="18"/>
              </w:rPr>
            </w:pPr>
            <w:r>
              <w:rPr>
                <w:rFonts w:ascii="Arial Narrow"/>
                <w:spacing w:val="-1"/>
                <w:sz w:val="18"/>
              </w:rPr>
              <w:t>-10,729,614.40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-4,344,690.56</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811,155.33</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3,515,692.37</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-3,973,724.14</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-4,793,202.67</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-181,522.50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-181,522.50</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-84,539,077.10</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-44,852,517.00</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Arial Narrow" w:hAnsi="Arial Narrow" w:cs="Arial Narrow" w:eastAsia="Arial Narrow" w:hint="default"/>
                <w:sz w:val="21"/>
                <w:szCs w:val="21"/>
              </w:rPr>
            </w:pPr>
            <w:r>
              <w:rPr>
                <w:rFonts w:ascii="Arial Narrow"/>
                <w:spacing w:val="-1"/>
                <w:sz w:val="21"/>
              </w:rPr>
              <w:t>-122,888,999.08</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-31,639,728.68</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Narrow" w:hAnsi="Arial Narrow" w:cs="Arial Narrow" w:eastAsia="Arial Narrow" w:hint="default"/>
                <w:sz w:val="18"/>
                <w:szCs w:val="18"/>
              </w:rPr>
            </w:pPr>
            <w:r>
              <w:rPr>
                <w:rFonts w:ascii="Arial Narrow"/>
                <w:spacing w:val="-1"/>
                <w:sz w:val="18"/>
              </w:rPr>
              <w:t>29,726,502.56</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156,729,655.81</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17,953,960.89</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1,557,600.00</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199,944,188.01</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344,623,649.37</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254,005,741.92</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223,466,500.95</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223,466,500.95</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294,836,300.09</w:t>
            </w:r>
          </w:p>
        </w:tc>
      </w:tr>
      <w:tr>
        <w:trPr>
          <w:trHeight w:val="402" w:hRule="exact"/>
        </w:trPr>
        <w:tc>
          <w:tcPr>
            <w:tcW w:w="5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30,539,240.97</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-71,369,799.14</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26"/>
        <w:gridCol w:w="3058"/>
        <w:gridCol w:w="3184"/>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254,005,741.92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223,466,500.95</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31,434.34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46,217.77</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253,608,561.92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223,420,283.18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3326"/>
        <w:gridCol w:w="3058"/>
        <w:gridCol w:w="3184"/>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365,745.66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254,005,741.92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223,466,500.95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4" w:lineRule="auto" w:before="0"/>
        <w:ind w:left="154" w:right="43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2"/>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326"/>
        <w:gridCol w:w="3058"/>
        <w:gridCol w:w="3184"/>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830,627,786.58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保证金及定期存款</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830,627,786.58</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495"/>
        <w:gridCol w:w="2293"/>
        <w:gridCol w:w="2389"/>
        <w:gridCol w:w="2390"/>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10,615,495.76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1,624,605.27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10,615,495.76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1,379,665.30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211,145.25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1,379,665.30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1,461,579.60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223,681.49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1,461,579.60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56" w:lineRule="auto"/>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530" w:lineRule="auto" w:before="156"/>
        <w:ind w:left="153" w:right="3051" w:firstLine="0"/>
        <w:jc w:val="left"/>
        <w:rPr>
          <w:rFonts w:ascii="宋体" w:hAnsi="宋体" w:cs="宋体" w:eastAsia="宋体" w:hint="default"/>
          <w:sz w:val="18"/>
          <w:szCs w:val="18"/>
        </w:rPr>
      </w:pPr>
      <w:r>
        <w:rPr>
          <w:rFonts w:ascii="宋体" w:hAnsi="宋体" w:cs="宋体" w:eastAsia="宋体" w:hint="default"/>
          <w:sz w:val="21"/>
          <w:szCs w:val="21"/>
        </w:rPr>
        <w:t>本公司子公司香港鼎永以香港为主要经营地，其采用美元为记账本位币。 </w:t>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、套期</w:t>
      </w:r>
      <w:r>
        <w:rPr>
          <w:rFonts w:ascii="宋体" w:hAnsi="宋体" w:cs="宋体" w:eastAsia="宋体" w:hint="default"/>
          <w:b/>
          <w:bCs/>
          <w:w w:val="99"/>
          <w:sz w:val="21"/>
          <w:szCs w:val="21"/>
        </w:rPr>
        <w:t> </w:t>
      </w:r>
      <w:r>
        <w:rPr>
          <w:rFonts w:ascii="宋体" w:hAnsi="宋体" w:cs="宋体" w:eastAsia="宋体" w:hint="default"/>
          <w:sz w:val="18"/>
          <w:szCs w:val="18"/>
        </w:rPr>
        <w:t>按照套期类别披露套期项目及相关套期工具、被套期风险的定性和定量信息：</w:t>
      </w:r>
    </w:p>
    <w:p>
      <w:pPr>
        <w:spacing w:after="0" w:line="53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484" w:lineRule="auto" w:before="35"/>
        <w:ind w:left="154" w:right="7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40" w:lineRule="auto" w:before="89"/>
        <w:ind w:right="0"/>
        <w:jc w:val="left"/>
      </w:pPr>
      <w:r>
        <w:rPr/>
        <w:t>本年合并范围的变动情况为设立美亚天信：2017</w:t>
      </w:r>
      <w:r>
        <w:rPr>
          <w:spacing w:val="-61"/>
        </w:rPr>
        <w:t> </w:t>
      </w:r>
      <w:r>
        <w:rPr/>
        <w:t>年</w:t>
      </w:r>
      <w:r>
        <w:rPr>
          <w:spacing w:val="-63"/>
        </w:rPr>
        <w:t> </w:t>
      </w:r>
      <w:r>
        <w:rPr/>
        <w:t>10</w:t>
      </w:r>
      <w:r>
        <w:rPr>
          <w:spacing w:val="-62"/>
        </w:rPr>
        <w:t> </w:t>
      </w:r>
      <w:r>
        <w:rPr/>
        <w:t>月</w:t>
      </w:r>
      <w:r>
        <w:rPr>
          <w:spacing w:val="-62"/>
        </w:rPr>
        <w:t> </w:t>
      </w:r>
      <w:r>
        <w:rPr/>
        <w:t>23</w:t>
      </w:r>
      <w:r>
        <w:rPr>
          <w:spacing w:val="-62"/>
        </w:rPr>
        <w:t> </w:t>
      </w:r>
      <w:r>
        <w:rPr/>
        <w:t>日，本公司独资设立美亚天信，注册资本为</w:t>
      </w:r>
    </w:p>
    <w:p>
      <w:pPr>
        <w:pStyle w:val="BodyText"/>
        <w:spacing w:line="240" w:lineRule="auto" w:before="38"/>
        <w:ind w:right="0"/>
        <w:jc w:val="left"/>
      </w:pPr>
      <w:r>
        <w:rPr/>
        <w:t>1,000.00</w:t>
      </w:r>
      <w:r>
        <w:rPr>
          <w:spacing w:val="-57"/>
        </w:rPr>
        <w:t> </w:t>
      </w:r>
      <w:r>
        <w:rPr/>
        <w:t>万元。</w:t>
      </w:r>
    </w:p>
    <w:p>
      <w:pPr>
        <w:spacing w:line="240" w:lineRule="auto" w:before="10"/>
        <w:rPr>
          <w:rFonts w:ascii="宋体" w:hAnsi="宋体" w:cs="宋体" w:eastAsia="宋体" w:hint="default"/>
          <w:sz w:val="25"/>
          <w:szCs w:val="25"/>
        </w:rPr>
      </w:pPr>
    </w:p>
    <w:p>
      <w:pPr>
        <w:spacing w:line="484"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370"/>
        <w:gridCol w:w="1290"/>
        <w:gridCol w:w="992"/>
        <w:gridCol w:w="1276"/>
        <w:gridCol w:w="1134"/>
        <w:gridCol w:w="1417"/>
        <w:gridCol w:w="2090"/>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20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8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290"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209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美亚研究所</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香港鼎永</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67.73%</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安胜科技</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无锡博盾</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85.00%</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美亚宏数</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82.27%</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国信宏数</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78.18%</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美亚智讯</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58.47%</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美亚商鼎</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美亚天信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53" w:right="1851"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after="0" w:line="360" w:lineRule="auto"/>
        <w:jc w:val="left"/>
        <w:rPr>
          <w:rFonts w:ascii="宋体" w:hAnsi="宋体" w:cs="宋体" w:eastAsia="宋体" w:hint="default"/>
          <w:sz w:val="18"/>
          <w:szCs w:val="18"/>
        </w:rPr>
        <w:sectPr>
          <w:footerReference w:type="default" r:id="rId28"/>
          <w:pgSz w:w="11910" w:h="16840"/>
          <w:pgMar w:footer="982" w:header="747" w:top="1060" w:bottom="1180" w:left="980" w:right="980"/>
        </w:sectPr>
      </w:pPr>
    </w:p>
    <w:p>
      <w:pPr>
        <w:spacing w:line="240" w:lineRule="auto" w:before="13"/>
        <w:rPr>
          <w:rFonts w:ascii="宋体" w:hAnsi="宋体" w:cs="宋体" w:eastAsia="宋体" w:hint="default"/>
          <w:sz w:val="25"/>
          <w:szCs w:val="25"/>
        </w:rPr>
      </w:pPr>
    </w:p>
    <w:p>
      <w:pPr>
        <w:spacing w:line="357" w:lineRule="auto" w:before="44"/>
        <w:ind w:left="153" w:right="6711"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417"/>
        <w:gridCol w:w="1985"/>
        <w:gridCol w:w="2341"/>
        <w:gridCol w:w="1913"/>
        <w:gridCol w:w="1914"/>
      </w:tblGrid>
      <w:tr>
        <w:trPr>
          <w:trHeight w:val="763" w:hRule="exact"/>
        </w:trPr>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23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本期归属于少数股东的损益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698,921.68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9,250,131.17</w:t>
            </w:r>
          </w:p>
        </w:tc>
      </w:tr>
      <w:tr>
        <w:trPr>
          <w:trHeight w:val="40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-215,988.27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Narrow" w:hAnsi="Arial Narrow" w:cs="Arial Narrow" w:eastAsia="Arial Narrow" w:hint="default"/>
                <w:sz w:val="18"/>
                <w:szCs w:val="18"/>
              </w:rPr>
            </w:pPr>
            <w:r>
              <w:rPr>
                <w:rFonts w:ascii="Arial Narrow"/>
                <w:spacing w:val="-2"/>
                <w:sz w:val="18"/>
              </w:rPr>
              <w:t>10,837,937.11</w:t>
            </w:r>
          </w:p>
        </w:tc>
      </w:tr>
      <w:tr>
        <w:trPr>
          <w:trHeight w:val="402"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安胜科技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3,051,276.34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6,596,850.67</w:t>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美亚商鼎</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460,863.35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Arial Narrow" w:hAnsi="Arial Narrow" w:cs="Arial Narrow" w:eastAsia="Arial Narrow" w:hint="default"/>
                <w:sz w:val="18"/>
                <w:szCs w:val="18"/>
              </w:rPr>
            </w:pPr>
            <w:r>
              <w:rPr>
                <w:rFonts w:ascii="Arial Narrow"/>
                <w:spacing w:val="-1"/>
                <w:sz w:val="18"/>
              </w:rPr>
              <w:t>4,018,363.42</w:t>
            </w:r>
            <w:r>
              <w:rPr>
                <w:rFonts w:ascii="Arial Narrow"/>
                <w:sz w:val="18"/>
              </w:rPr>
            </w:r>
          </w:p>
        </w:tc>
      </w:tr>
    </w:tbl>
    <w:p>
      <w:pPr>
        <w:spacing w:line="357" w:lineRule="auto" w:before="51"/>
        <w:ind w:left="153" w:right="5451"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736"/>
        <w:gridCol w:w="736"/>
        <w:gridCol w:w="737"/>
        <w:gridCol w:w="736"/>
        <w:gridCol w:w="736"/>
        <w:gridCol w:w="736"/>
        <w:gridCol w:w="734"/>
        <w:gridCol w:w="736"/>
        <w:gridCol w:w="734"/>
        <w:gridCol w:w="736"/>
        <w:gridCol w:w="737"/>
        <w:gridCol w:w="736"/>
        <w:gridCol w:w="737"/>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2"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2"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美亚中 敏</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70,560,2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33.43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5,724,71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76,284,9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47,306,0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31.44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47,506,0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49,026,3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89.26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2,728,16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51,754,5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24,378,5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08.45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24,718,5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08.45</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武汉大 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23,758,5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05.16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Narrow" w:hAnsi="Arial Narrow" w:cs="Arial Narrow" w:eastAsia="Arial Narrow" w:hint="default"/>
                <w:sz w:val="18"/>
                <w:szCs w:val="18"/>
              </w:rPr>
            </w:pPr>
            <w:r>
              <w:rPr>
                <w:rFonts w:ascii="Arial Narrow"/>
                <w:spacing w:val="-1"/>
                <w:sz w:val="18"/>
              </w:rPr>
              <w:t>6,166,844</w:t>
            </w:r>
          </w:p>
          <w:p>
            <w:pPr>
              <w:pStyle w:val="TableParagraph"/>
              <w:spacing w:line="240" w:lineRule="auto" w:before="105"/>
              <w:ind w:right="23"/>
              <w:jc w:val="right"/>
              <w:rPr>
                <w:rFonts w:ascii="Arial Narrow" w:hAnsi="Arial Narrow" w:cs="Arial Narrow" w:eastAsia="Arial Narrow" w:hint="default"/>
                <w:sz w:val="18"/>
                <w:szCs w:val="18"/>
              </w:rPr>
            </w:pPr>
            <w:r>
              <w:rPr>
                <w:rFonts w:ascii="Arial Narrow"/>
                <w:spacing w:val="-1"/>
                <w:w w:val="95"/>
                <w:sz w:val="18"/>
              </w:rPr>
              <w:t>.26</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Arial Narrow" w:hAnsi="Arial Narrow" w:cs="Arial Narrow" w:eastAsia="Arial Narrow" w:hint="default"/>
                <w:sz w:val="18"/>
                <w:szCs w:val="18"/>
              </w:rPr>
            </w:pPr>
            <w:r>
              <w:rPr>
                <w:rFonts w:ascii="Arial Narrow"/>
                <w:sz w:val="18"/>
              </w:rPr>
              <w:t>29,925,34</w:t>
            </w:r>
          </w:p>
          <w:p>
            <w:pPr>
              <w:pStyle w:val="TableParagraph"/>
              <w:spacing w:line="240" w:lineRule="auto" w:before="105"/>
              <w:ind w:left="416" w:right="0"/>
              <w:jc w:val="left"/>
              <w:rPr>
                <w:rFonts w:ascii="Arial Narrow" w:hAnsi="Arial Narrow" w:cs="Arial Narrow" w:eastAsia="Arial Narrow" w:hint="default"/>
                <w:sz w:val="18"/>
                <w:szCs w:val="18"/>
              </w:rPr>
            </w:pPr>
            <w:r>
              <w:rPr>
                <w:rFonts w:ascii="Arial Narrow"/>
                <w:sz w:val="18"/>
              </w:rPr>
              <w:t>9.42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7,044,06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763,045.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7,807,11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19,436,3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89.65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6,835,76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26,272,1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53.04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2,658,51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944,567.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3,603,07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7.55</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安胜科 技</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75,531,4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3,790,23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79,321,6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88.42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52,934,2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85.77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52,934,2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56,763,0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35.32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2,663,66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59,426,7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44,652,0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74.15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44,832,0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74.15</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美亚商 鼎</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14,631,1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98.50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Narrow" w:hAnsi="Arial Narrow" w:cs="Arial Narrow" w:eastAsia="Arial Narrow" w:hint="default"/>
                <w:sz w:val="18"/>
                <w:szCs w:val="18"/>
              </w:rPr>
            </w:pPr>
            <w:r>
              <w:rPr>
                <w:rFonts w:ascii="Arial Narrow"/>
                <w:spacing w:val="-1"/>
                <w:sz w:val="18"/>
              </w:rPr>
              <w:t>814,229.6</w:t>
            </w:r>
            <w:r>
              <w:rPr>
                <w:rFonts w:ascii="Arial Narrow"/>
                <w:sz w:val="18"/>
              </w:rPr>
            </w:r>
          </w:p>
          <w:p>
            <w:pPr>
              <w:pStyle w:val="TableParagraph"/>
              <w:spacing w:line="240" w:lineRule="auto" w:before="105"/>
              <w:ind w:right="21"/>
              <w:jc w:val="right"/>
              <w:rPr>
                <w:rFonts w:ascii="Arial Narrow" w:hAnsi="Arial Narrow" w:cs="Arial Narrow" w:eastAsia="Arial Narrow" w:hint="default"/>
                <w:sz w:val="18"/>
                <w:szCs w:val="18"/>
              </w:rPr>
            </w:pPr>
            <w:r>
              <w:rPr>
                <w:rFonts w:ascii="Arial Narrow"/>
                <w:w w:val="99"/>
                <w:sz w:val="18"/>
              </w:rPr>
              <w:t>1</w:t>
            </w:r>
            <w:r>
              <w:rPr>
                <w:rFonts w:ascii="Arial Narrow"/>
                <w:sz w:val="18"/>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Arial Narrow" w:hAnsi="Arial Narrow" w:cs="Arial Narrow" w:eastAsia="Arial Narrow" w:hint="default"/>
                <w:sz w:val="18"/>
                <w:szCs w:val="18"/>
              </w:rPr>
            </w:pPr>
            <w:r>
              <w:rPr>
                <w:rFonts w:ascii="Arial Narrow"/>
                <w:sz w:val="18"/>
              </w:rPr>
              <w:t>15,445,42</w:t>
            </w:r>
          </w:p>
          <w:p>
            <w:pPr>
              <w:pStyle w:val="TableParagraph"/>
              <w:spacing w:line="240" w:lineRule="auto" w:before="105"/>
              <w:ind w:left="427" w:right="0"/>
              <w:jc w:val="left"/>
              <w:rPr>
                <w:rFonts w:ascii="Arial Narrow" w:hAnsi="Arial Narrow" w:cs="Arial Narrow" w:eastAsia="Arial Narrow" w:hint="default"/>
                <w:sz w:val="18"/>
                <w:szCs w:val="18"/>
              </w:rPr>
            </w:pPr>
            <w:r>
              <w:rPr>
                <w:rFonts w:ascii="Arial Narrow"/>
                <w:spacing w:val="-4"/>
                <w:sz w:val="18"/>
              </w:rPr>
              <w:t>8.11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4,870,78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4,870,78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8,197,42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728,126.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8,925,55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2,158,45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5.56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2,158,45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5.56</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061"/>
        <w:gridCol w:w="1061"/>
        <w:gridCol w:w="1062"/>
        <w:gridCol w:w="1064"/>
        <w:gridCol w:w="1066"/>
        <w:gridCol w:w="1063"/>
        <w:gridCol w:w="1063"/>
        <w:gridCol w:w="1062"/>
        <w:gridCol w:w="1067"/>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191,186,614.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2,165,855.84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2,165,855.84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-1,298,198.54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135,515,976.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2,323,027.50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2,323,027.50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804,987.84</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14,185,247.4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-440,792.38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-440,792.38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294,723.15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7,578,874.39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-4,117,827.56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-4,117,827.56</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-9,043,582.51</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安胜科技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98,838,589.9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12,205,105.3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12,205,105.3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25,487,129.0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63,485,984.0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7,815,345.59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7,815,345.59</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4,625,642.19</w:t>
            </w:r>
          </w:p>
        </w:tc>
      </w:tr>
    </w:tbl>
    <w:p>
      <w:pPr>
        <w:spacing w:after="0" w:line="240" w:lineRule="auto"/>
        <w:jc w:val="right"/>
        <w:rPr>
          <w:rFonts w:ascii="Times New Roman" w:hAnsi="Times New Roman" w:cs="Times New Roman" w:eastAsia="Times New Roman" w:hint="default"/>
          <w:sz w:val="18"/>
          <w:szCs w:val="18"/>
        </w:rPr>
        <w:sectPr>
          <w:footerReference w:type="default" r:id="rId29"/>
          <w:pgSz w:w="11910" w:h="16840"/>
          <w:pgMar w:footer="982" w:header="747" w:top="1060" w:bottom="1180" w:left="980" w:right="980"/>
          <w:pgNumType w:start="201"/>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061"/>
        <w:gridCol w:w="1061"/>
        <w:gridCol w:w="1062"/>
        <w:gridCol w:w="1064"/>
        <w:gridCol w:w="1066"/>
        <w:gridCol w:w="1063"/>
        <w:gridCol w:w="1063"/>
        <w:gridCol w:w="1062"/>
        <w:gridCol w:w="1067"/>
      </w:tblGrid>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美亚商鼎</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15,496,512.7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1,212,798.28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1,212,798.28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2,224,912.36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1,125,405.18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-813,175.61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-813,175.61</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817,851.41</w:t>
            </w:r>
          </w:p>
        </w:tc>
      </w:tr>
    </w:tbl>
    <w:p>
      <w:pPr>
        <w:spacing w:line="240" w:lineRule="auto" w:before="5"/>
        <w:rPr>
          <w:rFonts w:ascii="宋体" w:hAnsi="宋体" w:cs="宋体" w:eastAsia="宋体" w:hint="default"/>
          <w:sz w:val="13"/>
          <w:szCs w:val="1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其他说明：上表中武汉大千的数据为以收购日的公允价值持续计算编制。</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6"/>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64"/>
        <w:jc w:val="both"/>
      </w:pPr>
      <w:r>
        <w:rPr/>
        <w:t>本公司原出资</w:t>
      </w:r>
      <w:r>
        <w:rPr>
          <w:rFonts w:ascii="Times New Roman" w:hAnsi="Times New Roman" w:cs="Times New Roman" w:eastAsia="Times New Roman" w:hint="default"/>
        </w:rPr>
        <w:t>357.50</w:t>
      </w:r>
      <w:r>
        <w:rPr/>
        <w:t>万元持有美亚宏数</w:t>
      </w:r>
      <w:r>
        <w:rPr>
          <w:rFonts w:ascii="Times New Roman" w:hAnsi="Times New Roman" w:cs="Times New Roman" w:eastAsia="Times New Roman" w:hint="default"/>
        </w:rPr>
        <w:t>55.56%</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月本公司、嘉兴宏数信息科技合伙企业（有 限合伙）和高峰签订增资协议，约定本公司单独对美亚宏数增资</w:t>
      </w:r>
      <w:r>
        <w:rPr>
          <w:rFonts w:ascii="Times New Roman" w:hAnsi="Times New Roman" w:cs="Times New Roman" w:eastAsia="Times New Roman" w:hint="default"/>
        </w:rPr>
        <w:t>1,000</w:t>
      </w:r>
      <w:r>
        <w:rPr/>
        <w:t>万元，增资后本公司持有美亚宏数 </w:t>
      </w:r>
      <w:r>
        <w:rPr>
          <w:rFonts w:ascii="Times New Roman" w:hAnsi="Times New Roman" w:cs="Times New Roman" w:eastAsia="Times New Roman" w:hint="default"/>
        </w:rPr>
        <w:t>82.27%</w:t>
      </w:r>
      <w:r>
        <w:rPr/>
        <w:t>股权。截至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日，增资协议已履行完毕，本公司已出资</w:t>
      </w:r>
      <w:r>
        <w:rPr>
          <w:rFonts w:ascii="Times New Roman" w:hAnsi="Times New Roman" w:cs="Times New Roman" w:eastAsia="Times New Roman" w:hint="default"/>
        </w:rPr>
        <w:t>1,000</w:t>
      </w:r>
      <w:r>
        <w:rPr/>
        <w:t>万元，该项交易导致少数 股东权益增加</w:t>
      </w:r>
      <w:r>
        <w:rPr>
          <w:rFonts w:ascii="Times New Roman" w:hAnsi="Times New Roman" w:cs="Times New Roman" w:eastAsia="Times New Roman" w:hint="default"/>
        </w:rPr>
        <w:t>1,559,823.38</w:t>
      </w:r>
      <w:r>
        <w:rPr/>
        <w:t>元，资本公积减少</w:t>
      </w:r>
      <w:r>
        <w:rPr>
          <w:rFonts w:ascii="Times New Roman" w:hAnsi="Times New Roman" w:cs="Times New Roman" w:eastAsia="Times New Roman" w:hint="default"/>
        </w:rPr>
        <w:t>1,559,823.38</w:t>
      </w:r>
      <w:r>
        <w:rPr/>
        <w:t>元。</w:t>
      </w:r>
    </w:p>
    <w:p>
      <w:pPr>
        <w:pStyle w:val="BodyText"/>
        <w:spacing w:line="256" w:lineRule="auto" w:before="44"/>
        <w:ind w:right="145"/>
        <w:jc w:val="left"/>
      </w:pPr>
      <w:r>
        <w:rPr/>
        <w:t>本公司子公司美亚宏数原出资</w:t>
      </w:r>
      <w:r>
        <w:rPr>
          <w:rFonts w:ascii="Times New Roman" w:hAnsi="Times New Roman" w:cs="Times New Roman" w:eastAsia="Times New Roman" w:hint="default"/>
        </w:rPr>
        <w:t>600</w:t>
      </w:r>
      <w:r>
        <w:rPr/>
        <w:t>万元持有国信宏数</w:t>
      </w:r>
      <w:r>
        <w:rPr>
          <w:rFonts w:ascii="Times New Roman" w:hAnsi="Times New Roman" w:cs="Times New Roman" w:eastAsia="Times New Roman" w:hint="default"/>
        </w:rPr>
        <w:t>60%</w:t>
      </w:r>
      <w:r>
        <w:rPr/>
        <w:t>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月美亚宏数、与北京数达汇丰科技 合伙企业（有限合伙）签订增资协议，约定美亚宏数单独对国信宏数增资</w:t>
      </w:r>
      <w:r>
        <w:rPr>
          <w:rFonts w:ascii="Times New Roman" w:hAnsi="Times New Roman" w:cs="Times New Roman" w:eastAsia="Times New Roman" w:hint="default"/>
        </w:rPr>
        <w:t>1,000</w:t>
      </w:r>
      <w:r>
        <w:rPr/>
        <w:t>万元，增资后美亚宏数持 有国信宏数</w:t>
      </w:r>
      <w:r>
        <w:rPr>
          <w:rFonts w:ascii="Times New Roman" w:hAnsi="Times New Roman" w:cs="Times New Roman" w:eastAsia="Times New Roman" w:hint="default"/>
        </w:rPr>
        <w:t>78.18%</w:t>
      </w:r>
      <w:r>
        <w:rPr/>
        <w:t>股权，北京数达汇丰科技合伙企业（有限合伙）持有</w:t>
      </w:r>
      <w:r>
        <w:rPr>
          <w:rFonts w:ascii="Times New Roman" w:hAnsi="Times New Roman" w:cs="Times New Roman" w:eastAsia="Times New Roman" w:hint="default"/>
        </w:rPr>
        <w:t>21.82%</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增资协议已履行完毕，美亚宏数已出资</w:t>
      </w:r>
      <w:r>
        <w:rPr>
          <w:rFonts w:ascii="Times New Roman" w:hAnsi="Times New Roman" w:cs="Times New Roman" w:eastAsia="Times New Roman" w:hint="default"/>
        </w:rPr>
        <w:t>1,000</w:t>
      </w:r>
      <w:r>
        <w:rPr/>
        <w:t>万元，该项交易导致少数股东权益增加</w:t>
      </w:r>
      <w:r>
        <w:rPr>
          <w:rFonts w:ascii="Times New Roman" w:hAnsi="Times New Roman" w:cs="Times New Roman" w:eastAsia="Times New Roman" w:hint="default"/>
        </w:rPr>
        <w:t>2,610,259.74</w:t>
      </w:r>
      <w:r>
        <w:rPr/>
        <w:t>元，未分 配利润减少</w:t>
      </w:r>
      <w:r>
        <w:rPr>
          <w:rFonts w:ascii="Times New Roman" w:hAnsi="Times New Roman" w:cs="Times New Roman" w:eastAsia="Times New Roman" w:hint="default"/>
        </w:rPr>
        <w:t>2,610,259.74</w:t>
      </w:r>
      <w:r>
        <w:rPr/>
        <w:t>元。</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4624"/>
        <w:gridCol w:w="2896"/>
        <w:gridCol w:w="2110"/>
      </w:tblGrid>
      <w:tr>
        <w:trPr>
          <w:trHeight w:val="397" w:hRule="exact"/>
        </w:trPr>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90"/>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b/>
                <w:bCs/>
                <w:sz w:val="18"/>
                <w:szCs w:val="18"/>
              </w:rPr>
              <w:t>美亚宏数</w:t>
            </w:r>
            <w:r>
              <w:rPr>
                <w:rFonts w:ascii="宋体" w:hAnsi="宋体" w:cs="宋体" w:eastAsia="宋体" w:hint="default"/>
                <w:sz w:val="18"/>
                <w:szCs w:val="18"/>
              </w:rPr>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87" w:right="0"/>
              <w:jc w:val="left"/>
              <w:rPr>
                <w:rFonts w:ascii="宋体" w:hAnsi="宋体" w:cs="宋体" w:eastAsia="宋体" w:hint="default"/>
                <w:sz w:val="18"/>
                <w:szCs w:val="18"/>
              </w:rPr>
            </w:pPr>
            <w:r>
              <w:rPr>
                <w:rFonts w:ascii="宋体" w:hAnsi="宋体" w:cs="宋体" w:eastAsia="宋体" w:hint="default"/>
                <w:b/>
                <w:bCs/>
                <w:sz w:val="18"/>
                <w:szCs w:val="18"/>
              </w:rPr>
              <w:t>国信宏数</w:t>
            </w:r>
            <w:r>
              <w:rPr>
                <w:rFonts w:ascii="宋体" w:hAnsi="宋体" w:cs="宋体" w:eastAsia="宋体" w:hint="default"/>
                <w:sz w:val="18"/>
                <w:szCs w:val="18"/>
              </w:rPr>
            </w:r>
          </w:p>
        </w:tc>
      </w:tr>
      <w:tr>
        <w:trPr>
          <w:trHeight w:val="397" w:hRule="exact"/>
        </w:trPr>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b/>
                <w:bCs/>
                <w:sz w:val="18"/>
                <w:szCs w:val="18"/>
              </w:rPr>
              <w:t>购买成本/处置对价：</w:t>
            </w:r>
            <w:r>
              <w:rPr>
                <w:rFonts w:ascii="宋体" w:hAnsi="宋体" w:cs="宋体" w:eastAsia="宋体" w:hint="default"/>
                <w:sz w:val="18"/>
                <w:szCs w:val="18"/>
              </w:rPr>
            </w:r>
          </w:p>
        </w:tc>
        <w:tc>
          <w:tcPr>
            <w:tcW w:w="2896" w:type="dxa"/>
            <w:tcBorders>
              <w:top w:val="single" w:sz="4" w:space="0" w:color="000000"/>
              <w:left w:val="single" w:sz="4" w:space="0" w:color="000000"/>
              <w:bottom w:val="single" w:sz="4" w:space="0" w:color="000000"/>
              <w:right w:val="single" w:sz="4" w:space="0" w:color="000000"/>
            </w:tcBorders>
          </w:tcPr>
          <w:p>
            <w:pP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10,000,000.00</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10,000,000.00</w:t>
            </w:r>
          </w:p>
        </w:tc>
      </w:tr>
      <w:tr>
        <w:trPr>
          <w:trHeight w:val="397" w:hRule="exact"/>
        </w:trPr>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b/>
                <w:bCs/>
                <w:sz w:val="18"/>
                <w:szCs w:val="18"/>
              </w:rPr>
              <w:t>购买成本/处置对价合计</w:t>
            </w:r>
            <w:r>
              <w:rPr>
                <w:rFonts w:ascii="宋体" w:hAnsi="宋体" w:cs="宋体" w:eastAsia="宋体" w:hint="default"/>
                <w:sz w:val="18"/>
                <w:szCs w:val="18"/>
              </w:rPr>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b/>
                <w:w w:val="95"/>
                <w:sz w:val="18"/>
              </w:rPr>
              <w:t>10,000,000.00</w:t>
            </w:r>
            <w:r>
              <w:rPr>
                <w:rFonts w:ascii="宋体"/>
                <w:sz w:val="18"/>
              </w:rPr>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b/>
                <w:w w:val="95"/>
                <w:sz w:val="18"/>
              </w:rPr>
              <w:t>10,000,000.00</w:t>
            </w:r>
            <w:r>
              <w:rPr>
                <w:rFonts w:ascii="宋体"/>
                <w:sz w:val="18"/>
              </w:rPr>
            </w:r>
          </w:p>
        </w:tc>
      </w:tr>
      <w:tr>
        <w:trPr>
          <w:trHeight w:val="624" w:hRule="exact"/>
        </w:trPr>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减：按取得/处置的股权比例计算的子公司净资产份额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8,440,176.62</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宋体" w:hAnsi="宋体" w:cs="宋体" w:eastAsia="宋体" w:hint="default"/>
                <w:sz w:val="18"/>
                <w:szCs w:val="18"/>
              </w:rPr>
            </w:pPr>
            <w:r>
              <w:rPr>
                <w:rFonts w:ascii="宋体"/>
                <w:sz w:val="18"/>
              </w:rPr>
              <w:t>7,389,740.26</w:t>
            </w:r>
          </w:p>
        </w:tc>
      </w:tr>
      <w:tr>
        <w:trPr>
          <w:trHeight w:val="397" w:hRule="exact"/>
        </w:trPr>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b/>
                <w:bCs/>
                <w:sz w:val="18"/>
                <w:szCs w:val="18"/>
              </w:rPr>
              <w:t>差额</w:t>
            </w:r>
            <w:r>
              <w:rPr>
                <w:rFonts w:ascii="宋体" w:hAnsi="宋体" w:cs="宋体" w:eastAsia="宋体" w:hint="default"/>
                <w:sz w:val="18"/>
                <w:szCs w:val="18"/>
              </w:rPr>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9"/>
              <w:jc w:val="right"/>
              <w:rPr>
                <w:rFonts w:ascii="宋体" w:hAnsi="宋体" w:cs="宋体" w:eastAsia="宋体" w:hint="default"/>
                <w:sz w:val="18"/>
                <w:szCs w:val="18"/>
              </w:rPr>
            </w:pPr>
            <w:r>
              <w:rPr>
                <w:rFonts w:ascii="宋体"/>
                <w:b/>
                <w:w w:val="95"/>
                <w:sz w:val="18"/>
              </w:rPr>
              <w:t>1,559,823.38</w:t>
            </w:r>
            <w:r>
              <w:rPr>
                <w:rFonts w:ascii="宋体"/>
                <w:sz w:val="18"/>
              </w:rPr>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b/>
                <w:w w:val="95"/>
                <w:sz w:val="18"/>
              </w:rPr>
              <w:t>2,610,259.74</w:t>
            </w:r>
            <w:r>
              <w:rPr>
                <w:rFonts w:ascii="宋体"/>
                <w:sz w:val="18"/>
              </w:rPr>
            </w:r>
          </w:p>
        </w:tc>
      </w:tr>
      <w:tr>
        <w:trPr>
          <w:trHeight w:val="397" w:hRule="exact"/>
        </w:trPr>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1,559,823.38</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97" w:hRule="exact"/>
        </w:trPr>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97" w:hRule="exact"/>
        </w:trPr>
        <w:tc>
          <w:tcPr>
            <w:tcW w:w="4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64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2"/>
              <w:jc w:val="right"/>
              <w:rPr>
                <w:rFonts w:ascii="宋体" w:hAnsi="宋体" w:cs="宋体" w:eastAsia="宋体" w:hint="default"/>
                <w:sz w:val="18"/>
                <w:szCs w:val="18"/>
              </w:rPr>
            </w:pPr>
            <w:r>
              <w:rPr>
                <w:rFonts w:ascii="宋体"/>
                <w:sz w:val="18"/>
              </w:rPr>
              <w:t>2,610,259.74</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834"/>
        <w:gridCol w:w="994"/>
        <w:gridCol w:w="1274"/>
        <w:gridCol w:w="1276"/>
        <w:gridCol w:w="1134"/>
        <w:gridCol w:w="692"/>
        <w:gridCol w:w="1366"/>
      </w:tblGrid>
      <w:tr>
        <w:trPr>
          <w:trHeight w:val="402" w:hRule="exact"/>
        </w:trPr>
        <w:tc>
          <w:tcPr>
            <w:tcW w:w="28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22"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6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2834"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1274"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32.51%</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1134"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367"/>
        <w:gridCol w:w="1367"/>
        <w:gridCol w:w="1367"/>
        <w:gridCol w:w="1367"/>
        <w:gridCol w:w="1367"/>
        <w:gridCol w:w="1368"/>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0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厦门服云信息科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厦门市美亚梧桐 投资管理有限公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 w:right="47"/>
              <w:jc w:val="left"/>
              <w:rPr>
                <w:rFonts w:ascii="宋体" w:hAnsi="宋体" w:cs="宋体" w:eastAsia="宋体" w:hint="default"/>
                <w:sz w:val="18"/>
                <w:szCs w:val="18"/>
              </w:rPr>
            </w:pPr>
            <w:r>
              <w:rPr>
                <w:rFonts w:ascii="宋体" w:hAnsi="宋体" w:cs="宋体" w:eastAsia="宋体" w:hint="default"/>
                <w:sz w:val="18"/>
                <w:szCs w:val="18"/>
              </w:rPr>
              <w:t>沈阳城市公共安 全技术有限公司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厦门服云信息科 技有限公司</w:t>
            </w:r>
          </w:p>
        </w:tc>
        <w:tc>
          <w:tcPr>
            <w:tcW w:w="136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49" w:right="47"/>
              <w:jc w:val="center"/>
              <w:rPr>
                <w:rFonts w:ascii="宋体" w:hAnsi="宋体" w:cs="宋体" w:eastAsia="宋体" w:hint="default"/>
                <w:sz w:val="18"/>
                <w:szCs w:val="18"/>
              </w:rPr>
            </w:pPr>
            <w:r>
              <w:rPr>
                <w:rFonts w:ascii="宋体" w:hAnsi="宋体" w:cs="宋体" w:eastAsia="宋体" w:hint="default"/>
                <w:sz w:val="18"/>
                <w:szCs w:val="18"/>
              </w:rPr>
              <w:t>厦门市美亚梧桐 投资管理有限公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沈阳城市公共安 全技术有限公司</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41,189,799.58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14,683,889.01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23,911,473.67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14,856,674.79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9,175,207.80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1,316,976.91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260,822.11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1,487,018.75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42,506,776.49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14,683,889.01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24,172,295.78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16,343,693.54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9,175,207.80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36,845,669.63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9,802,350.59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19,890,321.61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4,914,375.58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8,932,502.89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36,845,669.63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9,802,350.59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19,890,321.61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5,094,375.58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8,932,502.89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5,661,106.86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4,881,538.42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4,281,974.17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11,249,317.96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242,704.91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5,661,106.86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4,881,538.42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4,281,974.17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11,249,317.96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242,704.91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1,840,425.84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2,391,953.83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2,112,789.67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3,657,153.27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118,925.41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1,840,425.84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2,391,953.83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2,112,789.67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3,657,153.27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343,495.68</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366"/>
        <w:gridCol w:w="1367"/>
        <w:gridCol w:w="1367"/>
        <w:gridCol w:w="1367"/>
        <w:gridCol w:w="1367"/>
        <w:gridCol w:w="1368"/>
        <w:gridCol w:w="1367"/>
      </w:tblGrid>
      <w:tr>
        <w:trPr>
          <w:trHeight w:val="362" w:hRule="exact"/>
        </w:trPr>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投资的账面价值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23,771,594.87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8,183,254.18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28,235,849.06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12,667,275.76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3,311,844.56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-10,057,593.82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4,638,833.51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281,974.17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-15,795,568.17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-757,295.09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-10,057,593.82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4,638,833.51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281,974.17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-15,795,568.17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-757,295.09</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20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6"/>
        <w:rPr>
          <w:rFonts w:ascii="宋体" w:hAnsi="宋体" w:cs="宋体" w:eastAsia="宋体" w:hint="default"/>
          <w:sz w:val="14"/>
          <w:szCs w:val="14"/>
        </w:rPr>
      </w:pPr>
    </w:p>
    <w:p>
      <w:pPr>
        <w:pStyle w:val="BodyText"/>
        <w:spacing w:line="237" w:lineRule="auto"/>
        <w:ind w:right="90"/>
        <w:jc w:val="left"/>
      </w:pPr>
      <w:r>
        <w:rPr/>
        <w:t>说明</w:t>
      </w:r>
      <w:r>
        <w:rPr>
          <w:spacing w:val="-39"/>
        </w:rPr>
        <w:t> </w:t>
      </w:r>
      <w:r>
        <w:rPr/>
        <w:t>1：2017</w:t>
      </w:r>
      <w:r>
        <w:rPr>
          <w:spacing w:val="-39"/>
        </w:rPr>
        <w:t> </w:t>
      </w:r>
      <w:r>
        <w:rPr/>
        <w:t>年沈阳城市公共安全技术有限公司设立时注册资本</w:t>
      </w:r>
      <w:r>
        <w:rPr>
          <w:spacing w:val="-39"/>
        </w:rPr>
        <w:t> </w:t>
      </w:r>
      <w:r>
        <w:rPr/>
        <w:t>1,000</w:t>
      </w:r>
      <w:r>
        <w:rPr>
          <w:spacing w:val="-40"/>
        </w:rPr>
        <w:t> </w:t>
      </w:r>
      <w:r>
        <w:rPr/>
        <w:t>万元，其中本公司认缴</w:t>
      </w:r>
      <w:r>
        <w:rPr>
          <w:spacing w:val="-39"/>
        </w:rPr>
        <w:t> </w:t>
      </w:r>
      <w:r>
        <w:rPr/>
        <w:t>400</w:t>
      </w:r>
      <w:r>
        <w:rPr>
          <w:spacing w:val="-39"/>
        </w:rPr>
        <w:t> </w:t>
      </w:r>
      <w:r>
        <w:rPr/>
        <w:t>万元，</w:t>
      </w:r>
      <w:r>
        <w:rPr/>
        <w:t> 持股比例</w:t>
      </w:r>
      <w:r>
        <w:rPr>
          <w:spacing w:val="-52"/>
        </w:rPr>
        <w:t> </w:t>
      </w:r>
      <w:r>
        <w:rPr>
          <w:spacing w:val="-5"/>
        </w:rPr>
        <w:t>40%。截止</w:t>
      </w:r>
      <w:r>
        <w:rPr>
          <w:spacing w:val="-52"/>
        </w:rPr>
        <w:t> </w:t>
      </w:r>
      <w:r>
        <w:rPr/>
        <w:t>2017</w:t>
      </w:r>
      <w:r>
        <w:rPr>
          <w:spacing w:val="-52"/>
        </w:rPr>
        <w:t> </w:t>
      </w:r>
      <w:r>
        <w:rPr/>
        <w:t>年</w:t>
      </w:r>
      <w:r>
        <w:rPr>
          <w:spacing w:val="-52"/>
        </w:rPr>
        <w:t> </w:t>
      </w:r>
      <w:r>
        <w:rPr/>
        <w:t>12</w:t>
      </w:r>
      <w:r>
        <w:rPr>
          <w:spacing w:val="-51"/>
        </w:rPr>
        <w:t> </w:t>
      </w:r>
      <w:r>
        <w:rPr/>
        <w:t>月</w:t>
      </w:r>
      <w:r>
        <w:rPr>
          <w:spacing w:val="-52"/>
        </w:rPr>
        <w:t> </w:t>
      </w:r>
      <w:r>
        <w:rPr/>
        <w:t>31</w:t>
      </w:r>
      <w:r>
        <w:rPr>
          <w:spacing w:val="-52"/>
        </w:rPr>
        <w:t> </w:t>
      </w:r>
      <w:r>
        <w:rPr>
          <w:spacing w:val="-3"/>
        </w:rPr>
        <w:t>日，沈阳城市公共安全技术有限公司实收资本</w:t>
      </w:r>
      <w:r>
        <w:rPr>
          <w:spacing w:val="-52"/>
        </w:rPr>
        <w:t> </w:t>
      </w:r>
      <w:r>
        <w:rPr/>
        <w:t>400</w:t>
      </w:r>
      <w:r>
        <w:rPr>
          <w:spacing w:val="-51"/>
        </w:rPr>
        <w:t> </w:t>
      </w:r>
      <w:r>
        <w:rPr>
          <w:spacing w:val="-5"/>
        </w:rPr>
        <w:t>万元，其中美亚智</w:t>
      </w:r>
      <w:r>
        <w:rPr>
          <w:spacing w:val="-102"/>
        </w:rPr>
        <w:t> </w:t>
      </w:r>
      <w:r>
        <w:rPr>
          <w:spacing w:val="-102"/>
        </w:rPr>
      </w:r>
      <w:r>
        <w:rPr/>
        <w:t>讯公司出资</w:t>
      </w:r>
      <w:r>
        <w:rPr>
          <w:spacing w:val="-56"/>
        </w:rPr>
        <w:t> </w:t>
      </w:r>
      <w:r>
        <w:rPr/>
        <w:t>200</w:t>
      </w:r>
      <w:r>
        <w:rPr>
          <w:spacing w:val="-55"/>
        </w:rPr>
        <w:t> </w:t>
      </w:r>
      <w:r>
        <w:rPr/>
        <w:t>万元，沈阳城市公共集团有限公司到资</w:t>
      </w:r>
      <w:r>
        <w:rPr>
          <w:spacing w:val="-56"/>
        </w:rPr>
        <w:t> </w:t>
      </w:r>
      <w:r>
        <w:rPr/>
        <w:t>200</w:t>
      </w:r>
      <w:r>
        <w:rPr>
          <w:spacing w:val="-56"/>
        </w:rPr>
        <w:t> </w:t>
      </w:r>
      <w:r>
        <w:rPr/>
        <w:t>万元，2017</w:t>
      </w:r>
      <w:r>
        <w:rPr>
          <w:spacing w:val="-56"/>
        </w:rPr>
        <w:t> </w:t>
      </w:r>
      <w:r>
        <w:rPr/>
        <w:t>年本公司按约定出资比例</w:t>
      </w:r>
      <w:r>
        <w:rPr>
          <w:spacing w:val="-56"/>
        </w:rPr>
        <w:t> </w:t>
      </w:r>
      <w:r>
        <w:rPr/>
        <w:t>40%确认</w:t>
      </w:r>
      <w:r>
        <w:rPr/>
        <w:t> 投资收益</w:t>
      </w:r>
      <w:r>
        <w:rPr>
          <w:spacing w:val="-60"/>
        </w:rPr>
        <w:t> </w:t>
      </w:r>
      <w:r>
        <w:rPr/>
        <w:t>112,789.67</w:t>
      </w:r>
      <w:r>
        <w:rPr>
          <w:spacing w:val="-60"/>
        </w:rPr>
        <w:t> </w:t>
      </w:r>
      <w:r>
        <w:rPr/>
        <w:t>元。</w:t>
      </w:r>
    </w:p>
    <w:p>
      <w:pPr>
        <w:spacing w:line="240" w:lineRule="auto" w:before="4"/>
        <w:rPr>
          <w:rFonts w:ascii="宋体" w:hAnsi="宋体" w:cs="宋体" w:eastAsia="宋体" w:hint="default"/>
          <w:sz w:val="21"/>
          <w:szCs w:val="21"/>
        </w:rPr>
      </w:pPr>
    </w:p>
    <w:p>
      <w:pPr>
        <w:pStyle w:val="BodyText"/>
        <w:spacing w:line="237" w:lineRule="auto"/>
        <w:ind w:right="210"/>
        <w:jc w:val="both"/>
      </w:pPr>
      <w:r>
        <w:rPr/>
        <w:t>说明</w:t>
      </w:r>
      <w:r>
        <w:rPr>
          <w:spacing w:val="-65"/>
        </w:rPr>
        <w:t> </w:t>
      </w:r>
      <w:r>
        <w:rPr/>
        <w:t>2：厦门市美亚梧桐投资管理有限公司年初按持股比例计算的净资产份额</w:t>
      </w:r>
      <w:r>
        <w:rPr>
          <w:spacing w:val="-65"/>
        </w:rPr>
        <w:t> </w:t>
      </w:r>
      <w:r>
        <w:rPr/>
        <w:t>118,925.41</w:t>
      </w:r>
      <w:r>
        <w:rPr>
          <w:spacing w:val="-64"/>
        </w:rPr>
        <w:t> </w:t>
      </w:r>
      <w:r>
        <w:rPr>
          <w:spacing w:val="-6"/>
        </w:rPr>
        <w:t>元，年初对联营</w:t>
      </w:r>
      <w:r>
        <w:rPr/>
        <w:t> 企业权益投资的账面价值 343,495.68</w:t>
      </w:r>
      <w:r>
        <w:rPr>
          <w:spacing w:val="-25"/>
        </w:rPr>
        <w:t> </w:t>
      </w:r>
      <w:r>
        <w:rPr/>
        <w:t>元，差异原因系上年计算联营企业权益投资金额时厦门市美亚梧桐</w:t>
      </w:r>
      <w:r>
        <w:rPr/>
        <w:t> 投资管理有限公司尚未审计。</w:t>
      </w:r>
    </w:p>
    <w:p>
      <w:pPr>
        <w:spacing w:line="240" w:lineRule="auto" w:before="3"/>
        <w:rPr>
          <w:rFonts w:ascii="宋体" w:hAnsi="宋体" w:cs="宋体" w:eastAsia="宋体" w:hint="default"/>
          <w:sz w:val="21"/>
          <w:szCs w:val="21"/>
        </w:rPr>
      </w:pPr>
    </w:p>
    <w:p>
      <w:pPr>
        <w:pStyle w:val="BodyText"/>
        <w:spacing w:line="240" w:lineRule="auto"/>
        <w:ind w:right="193"/>
        <w:jc w:val="left"/>
      </w:pPr>
      <w:r>
        <w:rPr/>
        <w:t>说明</w:t>
      </w:r>
      <w:r>
        <w:rPr>
          <w:spacing w:val="-23"/>
        </w:rPr>
        <w:t> </w:t>
      </w:r>
      <w:r>
        <w:rPr/>
        <w:t>3：北京万诚信用评价有限公司和厦门正信世纪信息科技有限公司本年营业收入和利润对本公司的影</w:t>
      </w:r>
      <w:r>
        <w:rPr/>
        <w:t> 响很小，故本年在其他不重要联营企业的汇总财务信息中列示。</w:t>
      </w:r>
    </w:p>
    <w:p>
      <w:pPr>
        <w:spacing w:line="240" w:lineRule="auto" w:before="3"/>
        <w:rPr>
          <w:rFonts w:ascii="宋体" w:hAnsi="宋体" w:cs="宋体" w:eastAsia="宋体" w:hint="default"/>
          <w:sz w:val="24"/>
          <w:szCs w:val="24"/>
        </w:rPr>
      </w:pPr>
    </w:p>
    <w:p>
      <w:pPr>
        <w:pStyle w:val="Heading3"/>
        <w:spacing w:line="240" w:lineRule="auto"/>
        <w:ind w:right="208"/>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2,442,649.68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343,495.68</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-1,582,072.36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-146,504.33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-1,582,072.36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-146,504.33</w:t>
            </w:r>
          </w:p>
        </w:tc>
      </w:tr>
    </w:tbl>
    <w:p>
      <w:pPr>
        <w:spacing w:before="51"/>
        <w:ind w:left="154" w:right="208"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208"/>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6"/>
          <w:szCs w:val="26"/>
        </w:rPr>
      </w:pPr>
    </w:p>
    <w:p>
      <w:pPr>
        <w:spacing w:before="0"/>
        <w:ind w:left="154" w:right="20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208"/>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6"/>
          <w:szCs w:val="26"/>
        </w:rPr>
      </w:pPr>
    </w:p>
    <w:p>
      <w:pPr>
        <w:spacing w:before="0"/>
        <w:ind w:left="154" w:right="20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208"/>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spacing w:before="0"/>
        <w:ind w:left="154" w:right="208"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r>
        <w:rPr/>
        <w:t>十、与金融工具相关的风险</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49"/>
        <w:jc w:val="both"/>
      </w:pPr>
      <w:r>
        <w:rPr>
          <w:spacing w:val="-1"/>
        </w:rPr>
        <w:t>本集团的主要金融工具包括货币资金、应收账款、应收票据、应收利息、其他应收款、其他流动资产、可</w:t>
      </w:r>
      <w:r>
        <w:rPr>
          <w:spacing w:val="-83"/>
        </w:rPr>
        <w:t> </w:t>
      </w:r>
      <w:r>
        <w:rPr>
          <w:spacing w:val="-83"/>
        </w:rPr>
      </w:r>
      <w:r>
        <w:rPr>
          <w:spacing w:val="-1"/>
        </w:rPr>
        <w:t>供出售金融资产、应付账款、应付票据、其他应付款。各项金融工具的详细情况已于相关附注内披露。与</w:t>
      </w:r>
      <w:r>
        <w:rPr>
          <w:spacing w:val="-83"/>
        </w:rPr>
        <w:t> </w:t>
      </w:r>
      <w:r>
        <w:rPr>
          <w:spacing w:val="-83"/>
        </w:rPr>
      </w:r>
      <w:r>
        <w:rPr>
          <w:spacing w:val="-1"/>
        </w:rPr>
        <w:t>这些金融工具有关的风险，以及本集团为降低这些风险所采取的风险管理政策如下所述。本集团管理层对</w:t>
      </w:r>
      <w:r>
        <w:rPr>
          <w:spacing w:val="-81"/>
        </w:rPr>
        <w:t> </w:t>
      </w:r>
      <w:r>
        <w:rPr>
          <w:spacing w:val="-81"/>
        </w:rPr>
      </w:r>
      <w:r>
        <w:rPr/>
        <w:t>这些风险敞口进行管理和监控以确保将上述风险控制在限定的范围之内。</w:t>
      </w:r>
    </w:p>
    <w:p>
      <w:pPr>
        <w:spacing w:line="240" w:lineRule="auto" w:before="1"/>
        <w:rPr>
          <w:rFonts w:ascii="宋体" w:hAnsi="宋体" w:cs="宋体" w:eastAsia="宋体" w:hint="default"/>
          <w:sz w:val="17"/>
          <w:szCs w:val="17"/>
        </w:rPr>
      </w:pPr>
    </w:p>
    <w:p>
      <w:pPr>
        <w:pStyle w:val="BodyText"/>
        <w:spacing w:line="240" w:lineRule="auto"/>
        <w:ind w:left="153" w:right="0"/>
        <w:jc w:val="both"/>
      </w:pPr>
      <w:r>
        <w:rPr>
          <w:rFonts w:ascii="Times New Roman" w:hAnsi="Times New Roman" w:cs="Times New Roman" w:eastAsia="Times New Roman" w:hint="default"/>
        </w:rPr>
        <w:t>1</w:t>
      </w:r>
      <w:r>
        <w:rPr/>
        <w:t>、风险管理目标和政策</w:t>
      </w:r>
    </w:p>
    <w:p>
      <w:pPr>
        <w:spacing w:line="240" w:lineRule="auto" w:before="2"/>
        <w:rPr>
          <w:rFonts w:ascii="宋体" w:hAnsi="宋体" w:cs="宋体" w:eastAsia="宋体" w:hint="default"/>
          <w:sz w:val="18"/>
          <w:szCs w:val="18"/>
        </w:rPr>
      </w:pPr>
    </w:p>
    <w:p>
      <w:pPr>
        <w:pStyle w:val="BodyText"/>
        <w:spacing w:line="273" w:lineRule="auto"/>
        <w:ind w:right="149"/>
        <w:jc w:val="both"/>
      </w:pPr>
      <w:r>
        <w:rPr>
          <w:spacing w:val="-1"/>
        </w:rPr>
        <w:t>本集团从事风险管理的目标是在风险和收益之间取得适当的平衡，力求降低金融风险对本集团财务业绩的</w:t>
      </w:r>
      <w:r>
        <w:rPr>
          <w:spacing w:val="-81"/>
        </w:rPr>
        <w:t> </w:t>
      </w:r>
      <w:r>
        <w:rPr>
          <w:spacing w:val="-81"/>
        </w:rPr>
      </w:r>
      <w:r>
        <w:rPr>
          <w:spacing w:val="-1"/>
        </w:rPr>
        <w:t>不利影响。基于该风险管理目标，本集团已制定风险管理政策以辨别和分析本集团所面临的风险，设定适</w:t>
      </w:r>
      <w:r>
        <w:rPr>
          <w:spacing w:val="-83"/>
        </w:rPr>
        <w:t> </w:t>
      </w:r>
      <w:r>
        <w:rPr>
          <w:spacing w:val="-83"/>
        </w:rPr>
      </w:r>
      <w:r>
        <w:rPr>
          <w:spacing w:val="-1"/>
        </w:rPr>
        <w:t>当的风险可接受水平并设计相应的内部控制程序，以监控本集团的风险水平。本集团会定期审阅这些风险</w:t>
      </w:r>
      <w:r>
        <w:rPr>
          <w:spacing w:val="-81"/>
        </w:rPr>
        <w:t> </w:t>
      </w:r>
      <w:r>
        <w:rPr>
          <w:spacing w:val="-81"/>
        </w:rPr>
      </w:r>
      <w:r>
        <w:rPr>
          <w:spacing w:val="-1"/>
        </w:rPr>
        <w:t>管理政策及有关内部控制系统，以适应市场情况或本集团经营活动的改变。本集团的内部审计部门也定期</w:t>
      </w:r>
      <w:r>
        <w:rPr>
          <w:spacing w:val="-81"/>
        </w:rPr>
        <w:t> </w:t>
      </w:r>
      <w:r>
        <w:rPr>
          <w:spacing w:val="-81"/>
        </w:rPr>
      </w:r>
      <w:r>
        <w:rPr/>
        <w:t>或随机检查内部控制系统的执行是否符合风险管理政策。</w:t>
      </w:r>
    </w:p>
    <w:p>
      <w:pPr>
        <w:spacing w:line="240" w:lineRule="auto" w:before="1"/>
        <w:rPr>
          <w:rFonts w:ascii="宋体" w:hAnsi="宋体" w:cs="宋体" w:eastAsia="宋体" w:hint="default"/>
          <w:sz w:val="17"/>
          <w:szCs w:val="17"/>
        </w:rPr>
      </w:pPr>
    </w:p>
    <w:p>
      <w:pPr>
        <w:pStyle w:val="BodyText"/>
        <w:spacing w:line="273" w:lineRule="auto"/>
        <w:ind w:right="151"/>
        <w:jc w:val="both"/>
      </w:pPr>
      <w:r>
        <w:rPr>
          <w:spacing w:val="-1"/>
        </w:rPr>
        <w:t>本集团的金融工具导致的主要风险是信用风险、流动性风险、市场风险（包括利率风险、汇率风险和商品</w:t>
      </w:r>
      <w:r>
        <w:rPr>
          <w:spacing w:val="-82"/>
        </w:rPr>
        <w:t> </w:t>
      </w:r>
      <w:r>
        <w:rPr>
          <w:spacing w:val="-82"/>
        </w:rPr>
      </w:r>
      <w:r>
        <w:rPr/>
        <w:t>价格风险</w:t>
      </w:r>
      <w:r>
        <w:rPr>
          <w:rFonts w:ascii="Times New Roman" w:hAnsi="Times New Roman" w:cs="Times New Roman" w:eastAsia="Times New Roman" w:hint="default"/>
        </w:rPr>
        <w:t>/</w:t>
      </w:r>
      <w:r>
        <w:rPr/>
        <w:t>权益工具价格风险）。</w:t>
      </w:r>
    </w:p>
    <w:p>
      <w:pPr>
        <w:spacing w:line="240" w:lineRule="auto" w:before="8"/>
        <w:rPr>
          <w:rFonts w:ascii="宋体" w:hAnsi="宋体" w:cs="宋体" w:eastAsia="宋体" w:hint="default"/>
          <w:sz w:val="15"/>
          <w:szCs w:val="15"/>
        </w:rPr>
      </w:pPr>
    </w:p>
    <w:p>
      <w:pPr>
        <w:pStyle w:val="BodyText"/>
        <w:spacing w:line="273" w:lineRule="auto"/>
        <w:ind w:right="149"/>
        <w:jc w:val="both"/>
      </w:pPr>
      <w:r>
        <w:rPr>
          <w:spacing w:val="-1"/>
        </w:rPr>
        <w:t>董事会负责规划并建立本集团的风险管理架构，指定本集团的风险管理政策和相关指引并监督风险管理措</w:t>
      </w:r>
      <w:r>
        <w:rPr>
          <w:spacing w:val="-81"/>
        </w:rPr>
        <w:t> </w:t>
      </w:r>
      <w:r>
        <w:rPr>
          <w:spacing w:val="-81"/>
        </w:rPr>
      </w:r>
      <w:r>
        <w:rPr>
          <w:spacing w:val="-1"/>
        </w:rPr>
        <w:t>施的执行情况。本集团已制定风险管理政策以识别和分析本集团所面临的风险，这些风险管理政策对特定</w:t>
      </w:r>
      <w:r>
        <w:rPr>
          <w:spacing w:val="-81"/>
        </w:rPr>
        <w:t> </w:t>
      </w:r>
      <w:r>
        <w:rPr>
          <w:spacing w:val="-81"/>
        </w:rPr>
      </w:r>
      <w:r>
        <w:rPr>
          <w:spacing w:val="-1"/>
        </w:rPr>
        <w:t>风险进行了明确规定，涵盖了信用风险、流动性风险和市场风险管理等诸多方面。本集团定期评估市场环</w:t>
      </w:r>
      <w:r>
        <w:rPr>
          <w:spacing w:val="-83"/>
        </w:rPr>
        <w:t> </w:t>
      </w:r>
      <w:r>
        <w:rPr>
          <w:spacing w:val="-83"/>
        </w:rPr>
      </w:r>
      <w:r>
        <w:rPr>
          <w:spacing w:val="-1"/>
        </w:rPr>
        <w:t>境及本集团经营活动的变化以决定是否对风险管理政策及系统进行更新。本集团的风险管理由风险管理委</w:t>
      </w:r>
      <w:r>
        <w:rPr>
          <w:spacing w:val="-81"/>
        </w:rPr>
        <w:t> </w:t>
      </w:r>
      <w:r>
        <w:rPr>
          <w:spacing w:val="-81"/>
        </w:rPr>
      </w:r>
      <w:r>
        <w:rPr>
          <w:spacing w:val="-1"/>
        </w:rPr>
        <w:t>员会按照董事会批准的政策开展。风险管理委员会通过与本集团其他业务部门的紧密合作来识别、评价和</w:t>
      </w:r>
      <w:r>
        <w:rPr>
          <w:spacing w:val="-81"/>
        </w:rPr>
        <w:t> </w:t>
      </w:r>
      <w:r>
        <w:rPr>
          <w:spacing w:val="-81"/>
        </w:rPr>
      </w:r>
      <w:r>
        <w:rPr>
          <w:spacing w:val="-1"/>
        </w:rPr>
        <w:t>规避相关风险。本集团内部审计部门就风险管理控制及程序进行定期的审核，并将审核结果上报本集团的</w:t>
      </w:r>
      <w:r>
        <w:rPr>
          <w:spacing w:val="-81"/>
        </w:rPr>
        <w:t> </w:t>
      </w:r>
      <w:r>
        <w:rPr>
          <w:spacing w:val="-81"/>
        </w:rPr>
      </w:r>
      <w:r>
        <w:rPr/>
        <w:t>审计委员会。</w:t>
      </w:r>
    </w:p>
    <w:p>
      <w:pPr>
        <w:spacing w:line="240" w:lineRule="auto" w:before="1"/>
        <w:rPr>
          <w:rFonts w:ascii="宋体" w:hAnsi="宋体" w:cs="宋体" w:eastAsia="宋体" w:hint="default"/>
          <w:sz w:val="17"/>
          <w:szCs w:val="17"/>
        </w:rPr>
      </w:pPr>
    </w:p>
    <w:p>
      <w:pPr>
        <w:pStyle w:val="BodyText"/>
        <w:spacing w:line="273" w:lineRule="auto"/>
        <w:ind w:right="151"/>
        <w:jc w:val="both"/>
      </w:pPr>
      <w:r>
        <w:rPr>
          <w:spacing w:val="-1"/>
        </w:rPr>
        <w:t>本集团通过适当的多样化投资及业务组合来分散金融工具风险，并通过制定相应的风险管理政策减少集中</w:t>
      </w:r>
      <w:r>
        <w:rPr>
          <w:spacing w:val="-81"/>
        </w:rPr>
        <w:t> </w:t>
      </w:r>
      <w:r>
        <w:rPr>
          <w:spacing w:val="-81"/>
        </w:rPr>
      </w:r>
      <w:r>
        <w:rPr/>
        <w:t>于任何单一行业、特定地区或特定交易对手方的风险。</w:t>
      </w:r>
    </w:p>
    <w:p>
      <w:pPr>
        <w:spacing w:line="240" w:lineRule="auto" w:before="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）信用风险</w:t>
      </w:r>
    </w:p>
    <w:p>
      <w:pPr>
        <w:spacing w:after="0" w:line="240"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460" w:lineRule="auto" w:before="35"/>
        <w:ind w:left="153" w:right="0"/>
        <w:jc w:val="left"/>
      </w:pPr>
      <w:r>
        <w:rPr/>
        <w:t>信用风险，是指交易对手方未能履行合同义务而导致本集团产生财务损失的风险。 本集团对信用风险按组合分类进行管理。信用风险主要产生于银行存款和应收款项等。 </w:t>
      </w:r>
      <w:r>
        <w:rPr>
          <w:spacing w:val="-1"/>
        </w:rPr>
        <w:t>本集团银行存款主要存放于国有银行和其它大中型上市银行，本集团预期银行存款不存在重大的信用风险。</w:t>
      </w:r>
    </w:p>
    <w:p>
      <w:pPr>
        <w:pStyle w:val="BodyText"/>
        <w:spacing w:line="273" w:lineRule="auto" w:before="60"/>
        <w:ind w:left="153" w:right="0"/>
        <w:jc w:val="left"/>
      </w:pPr>
      <w:r>
        <w:rPr/>
        <w:t>对于应收款项，本集团设定相关政策以控制信用风险敞口。本集团基于对债务人的财务状况、外部评级、</w:t>
      </w:r>
      <w:r>
        <w:rPr>
          <w:spacing w:val="-34"/>
        </w:rPr>
        <w:t> </w:t>
      </w:r>
      <w:r>
        <w:rPr>
          <w:spacing w:val="-34"/>
        </w:rPr>
      </w:r>
      <w:r>
        <w:rPr/>
        <w:t>从第三方获取担保的可能性、信用记录及其它因素诸如目前市场状况等评估债务人的信用资质并设置相应</w:t>
      </w:r>
      <w:r>
        <w:rPr/>
        <w:t> 欠款额度与信用期限。本集团会定期对债务人信用记录进行监控，对于信用记录不良的债务人，本集团会 采用书面催款、缩短信用期或取消信用期等方式，以确保本集团的整体信用风险在可控的范围内。</w:t>
      </w:r>
    </w:p>
    <w:p>
      <w:pPr>
        <w:spacing w:line="240" w:lineRule="auto" w:before="1"/>
        <w:rPr>
          <w:rFonts w:ascii="宋体" w:hAnsi="宋体" w:cs="宋体" w:eastAsia="宋体" w:hint="default"/>
          <w:sz w:val="17"/>
          <w:szCs w:val="17"/>
        </w:rPr>
      </w:pPr>
    </w:p>
    <w:p>
      <w:pPr>
        <w:pStyle w:val="BodyText"/>
        <w:spacing w:line="273" w:lineRule="auto"/>
        <w:ind w:left="153" w:right="0"/>
        <w:jc w:val="left"/>
      </w:pPr>
      <w:r>
        <w:rPr>
          <w:spacing w:val="-1"/>
        </w:rPr>
        <w:t>本集团所承受的最大信用风险敞口为资产负债表中每项金融资产的账面金额。本集团没有提供任何其他可</w:t>
      </w:r>
      <w:r>
        <w:rPr>
          <w:spacing w:val="-81"/>
        </w:rPr>
        <w:t> </w:t>
      </w:r>
      <w:r>
        <w:rPr>
          <w:spacing w:val="-81"/>
        </w:rPr>
      </w:r>
      <w:r>
        <w:rPr/>
        <w:t>能令本集团承受信用风险的担保。</w:t>
      </w:r>
    </w:p>
    <w:p>
      <w:pPr>
        <w:spacing w:line="240" w:lineRule="auto" w:before="1"/>
        <w:rPr>
          <w:rFonts w:ascii="宋体" w:hAnsi="宋体" w:cs="宋体" w:eastAsia="宋体" w:hint="default"/>
          <w:sz w:val="17"/>
          <w:szCs w:val="17"/>
        </w:rPr>
      </w:pPr>
    </w:p>
    <w:p>
      <w:pPr>
        <w:pStyle w:val="BodyText"/>
        <w:spacing w:line="256" w:lineRule="auto"/>
        <w:ind w:left="153" w:right="306"/>
        <w:jc w:val="both"/>
      </w:pPr>
      <w:r>
        <w:rPr>
          <w:spacing w:val="-6"/>
        </w:rPr>
        <w:t>本集团应收账款中，欠款金额前五大客户的应收账款占本集团应收账款总额的</w:t>
      </w:r>
      <w:r>
        <w:rPr>
          <w:rFonts w:ascii="Times New Roman" w:hAnsi="Times New Roman" w:cs="Times New Roman" w:eastAsia="Times New Roman" w:hint="default"/>
          <w:spacing w:val="-6"/>
        </w:rPr>
        <w:t>12.75%</w:t>
      </w:r>
      <w:r>
        <w:rPr>
          <w:spacing w:val="-6"/>
        </w:rPr>
        <w:t>（</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19.48%</w:t>
      </w:r>
      <w:r>
        <w:rPr>
          <w:spacing w:val="-6"/>
        </w:rPr>
        <w:t>）；</w:t>
      </w:r>
      <w:r>
        <w:rPr>
          <w:spacing w:val="-52"/>
        </w:rPr>
        <w:t> </w:t>
      </w:r>
      <w:r>
        <w:rPr>
          <w:spacing w:val="-52"/>
        </w:rPr>
      </w:r>
      <w:r>
        <w:rPr>
          <w:spacing w:val="2"/>
        </w:rPr>
        <w:t>本集团其他应收款中，欠款金额前五大公司的其他应收款占本集团其他应收款总额的</w:t>
      </w:r>
      <w:r>
        <w:rPr>
          <w:rFonts w:ascii="Times New Roman" w:hAnsi="Times New Roman" w:cs="Times New Roman" w:eastAsia="Times New Roman" w:hint="default"/>
          <w:spacing w:val="2"/>
        </w:rPr>
        <w:t>25.98%</w:t>
      </w:r>
      <w:r>
        <w:rPr>
          <w:spacing w:val="2"/>
        </w:rPr>
        <w:t>（</w:t>
      </w:r>
      <w:r>
        <w:rPr>
          <w:rFonts w:ascii="Times New Roman" w:hAnsi="Times New Roman" w:cs="Times New Roman" w:eastAsia="Times New Roman" w:hint="default"/>
          <w:spacing w:val="2"/>
        </w:rPr>
        <w:t>2016</w:t>
      </w:r>
      <w:r>
        <w:rPr>
          <w:spacing w:val="2"/>
        </w:rPr>
        <w:t>年：</w:t>
      </w:r>
      <w:r>
        <w:rPr>
          <w:spacing w:val="-64"/>
        </w:rPr>
        <w:t> </w:t>
      </w:r>
      <w:r>
        <w:rPr>
          <w:rFonts w:ascii="Times New Roman" w:hAnsi="Times New Roman" w:cs="Times New Roman" w:eastAsia="Times New Roman" w:hint="default"/>
        </w:rPr>
        <w:t>24.06%</w:t>
      </w:r>
      <w:r>
        <w:rPr/>
        <w:t>）。</w:t>
      </w:r>
    </w:p>
    <w:p>
      <w:pPr>
        <w:spacing w:line="240" w:lineRule="auto" w:before="12"/>
        <w:rPr>
          <w:rFonts w:ascii="宋体" w:hAnsi="宋体" w:cs="宋体" w:eastAsia="宋体" w:hint="default"/>
          <w:sz w:val="16"/>
          <w:szCs w:val="16"/>
        </w:rPr>
      </w:pPr>
    </w:p>
    <w:p>
      <w:pPr>
        <w:pStyle w:val="BodyText"/>
        <w:spacing w:line="436" w:lineRule="auto"/>
        <w:ind w:right="0" w:hanging="1"/>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流动性风险，是指本集团在履行以交付现金或其他金融资产的方式结算的义务时发生资金短缺的风险。</w:t>
      </w:r>
    </w:p>
    <w:p>
      <w:pPr>
        <w:pStyle w:val="BodyText"/>
        <w:spacing w:line="273" w:lineRule="auto" w:before="81"/>
        <w:ind w:right="309"/>
        <w:jc w:val="both"/>
      </w:pPr>
      <w:r>
        <w:rPr>
          <w:spacing w:val="-1"/>
        </w:rPr>
        <w:t>管理流动风险时，本集团保持管理层认为充分的现金及现金等价物并对其进行监控，以满足本集团经营需</w:t>
      </w:r>
      <w:r>
        <w:rPr>
          <w:spacing w:val="-81"/>
        </w:rPr>
        <w:t> </w:t>
      </w:r>
      <w:r>
        <w:rPr>
          <w:spacing w:val="-81"/>
        </w:rPr>
      </w:r>
      <w:r>
        <w:rPr>
          <w:spacing w:val="-1"/>
        </w:rPr>
        <w:t>要，并降低现金流量波动的影响。本集团管理层对银行借款的使用情况进行监控并确保遵守借款协议。同</w:t>
      </w:r>
      <w:r>
        <w:rPr>
          <w:spacing w:val="-83"/>
        </w:rPr>
        <w:t> </w:t>
      </w:r>
      <w:r>
        <w:rPr>
          <w:spacing w:val="-83"/>
        </w:rPr>
      </w:r>
      <w:r>
        <w:rPr/>
        <w:t>时从主要金融机构获得提供足够备用资金的承诺，以满足短期和长期的资金需求。</w:t>
      </w:r>
    </w:p>
    <w:p>
      <w:pPr>
        <w:spacing w:line="240" w:lineRule="auto" w:before="1"/>
        <w:rPr>
          <w:rFonts w:ascii="宋体" w:hAnsi="宋体" w:cs="宋体" w:eastAsia="宋体" w:hint="default"/>
          <w:sz w:val="17"/>
          <w:szCs w:val="17"/>
        </w:rPr>
      </w:pPr>
    </w:p>
    <w:p>
      <w:pPr>
        <w:pStyle w:val="BodyText"/>
        <w:spacing w:line="240" w:lineRule="auto"/>
        <w:ind w:right="0"/>
        <w:jc w:val="left"/>
      </w:pPr>
      <w:r>
        <w:rPr/>
        <w:t>期末本集团持有的金融负债按未折现剩余合同现金流量的到期期限分析如下（单位：人民币元）：</w:t>
      </w:r>
    </w:p>
    <w:p>
      <w:pPr>
        <w:spacing w:line="240" w:lineRule="auto" w:before="6"/>
        <w:rPr>
          <w:rFonts w:ascii="宋体" w:hAnsi="宋体" w:cs="宋体" w:eastAsia="宋体" w:hint="default"/>
          <w:sz w:val="20"/>
          <w:szCs w:val="20"/>
        </w:rPr>
      </w:pPr>
    </w:p>
    <w:tbl>
      <w:tblPr>
        <w:tblW w:w="0" w:type="auto"/>
        <w:jc w:val="left"/>
        <w:tblInd w:w="164" w:type="dxa"/>
        <w:tblLayout w:type="fixed"/>
        <w:tblCellMar>
          <w:top w:w="0" w:type="dxa"/>
          <w:left w:w="0" w:type="dxa"/>
          <w:bottom w:w="0" w:type="dxa"/>
          <w:right w:w="0" w:type="dxa"/>
        </w:tblCellMar>
        <w:tblLook w:val="01E0"/>
      </w:tblPr>
      <w:tblGrid>
        <w:gridCol w:w="3049"/>
        <w:gridCol w:w="1258"/>
        <w:gridCol w:w="1266"/>
        <w:gridCol w:w="1246"/>
        <w:gridCol w:w="1046"/>
        <w:gridCol w:w="1260"/>
      </w:tblGrid>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
        </w:tc>
        <w:tc>
          <w:tcPr>
            <w:tcW w:w="607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5"/>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r>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5"/>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w w:val="95"/>
                <w:sz w:val="18"/>
                <w:szCs w:val="18"/>
              </w:rPr>
              <w:t>一至二年以内</w:t>
            </w:r>
            <w:r>
              <w:rPr>
                <w:rFonts w:ascii="宋体" w:hAnsi="宋体" w:cs="宋体" w:eastAsia="宋体" w:hint="default"/>
                <w:sz w:val="18"/>
                <w:szCs w:val="18"/>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5" w:right="0"/>
              <w:jc w:val="left"/>
              <w:rPr>
                <w:rFonts w:ascii="宋体" w:hAnsi="宋体" w:cs="宋体" w:eastAsia="宋体" w:hint="default"/>
                <w:sz w:val="18"/>
                <w:szCs w:val="18"/>
              </w:rPr>
            </w:pPr>
            <w:r>
              <w:rPr>
                <w:rFonts w:ascii="宋体" w:hAnsi="宋体" w:cs="宋体" w:eastAsia="宋体" w:hint="default"/>
                <w:b/>
                <w:bCs/>
                <w:sz w:val="18"/>
                <w:szCs w:val="18"/>
              </w:rPr>
              <w:t>二至三年以内</w:t>
            </w:r>
            <w:r>
              <w:rPr>
                <w:rFonts w:ascii="宋体" w:hAnsi="宋体" w:cs="宋体" w:eastAsia="宋体" w:hint="default"/>
                <w:sz w:val="18"/>
                <w:szCs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7" w:right="0"/>
              <w:jc w:val="left"/>
              <w:rPr>
                <w:rFonts w:ascii="宋体" w:hAnsi="宋体" w:cs="宋体" w:eastAsia="宋体" w:hint="default"/>
                <w:sz w:val="18"/>
                <w:szCs w:val="18"/>
              </w:rPr>
            </w:pPr>
            <w:r>
              <w:rPr>
                <w:rFonts w:ascii="宋体" w:hAnsi="宋体" w:cs="宋体" w:eastAsia="宋体" w:hint="default"/>
                <w:b/>
                <w:bCs/>
                <w:sz w:val="18"/>
                <w:szCs w:val="18"/>
              </w:rPr>
              <w:t>三年以上</w:t>
            </w:r>
            <w:r>
              <w:rPr>
                <w:rFonts w:ascii="宋体" w:hAnsi="宋体" w:cs="宋体" w:eastAsia="宋体" w:hint="default"/>
                <w:sz w:val="18"/>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5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5,805,800.00</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5,805,800.00</w:t>
            </w:r>
          </w:p>
        </w:tc>
      </w:tr>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134,621,142.90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10,349,022.72</w:t>
            </w:r>
          </w:p>
        </w:tc>
        <w:tc>
          <w:tcPr>
            <w:tcW w:w="1246"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144,970,165.62</w:t>
            </w:r>
          </w:p>
        </w:tc>
      </w:tr>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100,734,648.29</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100,734,648.29</w:t>
            </w:r>
          </w:p>
        </w:tc>
      </w:tr>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18,692,854.54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67,691,499.00</w:t>
            </w:r>
          </w:p>
        </w:tc>
        <w:tc>
          <w:tcPr>
            <w:tcW w:w="1246"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86,384,353.54</w:t>
            </w:r>
          </w:p>
        </w:tc>
      </w:tr>
      <w:tr>
        <w:trPr>
          <w:trHeight w:val="34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金融负债和或有负债合计</w:t>
            </w:r>
            <w:r>
              <w:rPr>
                <w:rFonts w:ascii="宋体" w:hAnsi="宋体" w:cs="宋体" w:eastAsia="宋体" w:hint="default"/>
                <w:sz w:val="18"/>
                <w:szCs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259,854,445.73</w:t>
            </w:r>
            <w:r>
              <w:rPr>
                <w:rFonts w:ascii="Times New Roman"/>
                <w:spacing w:val="-1"/>
                <w:sz w:val="18"/>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78,040,521.72</w:t>
            </w:r>
            <w:r>
              <w:rPr>
                <w:rFonts w:ascii="Times New Roman"/>
                <w:spacing w:val="-1"/>
                <w:sz w:val="18"/>
              </w:rPr>
            </w:r>
          </w:p>
        </w:tc>
        <w:tc>
          <w:tcPr>
            <w:tcW w:w="1246"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pacing w:val="-1"/>
                <w:sz w:val="18"/>
              </w:rPr>
              <w:t>337,894,967.45</w:t>
            </w:r>
            <w:r>
              <w:rPr>
                <w:rFonts w:ascii="Times New Roman"/>
                <w:spacing w:val="-1"/>
                <w:sz w:val="18"/>
              </w:rPr>
            </w:r>
          </w:p>
        </w:tc>
      </w:tr>
    </w:tbl>
    <w:p>
      <w:pPr>
        <w:spacing w:before="81"/>
        <w:ind w:left="154" w:right="0" w:firstLine="0"/>
        <w:jc w:val="left"/>
        <w:rPr>
          <w:rFonts w:ascii="宋体" w:hAnsi="宋体" w:cs="宋体" w:eastAsia="宋体" w:hint="default"/>
          <w:sz w:val="24"/>
          <w:szCs w:val="24"/>
        </w:rPr>
      </w:pPr>
      <w:r>
        <w:rPr>
          <w:rFonts w:ascii="宋体" w:hAnsi="宋体" w:cs="宋体" w:eastAsia="宋体" w:hint="default"/>
          <w:sz w:val="24"/>
          <w:szCs w:val="24"/>
        </w:rPr>
        <w:t>现金流量的到期期限分析如下（单位：人民币元）：</w:t>
      </w:r>
    </w:p>
    <w:p>
      <w:pPr>
        <w:spacing w:line="240" w:lineRule="auto" w:before="4"/>
        <w:rPr>
          <w:rFonts w:ascii="宋体" w:hAnsi="宋体" w:cs="宋体" w:eastAsia="宋体" w:hint="default"/>
          <w:sz w:val="19"/>
          <w:szCs w:val="19"/>
        </w:rPr>
      </w:pPr>
    </w:p>
    <w:tbl>
      <w:tblPr>
        <w:tblW w:w="0" w:type="auto"/>
        <w:jc w:val="left"/>
        <w:tblInd w:w="164" w:type="dxa"/>
        <w:tblLayout w:type="fixed"/>
        <w:tblCellMar>
          <w:top w:w="0" w:type="dxa"/>
          <w:left w:w="0" w:type="dxa"/>
          <w:bottom w:w="0" w:type="dxa"/>
          <w:right w:w="0" w:type="dxa"/>
        </w:tblCellMar>
        <w:tblLook w:val="01E0"/>
      </w:tblPr>
      <w:tblGrid>
        <w:gridCol w:w="3049"/>
        <w:gridCol w:w="1258"/>
        <w:gridCol w:w="1266"/>
        <w:gridCol w:w="1246"/>
        <w:gridCol w:w="1046"/>
        <w:gridCol w:w="1260"/>
      </w:tblGrid>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
        </w:tc>
        <w:tc>
          <w:tcPr>
            <w:tcW w:w="607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5"/>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5"/>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w w:val="95"/>
                <w:sz w:val="18"/>
                <w:szCs w:val="18"/>
              </w:rPr>
              <w:t>一至二年以内</w:t>
            </w:r>
            <w:r>
              <w:rPr>
                <w:rFonts w:ascii="宋体" w:hAnsi="宋体" w:cs="宋体" w:eastAsia="宋体" w:hint="default"/>
                <w:sz w:val="18"/>
                <w:szCs w:val="18"/>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b/>
                <w:bCs/>
                <w:w w:val="95"/>
                <w:sz w:val="18"/>
                <w:szCs w:val="18"/>
              </w:rPr>
              <w:t>二至三年以内</w:t>
            </w:r>
            <w:r>
              <w:rPr>
                <w:rFonts w:ascii="宋体" w:hAnsi="宋体" w:cs="宋体" w:eastAsia="宋体" w:hint="default"/>
                <w:sz w:val="18"/>
                <w:szCs w:val="18"/>
              </w:rPr>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b/>
                <w:bCs/>
                <w:w w:val="95"/>
                <w:sz w:val="18"/>
                <w:szCs w:val="18"/>
              </w:rPr>
              <w:t>三年以上</w:t>
            </w:r>
            <w:r>
              <w:rPr>
                <w:rFonts w:ascii="宋体" w:hAnsi="宋体" w:cs="宋体" w:eastAsia="宋体" w:hint="default"/>
                <w:sz w:val="18"/>
                <w:szCs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5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4,617,320.00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4,617,320.00</w:t>
            </w:r>
          </w:p>
        </w:tc>
      </w:tr>
      <w:tr>
        <w:trPr>
          <w:trHeight w:val="34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84,036,232.29</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11,950,571.03</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95,986,803.32</w:t>
            </w:r>
          </w:p>
        </w:tc>
      </w:tr>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84,899,697.95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84,899,697.95</w:t>
            </w:r>
          </w:p>
        </w:tc>
      </w:tr>
      <w:tr>
        <w:trPr>
          <w:trHeight w:val="347"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9,155,509.54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1,960,249.78</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110,759,559.00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121,875,318.32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82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3049"/>
        <w:gridCol w:w="1258"/>
        <w:gridCol w:w="1266"/>
        <w:gridCol w:w="1246"/>
        <w:gridCol w:w="1046"/>
        <w:gridCol w:w="1260"/>
      </w:tblGrid>
      <w:tr>
        <w:trPr>
          <w:trHeight w:val="348"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金融负债和或有负债合计</w:t>
            </w:r>
            <w:r>
              <w:rPr>
                <w:rFonts w:ascii="宋体" w:hAnsi="宋体" w:cs="宋体" w:eastAsia="宋体" w:hint="default"/>
                <w:sz w:val="18"/>
                <w:szCs w:val="18"/>
              </w:rPr>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6" w:right="0"/>
              <w:jc w:val="left"/>
              <w:rPr>
                <w:rFonts w:ascii="Times New Roman" w:hAnsi="Times New Roman" w:cs="Times New Roman" w:eastAsia="Times New Roman" w:hint="default"/>
                <w:sz w:val="18"/>
                <w:szCs w:val="18"/>
              </w:rPr>
            </w:pPr>
            <w:r>
              <w:rPr>
                <w:rFonts w:ascii="Times New Roman"/>
                <w:sz w:val="18"/>
              </w:rPr>
              <w:t>182,708,759.78</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13" w:right="0"/>
              <w:jc w:val="left"/>
              <w:rPr>
                <w:rFonts w:ascii="Times New Roman" w:hAnsi="Times New Roman" w:cs="Times New Roman" w:eastAsia="Times New Roman" w:hint="default"/>
                <w:sz w:val="18"/>
                <w:szCs w:val="18"/>
              </w:rPr>
            </w:pPr>
            <w:r>
              <w:rPr>
                <w:rFonts w:ascii="Times New Roman"/>
                <w:sz w:val="18"/>
              </w:rPr>
              <w:t>13,910,820.81</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4" w:right="0"/>
              <w:jc w:val="left"/>
              <w:rPr>
                <w:rFonts w:ascii="Times New Roman" w:hAnsi="Times New Roman" w:cs="Times New Roman" w:eastAsia="Times New Roman" w:hint="default"/>
                <w:sz w:val="18"/>
                <w:szCs w:val="18"/>
              </w:rPr>
            </w:pPr>
            <w:r>
              <w:rPr>
                <w:rFonts w:ascii="Times New Roman"/>
                <w:sz w:val="18"/>
              </w:rPr>
              <w:t>110,759,559.00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17" w:right="0"/>
              <w:jc w:val="left"/>
              <w:rPr>
                <w:rFonts w:ascii="Times New Roman" w:hAnsi="Times New Roman" w:cs="Times New Roman" w:eastAsia="Times New Roman" w:hint="default"/>
                <w:sz w:val="18"/>
                <w:szCs w:val="18"/>
              </w:rPr>
            </w:pPr>
            <w:r>
              <w:rPr>
                <w:rFonts w:ascii="Times New Roman"/>
                <w:sz w:val="18"/>
              </w:rPr>
              <w:t>307,379,139.59</w:t>
            </w:r>
          </w:p>
        </w:tc>
      </w:tr>
    </w:tbl>
    <w:p>
      <w:pPr>
        <w:spacing w:line="240" w:lineRule="auto" w:before="4"/>
        <w:rPr>
          <w:rFonts w:ascii="宋体" w:hAnsi="宋体" w:cs="宋体" w:eastAsia="宋体" w:hint="default"/>
          <w:sz w:val="5"/>
          <w:szCs w:val="5"/>
        </w:rPr>
      </w:pPr>
    </w:p>
    <w:p>
      <w:pPr>
        <w:pStyle w:val="BodyText"/>
        <w:spacing w:line="240" w:lineRule="auto" w:before="35"/>
        <w:ind w:right="0"/>
        <w:jc w:val="both"/>
      </w:pPr>
      <w:r>
        <w:rPr/>
        <w:t>上表中披露的金融负债金额为未经折现的合同现金流量，因而可能与资产负债表中的账面金额有所不同。</w:t>
      </w:r>
    </w:p>
    <w:p>
      <w:pPr>
        <w:spacing w:line="240" w:lineRule="auto" w:before="5"/>
        <w:rPr>
          <w:rFonts w:ascii="宋体" w:hAnsi="宋体" w:cs="宋体" w:eastAsia="宋体" w:hint="default"/>
          <w:sz w:val="19"/>
          <w:szCs w:val="19"/>
        </w:rPr>
      </w:pPr>
    </w:p>
    <w:p>
      <w:pPr>
        <w:pStyle w:val="BodyText"/>
        <w:spacing w:line="240" w:lineRule="auto"/>
        <w:ind w:left="153" w:right="0"/>
        <w:jc w:val="both"/>
      </w:pPr>
      <w:r>
        <w:rPr/>
        <w:t>（</w:t>
      </w:r>
      <w:r>
        <w:rPr>
          <w:rFonts w:ascii="Times New Roman" w:hAnsi="Times New Roman" w:cs="Times New Roman" w:eastAsia="Times New Roman" w:hint="default"/>
        </w:rPr>
        <w:t>3</w:t>
      </w:r>
      <w:r>
        <w:rPr/>
        <w:t>）市场风险</w:t>
      </w:r>
    </w:p>
    <w:p>
      <w:pPr>
        <w:spacing w:line="240" w:lineRule="auto" w:before="2"/>
        <w:rPr>
          <w:rFonts w:ascii="宋体" w:hAnsi="宋体" w:cs="宋体" w:eastAsia="宋体" w:hint="default"/>
          <w:sz w:val="18"/>
          <w:szCs w:val="18"/>
        </w:rPr>
      </w:pPr>
    </w:p>
    <w:p>
      <w:pPr>
        <w:pStyle w:val="BodyText"/>
        <w:spacing w:line="273" w:lineRule="auto"/>
        <w:ind w:right="209"/>
        <w:jc w:val="both"/>
      </w:pPr>
      <w:r>
        <w:rPr>
          <w:spacing w:val="-1"/>
        </w:rPr>
        <w:t>金融工具的市场风险，是指金融工具的公允价值或未来现金流量因市场价格变动而发生波动的风险，包括</w:t>
      </w:r>
      <w:r>
        <w:rPr>
          <w:spacing w:val="-81"/>
        </w:rPr>
        <w:t> </w:t>
      </w:r>
      <w:r>
        <w:rPr>
          <w:spacing w:val="-81"/>
        </w:rPr>
      </w:r>
      <w:r>
        <w:rPr/>
        <w:t>利率风险、汇率风险和其他价格风险。</w:t>
      </w:r>
    </w:p>
    <w:p>
      <w:pPr>
        <w:spacing w:line="240" w:lineRule="auto" w:before="1"/>
        <w:rPr>
          <w:rFonts w:ascii="宋体" w:hAnsi="宋体" w:cs="宋体" w:eastAsia="宋体" w:hint="default"/>
          <w:sz w:val="17"/>
          <w:szCs w:val="17"/>
        </w:rPr>
      </w:pPr>
    </w:p>
    <w:p>
      <w:pPr>
        <w:pStyle w:val="BodyText"/>
        <w:spacing w:line="240" w:lineRule="auto"/>
        <w:ind w:right="0"/>
        <w:jc w:val="both"/>
      </w:pPr>
      <w:r>
        <w:rPr/>
        <w:t>利率风险</w:t>
      </w:r>
    </w:p>
    <w:p>
      <w:pPr>
        <w:spacing w:line="240" w:lineRule="auto" w:before="5"/>
        <w:rPr>
          <w:rFonts w:ascii="宋体" w:hAnsi="宋体" w:cs="宋体" w:eastAsia="宋体" w:hint="default"/>
          <w:sz w:val="19"/>
          <w:szCs w:val="19"/>
        </w:rPr>
      </w:pPr>
    </w:p>
    <w:p>
      <w:pPr>
        <w:pStyle w:val="BodyText"/>
        <w:spacing w:line="273" w:lineRule="auto"/>
        <w:ind w:right="209"/>
        <w:jc w:val="both"/>
      </w:pPr>
      <w:r>
        <w:rPr>
          <w:spacing w:val="-1"/>
        </w:rPr>
        <w:t>利率风险，是指金融工具的公允价值或未来现金流量因市场利率变动而发生波动的风险。利率风险可源于</w:t>
      </w:r>
      <w:r>
        <w:rPr>
          <w:spacing w:val="-81"/>
        </w:rPr>
        <w:t> </w:t>
      </w:r>
      <w:r>
        <w:rPr>
          <w:spacing w:val="-81"/>
        </w:rPr>
      </w:r>
      <w:r>
        <w:rPr/>
        <w:t>已确认的计息金融工具和未确认的金融工具（如某些贷款承诺）。</w:t>
      </w:r>
    </w:p>
    <w:p>
      <w:pPr>
        <w:spacing w:line="240" w:lineRule="auto" w:before="1"/>
        <w:rPr>
          <w:rFonts w:ascii="宋体" w:hAnsi="宋体" w:cs="宋体" w:eastAsia="宋体" w:hint="default"/>
          <w:sz w:val="17"/>
          <w:szCs w:val="17"/>
        </w:rPr>
      </w:pPr>
    </w:p>
    <w:p>
      <w:pPr>
        <w:pStyle w:val="BodyText"/>
        <w:spacing w:line="460" w:lineRule="auto"/>
        <w:ind w:right="6050"/>
        <w:jc w:val="left"/>
      </w:pPr>
      <w:r>
        <w:rPr/>
        <w:t>本集团的利率风险主要产生于货币资金。 汇率风险</w:t>
      </w:r>
    </w:p>
    <w:p>
      <w:pPr>
        <w:pStyle w:val="BodyText"/>
        <w:spacing w:line="273" w:lineRule="auto" w:before="60"/>
        <w:ind w:right="209"/>
        <w:jc w:val="both"/>
      </w:pPr>
      <w:r>
        <w:rPr>
          <w:spacing w:val="-1"/>
        </w:rPr>
        <w:t>汇率风险，是指金融工具的公允价值或未来现金流量因外汇汇率变动而发生波动的风险。汇率风险可源于</w:t>
      </w:r>
      <w:r>
        <w:rPr>
          <w:spacing w:val="-81"/>
        </w:rPr>
        <w:t> </w:t>
      </w:r>
      <w:r>
        <w:rPr>
          <w:spacing w:val="-81"/>
        </w:rPr>
      </w:r>
      <w:r>
        <w:rPr/>
        <w:t>以记账本位币之外的外币进行计价的金融工具。</w:t>
      </w:r>
    </w:p>
    <w:p>
      <w:pPr>
        <w:spacing w:line="240" w:lineRule="auto" w:before="1"/>
        <w:rPr>
          <w:rFonts w:ascii="宋体" w:hAnsi="宋体" w:cs="宋体" w:eastAsia="宋体" w:hint="default"/>
          <w:sz w:val="17"/>
          <w:szCs w:val="17"/>
        </w:rPr>
      </w:pPr>
    </w:p>
    <w:p>
      <w:pPr>
        <w:pStyle w:val="BodyText"/>
        <w:spacing w:line="273" w:lineRule="auto"/>
        <w:ind w:right="211"/>
        <w:jc w:val="both"/>
      </w:pPr>
      <w:r>
        <w:rPr>
          <w:spacing w:val="-1"/>
        </w:rPr>
        <w:t>本集团的主要经营位于中国境内，主要业务以人民币结算。因此，本集团所承担的外汇变动市场风险不重</w:t>
      </w:r>
      <w:r>
        <w:rPr>
          <w:spacing w:val="-83"/>
        </w:rPr>
        <w:t> </w:t>
      </w:r>
      <w:r>
        <w:rPr>
          <w:spacing w:val="-83"/>
        </w:rPr>
      </w:r>
      <w:r>
        <w:rPr/>
        <w:t>大。</w:t>
      </w:r>
    </w:p>
    <w:p>
      <w:pPr>
        <w:spacing w:line="240" w:lineRule="auto" w:before="6"/>
        <w:rPr>
          <w:rFonts w:ascii="宋体" w:hAnsi="宋体" w:cs="宋体" w:eastAsia="宋体" w:hint="default"/>
          <w:sz w:val="20"/>
          <w:szCs w:val="20"/>
        </w:rPr>
      </w:pPr>
    </w:p>
    <w:p>
      <w:pPr>
        <w:pStyle w:val="BodyText"/>
        <w:spacing w:line="482" w:lineRule="auto"/>
        <w:ind w:right="209"/>
        <w:jc w:val="both"/>
      </w:pPr>
      <w:r>
        <w:rPr/>
        <w:t>本集团年末外币金融资产和外币金融负债列示见本附注项目注释其他之外币货币性项目说明。 其他价格风险</w:t>
      </w:r>
    </w:p>
    <w:p>
      <w:pPr>
        <w:pStyle w:val="BodyText"/>
        <w:spacing w:line="237" w:lineRule="auto" w:before="67"/>
        <w:ind w:right="209"/>
        <w:jc w:val="both"/>
      </w:pPr>
      <w:r>
        <w:rPr>
          <w:spacing w:val="-1"/>
        </w:rPr>
        <w:t>其他价格风险，是指汇率风险和利率风险以外的市场价格变动而发生波动的风险，无论这些变动是由于与</w:t>
      </w:r>
      <w:r>
        <w:rPr>
          <w:spacing w:val="-81"/>
        </w:rPr>
        <w:t> </w:t>
      </w:r>
      <w:r>
        <w:rPr>
          <w:spacing w:val="-81"/>
        </w:rPr>
      </w:r>
      <w:r>
        <w:rPr>
          <w:spacing w:val="-1"/>
        </w:rPr>
        <w:t>单项金融工具或其发行方有关的因素而引起的，还是由于与市场内交易的所有类似金融工具有关的因素而</w:t>
      </w:r>
      <w:r>
        <w:rPr>
          <w:spacing w:val="-81"/>
        </w:rPr>
        <w:t> </w:t>
      </w:r>
      <w:r>
        <w:rPr>
          <w:spacing w:val="-81"/>
        </w:rPr>
      </w:r>
      <w:r>
        <w:rPr/>
        <w:t>引起的。其他价格风险可源于商品价格或权益工具价格等的变化。</w:t>
      </w:r>
    </w:p>
    <w:p>
      <w:pPr>
        <w:spacing w:line="240" w:lineRule="auto" w:before="3"/>
        <w:rPr>
          <w:rFonts w:ascii="宋体" w:hAnsi="宋体" w:cs="宋体" w:eastAsia="宋体" w:hint="default"/>
          <w:sz w:val="21"/>
          <w:szCs w:val="21"/>
        </w:rPr>
      </w:pPr>
    </w:p>
    <w:p>
      <w:pPr>
        <w:pStyle w:val="BodyText"/>
        <w:spacing w:line="240" w:lineRule="auto"/>
        <w:ind w:right="209"/>
        <w:jc w:val="both"/>
      </w:pPr>
      <w:r>
        <w:rPr>
          <w:spacing w:val="-1"/>
        </w:rPr>
        <w:t>本集团持有的分类为可供出售金融资产的投资在资产负债表日以公允价值计量。因此，本集团承担着证券</w:t>
      </w:r>
      <w:r>
        <w:rPr>
          <w:spacing w:val="-81"/>
        </w:rPr>
        <w:t> </w:t>
      </w:r>
      <w:r>
        <w:rPr>
          <w:spacing w:val="-81"/>
        </w:rPr>
      </w:r>
      <w:r>
        <w:rPr/>
        <w:t>市场变动的风险。</w:t>
      </w:r>
    </w:p>
    <w:p>
      <w:pPr>
        <w:spacing w:line="240" w:lineRule="auto" w:before="4"/>
        <w:rPr>
          <w:rFonts w:ascii="宋体" w:hAnsi="宋体" w:cs="宋体" w:eastAsia="宋体" w:hint="default"/>
          <w:sz w:val="21"/>
          <w:szCs w:val="21"/>
        </w:rPr>
      </w:pPr>
    </w:p>
    <w:p>
      <w:pPr>
        <w:pStyle w:val="BodyText"/>
        <w:spacing w:line="237" w:lineRule="auto"/>
        <w:ind w:right="209"/>
        <w:jc w:val="both"/>
      </w:pPr>
      <w:r>
        <w:rPr>
          <w:spacing w:val="-1"/>
        </w:rPr>
        <w:t>本集团密切关注价格变动对本集团权益证券投资价格风险的影响。本集团目前并未采取任何措施规避其他</w:t>
      </w:r>
      <w:r>
        <w:rPr>
          <w:spacing w:val="-81"/>
        </w:rPr>
        <w:t> </w:t>
      </w:r>
      <w:r>
        <w:rPr>
          <w:spacing w:val="-81"/>
        </w:rPr>
      </w:r>
      <w:r>
        <w:rPr>
          <w:spacing w:val="-1"/>
        </w:rPr>
        <w:t>价格风险。但管理层负责监控其他价格风险，并将于需要时考虑采取持有多种权益证券组合的方式降低权</w:t>
      </w:r>
      <w:r>
        <w:rPr>
          <w:spacing w:val="-81"/>
        </w:rPr>
        <w:t> </w:t>
      </w:r>
      <w:r>
        <w:rPr>
          <w:spacing w:val="-81"/>
        </w:rPr>
      </w:r>
      <w:r>
        <w:rPr/>
        <w:t>益证券投资的价格风险。</w:t>
      </w:r>
    </w:p>
    <w:p>
      <w:pPr>
        <w:spacing w:line="240" w:lineRule="auto" w:before="1"/>
        <w:rPr>
          <w:rFonts w:ascii="宋体" w:hAnsi="宋体" w:cs="宋体" w:eastAsia="宋体" w:hint="default"/>
          <w:sz w:val="21"/>
          <w:szCs w:val="21"/>
        </w:rPr>
      </w:pPr>
    </w:p>
    <w:p>
      <w:pPr>
        <w:pStyle w:val="BodyText"/>
        <w:spacing w:line="240" w:lineRule="auto"/>
        <w:ind w:right="209"/>
        <w:jc w:val="both"/>
      </w:pPr>
      <w:r>
        <w:rPr>
          <w:spacing w:val="-4"/>
        </w:rPr>
        <w:t>在其他变量不变的情况下，权益证券投资价格本年</w:t>
      </w:r>
      <w:r>
        <w:rPr>
          <w:spacing w:val="-45"/>
        </w:rPr>
        <w:t> </w:t>
      </w:r>
      <w:r>
        <w:rPr/>
        <w:t>5%的变动对本集团当期损益及其他综合收益的税后影响</w:t>
      </w:r>
      <w:r>
        <w:rPr>
          <w:spacing w:val="-103"/>
        </w:rPr>
        <w:t> </w:t>
      </w:r>
      <w:r>
        <w:rPr>
          <w:spacing w:val="-103"/>
        </w:rPr>
      </w:r>
      <w:r>
        <w:rPr>
          <w:spacing w:val="-9"/>
        </w:rPr>
        <w:t>如下（单位：人民币万元）：</w:t>
      </w:r>
    </w:p>
    <w:p>
      <w:pPr>
        <w:spacing w:line="240" w:lineRule="auto" w:before="10"/>
        <w:rPr>
          <w:rFonts w:ascii="宋体" w:hAnsi="宋体" w:cs="宋体" w:eastAsia="宋体" w:hint="default"/>
          <w:sz w:val="23"/>
          <w:szCs w:val="23"/>
        </w:rPr>
      </w:pPr>
    </w:p>
    <w:tbl>
      <w:tblPr>
        <w:tblW w:w="0" w:type="auto"/>
        <w:jc w:val="left"/>
        <w:tblInd w:w="153" w:type="dxa"/>
        <w:tblLayout w:type="fixed"/>
        <w:tblCellMar>
          <w:top w:w="0" w:type="dxa"/>
          <w:left w:w="0" w:type="dxa"/>
          <w:bottom w:w="0" w:type="dxa"/>
          <w:right w:w="0" w:type="dxa"/>
        </w:tblCellMar>
        <w:tblLook w:val="01E0"/>
      </w:tblPr>
      <w:tblGrid>
        <w:gridCol w:w="2988"/>
        <w:gridCol w:w="1661"/>
        <w:gridCol w:w="1660"/>
        <w:gridCol w:w="1660"/>
        <w:gridCol w:w="1661"/>
      </w:tblGrid>
      <w:tr>
        <w:trPr>
          <w:trHeight w:val="397" w:hRule="exact"/>
        </w:trPr>
        <w:tc>
          <w:tcPr>
            <w:tcW w:w="298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tabs>
                <w:tab w:pos="421" w:val="left" w:leader="none"/>
              </w:tabs>
              <w:spacing w:line="240" w:lineRule="auto"/>
              <w:ind w:right="1"/>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3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601" w:right="0"/>
              <w:jc w:val="left"/>
              <w:rPr>
                <w:rFonts w:ascii="宋体" w:hAnsi="宋体" w:cs="宋体" w:eastAsia="宋体" w:hint="default"/>
                <w:sz w:val="21"/>
                <w:szCs w:val="21"/>
              </w:rPr>
            </w:pPr>
            <w:r>
              <w:rPr>
                <w:rFonts w:ascii="宋体" w:hAnsi="宋体" w:cs="宋体" w:eastAsia="宋体" w:hint="default"/>
                <w:b/>
                <w:bCs/>
                <w:sz w:val="21"/>
                <w:szCs w:val="21"/>
              </w:rPr>
              <w:t>税后利润上升（下降）</w:t>
            </w:r>
            <w:r>
              <w:rPr>
                <w:rFonts w:ascii="宋体" w:hAnsi="宋体" w:cs="宋体" w:eastAsia="宋体" w:hint="default"/>
                <w:sz w:val="21"/>
                <w:szCs w:val="21"/>
              </w:rPr>
            </w:r>
          </w:p>
        </w:tc>
        <w:tc>
          <w:tcPr>
            <w:tcW w:w="3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390" w:right="0"/>
              <w:jc w:val="left"/>
              <w:rPr>
                <w:rFonts w:ascii="宋体" w:hAnsi="宋体" w:cs="宋体" w:eastAsia="宋体" w:hint="default"/>
                <w:sz w:val="21"/>
                <w:szCs w:val="21"/>
              </w:rPr>
            </w:pPr>
            <w:r>
              <w:rPr>
                <w:rFonts w:ascii="宋体" w:hAnsi="宋体" w:cs="宋体" w:eastAsia="宋体" w:hint="default"/>
                <w:b/>
                <w:bCs/>
                <w:sz w:val="21"/>
                <w:szCs w:val="21"/>
              </w:rPr>
              <w:t>其他综合收益上升（下降）</w:t>
            </w:r>
            <w:r>
              <w:rPr>
                <w:rFonts w:ascii="宋体" w:hAnsi="宋体" w:cs="宋体" w:eastAsia="宋体" w:hint="default"/>
                <w:sz w:val="21"/>
                <w:szCs w:val="21"/>
              </w:rPr>
            </w:r>
          </w:p>
        </w:tc>
      </w:tr>
      <w:tr>
        <w:trPr>
          <w:trHeight w:val="397" w:hRule="exact"/>
        </w:trPr>
        <w:tc>
          <w:tcPr>
            <w:tcW w:w="2988" w:type="dxa"/>
            <w:vMerge/>
            <w:tcBorders>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b/>
                <w:bCs/>
                <w:sz w:val="21"/>
                <w:szCs w:val="21"/>
              </w:rPr>
              <w:t>本年数</w:t>
            </w:r>
            <w:r>
              <w:rPr>
                <w:rFonts w:ascii="宋体" w:hAnsi="宋体" w:cs="宋体" w:eastAsia="宋体" w:hint="default"/>
                <w:sz w:val="21"/>
                <w:szCs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21"/>
                <w:szCs w:val="21"/>
              </w:rPr>
            </w:pPr>
            <w:r>
              <w:rPr>
                <w:rFonts w:ascii="宋体" w:hAnsi="宋体" w:cs="宋体" w:eastAsia="宋体" w:hint="default"/>
                <w:b/>
                <w:bCs/>
                <w:sz w:val="21"/>
                <w:szCs w:val="21"/>
              </w:rPr>
              <w:t>上年数</w:t>
            </w:r>
            <w:r>
              <w:rPr>
                <w:rFonts w:ascii="宋体" w:hAnsi="宋体" w:cs="宋体" w:eastAsia="宋体" w:hint="default"/>
                <w:sz w:val="21"/>
                <w:szCs w:val="21"/>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8" w:right="0"/>
              <w:jc w:val="left"/>
              <w:rPr>
                <w:rFonts w:ascii="宋体" w:hAnsi="宋体" w:cs="宋体" w:eastAsia="宋体" w:hint="default"/>
                <w:sz w:val="21"/>
                <w:szCs w:val="21"/>
              </w:rPr>
            </w:pPr>
            <w:r>
              <w:rPr>
                <w:rFonts w:ascii="宋体" w:hAnsi="宋体" w:cs="宋体" w:eastAsia="宋体" w:hint="default"/>
                <w:b/>
                <w:bCs/>
                <w:sz w:val="21"/>
                <w:szCs w:val="21"/>
              </w:rPr>
              <w:t>本年数</w:t>
            </w:r>
            <w:r>
              <w:rPr>
                <w:rFonts w:ascii="宋体" w:hAnsi="宋体" w:cs="宋体" w:eastAsia="宋体" w:hint="default"/>
                <w:sz w:val="21"/>
                <w:szCs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b/>
                <w:bCs/>
                <w:sz w:val="21"/>
                <w:szCs w:val="21"/>
              </w:rPr>
              <w:t>上年数</w:t>
            </w:r>
            <w:r>
              <w:rPr>
                <w:rFonts w:ascii="宋体" w:hAnsi="宋体" w:cs="宋体" w:eastAsia="宋体" w:hint="default"/>
                <w:sz w:val="21"/>
                <w:szCs w:val="21"/>
              </w:rPr>
            </w:r>
          </w:p>
        </w:tc>
      </w:tr>
      <w:tr>
        <w:trPr>
          <w:trHeight w:val="397"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因权益证券投资价格上升</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1,037.81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97"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因权益证券投资价格下降</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21"/>
                <w:szCs w:val="21"/>
              </w:rPr>
            </w:pPr>
            <w:r>
              <w:rPr>
                <w:rFonts w:ascii="宋体"/>
                <w:spacing w:val="-1"/>
                <w:sz w:val="21"/>
              </w:rPr>
              <w:t>-1,037.81</w:t>
            </w:r>
            <w:r>
              <w:rPr>
                <w:rFonts w:ascii="宋体"/>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after="0" w:line="240" w:lineRule="auto"/>
        <w:jc w:val="center"/>
        <w:rPr>
          <w:rFonts w:ascii="宋体" w:hAnsi="宋体" w:cs="宋体" w:eastAsia="宋体" w:hint="default"/>
          <w:sz w:val="21"/>
          <w:szCs w:val="21"/>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rFonts w:ascii="Times New Roman" w:hAnsi="Times New Roman" w:cs="Times New Roman" w:eastAsia="Times New Roman" w:hint="default"/>
        </w:rPr>
        <w:t>2</w:t>
      </w:r>
      <w:r>
        <w:rPr/>
        <w:t>、资本管理</w:t>
      </w:r>
    </w:p>
    <w:p>
      <w:pPr>
        <w:spacing w:line="240" w:lineRule="auto" w:before="2"/>
        <w:rPr>
          <w:rFonts w:ascii="宋体" w:hAnsi="宋体" w:cs="宋体" w:eastAsia="宋体" w:hint="default"/>
          <w:sz w:val="18"/>
          <w:szCs w:val="18"/>
        </w:rPr>
      </w:pPr>
    </w:p>
    <w:p>
      <w:pPr>
        <w:pStyle w:val="BodyText"/>
        <w:spacing w:line="273" w:lineRule="auto"/>
        <w:ind w:right="0"/>
        <w:jc w:val="left"/>
      </w:pPr>
      <w:r>
        <w:rPr>
          <w:spacing w:val="-1"/>
        </w:rPr>
        <w:t>本集团资本管理政策的目标是为了保障本集团能够持续经营，从而为股东提供回报，并使其他利益相关者</w:t>
      </w:r>
      <w:r>
        <w:rPr>
          <w:spacing w:val="-81"/>
        </w:rPr>
        <w:t> </w:t>
      </w:r>
      <w:r>
        <w:rPr>
          <w:spacing w:val="-81"/>
        </w:rPr>
      </w:r>
      <w:r>
        <w:rPr/>
        <w:t>获益，同时维持最佳的资本结构以降低资本成本。</w:t>
      </w:r>
    </w:p>
    <w:p>
      <w:pPr>
        <w:spacing w:line="240" w:lineRule="auto" w:before="1"/>
        <w:rPr>
          <w:rFonts w:ascii="宋体" w:hAnsi="宋体" w:cs="宋体" w:eastAsia="宋体" w:hint="default"/>
          <w:sz w:val="17"/>
          <w:szCs w:val="17"/>
        </w:rPr>
      </w:pPr>
    </w:p>
    <w:p>
      <w:pPr>
        <w:pStyle w:val="BodyText"/>
        <w:spacing w:line="273" w:lineRule="auto"/>
        <w:ind w:right="0"/>
        <w:jc w:val="left"/>
      </w:pPr>
      <w:r>
        <w:rPr>
          <w:spacing w:val="-1"/>
        </w:rPr>
        <w:t>为了维持或调整资本结构，本集团可能会调整支付给股东的股利金额、向股东返还资本、发行新股或出售</w:t>
      </w:r>
      <w:r>
        <w:rPr>
          <w:spacing w:val="-83"/>
        </w:rPr>
        <w:t> </w:t>
      </w:r>
      <w:r>
        <w:rPr>
          <w:spacing w:val="-83"/>
        </w:rPr>
      </w:r>
      <w:r>
        <w:rPr/>
        <w:t>资产以减低债务。</w:t>
      </w:r>
    </w:p>
    <w:p>
      <w:pPr>
        <w:spacing w:line="240" w:lineRule="auto" w:before="1"/>
        <w:rPr>
          <w:rFonts w:ascii="宋体" w:hAnsi="宋体" w:cs="宋体" w:eastAsia="宋体" w:hint="default"/>
          <w:sz w:val="17"/>
          <w:szCs w:val="17"/>
        </w:rPr>
      </w:pPr>
    </w:p>
    <w:p>
      <w:pPr>
        <w:pStyle w:val="BodyText"/>
        <w:spacing w:line="256" w:lineRule="auto"/>
        <w:ind w:right="0"/>
        <w:jc w:val="left"/>
      </w:pPr>
      <w:r>
        <w:rPr>
          <w:spacing w:val="-1"/>
        </w:rPr>
        <w:t>本集团以资产负债率（即总负债除以总资产）为基础对资本结构进行监控。于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日，本集团的</w:t>
      </w:r>
      <w:r>
        <w:rPr>
          <w:spacing w:val="-83"/>
        </w:rPr>
        <w:t> </w:t>
      </w:r>
      <w:r>
        <w:rPr>
          <w:spacing w:val="-83"/>
        </w:rPr>
      </w:r>
      <w:r>
        <w:rPr/>
        <w:t>资产负债率为</w:t>
      </w:r>
      <w:r>
        <w:rPr>
          <w:rFonts w:ascii="Times New Roman" w:hAnsi="Times New Roman" w:cs="Times New Roman" w:eastAsia="Times New Roman" w:hint="default"/>
        </w:rPr>
        <w:t>24.47%</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27.95%</w:t>
      </w:r>
      <w:r>
        <w:rPr/>
        <w:t>）。</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126"/>
        <w:gridCol w:w="1984"/>
        <w:gridCol w:w="1986"/>
        <w:gridCol w:w="1984"/>
        <w:gridCol w:w="1490"/>
      </w:tblGrid>
      <w:tr>
        <w:trPr>
          <w:trHeight w:val="402" w:hRule="exact"/>
        </w:trPr>
        <w:tc>
          <w:tcPr>
            <w:tcW w:w="21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44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2126" w:type="dxa"/>
            <w:vMerge/>
            <w:tcBorders>
              <w:left w:val="single" w:sz="4" w:space="0" w:color="000000"/>
              <w:bottom w:val="single" w:sz="4" w:space="0" w:color="000000"/>
              <w:right w:val="single" w:sz="4" w:space="0" w:color="000000"/>
            </w:tcBorders>
            <w:shd w:val="clear" w:color="auto" w:fill="D3D3D3"/>
          </w:tcPr>
          <w:p>
            <w:pP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6"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0"/>
              <w:jc w:val="right"/>
              <w:rPr>
                <w:rFonts w:ascii="宋体" w:hAnsi="宋体" w:cs="宋体" w:eastAsia="宋体" w:hint="default"/>
                <w:sz w:val="18"/>
                <w:szCs w:val="18"/>
              </w:rPr>
            </w:pPr>
            <w:r>
              <w:rPr>
                <w:rFonts w:ascii="宋体"/>
                <w:sz w:val="18"/>
              </w:rPr>
              <w:t>230,625,000.00</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3"/>
              <w:jc w:val="right"/>
              <w:rPr>
                <w:rFonts w:ascii="宋体" w:hAnsi="宋体" w:cs="宋体" w:eastAsia="宋体" w:hint="default"/>
                <w:sz w:val="18"/>
                <w:szCs w:val="18"/>
              </w:rPr>
            </w:pPr>
            <w:r>
              <w:rPr>
                <w:rFonts w:ascii="宋体"/>
                <w:sz w:val="18"/>
              </w:rPr>
              <w:t>230,625,000.00</w:t>
            </w:r>
          </w:p>
        </w:tc>
      </w:tr>
      <w:tr>
        <w:trPr>
          <w:trHeight w:val="402"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0"/>
              <w:jc w:val="right"/>
              <w:rPr>
                <w:rFonts w:ascii="宋体" w:hAnsi="宋体" w:cs="宋体" w:eastAsia="宋体" w:hint="default"/>
                <w:sz w:val="18"/>
                <w:szCs w:val="18"/>
              </w:rPr>
            </w:pPr>
            <w:r>
              <w:rPr>
                <w:rFonts w:ascii="宋体"/>
                <w:sz w:val="18"/>
              </w:rPr>
              <w:t>230,625,000.00</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3"/>
              <w:jc w:val="right"/>
              <w:rPr>
                <w:rFonts w:ascii="宋体" w:hAnsi="宋体" w:cs="宋体" w:eastAsia="宋体" w:hint="default"/>
                <w:sz w:val="18"/>
                <w:szCs w:val="18"/>
              </w:rPr>
            </w:pPr>
            <w:r>
              <w:rPr>
                <w:rFonts w:ascii="宋体"/>
                <w:sz w:val="18"/>
              </w:rPr>
              <w:t>230,625,000.00</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二、非持续的公允价值计 量</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3"/>
              <w:jc w:val="both"/>
              <w:rPr>
                <w:rFonts w:ascii="宋体" w:hAnsi="宋体" w:cs="宋体" w:eastAsia="宋体" w:hint="default"/>
                <w:sz w:val="18"/>
                <w:szCs w:val="18"/>
              </w:rPr>
            </w:pPr>
            <w:r>
              <w:rPr>
                <w:rFonts w:ascii="宋体" w:hAnsi="宋体" w:cs="宋体" w:eastAsia="宋体" w:hint="default"/>
                <w:sz w:val="18"/>
                <w:szCs w:val="18"/>
              </w:rPr>
              <w:t>非同一控制下企业合并中 取得的被购买方各项可辨 认资产</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77,994,626.83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77,994,626.83</w:t>
            </w:r>
          </w:p>
        </w:tc>
      </w:tr>
      <w:tr>
        <w:trPr>
          <w:trHeight w:val="714"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非持续以公允价值计量的 资产总额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77,994,626.83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77,994,626.83</w:t>
            </w:r>
          </w:p>
        </w:tc>
      </w:tr>
      <w:tr>
        <w:trPr>
          <w:trHeight w:val="1026"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3"/>
              <w:jc w:val="both"/>
              <w:rPr>
                <w:rFonts w:ascii="宋体" w:hAnsi="宋体" w:cs="宋体" w:eastAsia="宋体" w:hint="default"/>
                <w:sz w:val="18"/>
                <w:szCs w:val="18"/>
              </w:rPr>
            </w:pPr>
            <w:r>
              <w:rPr>
                <w:rFonts w:ascii="宋体" w:hAnsi="宋体" w:cs="宋体" w:eastAsia="宋体" w:hint="default"/>
                <w:sz w:val="18"/>
                <w:szCs w:val="18"/>
              </w:rPr>
              <w:t>非同一控制下企业合并中 取得的被购买方各项可辨 认负债</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14,075,067.89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14,075,067.89</w:t>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非持续以公允价值计量的 负债总额</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14,075,067.89</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14,075,067.89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5" w:firstLine="525"/>
        <w:jc w:val="left"/>
      </w:pPr>
      <w:r>
        <w:rPr/>
        <w:t>第一层次公允价值计量为深圳市中新赛克科技股份有限公司在深交所上市，本公司持有的股权按公 允价值计量。</w:t>
      </w:r>
    </w:p>
    <w:p>
      <w:pPr>
        <w:spacing w:line="240" w:lineRule="auto" w:before="7"/>
        <w:rPr>
          <w:rFonts w:ascii="宋体" w:hAnsi="宋体" w:cs="宋体" w:eastAsia="宋体" w:hint="default"/>
          <w:sz w:val="23"/>
          <w:szCs w:val="23"/>
        </w:rPr>
      </w:pPr>
    </w:p>
    <w:p>
      <w:pPr>
        <w:spacing w:line="506" w:lineRule="auto" w:before="0"/>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b/>
          <w:bCs/>
          <w:w w:val="99"/>
          <w:sz w:val="21"/>
          <w:szCs w:val="21"/>
        </w:rPr>
        <w:t> </w:t>
      </w:r>
      <w:r>
        <w:rPr>
          <w:rFonts w:ascii="宋体" w:hAnsi="宋体" w:cs="宋体" w:eastAsia="宋体" w:hint="default"/>
          <w:spacing w:val="-1"/>
          <w:sz w:val="21"/>
          <w:szCs w:val="21"/>
        </w:rPr>
        <w:t>直接（即价格）或间接（即从价格推导出）地使用除第一层次中的资产或负债的市场报价之外的可观</w:t>
      </w:r>
    </w:p>
    <w:p>
      <w:pPr>
        <w:spacing w:after="0" w:line="50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察输入值。</w:t>
      </w:r>
    </w:p>
    <w:p>
      <w:pPr>
        <w:spacing w:line="590" w:lineRule="atLeast" w:before="38"/>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b/>
          <w:bCs/>
          <w:w w:val="99"/>
          <w:sz w:val="21"/>
          <w:szCs w:val="21"/>
        </w:rPr>
        <w:t> </w:t>
      </w:r>
      <w:r>
        <w:rPr>
          <w:rFonts w:ascii="宋体" w:hAnsi="宋体" w:cs="宋体" w:eastAsia="宋体" w:hint="default"/>
          <w:spacing w:val="3"/>
          <w:sz w:val="21"/>
          <w:szCs w:val="21"/>
        </w:rPr>
        <w:t>第三层次公允价值计量为2015年本公司通过非同一控制下企业合并中取得的被购买方各项可辨认资</w:t>
      </w:r>
      <w:r>
        <w:rPr>
          <w:rFonts w:ascii="宋体" w:hAnsi="宋体" w:cs="宋体" w:eastAsia="宋体" w:hint="default"/>
          <w:sz w:val="21"/>
          <w:szCs w:val="21"/>
        </w:rPr>
      </w:r>
    </w:p>
    <w:p>
      <w:pPr>
        <w:pStyle w:val="BodyText"/>
        <w:spacing w:line="240" w:lineRule="auto" w:before="37"/>
        <w:ind w:left="153" w:right="0"/>
        <w:jc w:val="left"/>
      </w:pPr>
      <w:r>
        <w:rPr/>
        <w:t>产、负债。</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6"/>
          <w:szCs w:val="26"/>
        </w:rPr>
      </w:pPr>
    </w:p>
    <w:p>
      <w:pPr>
        <w:spacing w:before="0"/>
        <w:ind w:left="405" w:right="9339" w:firstLine="0"/>
        <w:jc w:val="center"/>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6"/>
          <w:szCs w:val="26"/>
        </w:rPr>
      </w:pPr>
    </w:p>
    <w:p>
      <w:pPr>
        <w:spacing w:before="0"/>
        <w:ind w:left="405" w:right="9339" w:firstLine="0"/>
        <w:jc w:val="center"/>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6"/>
          <w:szCs w:val="26"/>
        </w:rPr>
      </w:pPr>
    </w:p>
    <w:p>
      <w:pPr>
        <w:spacing w:before="0"/>
        <w:ind w:left="405" w:right="9339" w:firstLine="0"/>
        <w:jc w:val="center"/>
        <w:rPr>
          <w:rFonts w:ascii="宋体" w:hAnsi="宋体" w:cs="宋体" w:eastAsia="宋体" w:hint="default"/>
          <w:sz w:val="18"/>
          <w:szCs w:val="18"/>
        </w:rPr>
      </w:pPr>
      <w:r>
        <w:rPr>
          <w:rFonts w:ascii="宋体" w:hAnsi="宋体" w:cs="宋体" w:eastAsia="宋体" w:hint="default"/>
          <w:sz w:val="18"/>
          <w:szCs w:val="18"/>
        </w:rPr>
        <w:t>无</w:t>
      </w:r>
    </w:p>
    <w:p>
      <w:pPr>
        <w:spacing w:line="590" w:lineRule="atLeast" w:before="50"/>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本集团以摊余成本计量的金融资产和金融负债主要包括：货币资金、应收票据、应收账款、其他应收</w:t>
      </w:r>
    </w:p>
    <w:p>
      <w:pPr>
        <w:pStyle w:val="BodyText"/>
        <w:spacing w:line="376" w:lineRule="auto" w:before="37"/>
        <w:ind w:left="573" w:right="1991" w:hanging="420"/>
        <w:jc w:val="left"/>
      </w:pPr>
      <w:r>
        <w:rPr/>
        <w:t>款、应付账款、其他应付款等。 本集团不以公允价值计量的金融资产和金融负债的账面价值与公允价值相差很小。</w:t>
      </w:r>
    </w:p>
    <w:p>
      <w:pPr>
        <w:spacing w:line="240" w:lineRule="auto" w:before="8"/>
        <w:rPr>
          <w:rFonts w:ascii="宋体" w:hAnsi="宋体" w:cs="宋体" w:eastAsia="宋体" w:hint="default"/>
          <w:sz w:val="16"/>
          <w:szCs w:val="16"/>
        </w:rPr>
      </w:pPr>
    </w:p>
    <w:p>
      <w:pPr>
        <w:pStyle w:val="Heading3"/>
        <w:spacing w:line="240" w:lineRule="auto"/>
        <w:ind w:left="153"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spacing w:before="0"/>
        <w:ind w:left="315" w:right="9429" w:firstLine="0"/>
        <w:jc w:val="center"/>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53" w:type="dxa"/>
        <w:tblLayout w:type="fixed"/>
        <w:tblCellMar>
          <w:top w:w="0" w:type="dxa"/>
          <w:left w:w="0" w:type="dxa"/>
          <w:bottom w:w="0" w:type="dxa"/>
          <w:right w:w="0" w:type="dxa"/>
        </w:tblCellMar>
        <w:tblLook w:val="01E0"/>
      </w:tblPr>
      <w:tblGrid>
        <w:gridCol w:w="2374"/>
        <w:gridCol w:w="7481"/>
      </w:tblGrid>
      <w:tr>
        <w:trPr>
          <w:trHeight w:val="332"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7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b/>
                <w:bCs/>
                <w:sz w:val="18"/>
                <w:szCs w:val="18"/>
              </w:rPr>
              <w:t>与本集团关系</w:t>
            </w:r>
            <w:r>
              <w:rPr>
                <w:rFonts w:ascii="宋体" w:hAnsi="宋体" w:cs="宋体" w:eastAsia="宋体" w:hint="default"/>
                <w:sz w:val="18"/>
                <w:szCs w:val="18"/>
              </w:rPr>
            </w:r>
          </w:p>
        </w:tc>
      </w:tr>
      <w:tr>
        <w:trPr>
          <w:trHeight w:val="412"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7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本公司副董事长，持有本公司</w:t>
            </w:r>
            <w:r>
              <w:rPr>
                <w:rFonts w:ascii="宋体" w:hAnsi="宋体" w:cs="宋体" w:eastAsia="宋体" w:hint="default"/>
                <w:spacing w:val="-46"/>
                <w:sz w:val="18"/>
                <w:szCs w:val="18"/>
              </w:rPr>
              <w:t> </w:t>
            </w:r>
            <w:r>
              <w:rPr>
                <w:rFonts w:ascii="宋体" w:hAnsi="宋体" w:cs="宋体" w:eastAsia="宋体" w:hint="default"/>
                <w:sz w:val="18"/>
                <w:szCs w:val="18"/>
              </w:rPr>
              <w:t>23.12%股份，本公司实际控制人</w:t>
            </w:r>
          </w:p>
        </w:tc>
      </w:tr>
      <w:tr>
        <w:trPr>
          <w:trHeight w:val="412"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7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本公司董事长，郭永芳之子，持有本公司</w:t>
            </w:r>
            <w:r>
              <w:rPr>
                <w:rFonts w:ascii="宋体" w:hAnsi="宋体" w:cs="宋体" w:eastAsia="宋体" w:hint="default"/>
                <w:spacing w:val="-46"/>
                <w:sz w:val="18"/>
                <w:szCs w:val="18"/>
              </w:rPr>
              <w:t> </w:t>
            </w:r>
            <w:r>
              <w:rPr>
                <w:rFonts w:ascii="宋体" w:hAnsi="宋体" w:cs="宋体" w:eastAsia="宋体" w:hint="default"/>
                <w:sz w:val="18"/>
                <w:szCs w:val="18"/>
              </w:rPr>
              <w:t>0.33%股份，本公司实际控制人</w:t>
            </w:r>
          </w:p>
        </w:tc>
      </w:tr>
      <w:tr>
        <w:trPr>
          <w:trHeight w:val="413"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7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本公司董事会成员，持有本公司</w:t>
            </w:r>
            <w:r>
              <w:rPr>
                <w:rFonts w:ascii="宋体" w:hAnsi="宋体" w:cs="宋体" w:eastAsia="宋体" w:hint="default"/>
                <w:spacing w:val="-46"/>
                <w:sz w:val="18"/>
                <w:szCs w:val="18"/>
              </w:rPr>
              <w:t> </w:t>
            </w:r>
            <w:r>
              <w:rPr>
                <w:rFonts w:ascii="宋体" w:hAnsi="宋体" w:cs="宋体" w:eastAsia="宋体" w:hint="default"/>
                <w:sz w:val="18"/>
                <w:szCs w:val="18"/>
              </w:rPr>
              <w:t>11.94%股份</w:t>
            </w:r>
          </w:p>
        </w:tc>
      </w:tr>
      <w:tr>
        <w:trPr>
          <w:trHeight w:val="412"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7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宋体" w:hAnsi="宋体" w:cs="宋体" w:eastAsia="宋体" w:hint="default"/>
                <w:sz w:val="18"/>
                <w:szCs w:val="18"/>
              </w:rPr>
              <w:t>5.15%股份</w:t>
            </w:r>
          </w:p>
        </w:tc>
      </w:tr>
      <w:tr>
        <w:trPr>
          <w:trHeight w:val="412" w:hRule="exact"/>
        </w:trPr>
        <w:tc>
          <w:tcPr>
            <w:tcW w:w="2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卓桂英</w:t>
            </w:r>
          </w:p>
        </w:tc>
        <w:tc>
          <w:tcPr>
            <w:tcW w:w="7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6"/>
                <w:sz w:val="18"/>
                <w:szCs w:val="18"/>
              </w:rPr>
              <w:t> </w:t>
            </w:r>
            <w:r>
              <w:rPr>
                <w:rFonts w:ascii="宋体" w:hAnsi="宋体" w:cs="宋体" w:eastAsia="宋体" w:hint="default"/>
                <w:sz w:val="18"/>
                <w:szCs w:val="18"/>
              </w:rPr>
              <w:t>5.15%股份</w:t>
            </w:r>
          </w:p>
        </w:tc>
      </w:tr>
    </w:tbl>
    <w:p>
      <w:pPr>
        <w:spacing w:line="360" w:lineRule="auto" w:before="52"/>
        <w:ind w:left="153" w:right="7091" w:firstLine="0"/>
        <w:jc w:val="left"/>
        <w:rPr>
          <w:rFonts w:ascii="宋体" w:hAnsi="宋体" w:cs="宋体" w:eastAsia="宋体" w:hint="default"/>
          <w:sz w:val="18"/>
          <w:szCs w:val="18"/>
        </w:rPr>
      </w:pPr>
      <w:r>
        <w:rPr>
          <w:rFonts w:ascii="宋体" w:hAnsi="宋体" w:cs="宋体" w:eastAsia="宋体" w:hint="default"/>
          <w:sz w:val="18"/>
          <w:szCs w:val="18"/>
        </w:rPr>
        <w:t>本企业最终控制方是郭永芳、滕达。 其他说明：</w:t>
      </w:r>
    </w:p>
    <w:p>
      <w:pPr>
        <w:spacing w:after="0" w:line="360" w:lineRule="auto"/>
        <w:jc w:val="left"/>
        <w:rPr>
          <w:rFonts w:ascii="宋体" w:hAnsi="宋体" w:cs="宋体" w:eastAsia="宋体" w:hint="default"/>
          <w:sz w:val="18"/>
          <w:szCs w:val="18"/>
        </w:rPr>
        <w:sectPr>
          <w:pgSz w:w="11910" w:h="16840"/>
          <w:pgMar w:header="747" w:footer="982" w:top="1060" w:bottom="1180" w:left="980" w:right="780"/>
        </w:sectPr>
      </w:pPr>
    </w:p>
    <w:p>
      <w:pPr>
        <w:spacing w:line="240" w:lineRule="auto" w:before="9"/>
        <w:rPr>
          <w:rFonts w:ascii="宋体" w:hAnsi="宋体" w:cs="宋体" w:eastAsia="宋体" w:hint="default"/>
          <w:sz w:val="24"/>
          <w:szCs w:val="24"/>
        </w:rPr>
      </w:pPr>
    </w:p>
    <w:p>
      <w:pPr>
        <w:spacing w:line="544" w:lineRule="auto" w:before="35"/>
        <w:ind w:left="154" w:right="58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2"/>
        <w:ind w:left="153" w:right="1311"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本企业重要的合营或联营企业详见附注附注九、</w:t>
      </w:r>
      <w:r>
        <w:rPr>
          <w:rFonts w:ascii="Times New Roman" w:hAnsi="Times New Roman" w:cs="Times New Roman" w:eastAsia="Times New Roman" w:hint="default"/>
          <w:sz w:val="18"/>
          <w:szCs w:val="18"/>
        </w:rPr>
        <w:t>2</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32.51%</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49.00%</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本公司间接持有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本公司间接持有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宋体" w:hAnsi="宋体" w:cs="宋体" w:eastAsia="宋体" w:hint="default"/>
                <w:sz w:val="18"/>
                <w:szCs w:val="18"/>
              </w:rPr>
              <w:t>股权</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10.71%</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北京攀克网络技术有限公司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杭州攀克网络技术有限公司的子公司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柏科（常熟）电机有限公司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董事长滕达的直系亲属控制的企业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董事长滕达为控股股东、本公司董事担任董事的企业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福建七匹狼实业股份有限公司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本公司监事担任独立董事的企业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美亚长城传媒（北京）有限公司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本公司董事担任董事长的企业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珠海市汇智德辰数据科技有限公司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本公司董事担任执行董事兼任经理的企业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厦门数宝信息科技合伙企业（有限合伙）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本公司董事和高管参与设立的合伙企业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834"/>
        <w:gridCol w:w="1276"/>
        <w:gridCol w:w="1277"/>
        <w:gridCol w:w="1417"/>
        <w:gridCol w:w="1560"/>
        <w:gridCol w:w="1205"/>
      </w:tblGrid>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获批的交易额度</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3"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158,119.66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158,119.66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237,179.48</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4,118,428.66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527,309.81</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1,010,232.69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2,915,384.62</w:t>
            </w: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柏科（常熟）电机有限公司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313,028.41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427,350.43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194,174.76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福建七匹狼实业股份有限公司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23,603.42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402"/>
        <w:gridCol w:w="2551"/>
        <w:gridCol w:w="1985"/>
        <w:gridCol w:w="1630"/>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146,323.86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679,611.65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技术贸易收入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8,809,105.02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4,641,012.83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94,358.98</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美亚长城传媒（北京）有限公司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66,037.74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94,339.63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珠海市汇智德辰数据科技有限公司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985"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675,461.54</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5,203.88</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274,953.55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30,769.23</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117,094.02</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柏科（常熟）电机有限公司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287,132.99</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提供服务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12,753,000.00</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
        <w:rPr>
          <w:rFonts w:ascii="宋体" w:hAnsi="宋体" w:cs="宋体" w:eastAsia="宋体" w:hint="default"/>
          <w:sz w:val="13"/>
          <w:szCs w:val="13"/>
        </w:rPr>
      </w:pPr>
    </w:p>
    <w:p>
      <w:pPr>
        <w:pStyle w:val="BodyText"/>
        <w:spacing w:line="240" w:lineRule="auto"/>
        <w:ind w:right="0"/>
        <w:jc w:val="left"/>
      </w:pPr>
      <w:r>
        <w:rPr/>
        <w:t>本公司向关联方出售商品和提供服务的定价方式为市场定价。</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3119"/>
        <w:gridCol w:w="1663"/>
        <w:gridCol w:w="2393"/>
        <w:gridCol w:w="2393"/>
      </w:tblGrid>
      <w:tr>
        <w:trPr>
          <w:trHeight w:val="590"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6"/>
              <w:ind w:right="1"/>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1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6"/>
              <w:ind w:left="285"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6"/>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6"/>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41,906.86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826.26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736.30</w:t>
            </w:r>
          </w:p>
        </w:tc>
      </w:tr>
    </w:tbl>
    <w:p>
      <w:pPr>
        <w:spacing w:line="240" w:lineRule="auto" w:before="1"/>
        <w:rPr>
          <w:rFonts w:ascii="宋体" w:hAnsi="宋体" w:cs="宋体" w:eastAsia="宋体" w:hint="default"/>
          <w:sz w:val="19"/>
          <w:szCs w:val="19"/>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47"/>
        <w:jc w:val="both"/>
      </w:pPr>
      <w:r>
        <w:rPr>
          <w:spacing w:val="-1"/>
        </w:rPr>
        <w:t>本公司本年以</w:t>
      </w:r>
      <w:r>
        <w:rPr>
          <w:rFonts w:ascii="Times New Roman" w:hAnsi="Times New Roman" w:cs="Times New Roman" w:eastAsia="Times New Roman" w:hint="default"/>
          <w:spacing w:val="-1"/>
        </w:rPr>
        <w:t>1000</w:t>
      </w:r>
      <w:r>
        <w:rPr>
          <w:spacing w:val="-1"/>
        </w:rPr>
        <w:t>万元增资子公司美亚宏数，美亚宏数股东公司原副总经理高峰在增资期间离职未满</w:t>
      </w:r>
      <w:r>
        <w:rPr>
          <w:rFonts w:ascii="Times New Roman" w:hAnsi="Times New Roman" w:cs="Times New Roman" w:eastAsia="Times New Roman" w:hint="default"/>
          <w:spacing w:val="-1"/>
        </w:rPr>
        <w:t>12</w:t>
      </w:r>
      <w:r>
        <w:rPr>
          <w:spacing w:val="-1"/>
        </w:rPr>
        <w:t>个</w:t>
      </w:r>
      <w:r>
        <w:rPr>
          <w:spacing w:val="-82"/>
        </w:rPr>
        <w:t> </w:t>
      </w:r>
      <w:r>
        <w:rPr/>
        <w:t>月，本次增资构成关联交易。</w:t>
      </w:r>
    </w:p>
    <w:p>
      <w:pPr>
        <w:spacing w:line="240" w:lineRule="auto" w:before="3"/>
        <w:rPr>
          <w:rFonts w:ascii="宋体" w:hAnsi="宋体" w:cs="宋体" w:eastAsia="宋体" w:hint="default"/>
          <w:sz w:val="18"/>
          <w:szCs w:val="18"/>
        </w:rPr>
      </w:pPr>
    </w:p>
    <w:p>
      <w:pPr>
        <w:pStyle w:val="BodyText"/>
        <w:spacing w:line="273" w:lineRule="auto"/>
        <w:ind w:right="147"/>
        <w:jc w:val="both"/>
      </w:pPr>
      <w:r>
        <w:rPr/>
        <w:t>本公司子公司美亚宏数放弃孙公司国信宏数股权优先受让权，并对国信宏数增资1,000万元，股权受让方</w:t>
      </w:r>
      <w:r>
        <w:rPr>
          <w:spacing w:val="-37"/>
        </w:rPr>
        <w:t> </w:t>
      </w:r>
      <w:r>
        <w:rPr>
          <w:spacing w:val="-37"/>
        </w:rPr>
      </w:r>
      <w:r>
        <w:rPr>
          <w:spacing w:val="-2"/>
        </w:rPr>
        <w:t>北京数达汇丰科技合伙企业（有限合伙）为本公司实际控制人滕达与本公司原副总经理高峰（离职未满12</w:t>
      </w:r>
      <w:r>
        <w:rPr>
          <w:spacing w:val="-79"/>
        </w:rPr>
        <w:t> </w:t>
      </w:r>
      <w:r>
        <w:rPr>
          <w:spacing w:val="-79"/>
        </w:rPr>
      </w:r>
      <w:r>
        <w:rPr/>
        <w:t>个月）合资成立的合伙企业，故本次放弃国信宏数股权受让和增资构成关联交易。</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134"/>
        <w:gridCol w:w="3119"/>
        <w:gridCol w:w="1276"/>
        <w:gridCol w:w="1276"/>
        <w:gridCol w:w="1168"/>
        <w:gridCol w:w="1594"/>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3D3D3"/>
          </w:tcPr>
          <w:p>
            <w:pPr/>
          </w:p>
        </w:tc>
        <w:tc>
          <w:tcPr>
            <w:tcW w:w="3119"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柏科（常熟）电机有限公司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335,945.60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4,135,443.01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231,486.40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2,818,585.00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140,929.25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145,969.23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7,298.46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珠海市汇智德辰数据科技有限公司</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790,290.00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39,514.50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230,175.44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11,508.77</w:t>
            </w:r>
          </w:p>
        </w:tc>
        <w:tc>
          <w:tcPr>
            <w:tcW w:w="11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沈阳城市公共安全科技有限公司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7,416,130.77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370,806.54</w:t>
            </w:r>
          </w:p>
        </w:tc>
        <w:tc>
          <w:tcPr>
            <w:tcW w:w="11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134"/>
        <w:gridCol w:w="3119"/>
        <w:gridCol w:w="1276"/>
        <w:gridCol w:w="1276"/>
        <w:gridCol w:w="1168"/>
        <w:gridCol w:w="1594"/>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259,301.69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30,973.13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70,081.79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7,495.78</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43.32</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8,300.00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5,302.50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北京万方智讯信息技术有限公司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79,086.06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3,954.30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472,173.40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23,608.67</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4"/>
              <w:jc w:val="left"/>
              <w:rPr>
                <w:rFonts w:ascii="宋体" w:hAnsi="宋体" w:cs="宋体" w:eastAsia="宋体" w:hint="default"/>
                <w:sz w:val="18"/>
                <w:szCs w:val="18"/>
              </w:rPr>
            </w:pPr>
            <w:r>
              <w:rPr>
                <w:rFonts w:ascii="宋体" w:hAnsi="宋体" w:cs="宋体" w:eastAsia="宋体" w:hint="default"/>
                <w:sz w:val="18"/>
                <w:szCs w:val="18"/>
              </w:rPr>
              <w:t>厦门数宝信息科技合伙企业（有限合 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1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常熟柏科特种车辆有限公司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2,061,229.06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51"/>
        <w:gridCol w:w="3151"/>
        <w:gridCol w:w="2074"/>
        <w:gridCol w:w="2392"/>
      </w:tblGrid>
      <w:tr>
        <w:trPr>
          <w:trHeight w:val="402" w:hRule="exact"/>
        </w:trPr>
        <w:tc>
          <w:tcPr>
            <w:tcW w:w="19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柏科（常熟）电机有限公司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180,036.95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1,811,683.97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1,628,271.80</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160,368.68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杭州攀克科技网络有限公司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76,923.08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76,923.08</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北京攀克网络科技有限公司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17,094.02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58,034.19</w:t>
            </w: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20,953.43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4" w:lineRule="auto" w:before="0"/>
        <w:ind w:left="154" w:right="7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1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5453"/>
        <w:gridCol w:w="4114"/>
      </w:tblGrid>
      <w:tr>
        <w:trPr>
          <w:trHeight w:val="402" w:hRule="exact"/>
        </w:trPr>
        <w:tc>
          <w:tcPr>
            <w:tcW w:w="5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913,900.00</w:t>
            </w:r>
          </w:p>
        </w:tc>
      </w:tr>
      <w:tr>
        <w:trPr>
          <w:trHeight w:val="402" w:hRule="exact"/>
        </w:trPr>
        <w:tc>
          <w:tcPr>
            <w:tcW w:w="5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3,515,760.00</w:t>
            </w:r>
          </w:p>
        </w:tc>
      </w:tr>
      <w:tr>
        <w:trPr>
          <w:trHeight w:val="402" w:hRule="exact"/>
        </w:trPr>
        <w:tc>
          <w:tcPr>
            <w:tcW w:w="54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223,700.00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56" w:lineRule="auto" w:before="35"/>
        <w:ind w:left="153" w:right="150" w:firstLine="2"/>
        <w:jc w:val="both"/>
      </w:pPr>
      <w:r>
        <w:rPr>
          <w:spacing w:val="-1"/>
        </w:rPr>
        <w:t>说明</w:t>
      </w:r>
      <w:r>
        <w:rPr>
          <w:rFonts w:ascii="Times New Roman" w:hAnsi="Times New Roman" w:cs="Times New Roman" w:eastAsia="Times New Roman" w:hint="default"/>
          <w:spacing w:val="-1"/>
        </w:rPr>
        <w:t>1</w:t>
      </w:r>
      <w:r>
        <w:rPr>
          <w:spacing w:val="-1"/>
        </w:rPr>
        <w:t>：根据本公司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日召开的第三届董事会第二十三次会议和修改后的章程，本公司拟向</w:t>
      </w:r>
      <w:r>
        <w:rPr>
          <w:rFonts w:ascii="Times New Roman" w:hAnsi="Times New Roman" w:cs="Times New Roman" w:eastAsia="Times New Roman" w:hint="default"/>
          <w:spacing w:val="-1"/>
        </w:rPr>
        <w:t>101</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3"/>
        </w:rPr>
        <w:t>名自然人定向发行限制性股票</w:t>
      </w:r>
      <w:r>
        <w:rPr>
          <w:rFonts w:ascii="Times New Roman" w:hAnsi="Times New Roman" w:cs="Times New Roman" w:eastAsia="Times New Roman" w:hint="default"/>
          <w:spacing w:val="-3"/>
        </w:rPr>
        <w:t>91.39</w:t>
      </w:r>
      <w:r>
        <w:rPr>
          <w:spacing w:val="-3"/>
        </w:rPr>
        <w:t>万股，每股面值</w:t>
      </w:r>
      <w:r>
        <w:rPr>
          <w:rFonts w:ascii="Times New Roman" w:hAnsi="Times New Roman" w:cs="Times New Roman" w:eastAsia="Times New Roman" w:hint="default"/>
          <w:spacing w:val="-3"/>
        </w:rPr>
        <w:t>1.00</w:t>
      </w:r>
      <w:r>
        <w:rPr>
          <w:spacing w:val="-3"/>
        </w:rPr>
        <w:t>元，</w:t>
      </w:r>
      <w:r>
        <w:rPr>
          <w:rFonts w:ascii="Times New Roman" w:hAnsi="Times New Roman" w:cs="Times New Roman" w:eastAsia="Times New Roman" w:hint="default"/>
          <w:spacing w:val="-3"/>
        </w:rPr>
        <w:t>101</w:t>
      </w:r>
      <w:r>
        <w:rPr>
          <w:spacing w:val="-3"/>
        </w:rPr>
        <w:t>名特定增发对象均行权并以现金出资认购发</w:t>
      </w:r>
      <w:r>
        <w:rPr>
          <w:spacing w:val="-81"/>
        </w:rPr>
        <w:t> </w:t>
      </w:r>
      <w:r>
        <w:rPr>
          <w:spacing w:val="-81"/>
        </w:rPr>
      </w:r>
      <w:r>
        <w:rPr>
          <w:spacing w:val="-1"/>
        </w:rPr>
        <w:t>行的股份。限制性股票自授予日起</w:t>
      </w:r>
      <w:r>
        <w:rPr>
          <w:rFonts w:ascii="Times New Roman" w:hAnsi="Times New Roman" w:cs="Times New Roman" w:eastAsia="Times New Roman" w:hint="default"/>
          <w:spacing w:val="-1"/>
        </w:rPr>
        <w:t>12</w:t>
      </w:r>
      <w:r>
        <w:rPr>
          <w:spacing w:val="-1"/>
        </w:rPr>
        <w:t>个月为禁售期，禁售期后</w:t>
      </w:r>
      <w:r>
        <w:rPr>
          <w:rFonts w:ascii="Times New Roman" w:hAnsi="Times New Roman" w:cs="Times New Roman" w:eastAsia="Times New Roman" w:hint="default"/>
          <w:spacing w:val="-1"/>
        </w:rPr>
        <w:t>24</w:t>
      </w:r>
      <w:r>
        <w:rPr>
          <w:spacing w:val="-1"/>
        </w:rPr>
        <w:t>个月为解锁期。在满足激励计划规定的解</w:t>
      </w:r>
      <w:r>
        <w:rPr>
          <w:spacing w:val="-86"/>
        </w:rPr>
        <w:t> </w:t>
      </w:r>
      <w:r>
        <w:rPr>
          <w:spacing w:val="-86"/>
        </w:rPr>
      </w:r>
      <w:r>
        <w:rPr>
          <w:spacing w:val="-3"/>
        </w:rPr>
        <w:t>锁条件时，激励对象可分三期申请限制性股票解锁，分别自授予日起 </w:t>
      </w:r>
      <w:r>
        <w:rPr>
          <w:rFonts w:ascii="Times New Roman" w:hAnsi="Times New Roman" w:cs="Times New Roman" w:eastAsia="Times New Roman" w:hint="default"/>
          <w:spacing w:val="-3"/>
        </w:rPr>
        <w:t>12</w:t>
      </w:r>
      <w:r>
        <w:rPr>
          <w:spacing w:val="-3"/>
        </w:rPr>
        <w:t>个月后、</w:t>
      </w:r>
      <w:r>
        <w:rPr>
          <w:rFonts w:ascii="Times New Roman" w:hAnsi="Times New Roman" w:cs="Times New Roman" w:eastAsia="Times New Roman" w:hint="default"/>
          <w:spacing w:val="-3"/>
        </w:rPr>
        <w:t>24</w:t>
      </w:r>
      <w:r>
        <w:rPr>
          <w:spacing w:val="-3"/>
        </w:rPr>
        <w:t>个月后申请所授予的限</w:t>
      </w:r>
      <w:r>
        <w:rPr>
          <w:spacing w:val="-93"/>
        </w:rPr>
        <w:t> </w:t>
      </w:r>
      <w:r>
        <w:rPr>
          <w:spacing w:val="-93"/>
        </w:rPr>
      </w:r>
      <w:r>
        <w:rPr/>
        <w:t>制性股票总量的</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w:t>
      </w:r>
    </w:p>
    <w:p>
      <w:pPr>
        <w:spacing w:line="240" w:lineRule="auto" w:before="12"/>
        <w:rPr>
          <w:rFonts w:ascii="宋体" w:hAnsi="宋体" w:cs="宋体" w:eastAsia="宋体" w:hint="default"/>
          <w:sz w:val="16"/>
          <w:szCs w:val="16"/>
        </w:rPr>
      </w:pPr>
    </w:p>
    <w:p>
      <w:pPr>
        <w:pStyle w:val="BodyText"/>
        <w:spacing w:line="256" w:lineRule="auto"/>
        <w:ind w:left="153" w:right="146" w:firstLine="2"/>
        <w:jc w:val="both"/>
      </w:pPr>
      <w:r>
        <w:rPr>
          <w:spacing w:val="-3"/>
        </w:rPr>
        <w:t>说明</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11</w:t>
      </w:r>
      <w:r>
        <w:rPr>
          <w:spacing w:val="-3"/>
        </w:rPr>
        <w:t>日召开第三届董事会第二十二次会议，审议通过了《关于公司第二期限制性股票激励</w:t>
      </w:r>
      <w:r>
        <w:rPr>
          <w:spacing w:val="-92"/>
        </w:rPr>
        <w:t> </w:t>
      </w:r>
      <w:r>
        <w:rPr>
          <w:spacing w:val="-92"/>
        </w:rPr>
      </w:r>
      <w:r>
        <w:rPr>
          <w:spacing w:val="-3"/>
        </w:rPr>
        <w:t>计划首次授予部分第一个解锁期解锁条件成就的议案》，申请解禁对象共</w:t>
      </w:r>
      <w:r>
        <w:rPr>
          <w:rFonts w:ascii="Times New Roman" w:hAnsi="Times New Roman" w:cs="Times New Roman" w:eastAsia="Times New Roman" w:hint="default"/>
          <w:spacing w:val="-3"/>
        </w:rPr>
        <w:t>449</w:t>
      </w:r>
      <w:r>
        <w:rPr>
          <w:spacing w:val="-3"/>
        </w:rPr>
        <w:t>名，解禁股数为</w:t>
      </w:r>
      <w:r>
        <w:rPr>
          <w:rFonts w:ascii="Times New Roman" w:hAnsi="Times New Roman" w:cs="Times New Roman" w:eastAsia="Times New Roman" w:hint="default"/>
          <w:spacing w:val="-3"/>
        </w:rPr>
        <w:t>3,515,760</w:t>
      </w:r>
      <w:r>
        <w:rPr>
          <w:spacing w:val="-3"/>
        </w:rPr>
        <w:t>股。</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18"/>
          <w:szCs w:val="18"/>
        </w:rPr>
      </w:pPr>
    </w:p>
    <w:p>
      <w:pPr>
        <w:pStyle w:val="BodyText"/>
        <w:spacing w:line="256" w:lineRule="auto"/>
        <w:ind w:right="146"/>
        <w:jc w:val="both"/>
      </w:pPr>
      <w:r>
        <w:rPr/>
        <w:t>说明</w:t>
      </w:r>
      <w:r>
        <w:rPr>
          <w:rFonts w:ascii="Times New Roman" w:hAnsi="Times New Roman" w:cs="Times New Roman" w:eastAsia="Times New Roman" w:hint="default"/>
        </w:rPr>
        <w:t>3</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日召开的第三届董事会第十七次会议决议、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日召开的第三届董事会</w:t>
      </w:r>
      <w:r>
        <w:rPr>
          <w:spacing w:val="-41"/>
        </w:rPr>
        <w:t> </w:t>
      </w:r>
      <w:r>
        <w:rPr>
          <w:spacing w:val="-41"/>
        </w:rPr>
      </w:r>
      <w:r>
        <w:rPr/>
        <w:t>第十八次会议决议，本公司回购注销限制性股票</w:t>
      </w:r>
      <w:r>
        <w:rPr>
          <w:rFonts w:ascii="Times New Roman" w:hAnsi="Times New Roman" w:cs="Times New Roman" w:eastAsia="Times New Roman" w:hint="default"/>
        </w:rPr>
        <w:t>22.37</w:t>
      </w:r>
      <w:r>
        <w:rPr/>
        <w:t>万股，截至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日股票回购已完成。</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968"/>
        <w:gridCol w:w="5599"/>
      </w:tblGrid>
      <w:tr>
        <w:trPr>
          <w:trHeight w:val="362" w:hRule="exact"/>
        </w:trPr>
        <w:tc>
          <w:tcPr>
            <w:tcW w:w="3968" w:type="dxa"/>
            <w:tcBorders>
              <w:top w:val="single" w:sz="4" w:space="0" w:color="000000"/>
              <w:left w:val="single" w:sz="4" w:space="0" w:color="000000"/>
              <w:bottom w:val="nil" w:sz="6" w:space="0" w:color="auto"/>
              <w:right w:val="single" w:sz="4" w:space="0" w:color="000000"/>
            </w:tcBorders>
            <w:shd w:val="clear" w:color="auto" w:fill="D3D3D3"/>
          </w:tcPr>
          <w:p>
            <w:pPr/>
          </w:p>
        </w:tc>
        <w:tc>
          <w:tcPr>
            <w:tcW w:w="55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30"/>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月，本公司第二期限制性股票激励计划首次授予的公允价值</w:t>
            </w:r>
          </w:p>
        </w:tc>
      </w:tr>
      <w:tr>
        <w:trPr>
          <w:trHeight w:val="306" w:hRule="exact"/>
        </w:trPr>
        <w:tc>
          <w:tcPr>
            <w:tcW w:w="3968" w:type="dxa"/>
            <w:tcBorders>
              <w:top w:val="nil" w:sz="6" w:space="0" w:color="auto"/>
              <w:left w:val="single" w:sz="4" w:space="0" w:color="000000"/>
              <w:bottom w:val="nil" w:sz="6" w:space="0" w:color="auto"/>
              <w:right w:val="single" w:sz="4" w:space="0" w:color="000000"/>
            </w:tcBorders>
            <w:shd w:val="clear" w:color="auto" w:fill="D3D3D3"/>
          </w:tcPr>
          <w:p>
            <w:pPr/>
          </w:p>
        </w:tc>
        <w:tc>
          <w:tcPr>
            <w:tcW w:w="55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的确定方法为：公司聘请上海荣正投资咨询有限公司计算授予日权益</w:t>
            </w:r>
          </w:p>
        </w:tc>
      </w:tr>
      <w:tr>
        <w:trPr>
          <w:trHeight w:val="629" w:hRule="exact"/>
        </w:trPr>
        <w:tc>
          <w:tcPr>
            <w:tcW w:w="39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559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6"/>
              <w:jc w:val="left"/>
              <w:rPr>
                <w:rFonts w:ascii="宋体" w:hAnsi="宋体" w:cs="宋体" w:eastAsia="宋体" w:hint="default"/>
                <w:sz w:val="18"/>
                <w:szCs w:val="18"/>
              </w:rPr>
            </w:pPr>
            <w:r>
              <w:rPr>
                <w:rFonts w:ascii="宋体" w:hAnsi="宋体" w:cs="宋体" w:eastAsia="宋体" w:hint="default"/>
                <w:sz w:val="18"/>
                <w:szCs w:val="18"/>
              </w:rPr>
              <w:t>工具公允价值，并出具《关于美亚柏科第二期限制性股票激励计划授 </w:t>
            </w:r>
            <w:r>
              <w:rPr>
                <w:rFonts w:ascii="宋体" w:hAnsi="宋体" w:cs="宋体" w:eastAsia="宋体" w:hint="default"/>
                <w:spacing w:val="-5"/>
                <w:sz w:val="18"/>
                <w:szCs w:val="18"/>
              </w:rPr>
              <w:t>予事项之独立财务顾问报告》；</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月本公司公司第二期限制性</w:t>
            </w:r>
          </w:p>
        </w:tc>
      </w:tr>
      <w:tr>
        <w:trPr>
          <w:trHeight w:val="308" w:hRule="exact"/>
        </w:trPr>
        <w:tc>
          <w:tcPr>
            <w:tcW w:w="3968" w:type="dxa"/>
            <w:tcBorders>
              <w:top w:val="nil" w:sz="6" w:space="0" w:color="auto"/>
              <w:left w:val="single" w:sz="4" w:space="0" w:color="000000"/>
              <w:bottom w:val="nil" w:sz="6" w:space="0" w:color="auto"/>
              <w:right w:val="single" w:sz="4" w:space="0" w:color="000000"/>
            </w:tcBorders>
            <w:shd w:val="clear" w:color="auto" w:fill="D3D3D3"/>
          </w:tcPr>
          <w:p>
            <w:pPr/>
          </w:p>
        </w:tc>
        <w:tc>
          <w:tcPr>
            <w:tcW w:w="55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股票激励计划预留股份的公允价值的确定方法为授予日的股票收盘</w:t>
            </w:r>
          </w:p>
        </w:tc>
      </w:tr>
      <w:tr>
        <w:trPr>
          <w:trHeight w:val="357" w:hRule="exact"/>
        </w:trPr>
        <w:tc>
          <w:tcPr>
            <w:tcW w:w="3968" w:type="dxa"/>
            <w:tcBorders>
              <w:top w:val="nil" w:sz="6" w:space="0" w:color="auto"/>
              <w:left w:val="single" w:sz="4" w:space="0" w:color="000000"/>
              <w:bottom w:val="single" w:sz="4" w:space="0" w:color="000000"/>
              <w:right w:val="single" w:sz="4" w:space="0" w:color="000000"/>
            </w:tcBorders>
            <w:shd w:val="clear" w:color="auto" w:fill="D3D3D3"/>
          </w:tcPr>
          <w:p>
            <w:pPr/>
          </w:p>
        </w:tc>
        <w:tc>
          <w:tcPr>
            <w:tcW w:w="55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w:t>
            </w:r>
          </w:p>
        </w:tc>
      </w:tr>
      <w:tr>
        <w:trPr>
          <w:trHeight w:val="402" w:hRule="exact"/>
        </w:trPr>
        <w:tc>
          <w:tcPr>
            <w:tcW w:w="3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资产负债表日股权激励股份实际持有数</w:t>
            </w:r>
          </w:p>
        </w:tc>
      </w:tr>
      <w:tr>
        <w:trPr>
          <w:trHeight w:val="402" w:hRule="exact"/>
        </w:trPr>
        <w:tc>
          <w:tcPr>
            <w:tcW w:w="3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28,429,152.27</w:t>
            </w:r>
          </w:p>
        </w:tc>
      </w:tr>
      <w:tr>
        <w:trPr>
          <w:trHeight w:val="402" w:hRule="exact"/>
        </w:trPr>
        <w:tc>
          <w:tcPr>
            <w:tcW w:w="3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17,953,960.89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4" w:lineRule="auto" w:before="90"/>
        <w:ind w:left="153" w:right="338"/>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月，本公司第二期限制性股票激励计划首次授予的公允价值的确定方法为：公司聘请上海荣正 投资咨询有限公司计算授予日权益工具公允价值，并出具《关于美亚柏科第二期限制性股票激励计划授 予事项之独立财务顾问报告》；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月本公司公司第二期限制性股票激励计划预留股份的公允价值 的确定方法为授予日的股票收盘价。</w:t>
      </w:r>
    </w:p>
    <w:p>
      <w:pPr>
        <w:spacing w:line="240" w:lineRule="auto" w:before="1"/>
        <w:rPr>
          <w:rFonts w:ascii="宋体" w:hAnsi="宋体" w:cs="宋体" w:eastAsia="宋体" w:hint="default"/>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69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spacing w:val="1"/>
          <w:w w:val="99"/>
          <w:sz w:val="21"/>
          <w:szCs w:val="21"/>
        </w:rPr>
        <w:t> </w:t>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十四、承诺及或有事项</w:t>
      </w:r>
      <w:r>
        <w:rPr>
          <w:b w:val="0"/>
          <w:bCs w:val="0"/>
        </w:rPr>
      </w:r>
    </w:p>
    <w:p>
      <w:pPr>
        <w:spacing w:line="590" w:lineRule="atLeast" w:before="23"/>
        <w:ind w:left="154" w:right="710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资产负债表日存在的重要承诺</w:t>
      </w:r>
    </w:p>
    <w:p>
      <w:pPr>
        <w:pStyle w:val="BodyText"/>
        <w:spacing w:line="240" w:lineRule="auto" w:before="75"/>
        <w:ind w:right="0"/>
        <w:jc w:val="both"/>
      </w:pPr>
      <w:r>
        <w:rPr/>
        <w:t>①收购武汉大千</w:t>
      </w:r>
    </w:p>
    <w:p>
      <w:pPr>
        <w:spacing w:line="240" w:lineRule="auto" w:before="5"/>
        <w:rPr>
          <w:rFonts w:ascii="宋体" w:hAnsi="宋体" w:cs="宋体" w:eastAsia="宋体" w:hint="default"/>
          <w:sz w:val="19"/>
          <w:szCs w:val="19"/>
        </w:rPr>
      </w:pPr>
    </w:p>
    <w:p>
      <w:pPr>
        <w:pStyle w:val="BodyText"/>
        <w:spacing w:line="256" w:lineRule="auto"/>
        <w:ind w:left="153" w:right="208"/>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日本公司第二届董事会第二十二次（临时）会议审议通过了《关于收购武汉大千信息技术有 </w:t>
      </w:r>
      <w:r>
        <w:rPr>
          <w:spacing w:val="-5"/>
        </w:rPr>
        <w:t>限公司</w:t>
      </w:r>
      <w:r>
        <w:rPr>
          <w:rFonts w:ascii="Times New Roman" w:hAnsi="Times New Roman" w:cs="Times New Roman" w:eastAsia="Times New Roman" w:hint="default"/>
          <w:spacing w:val="-5"/>
        </w:rPr>
        <w:t>51%</w:t>
      </w:r>
      <w:r>
        <w:rPr>
          <w:spacing w:val="-5"/>
        </w:rPr>
        <w:t>股权的议案》，本公司使用自有资金</w:t>
      </w:r>
      <w:r>
        <w:rPr>
          <w:rFonts w:ascii="Times New Roman" w:hAnsi="Times New Roman" w:cs="Times New Roman" w:eastAsia="Times New Roman" w:hint="default"/>
          <w:spacing w:val="-5"/>
        </w:rPr>
        <w:t>3,315</w:t>
      </w:r>
      <w:r>
        <w:rPr>
          <w:spacing w:val="-5"/>
        </w:rPr>
        <w:t>万元，以增资并受让部分股权的方式取得武汉大千</w:t>
      </w:r>
      <w:r>
        <w:rPr>
          <w:rFonts w:ascii="Times New Roman" w:hAnsi="Times New Roman" w:cs="Times New Roman" w:eastAsia="Times New Roman" w:hint="default"/>
          <w:spacing w:val="-5"/>
        </w:rPr>
        <w:t>51%</w:t>
      </w:r>
      <w:r>
        <w:rPr>
          <w:rFonts w:ascii="Times New Roman" w:hAnsi="Times New Roman" w:cs="Times New Roman" w:eastAsia="Times New Roman" w:hint="default"/>
          <w:spacing w:val="-12"/>
        </w:rPr>
        <w:t> </w:t>
      </w:r>
      <w:r>
        <w:rPr/>
        <w:t>股权。本公司以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日作为收购武汉大千的收购日。</w:t>
      </w:r>
    </w:p>
    <w:p>
      <w:pPr>
        <w:spacing w:line="240" w:lineRule="auto" w:before="12"/>
        <w:rPr>
          <w:rFonts w:ascii="宋体" w:hAnsi="宋体" w:cs="宋体" w:eastAsia="宋体" w:hint="default"/>
          <w:sz w:val="16"/>
          <w:szCs w:val="16"/>
        </w:rPr>
      </w:pPr>
    </w:p>
    <w:p>
      <w:pPr>
        <w:pStyle w:val="BodyText"/>
        <w:spacing w:line="259" w:lineRule="auto"/>
        <w:ind w:left="153" w:right="209"/>
        <w:jc w:val="both"/>
      </w:pPr>
      <w:r>
        <w:rPr>
          <w:spacing w:val="-3"/>
        </w:rPr>
        <w:t>根据</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日本公司与武汉大千原股东严国建、杨捷、王彬、熊子松签订的《武汉大千信息技术有限</w:t>
      </w:r>
      <w:r>
        <w:rPr>
          <w:spacing w:val="-92"/>
        </w:rPr>
        <w:t> </w:t>
      </w:r>
      <w:r>
        <w:rPr>
          <w:spacing w:val="-92"/>
        </w:rPr>
      </w:r>
      <w:r>
        <w:rPr>
          <w:spacing w:val="-1"/>
        </w:rPr>
        <w:t>公司投资协议》，原股东严国建、杨捷、王彬、熊子松对武汉大千的业绩承诺如下：武汉大千经具有证券</w:t>
      </w:r>
      <w:r>
        <w:rPr>
          <w:spacing w:val="-83"/>
        </w:rPr>
        <w:t> </w:t>
      </w:r>
      <w:r>
        <w:rPr>
          <w:spacing w:val="-83"/>
        </w:rPr>
      </w:r>
      <w:r>
        <w:rPr/>
        <w:t>从业资格的审计机构审计后，</w:t>
      </w:r>
      <w:r>
        <w:rPr>
          <w:rFonts w:ascii="Times New Roman" w:hAnsi="Times New Roman" w:cs="Times New Roman" w:eastAsia="Times New Roman" w:hint="default"/>
        </w:rPr>
        <w:t>2015</w:t>
      </w:r>
      <w:r>
        <w:rPr>
          <w:rFonts w:ascii="Times New Roman" w:hAnsi="Times New Roman" w:cs="Times New Roman" w:eastAsia="Times New Roman" w:hint="default"/>
          <w:spacing w:val="24"/>
        </w:rPr>
        <w:t> </w:t>
      </w:r>
      <w:r>
        <w:rPr/>
        <w:t>年度经审计后的净利润不低于</w:t>
      </w:r>
      <w:r>
        <w:rPr>
          <w:rFonts w:ascii="Times New Roman" w:hAnsi="Times New Roman" w:cs="Times New Roman" w:eastAsia="Times New Roman" w:hint="default"/>
        </w:rPr>
        <w:t>660</w:t>
      </w:r>
      <w:r>
        <w:rPr/>
        <w:t>万元，</w:t>
      </w:r>
      <w:r>
        <w:rPr>
          <w:rFonts w:ascii="Times New Roman" w:hAnsi="Times New Roman" w:cs="Times New Roman" w:eastAsia="Times New Roman" w:hint="default"/>
        </w:rPr>
        <w:t>2016</w:t>
      </w:r>
      <w:r>
        <w:rPr/>
        <w:t>年度经审计后的净利润不 </w:t>
      </w:r>
      <w:r>
        <w:rPr>
          <w:spacing w:val="-1"/>
        </w:rPr>
        <w:t>低于</w:t>
      </w:r>
      <w:r>
        <w:rPr>
          <w:rFonts w:ascii="Times New Roman" w:hAnsi="Times New Roman" w:cs="Times New Roman" w:eastAsia="Times New Roman" w:hint="default"/>
          <w:spacing w:val="-1"/>
        </w:rPr>
        <w:t>792</w:t>
      </w:r>
      <w:r>
        <w:rPr>
          <w:spacing w:val="-1"/>
        </w:rPr>
        <w:t>万元，</w:t>
      </w:r>
      <w:r>
        <w:rPr>
          <w:rFonts w:ascii="Times New Roman" w:hAnsi="Times New Roman" w:cs="Times New Roman" w:eastAsia="Times New Roman" w:hint="default"/>
          <w:spacing w:val="-1"/>
        </w:rPr>
        <w:t>2017</w:t>
      </w:r>
      <w:r>
        <w:rPr>
          <w:spacing w:val="-1"/>
        </w:rPr>
        <w:t>年度经审计后的净利润不低于</w:t>
      </w:r>
      <w:r>
        <w:rPr>
          <w:rFonts w:ascii="Times New Roman" w:hAnsi="Times New Roman" w:cs="Times New Roman" w:eastAsia="Times New Roman" w:hint="default"/>
          <w:spacing w:val="-1"/>
        </w:rPr>
        <w:t>950</w:t>
      </w:r>
      <w:r>
        <w:rPr>
          <w:spacing w:val="-1"/>
        </w:rPr>
        <w:t>万元。各方一致同意，对武汉大千</w:t>
      </w:r>
      <w:r>
        <w:rPr>
          <w:rFonts w:ascii="Times New Roman" w:hAnsi="Times New Roman" w:cs="Times New Roman" w:eastAsia="Times New Roman" w:hint="default"/>
          <w:spacing w:val="-1"/>
        </w:rPr>
        <w:t>2015</w:t>
      </w:r>
      <w:r>
        <w:rPr>
          <w:spacing w:val="-1"/>
        </w:rPr>
        <w:t>年度、</w:t>
      </w:r>
      <w:r>
        <w:rPr>
          <w:rFonts w:ascii="Times New Roman" w:hAnsi="Times New Roman" w:cs="Times New Roman" w:eastAsia="Times New Roman" w:hint="default"/>
          <w:spacing w:val="-1"/>
        </w:rPr>
        <w:t>2016</w:t>
      </w:r>
      <w:r>
        <w:rPr>
          <w:spacing w:val="-1"/>
        </w:rPr>
        <w:t>年</w:t>
      </w:r>
      <w:r>
        <w:rPr>
          <w:spacing w:val="-84"/>
        </w:rPr>
        <w:t> </w:t>
      </w:r>
      <w:r>
        <w:rPr>
          <w:spacing w:val="-1"/>
        </w:rPr>
        <w:t>度、</w:t>
      </w:r>
      <w:r>
        <w:rPr>
          <w:rFonts w:ascii="Times New Roman" w:hAnsi="Times New Roman" w:cs="Times New Roman" w:eastAsia="Times New Roman" w:hint="default"/>
          <w:spacing w:val="-1"/>
        </w:rPr>
        <w:t>2017</w:t>
      </w:r>
      <w:r>
        <w:rPr>
          <w:spacing w:val="-1"/>
        </w:rPr>
        <w:t>年度经审计后的净利润进行累计考核，如果三年经审计后的累计实际净利润总额未达到承诺净利</w:t>
      </w:r>
      <w:r>
        <w:rPr>
          <w:spacing w:val="-82"/>
        </w:rPr>
        <w:t> </w:t>
      </w:r>
      <w:r>
        <w:rPr>
          <w:spacing w:val="-82"/>
        </w:rPr>
      </w:r>
      <w:r>
        <w:rPr>
          <w:spacing w:val="-4"/>
        </w:rPr>
        <w:t>润总额的，严国建、杨捷、王彬、熊子松应对收购方给予现金补偿，补偿计算公式如下：现金补偿</w:t>
      </w:r>
      <w:r>
        <w:rPr>
          <w:rFonts w:ascii="Times New Roman" w:hAnsi="Times New Roman" w:cs="Times New Roman" w:eastAsia="Times New Roman" w:hint="default"/>
          <w:spacing w:val="-4"/>
        </w:rPr>
        <w:t>=</w:t>
      </w:r>
      <w:r>
        <w:rPr>
          <w:spacing w:val="-4"/>
        </w:rPr>
        <w:t>（三年</w:t>
      </w:r>
      <w:r>
        <w:rPr>
          <w:spacing w:val="-64"/>
        </w:rPr>
        <w:t> </w:t>
      </w:r>
      <w:r>
        <w:rPr/>
        <w:t>累计承诺净利润总额 </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三年累计实际净利润总额）</w:t>
      </w:r>
      <w:r>
        <w:rPr>
          <w:rFonts w:ascii="Times New Roman" w:hAnsi="Times New Roman" w:cs="Times New Roman" w:eastAsia="Times New Roman" w:hint="default"/>
        </w:rPr>
        <w:t>×51%</w:t>
      </w:r>
      <w:r>
        <w:rPr/>
        <w:t>。</w:t>
      </w:r>
    </w:p>
    <w:p>
      <w:pPr>
        <w:spacing w:line="240" w:lineRule="auto" w:before="9"/>
        <w:rPr>
          <w:rFonts w:ascii="宋体" w:hAnsi="宋体" w:cs="宋体" w:eastAsia="宋体" w:hint="default"/>
          <w:sz w:val="16"/>
          <w:szCs w:val="16"/>
        </w:rPr>
      </w:pPr>
    </w:p>
    <w:p>
      <w:pPr>
        <w:pStyle w:val="BodyText"/>
        <w:spacing w:line="256" w:lineRule="auto"/>
        <w:ind w:right="104"/>
        <w:jc w:val="both"/>
      </w:pPr>
      <w:r>
        <w:rPr>
          <w:spacing w:val="-5"/>
        </w:rPr>
        <w:t>本公司承诺在满足《投资协议》约定的业绩考核期满，达到收购前提条件时立即启动收购武汉大千剩余</w:t>
      </w:r>
      <w:r>
        <w:rPr>
          <w:rFonts w:ascii="Times New Roman" w:hAnsi="Times New Roman" w:cs="Times New Roman" w:eastAsia="Times New Roman" w:hint="default"/>
          <w:spacing w:val="-5"/>
        </w:rPr>
        <w:t>49%</w:t>
      </w:r>
      <w:r>
        <w:rPr>
          <w:rFonts w:ascii="Times New Roman" w:hAnsi="Times New Roman" w:cs="Times New Roman" w:eastAsia="Times New Roman" w:hint="default"/>
          <w:spacing w:val="-11"/>
        </w:rPr>
        <w:t> </w:t>
      </w:r>
      <w:r>
        <w:rPr/>
        <w:t>股权程序。收购价格应不低于：武汉大千前一年度经审计的扣除非经常性损益后的净利润</w:t>
      </w:r>
      <w:r>
        <w:rPr>
          <w:rFonts w:ascii="Times New Roman" w:hAnsi="Times New Roman" w:cs="Times New Roman" w:eastAsia="Times New Roman" w:hint="default"/>
        </w:rPr>
        <w:t>×10×49%</w:t>
      </w:r>
      <w:r>
        <w:rPr/>
        <w:t>，</w:t>
      </w:r>
      <w:r>
        <w:rPr>
          <w:rFonts w:ascii="Times New Roman" w:hAnsi="Times New Roman" w:cs="Times New Roman" w:eastAsia="Times New Roman" w:hint="default"/>
        </w:rPr>
        <w:t>,</w:t>
      </w:r>
      <w:r>
        <w:rPr/>
        <w:t>参考 届时二级市场收购</w:t>
      </w:r>
      <w:r>
        <w:rPr>
          <w:rFonts w:ascii="Times New Roman" w:hAnsi="Times New Roman" w:cs="Times New Roman" w:eastAsia="Times New Roman" w:hint="default"/>
        </w:rPr>
        <w:t>IT</w:t>
      </w:r>
      <w:r>
        <w:rPr/>
        <w:t>企业的相对估值，经具有证券从业资格的评估机构评估认定。</w:t>
      </w:r>
    </w:p>
    <w:p>
      <w:pPr>
        <w:spacing w:line="240" w:lineRule="auto" w:before="12"/>
        <w:rPr>
          <w:rFonts w:ascii="宋体" w:hAnsi="宋体" w:cs="宋体" w:eastAsia="宋体" w:hint="default"/>
          <w:sz w:val="16"/>
          <w:szCs w:val="16"/>
        </w:rPr>
      </w:pPr>
    </w:p>
    <w:p>
      <w:pPr>
        <w:pStyle w:val="BodyText"/>
        <w:spacing w:line="273" w:lineRule="auto"/>
        <w:ind w:right="104"/>
        <w:jc w:val="left"/>
      </w:pPr>
      <w:r>
        <w:rPr/>
        <w:t>武汉大千的业绩考核为2015年、2016年、2017年的累计业绩考核，考核净利润累计不低于2,402.00万元，</w:t>
      </w:r>
      <w:r>
        <w:rPr>
          <w:spacing w:val="-44"/>
        </w:rPr>
        <w:t> </w:t>
      </w:r>
      <w:r>
        <w:rPr>
          <w:spacing w:val="-44"/>
        </w:rPr>
      </w:r>
      <w:r>
        <w:rPr/>
        <w:t>考核期累计武汉大千扣非净利润分别为693.61万元、-293.59万元、32.26万元，累计扣非净利润为432.28</w:t>
      </w:r>
      <w:r>
        <w:rPr/>
        <w:t> </w:t>
      </w:r>
      <w:r>
        <w:rPr>
          <w:spacing w:val="-4"/>
        </w:rPr>
        <w:t>万元，低于承诺的累计考核扣非净利润的2,402万元。严国建、杨捷、王彬、熊子松对本公司现金购买武汉</w:t>
      </w:r>
      <w:r>
        <w:rPr>
          <w:spacing w:val="-83"/>
        </w:rPr>
        <w:t> </w:t>
      </w:r>
      <w:r>
        <w:rPr>
          <w:spacing w:val="-83"/>
        </w:rPr>
      </w:r>
      <w:r>
        <w:rPr/>
        <w:t>大千51%股权的2015年至2017年累计业绩承诺未实现。</w:t>
      </w:r>
    </w:p>
    <w:p>
      <w:pPr>
        <w:spacing w:line="240" w:lineRule="auto" w:before="1"/>
        <w:rPr>
          <w:rFonts w:ascii="宋体" w:hAnsi="宋体" w:cs="宋体" w:eastAsia="宋体" w:hint="default"/>
          <w:sz w:val="17"/>
          <w:szCs w:val="17"/>
        </w:rPr>
      </w:pPr>
    </w:p>
    <w:p>
      <w:pPr>
        <w:pStyle w:val="BodyText"/>
        <w:spacing w:line="240" w:lineRule="auto"/>
        <w:ind w:right="0"/>
        <w:jc w:val="both"/>
      </w:pPr>
      <w:r>
        <w:rPr/>
        <w:t>②</w:t>
      </w:r>
      <w:r>
        <w:rPr>
          <w:spacing w:val="45"/>
        </w:rPr>
        <w:t> </w:t>
      </w:r>
      <w:r>
        <w:rPr/>
        <w:t>发行股份购买江苏税软股权</w:t>
      </w:r>
    </w:p>
    <w:p>
      <w:pPr>
        <w:spacing w:line="240" w:lineRule="auto" w:before="5"/>
        <w:rPr>
          <w:rFonts w:ascii="宋体" w:hAnsi="宋体" w:cs="宋体" w:eastAsia="宋体" w:hint="default"/>
          <w:sz w:val="19"/>
          <w:szCs w:val="19"/>
        </w:rPr>
      </w:pPr>
    </w:p>
    <w:p>
      <w:pPr>
        <w:pStyle w:val="BodyText"/>
        <w:spacing w:line="256" w:lineRule="auto"/>
        <w:ind w:right="208"/>
        <w:jc w:val="left"/>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日本公司第二届董事会第二十三次会议审议通过了《关于厦门市美亚柏科信息股份有限公司</w:t>
      </w:r>
      <w:r>
        <w:rPr>
          <w:spacing w:val="-95"/>
        </w:rPr>
        <w:t> </w:t>
      </w:r>
      <w:r>
        <w:rPr>
          <w:spacing w:val="-95"/>
        </w:rPr>
      </w:r>
      <w:r>
        <w:rPr/>
        <w:t>发行股份购买资产的议案》，以发行股份方式取得江苏税软</w:t>
      </w:r>
      <w:r>
        <w:rPr>
          <w:rFonts w:ascii="Times New Roman" w:hAnsi="Times New Roman" w:cs="Times New Roman" w:eastAsia="Times New Roman" w:hint="default"/>
        </w:rPr>
        <w:t>100%</w:t>
      </w:r>
      <w:r>
        <w:rPr/>
        <w:t>股权。</w:t>
      </w:r>
    </w:p>
    <w:p>
      <w:pPr>
        <w:spacing w:line="240" w:lineRule="auto" w:before="12"/>
        <w:rPr>
          <w:rFonts w:ascii="宋体" w:hAnsi="宋体" w:cs="宋体" w:eastAsia="宋体" w:hint="default"/>
          <w:sz w:val="16"/>
          <w:szCs w:val="16"/>
        </w:rPr>
      </w:pPr>
    </w:p>
    <w:p>
      <w:pPr>
        <w:pStyle w:val="BodyText"/>
        <w:spacing w:line="256" w:lineRule="auto"/>
        <w:ind w:right="10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日，本公司与江苏税软交易对方签署了《江苏税软发行股份购买资产协议》、《江苏税软盈利 预测补偿协议》；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日，本公司与江苏税软交易对方签署了《江苏税软发行股份购买资产协议 之补充协议》、《江苏税软盈利预测补偿协议之补充协议》。</w:t>
      </w:r>
    </w:p>
    <w:p>
      <w:pPr>
        <w:spacing w:line="240" w:lineRule="auto" w:before="3"/>
        <w:rPr>
          <w:rFonts w:ascii="宋体" w:hAnsi="宋体" w:cs="宋体" w:eastAsia="宋体" w:hint="default"/>
          <w:sz w:val="18"/>
          <w:szCs w:val="18"/>
        </w:rPr>
      </w:pPr>
    </w:p>
    <w:p>
      <w:pPr>
        <w:pStyle w:val="BodyText"/>
        <w:spacing w:line="266" w:lineRule="auto"/>
        <w:ind w:left="153" w:right="102"/>
        <w:jc w:val="left"/>
      </w:pPr>
      <w:r>
        <w:rPr/>
        <w:t>根据上述协议：韦玉荣、陈燕、李江、黄新、仇宏远、安林冲、郭玉智、王亚明、韩海青、李佳、任炜、</w:t>
      </w:r>
      <w:r>
        <w:rPr>
          <w:spacing w:val="-34"/>
        </w:rPr>
        <w:t> </w:t>
      </w:r>
      <w:r>
        <w:rPr>
          <w:spacing w:val="-34"/>
        </w:rPr>
      </w:r>
      <w:r>
        <w:rPr/>
        <w:t>叶树军、包志翔、张红光、卢晓英及孙士玉承诺江苏税软公司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年及</w:t>
      </w:r>
      <w:r>
        <w:rPr>
          <w:rFonts w:ascii="Times New Roman" w:hAnsi="Times New Roman" w:cs="Times New Roman" w:eastAsia="Times New Roman" w:hint="default"/>
        </w:rPr>
        <w:t>2017</w:t>
      </w:r>
      <w:r>
        <w:rPr/>
        <w:t>年当期合并报表中扣 除非经常性损益后归属于母公司所有者的净利润分别不低于</w:t>
      </w:r>
      <w:r>
        <w:rPr>
          <w:rFonts w:ascii="Times New Roman" w:hAnsi="Times New Roman" w:cs="Times New Roman" w:eastAsia="Times New Roman" w:hint="default"/>
        </w:rPr>
        <w:t>2,800</w:t>
      </w:r>
      <w:r>
        <w:rPr/>
        <w:t>万元、</w:t>
      </w:r>
      <w:r>
        <w:rPr>
          <w:rFonts w:ascii="Times New Roman" w:hAnsi="Times New Roman" w:cs="Times New Roman" w:eastAsia="Times New Roman" w:hint="default"/>
        </w:rPr>
        <w:t>3,750</w:t>
      </w:r>
      <w:r>
        <w:rPr/>
        <w:t>万元及</w:t>
      </w:r>
      <w:r>
        <w:rPr>
          <w:rFonts w:ascii="Times New Roman" w:hAnsi="Times New Roman" w:cs="Times New Roman" w:eastAsia="Times New Roman" w:hint="default"/>
        </w:rPr>
        <w:t>4,560</w:t>
      </w:r>
      <w:r>
        <w:rPr/>
        <w:t>万元。本公司在</w:t>
      </w:r>
      <w:r>
        <w:rPr>
          <w:spacing w:val="-87"/>
        </w:rPr>
        <w:t> </w:t>
      </w:r>
      <w:r>
        <w:rPr>
          <w:spacing w:val="-87"/>
        </w:rPr>
      </w:r>
      <w:r>
        <w:rPr/>
        <w:t>补偿期限内每一会计年度审计时对补偿标的当年的实际净利润数与净利润预测数的差异进行审核，补偿期</w:t>
      </w:r>
      <w:r>
        <w:rPr/>
        <w:t> 限内截至任一年度末的累积实际净利润数低于截至当年度末累积净利润预测数，原股东需对实际净利润数 低于净利润预测数的差额进行补偿，原股东优先以股份向本公司进行补偿，不足部分以现金进行补偿，当</w:t>
      </w:r>
    </w:p>
    <w:p>
      <w:pPr>
        <w:spacing w:after="0" w:line="266"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56" w:lineRule="auto" w:before="35"/>
        <w:ind w:left="153" w:right="142"/>
        <w:jc w:val="both"/>
      </w:pPr>
      <w:r>
        <w:rPr/>
        <w:t>年应补偿股份数量</w:t>
      </w:r>
      <w:r>
        <w:rPr>
          <w:rFonts w:ascii="Times New Roman" w:hAnsi="Times New Roman" w:cs="Times New Roman" w:eastAsia="Times New Roman" w:hint="default"/>
        </w:rPr>
        <w:t>=</w:t>
      </w:r>
      <w:r>
        <w:rPr/>
        <w:t>（补偿期限内截至当期期末的累积净利润预测数－补偿期限内截至当期期末累积实际</w:t>
      </w:r>
      <w:r>
        <w:rPr>
          <w:spacing w:val="-58"/>
        </w:rPr>
        <w:t> </w:t>
      </w:r>
      <w:r>
        <w:rPr>
          <w:spacing w:val="-58"/>
        </w:rPr>
      </w:r>
      <w:r>
        <w:rPr>
          <w:spacing w:val="-3"/>
        </w:rPr>
        <w:t>净利润数）</w:t>
      </w:r>
      <w:r>
        <w:rPr>
          <w:rFonts w:ascii="Times New Roman" w:hAnsi="Times New Roman" w:cs="Times New Roman" w:eastAsia="Times New Roman" w:hint="default"/>
          <w:spacing w:val="-3"/>
        </w:rPr>
        <w:t>÷</w:t>
      </w:r>
      <w:r>
        <w:rPr>
          <w:spacing w:val="-3"/>
        </w:rPr>
        <w:t>补偿期限内各年的净利润预测数总和</w:t>
      </w:r>
      <w:r>
        <w:rPr>
          <w:rFonts w:ascii="Times New Roman" w:hAnsi="Times New Roman" w:cs="Times New Roman" w:eastAsia="Times New Roman" w:hint="default"/>
          <w:spacing w:val="-3"/>
        </w:rPr>
        <w:t>×</w:t>
      </w:r>
      <w:r>
        <w:rPr>
          <w:spacing w:val="-3"/>
        </w:rPr>
        <w:t>（目标资产收购对价</w:t>
      </w:r>
      <w:r>
        <w:rPr>
          <w:rFonts w:ascii="Times New Roman" w:hAnsi="Times New Roman" w:cs="Times New Roman" w:eastAsia="Times New Roman" w:hint="default"/>
          <w:spacing w:val="-3"/>
        </w:rPr>
        <w:t>÷</w:t>
      </w:r>
      <w:r>
        <w:rPr>
          <w:spacing w:val="-3"/>
        </w:rPr>
        <w:t>每股发行价格）</w:t>
      </w:r>
      <w:r>
        <w:rPr>
          <w:rFonts w:ascii="Times New Roman" w:hAnsi="Times New Roman" w:cs="Times New Roman" w:eastAsia="Times New Roman" w:hint="default"/>
          <w:spacing w:val="-3"/>
        </w:rPr>
        <w:t>×49%–</w:t>
      </w:r>
      <w:r>
        <w:rPr>
          <w:spacing w:val="-3"/>
        </w:rPr>
        <w:t>已补偿股份</w:t>
      </w:r>
      <w:r>
        <w:rPr>
          <w:spacing w:val="-101"/>
        </w:rPr>
        <w:t> </w:t>
      </w:r>
      <w:r>
        <w:rPr>
          <w:spacing w:val="-101"/>
        </w:rPr>
      </w:r>
      <w:r>
        <w:rPr/>
        <w:t>数量</w:t>
      </w:r>
      <w:r>
        <w:rPr>
          <w:rFonts w:ascii="Times New Roman" w:hAnsi="Times New Roman" w:cs="Times New Roman" w:eastAsia="Times New Roman" w:hint="default"/>
        </w:rPr>
        <w:t>–</w:t>
      </w:r>
      <w:r>
        <w:rPr/>
        <w:t>（已补偿现金金额</w:t>
      </w:r>
      <w:r>
        <w:rPr>
          <w:rFonts w:ascii="Times New Roman" w:hAnsi="Times New Roman" w:cs="Times New Roman" w:eastAsia="Times New Roman" w:hint="default"/>
        </w:rPr>
        <w:t>÷</w:t>
      </w:r>
      <w:r>
        <w:rPr/>
        <w:t>每股发行价格），现金补偿</w:t>
      </w:r>
      <w:r>
        <w:rPr>
          <w:spacing w:val="-43"/>
        </w:rPr>
        <w:t> </w:t>
      </w:r>
      <w:r>
        <w:rPr>
          <w:rFonts w:ascii="Times New Roman" w:hAnsi="Times New Roman" w:cs="Times New Roman" w:eastAsia="Times New Roman" w:hint="default"/>
        </w:rPr>
        <w:t>=</w:t>
      </w:r>
      <w:r>
        <w:rPr/>
        <w:t>（该补偿义务人应补偿股份数量－该补偿义务人届 时所持股份数量）</w:t>
      </w:r>
      <w:r>
        <w:rPr>
          <w:rFonts w:ascii="Times New Roman" w:hAnsi="Times New Roman" w:cs="Times New Roman" w:eastAsia="Times New Roman" w:hint="default"/>
        </w:rPr>
        <w:t>×</w:t>
      </w:r>
      <w:r>
        <w:rPr/>
        <w:t>每股发行价格。</w:t>
      </w:r>
    </w:p>
    <w:p>
      <w:pPr>
        <w:spacing w:line="240" w:lineRule="auto" w:before="12"/>
        <w:rPr>
          <w:rFonts w:ascii="宋体" w:hAnsi="宋体" w:cs="宋体" w:eastAsia="宋体" w:hint="default"/>
          <w:sz w:val="16"/>
          <w:szCs w:val="16"/>
        </w:rPr>
      </w:pPr>
    </w:p>
    <w:p>
      <w:pPr>
        <w:pStyle w:val="BodyText"/>
        <w:spacing w:line="268" w:lineRule="auto"/>
        <w:ind w:right="142"/>
        <w:jc w:val="both"/>
      </w:pPr>
      <w:r>
        <w:rPr>
          <w:spacing w:val="3"/>
        </w:rPr>
        <w:t>各方应在补偿期限内每一会计年度审计报告出具后十个工作日内按照上述规定计算该会计年度的应补偿</w:t>
      </w:r>
      <w:r>
        <w:rPr>
          <w:spacing w:val="-78"/>
        </w:rPr>
        <w:t> </w:t>
      </w:r>
      <w:r>
        <w:rPr>
          <w:spacing w:val="-78"/>
        </w:rPr>
      </w:r>
      <w:r>
        <w:rPr/>
        <w:t>股份数，并且本公司在该期限内发出董事会通知，召开董事会审议本公司以</w:t>
      </w:r>
      <w:r>
        <w:rPr>
          <w:rFonts w:ascii="Times New Roman" w:hAnsi="Times New Roman" w:cs="Times New Roman" w:eastAsia="Times New Roman" w:hint="default"/>
        </w:rPr>
        <w:t>1</w:t>
      </w:r>
      <w:r>
        <w:rPr/>
        <w:t>元的总价回购并注销补偿义</w:t>
      </w:r>
      <w:r>
        <w:rPr>
          <w:spacing w:val="-33"/>
        </w:rPr>
        <w:t> </w:t>
      </w:r>
      <w:r>
        <w:rPr>
          <w:spacing w:val="-33"/>
        </w:rPr>
      </w:r>
      <w:r>
        <w:rPr>
          <w:spacing w:val="-1"/>
        </w:rPr>
        <w:t>务人当年补偿的股份事宜。如按照上述公式计算的补偿期限内某一年某一江苏税软交易对方的补偿股份数</w:t>
      </w:r>
      <w:r>
        <w:rPr>
          <w:spacing w:val="-81"/>
        </w:rPr>
        <w:t> </w:t>
      </w:r>
      <w:r>
        <w:rPr>
          <w:spacing w:val="-81"/>
        </w:rPr>
      </w:r>
      <w:r>
        <w:rPr>
          <w:spacing w:val="-1"/>
        </w:rPr>
        <w:t>量，超过了该江苏税软交易对方届时所持本公司的股份总数，则差额部分应由该江苏税软交易对方用现金</w:t>
      </w:r>
      <w:r>
        <w:rPr>
          <w:spacing w:val="-81"/>
        </w:rPr>
        <w:t> </w:t>
      </w:r>
      <w:r>
        <w:rPr>
          <w:spacing w:val="-81"/>
        </w:rPr>
      </w:r>
      <w:r>
        <w:rPr/>
        <w:t>进行补偿。</w:t>
      </w:r>
    </w:p>
    <w:p>
      <w:pPr>
        <w:spacing w:line="240" w:lineRule="auto" w:before="6"/>
        <w:rPr>
          <w:rFonts w:ascii="宋体" w:hAnsi="宋体" w:cs="宋体" w:eastAsia="宋体" w:hint="default"/>
          <w:sz w:val="17"/>
          <w:szCs w:val="17"/>
        </w:rPr>
      </w:pPr>
    </w:p>
    <w:p>
      <w:pPr>
        <w:pStyle w:val="BodyText"/>
        <w:spacing w:line="256" w:lineRule="auto"/>
        <w:ind w:right="151"/>
        <w:jc w:val="both"/>
      </w:pPr>
      <w:r>
        <w:rPr>
          <w:rFonts w:ascii="Times New Roman" w:hAnsi="Times New Roman" w:cs="Times New Roman" w:eastAsia="Times New Roman" w:hint="default"/>
          <w:spacing w:val="-3"/>
        </w:rPr>
        <w:t>2017</w:t>
      </w:r>
      <w:r>
        <w:rPr>
          <w:spacing w:val="-3"/>
        </w:rPr>
        <w:t>年，江苏税软财务报表中扣除非经常性损益后归属于母公司所有者的净利润为</w:t>
      </w:r>
      <w:r>
        <w:rPr>
          <w:rFonts w:ascii="Times New Roman" w:hAnsi="Times New Roman" w:cs="Times New Roman" w:eastAsia="Times New Roman" w:hint="default"/>
          <w:spacing w:val="-3"/>
        </w:rPr>
        <w:t>4,721.57</w:t>
      </w:r>
      <w:r>
        <w:rPr>
          <w:spacing w:val="-3"/>
        </w:rPr>
        <w:t>万元，高于韦玉</w:t>
      </w:r>
      <w:r>
        <w:rPr>
          <w:spacing w:val="-81"/>
        </w:rPr>
        <w:t> </w:t>
      </w:r>
      <w:r>
        <w:rPr>
          <w:spacing w:val="-81"/>
        </w:rPr>
      </w:r>
      <w:r>
        <w:rPr/>
        <w:t>荣等承诺的</w:t>
      </w:r>
      <w:r>
        <w:rPr>
          <w:rFonts w:ascii="Times New Roman" w:hAnsi="Times New Roman" w:cs="Times New Roman" w:eastAsia="Times New Roman" w:hint="default"/>
        </w:rPr>
        <w:t>4,560</w:t>
      </w:r>
      <w:r>
        <w:rPr/>
        <w:t>万元。</w:t>
      </w:r>
    </w:p>
    <w:p>
      <w:pPr>
        <w:spacing w:line="240" w:lineRule="auto" w:before="12"/>
        <w:rPr>
          <w:rFonts w:ascii="宋体" w:hAnsi="宋体" w:cs="宋体" w:eastAsia="宋体" w:hint="default"/>
          <w:sz w:val="16"/>
          <w:szCs w:val="16"/>
        </w:rPr>
      </w:pPr>
    </w:p>
    <w:p>
      <w:pPr>
        <w:pStyle w:val="BodyText"/>
        <w:spacing w:line="240" w:lineRule="auto"/>
        <w:ind w:right="0"/>
        <w:jc w:val="both"/>
      </w:pPr>
      <w:r>
        <w:rPr/>
        <w:t>③发行股份购买珠海新德汇股权</w:t>
      </w:r>
    </w:p>
    <w:p>
      <w:pPr>
        <w:spacing w:line="240" w:lineRule="auto" w:before="5"/>
        <w:rPr>
          <w:rFonts w:ascii="宋体" w:hAnsi="宋体" w:cs="宋体" w:eastAsia="宋体" w:hint="default"/>
          <w:sz w:val="19"/>
          <w:szCs w:val="19"/>
        </w:rPr>
      </w:pPr>
    </w:p>
    <w:p>
      <w:pPr>
        <w:pStyle w:val="BodyText"/>
        <w:spacing w:line="256" w:lineRule="auto"/>
        <w:ind w:right="149"/>
        <w:jc w:val="both"/>
      </w:pP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日本公司第二届董事会第二十三次会议审议通过了《关于厦门市美亚柏科信息股份有限公司</w:t>
      </w:r>
      <w:r>
        <w:rPr>
          <w:spacing w:val="-95"/>
        </w:rPr>
        <w:t> </w:t>
      </w:r>
      <w:r>
        <w:rPr>
          <w:spacing w:val="-95"/>
        </w:rPr>
      </w:r>
      <w:r>
        <w:rPr/>
        <w:t>发行股份购买资产的议案》，以发行股份方式珠海新德汇</w:t>
      </w:r>
      <w:r>
        <w:rPr>
          <w:spacing w:val="-21"/>
        </w:rPr>
        <w:t> </w:t>
      </w:r>
      <w:r>
        <w:rPr>
          <w:rFonts w:ascii="Times New Roman" w:hAnsi="Times New Roman" w:cs="Times New Roman" w:eastAsia="Times New Roman" w:hint="default"/>
        </w:rPr>
        <w:t>49%</w:t>
      </w:r>
      <w:r>
        <w:rPr/>
        <w:t>股权。</w:t>
      </w:r>
    </w:p>
    <w:p>
      <w:pPr>
        <w:spacing w:line="240" w:lineRule="auto" w:before="12"/>
        <w:rPr>
          <w:rFonts w:ascii="宋体" w:hAnsi="宋体" w:cs="宋体" w:eastAsia="宋体" w:hint="default"/>
          <w:sz w:val="16"/>
          <w:szCs w:val="16"/>
        </w:rPr>
      </w:pPr>
    </w:p>
    <w:p>
      <w:pPr>
        <w:pStyle w:val="BodyText"/>
        <w:spacing w:line="266" w:lineRule="auto"/>
        <w:ind w:right="149"/>
        <w:jc w:val="both"/>
      </w:pPr>
      <w:r>
        <w:rPr>
          <w:spacing w:val="-1"/>
        </w:rPr>
        <w:t>根据本公司与苏学武、水军、邓炽成签署的《盈利预测补偿协议》、《盈利预测补偿协之补充协议》，苏</w:t>
      </w:r>
      <w:r>
        <w:rPr>
          <w:spacing w:val="-84"/>
        </w:rPr>
        <w:t> </w:t>
      </w:r>
      <w:r>
        <w:rPr>
          <w:spacing w:val="-84"/>
        </w:rPr>
      </w:r>
      <w:r>
        <w:rPr>
          <w:spacing w:val="-1"/>
        </w:rPr>
        <w:t>学武、水军、邓炽成承诺珠海新德汇公司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2016</w:t>
      </w:r>
      <w:r>
        <w:rPr>
          <w:spacing w:val="-1"/>
        </w:rPr>
        <w:t>年及</w:t>
      </w:r>
      <w:r>
        <w:rPr>
          <w:rFonts w:ascii="Times New Roman" w:hAnsi="Times New Roman" w:cs="Times New Roman" w:eastAsia="Times New Roman" w:hint="default"/>
          <w:spacing w:val="-1"/>
        </w:rPr>
        <w:t>2017</w:t>
      </w:r>
      <w:r>
        <w:rPr>
          <w:spacing w:val="-1"/>
        </w:rPr>
        <w:t>年当期财务报表中扣除非经常性损益后归</w:t>
      </w:r>
      <w:r>
        <w:rPr>
          <w:spacing w:val="-85"/>
        </w:rPr>
        <w:t> </w:t>
      </w:r>
      <w:r>
        <w:rPr>
          <w:spacing w:val="-85"/>
        </w:rPr>
      </w:r>
      <w:r>
        <w:rPr/>
        <w:t>属于母公司所有者的净利润分别不低于为</w:t>
      </w:r>
      <w:r>
        <w:rPr>
          <w:rFonts w:ascii="Times New Roman" w:hAnsi="Times New Roman" w:cs="Times New Roman" w:eastAsia="Times New Roman" w:hint="default"/>
        </w:rPr>
        <w:t>3,000</w:t>
      </w:r>
      <w:r>
        <w:rPr/>
        <w:t>万元、</w:t>
      </w:r>
      <w:r>
        <w:rPr>
          <w:rFonts w:ascii="Times New Roman" w:hAnsi="Times New Roman" w:cs="Times New Roman" w:eastAsia="Times New Roman" w:hint="default"/>
        </w:rPr>
        <w:t>3,900</w:t>
      </w:r>
      <w:r>
        <w:rPr/>
        <w:t>万元及</w:t>
      </w:r>
      <w:r>
        <w:rPr>
          <w:rFonts w:ascii="Times New Roman" w:hAnsi="Times New Roman" w:cs="Times New Roman" w:eastAsia="Times New Roman" w:hint="default"/>
        </w:rPr>
        <w:t>4,860</w:t>
      </w:r>
      <w:r>
        <w:rPr/>
        <w:t>万元。本公司在补偿期限内每一会</w:t>
      </w:r>
      <w:r>
        <w:rPr>
          <w:spacing w:val="-87"/>
        </w:rPr>
        <w:t> </w:t>
      </w:r>
      <w:r>
        <w:rPr>
          <w:spacing w:val="-87"/>
        </w:rPr>
      </w:r>
      <w:r>
        <w:rPr>
          <w:spacing w:val="-1"/>
        </w:rPr>
        <w:t>计年度审计时对补偿标的当年的实际净利润数与净利润预测数的差异进行审核，补偿期限内截至任一年度</w:t>
      </w:r>
      <w:r>
        <w:rPr>
          <w:spacing w:val="-81"/>
        </w:rPr>
        <w:t> </w:t>
      </w:r>
      <w:r>
        <w:rPr>
          <w:spacing w:val="-81"/>
        </w:rPr>
      </w:r>
      <w:r>
        <w:rPr>
          <w:spacing w:val="-1"/>
        </w:rPr>
        <w:t>末的累积实际净利润数低于截至当年度末累积净利润预测数，原股东需对实际净利润数低于净利润预测数</w:t>
      </w:r>
      <w:r>
        <w:rPr>
          <w:spacing w:val="-81"/>
        </w:rPr>
        <w:t> </w:t>
      </w:r>
      <w:r>
        <w:rPr>
          <w:spacing w:val="-81"/>
        </w:rPr>
      </w:r>
      <w:r>
        <w:rPr>
          <w:spacing w:val="-1"/>
        </w:rPr>
        <w:t>的差额进行补偿，原股东优先以股份向本公司进行补偿，不足部分以现金进行补偿，当年应补偿股份数量</w:t>
      </w:r>
    </w:p>
    <w:p>
      <w:pPr>
        <w:pStyle w:val="BodyText"/>
        <w:spacing w:line="256" w:lineRule="auto" w:before="14"/>
        <w:ind w:right="142"/>
        <w:jc w:val="both"/>
      </w:pPr>
      <w:r>
        <w:rPr>
          <w:rFonts w:ascii="Times New Roman" w:hAnsi="Times New Roman" w:cs="Times New Roman" w:eastAsia="Times New Roman" w:hint="default"/>
          <w:spacing w:val="-1"/>
        </w:rPr>
        <w:t>=</w:t>
      </w:r>
      <w:r>
        <w:rPr>
          <w:spacing w:val="-1"/>
        </w:rPr>
        <w:t>（补偿期限内截至当期期末的累积净利润预测数－补偿期限内截至当期期末累积实际净利润数）</w:t>
      </w:r>
      <w:r>
        <w:rPr>
          <w:rFonts w:ascii="Times New Roman" w:hAnsi="Times New Roman" w:cs="Times New Roman" w:eastAsia="Times New Roman" w:hint="default"/>
          <w:spacing w:val="-1"/>
        </w:rPr>
        <w:t>÷</w:t>
      </w:r>
      <w:r>
        <w:rPr>
          <w:spacing w:val="-1"/>
        </w:rPr>
        <w:t>补偿期</w:t>
      </w:r>
      <w:r>
        <w:rPr/>
        <w:t> </w:t>
      </w:r>
      <w:r>
        <w:rPr>
          <w:spacing w:val="-3"/>
        </w:rPr>
        <w:t>限内各年的净利润预测数总和</w:t>
      </w:r>
      <w:r>
        <w:rPr>
          <w:rFonts w:ascii="Times New Roman" w:hAnsi="Times New Roman" w:cs="Times New Roman" w:eastAsia="Times New Roman" w:hint="default"/>
          <w:spacing w:val="-3"/>
        </w:rPr>
        <w:t>×</w:t>
      </w:r>
      <w:r>
        <w:rPr>
          <w:spacing w:val="-3"/>
        </w:rPr>
        <w:t>（目标资产收购对价</w:t>
      </w:r>
      <w:r>
        <w:rPr>
          <w:rFonts w:ascii="Times New Roman" w:hAnsi="Times New Roman" w:cs="Times New Roman" w:eastAsia="Times New Roman" w:hint="default"/>
          <w:spacing w:val="-3"/>
        </w:rPr>
        <w:t>÷</w:t>
      </w:r>
      <w:r>
        <w:rPr>
          <w:spacing w:val="-3"/>
        </w:rPr>
        <w:t>每股发行价格）</w:t>
      </w:r>
      <w:r>
        <w:rPr>
          <w:rFonts w:ascii="Times New Roman" w:hAnsi="Times New Roman" w:cs="Times New Roman" w:eastAsia="Times New Roman" w:hint="default"/>
          <w:spacing w:val="-3"/>
        </w:rPr>
        <w:t>×49%–</w:t>
      </w:r>
      <w:r>
        <w:rPr>
          <w:spacing w:val="-3"/>
        </w:rPr>
        <w:t>已补偿股份数量</w:t>
      </w:r>
      <w:r>
        <w:rPr>
          <w:rFonts w:ascii="Times New Roman" w:hAnsi="Times New Roman" w:cs="Times New Roman" w:eastAsia="Times New Roman" w:hint="default"/>
          <w:spacing w:val="-3"/>
        </w:rPr>
        <w:t>–</w:t>
      </w:r>
      <w:r>
        <w:rPr>
          <w:spacing w:val="-3"/>
        </w:rPr>
        <w:t>（已补偿现金</w:t>
      </w:r>
      <w:r>
        <w:rPr>
          <w:spacing w:val="-88"/>
        </w:rPr>
        <w:t> </w:t>
      </w:r>
      <w:r>
        <w:rPr/>
        <w:t>金额</w:t>
      </w:r>
      <w:r>
        <w:rPr>
          <w:rFonts w:ascii="Times New Roman" w:hAnsi="Times New Roman" w:cs="Times New Roman" w:eastAsia="Times New Roman" w:hint="default"/>
        </w:rPr>
        <w:t>÷</w:t>
      </w:r>
      <w:r>
        <w:rPr/>
        <w:t>每股发行价格），现金补偿</w:t>
      </w:r>
      <w:r>
        <w:rPr>
          <w:spacing w:val="-55"/>
        </w:rPr>
        <w:t> </w:t>
      </w:r>
      <w:r>
        <w:rPr>
          <w:rFonts w:ascii="Times New Roman" w:hAnsi="Times New Roman" w:cs="Times New Roman" w:eastAsia="Times New Roman" w:hint="default"/>
        </w:rPr>
        <w:t>=</w:t>
      </w:r>
      <w:r>
        <w:rPr/>
        <w:t>（该补偿义务人应补偿股份数量－该补偿义务人届时所持股份数量）</w:t>
      </w:r>
      <w:r>
        <w:rPr>
          <w:rFonts w:ascii="Times New Roman" w:hAnsi="Times New Roman" w:cs="Times New Roman" w:eastAsia="Times New Roman" w:hint="default"/>
        </w:rPr>
        <w:t>× </w:t>
      </w:r>
      <w:r>
        <w:rPr/>
        <w:t>每股发行价格。</w:t>
      </w:r>
    </w:p>
    <w:p>
      <w:pPr>
        <w:spacing w:line="240" w:lineRule="auto" w:before="3"/>
        <w:rPr>
          <w:rFonts w:ascii="宋体" w:hAnsi="宋体" w:cs="宋体" w:eastAsia="宋体" w:hint="default"/>
          <w:sz w:val="18"/>
          <w:szCs w:val="18"/>
        </w:rPr>
      </w:pPr>
    </w:p>
    <w:p>
      <w:pPr>
        <w:pStyle w:val="BodyText"/>
        <w:spacing w:line="268" w:lineRule="auto"/>
        <w:ind w:right="142"/>
        <w:jc w:val="both"/>
      </w:pPr>
      <w:r>
        <w:rPr>
          <w:spacing w:val="3"/>
        </w:rPr>
        <w:t>各方应在补偿期限内每一会计年度审计报告出具后十个工作日内按照上述规定计算该会计年度的应补偿</w:t>
      </w:r>
      <w:r>
        <w:rPr>
          <w:spacing w:val="-78"/>
        </w:rPr>
        <w:t> </w:t>
      </w:r>
      <w:r>
        <w:rPr>
          <w:spacing w:val="-78"/>
        </w:rPr>
      </w:r>
      <w:r>
        <w:rPr/>
        <w:t>股份数，并且本公司在该期限内发出董事会通知，召开董事会审议本公司以</w:t>
      </w:r>
      <w:r>
        <w:rPr>
          <w:rFonts w:ascii="Times New Roman" w:hAnsi="Times New Roman" w:cs="Times New Roman" w:eastAsia="Times New Roman" w:hint="default"/>
        </w:rPr>
        <w:t>1</w:t>
      </w:r>
      <w:r>
        <w:rPr/>
        <w:t>元的总价回购并注销补偿义</w:t>
      </w:r>
      <w:r>
        <w:rPr>
          <w:spacing w:val="-33"/>
        </w:rPr>
        <w:t> </w:t>
      </w:r>
      <w:r>
        <w:rPr>
          <w:spacing w:val="-33"/>
        </w:rPr>
      </w:r>
      <w:r>
        <w:rPr>
          <w:spacing w:val="-1"/>
        </w:rPr>
        <w:t>务人当年补偿的股份事宜。如按照上述公式计算的补偿期限内某一年某一珠海新德汇交易对方的补偿股份</w:t>
      </w:r>
      <w:r>
        <w:rPr>
          <w:spacing w:val="-81"/>
        </w:rPr>
        <w:t> </w:t>
      </w:r>
      <w:r>
        <w:rPr>
          <w:spacing w:val="-81"/>
        </w:rPr>
      </w:r>
      <w:r>
        <w:rPr>
          <w:spacing w:val="-1"/>
        </w:rPr>
        <w:t>数量，超过了该珠海新德汇交易对方届时所持本公司的股份总数，则差额部分应由该珠海新德汇交易对方</w:t>
      </w:r>
      <w:r>
        <w:rPr>
          <w:spacing w:val="-81"/>
        </w:rPr>
        <w:t> </w:t>
      </w:r>
      <w:r>
        <w:rPr>
          <w:spacing w:val="-81"/>
        </w:rPr>
      </w:r>
      <w:r>
        <w:rPr/>
        <w:t>用现金进行补偿。</w:t>
      </w:r>
    </w:p>
    <w:p>
      <w:pPr>
        <w:spacing w:line="240" w:lineRule="auto" w:before="6"/>
        <w:rPr>
          <w:rFonts w:ascii="宋体" w:hAnsi="宋体" w:cs="宋体" w:eastAsia="宋体" w:hint="default"/>
          <w:sz w:val="17"/>
          <w:szCs w:val="17"/>
        </w:rPr>
      </w:pPr>
    </w:p>
    <w:p>
      <w:pPr>
        <w:pStyle w:val="BodyText"/>
        <w:spacing w:line="256" w:lineRule="auto"/>
        <w:ind w:right="151"/>
        <w:jc w:val="both"/>
      </w:pPr>
      <w:r>
        <w:rPr>
          <w:rFonts w:ascii="Times New Roman" w:hAnsi="Times New Roman" w:cs="Times New Roman" w:eastAsia="Times New Roman" w:hint="default"/>
          <w:spacing w:val="-3"/>
        </w:rPr>
        <w:t>2017</w:t>
      </w:r>
      <w:r>
        <w:rPr>
          <w:spacing w:val="-3"/>
        </w:rPr>
        <w:t>年，珠海新德汇财务报表中扣除非经常性损益后归属于母公司所有者的净利润为</w:t>
      </w:r>
      <w:r>
        <w:rPr>
          <w:rFonts w:ascii="Times New Roman" w:hAnsi="Times New Roman" w:cs="Times New Roman" w:eastAsia="Times New Roman" w:hint="default"/>
          <w:spacing w:val="-3"/>
        </w:rPr>
        <w:t>5,117.72</w:t>
      </w:r>
      <w:r>
        <w:rPr>
          <w:spacing w:val="-3"/>
        </w:rPr>
        <w:t>万元，高于苏</w:t>
      </w:r>
      <w:r>
        <w:rPr>
          <w:spacing w:val="-83"/>
        </w:rPr>
        <w:t> </w:t>
      </w:r>
      <w:r>
        <w:rPr>
          <w:spacing w:val="-83"/>
        </w:rPr>
      </w:r>
      <w:r>
        <w:rPr/>
        <w:t>学武、水军、邓炽成承诺的</w:t>
      </w:r>
      <w:r>
        <w:rPr>
          <w:rFonts w:ascii="Times New Roman" w:hAnsi="Times New Roman" w:cs="Times New Roman" w:eastAsia="Times New Roman" w:hint="default"/>
        </w:rPr>
        <w:t>4,860</w:t>
      </w:r>
      <w:r>
        <w:rPr/>
        <w:t>万元。</w:t>
      </w:r>
    </w:p>
    <w:p>
      <w:pPr>
        <w:spacing w:line="240" w:lineRule="auto" w:before="12"/>
        <w:rPr>
          <w:rFonts w:ascii="宋体" w:hAnsi="宋体" w:cs="宋体" w:eastAsia="宋体" w:hint="default"/>
          <w:sz w:val="16"/>
          <w:szCs w:val="16"/>
        </w:rPr>
      </w:pPr>
    </w:p>
    <w:p>
      <w:pPr>
        <w:pStyle w:val="BodyText"/>
        <w:spacing w:line="240" w:lineRule="auto"/>
        <w:ind w:left="153" w:right="0"/>
        <w:jc w:val="both"/>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line="240" w:lineRule="auto" w:before="7"/>
        <w:rPr>
          <w:rFonts w:ascii="宋体" w:hAnsi="宋体" w:cs="宋体" w:eastAsia="宋体" w:hint="default"/>
          <w:sz w:val="24"/>
          <w:szCs w:val="24"/>
        </w:rPr>
      </w:pPr>
    </w:p>
    <w:p>
      <w:pPr>
        <w:pStyle w:val="Heading3"/>
        <w:spacing w:line="240" w:lineRule="auto"/>
        <w:ind w:left="153" w:right="0"/>
        <w:jc w:val="both"/>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line="506" w:lineRule="auto" w:before="0"/>
        <w:ind w:left="153" w:right="242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日，本集团不存在应披露的未决诉讼、对外担保等或有事项。</w:t>
      </w:r>
    </w:p>
    <w:p>
      <w:pPr>
        <w:spacing w:after="0" w:line="50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4" w:lineRule="auto" w:before="0"/>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1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418"/>
        <w:gridCol w:w="3685"/>
        <w:gridCol w:w="2075"/>
        <w:gridCol w:w="2390"/>
      </w:tblGrid>
      <w:tr>
        <w:trPr>
          <w:trHeight w:val="162" w:hRule="exact"/>
        </w:trPr>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207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62" w:right="41" w:hanging="720"/>
              <w:jc w:val="left"/>
              <w:rPr>
                <w:rFonts w:ascii="宋体" w:hAnsi="宋体" w:cs="宋体" w:eastAsia="宋体" w:hint="default"/>
                <w:sz w:val="18"/>
                <w:szCs w:val="18"/>
              </w:rPr>
            </w:pPr>
            <w:r>
              <w:rPr>
                <w:rFonts w:ascii="宋体" w:hAnsi="宋体" w:cs="宋体" w:eastAsia="宋体" w:hint="default"/>
                <w:sz w:val="18"/>
                <w:szCs w:val="18"/>
              </w:rPr>
              <w:t>对财务状况和经营成果的 影响数</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91" w:hRule="exact"/>
        </w:trPr>
        <w:tc>
          <w:tcPr>
            <w:tcW w:w="1418" w:type="dxa"/>
            <w:vMerge/>
            <w:tcBorders>
              <w:left w:val="single" w:sz="4" w:space="0" w:color="000000"/>
              <w:right w:val="single" w:sz="4" w:space="0" w:color="000000"/>
            </w:tcBorders>
            <w:shd w:val="clear" w:color="auto" w:fill="D3D3D3"/>
          </w:tcPr>
          <w:p>
            <w:pPr/>
          </w:p>
        </w:tc>
        <w:tc>
          <w:tcPr>
            <w:tcW w:w="3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075" w:type="dxa"/>
            <w:vMerge/>
            <w:tcBorders>
              <w:left w:val="single" w:sz="4" w:space="0" w:color="000000"/>
              <w:right w:val="single" w:sz="4" w:space="0" w:color="000000"/>
            </w:tcBorders>
            <w:shd w:val="clear" w:color="auto" w:fill="D3D3D3"/>
          </w:tcPr>
          <w:p>
            <w:pPr/>
          </w:p>
        </w:tc>
        <w:tc>
          <w:tcPr>
            <w:tcW w:w="2390" w:type="dxa"/>
            <w:vMerge/>
            <w:tcBorders>
              <w:left w:val="single" w:sz="4" w:space="0" w:color="000000"/>
              <w:right w:val="single" w:sz="4" w:space="0" w:color="000000"/>
            </w:tcBorders>
            <w:shd w:val="clear" w:color="auto" w:fill="D3D3D3"/>
          </w:tcPr>
          <w:p>
            <w:pPr/>
          </w:p>
        </w:tc>
      </w:tr>
      <w:tr>
        <w:trPr>
          <w:trHeight w:val="161"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3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2075"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363" w:hRule="exact"/>
        </w:trPr>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）参与投资美桐贰期产业并购基金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075" w:type="dxa"/>
            <w:tcBorders>
              <w:top w:val="single" w:sz="4" w:space="0" w:color="000000"/>
              <w:left w:val="single" w:sz="4" w:space="0" w:color="000000"/>
              <w:bottom w:val="nil" w:sz="6" w:space="0" w:color="auto"/>
              <w:right w:val="single" w:sz="4" w:space="0" w:color="000000"/>
            </w:tcBorders>
          </w:tcPr>
          <w:p>
            <w:pPr/>
          </w:p>
        </w:tc>
        <w:tc>
          <w:tcPr>
            <w:tcW w:w="2390" w:type="dxa"/>
            <w:vMerge w:val="restart"/>
            <w:tcBorders>
              <w:top w:val="single" w:sz="4" w:space="0" w:color="000000"/>
              <w:left w:val="single" w:sz="4" w:space="0" w:color="000000"/>
              <w:right w:val="single" w:sz="4" w:space="0" w:color="000000"/>
            </w:tcBorders>
          </w:tcPr>
          <w:p>
            <w:pPr/>
          </w:p>
        </w:tc>
      </w:tr>
      <w:tr>
        <w:trPr>
          <w:trHeight w:val="311"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日，本公司召开第三届董事会第二十</w:t>
            </w:r>
          </w:p>
        </w:tc>
        <w:tc>
          <w:tcPr>
            <w:tcW w:w="2075"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四次会议，审议通过了《关于公司参与投资美</w:t>
            </w:r>
          </w:p>
        </w:tc>
        <w:tc>
          <w:tcPr>
            <w:tcW w:w="2075"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桐产业并购基金的议案</w:t>
            </w:r>
            <w:r>
              <w:rPr>
                <w:rFonts w:ascii="宋体" w:hAnsi="宋体" w:cs="宋体" w:eastAsia="宋体" w:hint="default"/>
                <w:spacing w:val="-90"/>
                <w:sz w:val="18"/>
                <w:szCs w:val="18"/>
              </w:rPr>
              <w:t>》</w:t>
            </w:r>
            <w:r>
              <w:rPr>
                <w:rFonts w:ascii="宋体" w:hAnsi="宋体" w:cs="宋体" w:eastAsia="宋体" w:hint="default"/>
                <w:sz w:val="18"/>
                <w:szCs w:val="18"/>
              </w:rPr>
              <w:t>，本公司拟出资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w:t>
            </w:r>
          </w:p>
        </w:tc>
        <w:tc>
          <w:tcPr>
            <w:tcW w:w="2075"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936"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50"/>
              <w:jc w:val="both"/>
              <w:rPr>
                <w:rFonts w:ascii="宋体" w:hAnsi="宋体" w:cs="宋体" w:eastAsia="宋体" w:hint="default"/>
                <w:sz w:val="18"/>
                <w:szCs w:val="18"/>
              </w:rPr>
            </w:pPr>
            <w:r>
              <w:rPr>
                <w:rFonts w:ascii="宋体" w:hAnsi="宋体" w:cs="宋体" w:eastAsia="宋体" w:hint="default"/>
                <w:sz w:val="18"/>
                <w:szCs w:val="18"/>
              </w:rPr>
              <w:t>万元认购美桐贰期产业并购基金，用于促进公 司大数据和网络空间安全产业链整合；截止至 </w:t>
            </w:r>
            <w:r>
              <w:rPr>
                <w:rFonts w:ascii="宋体" w:hAnsi="宋体" w:cs="宋体" w:eastAsia="宋体" w:hint="default"/>
                <w:spacing w:val="-5"/>
                <w:sz w:val="18"/>
                <w:szCs w:val="18"/>
              </w:rPr>
              <w:t>审计报告日，本公司尚未出资。（</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）设立北京</w:t>
            </w:r>
          </w:p>
        </w:tc>
        <w:tc>
          <w:tcPr>
            <w:tcW w:w="207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截止至审计报告日，本公</w:t>
            </w:r>
          </w:p>
          <w:p>
            <w:pPr>
              <w:pStyle w:val="TableParagraph"/>
              <w:spacing w:line="240" w:lineRule="auto" w:before="76"/>
              <w:ind w:left="961" w:right="0"/>
              <w:jc w:val="left"/>
              <w:rPr>
                <w:rFonts w:ascii="宋体" w:hAnsi="宋体" w:cs="宋体" w:eastAsia="宋体" w:hint="default"/>
                <w:sz w:val="18"/>
                <w:szCs w:val="18"/>
              </w:rPr>
            </w:pPr>
            <w:r>
              <w:rPr>
                <w:rFonts w:ascii="宋体" w:hAnsi="宋体" w:cs="宋体" w:eastAsia="宋体" w:hint="default"/>
                <w:sz w:val="18"/>
                <w:szCs w:val="18"/>
              </w:rPr>
              <w:t>司尚未出资。</w:t>
            </w:r>
          </w:p>
        </w:tc>
        <w:tc>
          <w:tcPr>
            <w:tcW w:w="2390" w:type="dxa"/>
            <w:vMerge/>
            <w:tcBorders>
              <w:left w:val="single" w:sz="4" w:space="0" w:color="000000"/>
              <w:right w:val="single" w:sz="4" w:space="0" w:color="000000"/>
            </w:tcBorders>
          </w:tcPr>
          <w:p>
            <w:pPr/>
          </w:p>
        </w:tc>
      </w:tr>
      <w:tr>
        <w:trPr>
          <w:trHeight w:val="312"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美亚京安科技有限公司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w:t>
            </w:r>
          </w:p>
        </w:tc>
        <w:tc>
          <w:tcPr>
            <w:tcW w:w="2075"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07"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公司全资设立北京美亚京安科技有限公司，注</w:t>
            </w:r>
          </w:p>
        </w:tc>
        <w:tc>
          <w:tcPr>
            <w:tcW w:w="2075"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18" w:hRule="exact"/>
        </w:trPr>
        <w:tc>
          <w:tcPr>
            <w:tcW w:w="1418" w:type="dxa"/>
            <w:tcBorders>
              <w:top w:val="nil" w:sz="6" w:space="0" w:color="auto"/>
              <w:left w:val="single" w:sz="4" w:space="0" w:color="000000"/>
              <w:bottom w:val="nil" w:sz="6" w:space="0" w:color="auto"/>
              <w:right w:val="single" w:sz="4" w:space="0" w:color="000000"/>
            </w:tcBorders>
            <w:shd w:val="clear" w:color="auto" w:fill="D3D3D3"/>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册资本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万元；截止至审计报告日，本公</w:t>
            </w:r>
          </w:p>
        </w:tc>
        <w:tc>
          <w:tcPr>
            <w:tcW w:w="2075" w:type="dxa"/>
            <w:tcBorders>
              <w:top w:val="nil" w:sz="6" w:space="0" w:color="auto"/>
              <w:left w:val="single" w:sz="4" w:space="0" w:color="000000"/>
              <w:bottom w:val="nil" w:sz="6" w:space="0" w:color="auto"/>
              <w:right w:val="single" w:sz="4" w:space="0" w:color="000000"/>
            </w:tcBorders>
          </w:tcPr>
          <w:p>
            <w:pPr/>
          </w:p>
        </w:tc>
        <w:tc>
          <w:tcPr>
            <w:tcW w:w="2390" w:type="dxa"/>
            <w:vMerge/>
            <w:tcBorders>
              <w:left w:val="single" w:sz="4" w:space="0" w:color="000000"/>
              <w:right w:val="single" w:sz="4" w:space="0" w:color="000000"/>
            </w:tcBorders>
          </w:tcPr>
          <w:p>
            <w:pPr/>
          </w:p>
        </w:tc>
      </w:tr>
      <w:tr>
        <w:trPr>
          <w:trHeight w:val="352" w:hRule="exact"/>
        </w:trPr>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司尚未出资。</w:t>
            </w:r>
          </w:p>
        </w:tc>
        <w:tc>
          <w:tcPr>
            <w:tcW w:w="2075" w:type="dxa"/>
            <w:tcBorders>
              <w:top w:val="nil" w:sz="6" w:space="0" w:color="auto"/>
              <w:left w:val="single" w:sz="4" w:space="0" w:color="000000"/>
              <w:bottom w:val="single" w:sz="4" w:space="0" w:color="000000"/>
              <w:right w:val="single" w:sz="4" w:space="0" w:color="000000"/>
            </w:tcBorders>
          </w:tcPr>
          <w:p>
            <w:pPr/>
          </w:p>
        </w:tc>
        <w:tc>
          <w:tcPr>
            <w:tcW w:w="2390"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47" w:firstLine="420"/>
        <w:jc w:val="both"/>
      </w:pPr>
      <w:r>
        <w:rPr/>
        <w:t>本公司于</w:t>
      </w:r>
      <w:r>
        <w:rPr>
          <w:spacing w:val="-25"/>
        </w:rPr>
        <w:t> </w:t>
      </w:r>
      <w:r>
        <w:rPr/>
        <w:t>2018年3月21日召开第三届董事会第二十五会议，审议通过本公司2017年度权益分派预案列</w:t>
      </w:r>
      <w:r>
        <w:rPr/>
        <w:t> 示如下：</w:t>
      </w:r>
      <w:r>
        <w:rPr>
          <w:spacing w:val="-43"/>
        </w:rPr>
        <w:t> </w:t>
      </w:r>
      <w:r>
        <w:rPr/>
        <w:t>以公司总股本496,803,986股（公司目前总股本497,030,706股，扣除226,720股待注销的股权激</w:t>
      </w:r>
      <w:r>
        <w:rPr/>
        <w:t> </w:t>
      </w:r>
      <w:r>
        <w:rPr>
          <w:spacing w:val="6"/>
        </w:rPr>
        <w:t>励限制性股票）为基数向全体股东每10股派发现金股利2元人民币（含税），合计派发现金红利人民币</w:t>
      </w:r>
      <w:r>
        <w:rPr>
          <w:spacing w:val="-93"/>
        </w:rPr>
        <w:t> </w:t>
      </w:r>
      <w:r>
        <w:rPr>
          <w:spacing w:val="-93"/>
        </w:rPr>
      </w:r>
      <w:r>
        <w:rPr>
          <w:spacing w:val="-3"/>
        </w:rPr>
        <w:t>99,360,797.2元，同时，进行资本公积金转增股本，以总股本496,803,986股为基数，向全体股东每10股转</w:t>
      </w:r>
      <w:r>
        <w:rPr>
          <w:spacing w:val="-60"/>
        </w:rPr>
        <w:t> </w:t>
      </w:r>
      <w:r>
        <w:rPr>
          <w:spacing w:val="-60"/>
        </w:rPr>
      </w:r>
      <w:r>
        <w:rPr>
          <w:spacing w:val="-3"/>
        </w:rPr>
        <w:t>增6股，共计转增298,082,391股，转增后公司总股本增加至794,886,377股。上述权益分派预案尚须经本公</w:t>
      </w:r>
      <w:r>
        <w:rPr>
          <w:spacing w:val="-63"/>
        </w:rPr>
        <w:t> </w:t>
      </w:r>
      <w:r>
        <w:rPr>
          <w:spacing w:val="-63"/>
        </w:rPr>
      </w:r>
      <w:r>
        <w:rPr/>
        <w:t>司股东大会审议批准后实施。</w:t>
      </w:r>
    </w:p>
    <w:p>
      <w:pPr>
        <w:spacing w:after="0" w:line="408"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spacing w:line="484" w:lineRule="auto" w:before="0"/>
        <w:ind w:left="154" w:right="67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十六、其他重要事项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506" w:lineRule="auto" w:before="84"/>
        <w:ind w:right="8189"/>
        <w:jc w:val="left"/>
        <w:rPr>
          <w:rFonts w:ascii="宋体" w:hAnsi="宋体" w:cs="宋体" w:eastAsia="宋体" w:hint="default"/>
          <w:b w:val="0"/>
          <w:bCs w:val="0"/>
        </w:rPr>
      </w:pPr>
      <w:r>
        <w:rPr/>
        <w:t>（</w:t>
      </w:r>
      <w:r>
        <w:rPr>
          <w:rFonts w:ascii="Times New Roman" w:hAnsi="Times New Roman" w:cs="Times New Roman" w:eastAsia="Times New Roman" w:hint="default"/>
        </w:rPr>
        <w:t>1</w:t>
      </w:r>
      <w:r>
        <w:rPr/>
        <w:t>）追溯重述法</w:t>
      </w:r>
      <w:r>
        <w:rPr>
          <w:spacing w:val="1"/>
          <w:w w:val="99"/>
        </w:rPr>
        <w:t> </w:t>
      </w:r>
      <w:r>
        <w:rPr>
          <w:rFonts w:ascii="宋体" w:hAnsi="宋体" w:cs="宋体" w:eastAsia="宋体" w:hint="default"/>
          <w:b w:val="0"/>
          <w:bCs w:val="0"/>
        </w:rPr>
        <w:t>无</w:t>
      </w:r>
    </w:p>
    <w:p>
      <w:pPr>
        <w:pStyle w:val="Heading3"/>
        <w:spacing w:line="506" w:lineRule="auto" w:before="104"/>
        <w:ind w:right="8189"/>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）未来适用法</w:t>
      </w:r>
      <w:r>
        <w:rPr>
          <w:spacing w:val="1"/>
          <w:w w:val="99"/>
        </w:rPr>
        <w:t> </w:t>
      </w:r>
      <w:r>
        <w:rPr>
          <w:rFonts w:ascii="宋体" w:hAnsi="宋体" w:cs="宋体" w:eastAsia="宋体" w:hint="default"/>
          <w:b w:val="0"/>
          <w:bCs w:val="0"/>
        </w:rPr>
        <w:t>无</w:t>
      </w:r>
    </w:p>
    <w:p>
      <w:pPr>
        <w:pStyle w:val="Heading3"/>
        <w:spacing w:line="240" w:lineRule="auto" w:before="104"/>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0" w:hanging="1"/>
        <w:jc w:val="left"/>
      </w:pPr>
      <w:r>
        <w:rPr>
          <w:spacing w:val="-5"/>
        </w:rPr>
        <w:t>除了社会基本养老保险之外，本公司依据国家企业年金制度的相关政策建立企业年金计划（</w:t>
      </w:r>
      <w:r>
        <w:rPr>
          <w:rFonts w:ascii="Times New Roman" w:hAnsi="Times New Roman" w:cs="Times New Roman" w:eastAsia="Times New Roman" w:hint="default"/>
          <w:spacing w:val="-5"/>
        </w:rPr>
        <w:t>“</w:t>
      </w:r>
      <w:r>
        <w:rPr>
          <w:spacing w:val="-5"/>
        </w:rPr>
        <w:t>年金计划</w:t>
      </w:r>
      <w:r>
        <w:rPr>
          <w:rFonts w:ascii="Times New Roman" w:hAnsi="Times New Roman" w:cs="Times New Roman" w:eastAsia="Times New Roman" w:hint="default"/>
          <w:spacing w:val="-5"/>
        </w:rPr>
        <w:t>”</w:t>
      </w:r>
      <w:r>
        <w:rPr>
          <w:spacing w:val="-5"/>
        </w:rPr>
        <w:t>），</w:t>
      </w:r>
      <w:r>
        <w:rPr>
          <w:spacing w:val="-75"/>
        </w:rPr>
        <w:t> </w:t>
      </w:r>
      <w:r>
        <w:rPr>
          <w:spacing w:val="-75"/>
        </w:rPr>
      </w:r>
      <w:r>
        <w:rPr/>
        <w:t>符合年金条件的公司员工可以自愿参加该年金计划。</w:t>
      </w:r>
    </w:p>
    <w:p>
      <w:pPr>
        <w:spacing w:after="0" w:line="25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520" w:lineRule="auto" w:before="35"/>
        <w:ind w:right="8611"/>
        <w:jc w:val="left"/>
        <w:rPr>
          <w:b w:val="0"/>
          <w:bCs w:val="0"/>
        </w:rPr>
      </w:pPr>
      <w:r>
        <w:rPr>
          <w:rFonts w:ascii="Times New Roman" w:hAnsi="Times New Roman" w:cs="Times New Roman" w:eastAsia="Times New Roman" w:hint="default"/>
        </w:rPr>
        <w:t>5</w:t>
      </w:r>
      <w:r>
        <w:rPr/>
        <w:t>、终止经营</w:t>
      </w:r>
      <w:r>
        <w:rPr>
          <w:spacing w:val="1"/>
          <w:w w:val="99"/>
        </w:rPr>
        <w:t> </w:t>
      </w:r>
      <w:r>
        <w:rPr>
          <w:rFonts w:ascii="宋体" w:hAnsi="宋体" w:cs="宋体" w:eastAsia="宋体" w:hint="default"/>
          <w:b w:val="0"/>
          <w:bCs w:val="0"/>
        </w:rPr>
        <w:t>无 </w:t>
      </w:r>
      <w:r>
        <w:rPr>
          <w:rFonts w:ascii="Times New Roman" w:hAnsi="Times New Roman" w:cs="Times New Roman" w:eastAsia="Times New Roman" w:hint="default"/>
        </w:rPr>
        <w:t>6</w:t>
      </w:r>
      <w:r>
        <w:rPr/>
        <w:t>、分部信息</w:t>
      </w:r>
      <w:r>
        <w:rPr>
          <w:b w:val="0"/>
          <w:bCs w:val="0"/>
        </w:rPr>
      </w:r>
    </w:p>
    <w:p>
      <w:pPr>
        <w:pStyle w:val="Heading3"/>
        <w:spacing w:line="506" w:lineRule="auto" w:before="49"/>
        <w:ind w:left="153" w:right="6293"/>
        <w:jc w:val="left"/>
        <w:rPr>
          <w:rFonts w:ascii="宋体" w:hAnsi="宋体" w:cs="宋体" w:eastAsia="宋体" w:hint="default"/>
          <w:b w:val="0"/>
          <w:bCs w:val="0"/>
        </w:rPr>
      </w:pPr>
      <w:r>
        <w:rPr/>
        <w:t>（</w:t>
      </w:r>
      <w:r>
        <w:rPr>
          <w:rFonts w:ascii="Times New Roman" w:hAnsi="Times New Roman" w:cs="Times New Roman" w:eastAsia="Times New Roman" w:hint="default"/>
        </w:rPr>
        <w:t>1</w:t>
      </w:r>
      <w:r>
        <w:rPr/>
        <w:t>）报告分部的确定依据与会计政策</w:t>
      </w:r>
      <w:r>
        <w:rPr>
          <w:w w:val="99"/>
        </w:rPr>
        <w:t> </w:t>
      </w:r>
      <w:r>
        <w:rPr>
          <w:rFonts w:ascii="宋体" w:hAnsi="宋体" w:cs="宋体" w:eastAsia="宋体" w:hint="default"/>
          <w:b w:val="0"/>
          <w:bCs w:val="0"/>
        </w:rPr>
        <w:t>无</w:t>
      </w:r>
    </w:p>
    <w:p>
      <w:pPr>
        <w:pStyle w:val="Heading3"/>
        <w:spacing w:line="506" w:lineRule="auto" w:before="104"/>
        <w:ind w:left="153" w:right="7347"/>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）报告分部的财务信息</w:t>
      </w:r>
      <w:r>
        <w:rPr>
          <w:w w:val="99"/>
        </w:rPr>
        <w:t> </w:t>
      </w:r>
      <w:r>
        <w:rPr>
          <w:rFonts w:ascii="宋体" w:hAnsi="宋体" w:cs="宋体" w:eastAsia="宋体" w:hint="default"/>
          <w:b w:val="0"/>
          <w:bCs w:val="0"/>
        </w:rPr>
        <w:t>无</w:t>
      </w:r>
    </w:p>
    <w:p>
      <w:pPr>
        <w:pStyle w:val="Heading3"/>
        <w:spacing w:line="240" w:lineRule="auto" w:before="104"/>
        <w:ind w:left="153"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321"/>
        <w:jc w:val="left"/>
      </w:pPr>
      <w:r>
        <w:rPr/>
        <w:t>本集团内主要公司产品或劳务性质相似，以及生产过程、销售产品和提供劳务的方式、客户类型、行业 法规均具有相似性，同时，由于本集团收入主要来自中国境内，因此本集团无需披露分部数据。</w:t>
      </w:r>
    </w:p>
    <w:p>
      <w:pPr>
        <w:spacing w:line="240" w:lineRule="auto" w:before="7"/>
        <w:rPr>
          <w:rFonts w:ascii="宋体" w:hAnsi="宋体" w:cs="宋体" w:eastAsia="宋体" w:hint="default"/>
          <w:sz w:val="23"/>
          <w:szCs w:val="23"/>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590" w:lineRule="atLeast" w:before="22"/>
        <w:ind w:left="154" w:right="8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21"/>
          <w:szCs w:val="21"/>
        </w:rPr>
        <w:t>政府补助</w:t>
      </w:r>
    </w:p>
    <w:p>
      <w:pPr>
        <w:pStyle w:val="BodyText"/>
        <w:spacing w:line="240" w:lineRule="auto" w:before="174"/>
        <w:ind w:left="151" w:right="0"/>
        <w:jc w:val="left"/>
      </w:pPr>
      <w:r>
        <w:rPr/>
        <w:t>（1）</w:t>
      </w:r>
      <w:r>
        <w:rPr>
          <w:spacing w:val="89"/>
        </w:rPr>
        <w:t> </w:t>
      </w:r>
      <w:r>
        <w:rPr/>
        <w:t>计入递延收益的政府补助，后续采用总额法计量</w:t>
      </w:r>
    </w:p>
    <w:p>
      <w:pPr>
        <w:spacing w:line="240" w:lineRule="auto" w:before="10"/>
        <w:rPr>
          <w:rFonts w:ascii="宋体" w:hAnsi="宋体" w:cs="宋体" w:eastAsia="宋体" w:hint="default"/>
          <w:sz w:val="23"/>
          <w:szCs w:val="23"/>
        </w:rPr>
      </w:pPr>
    </w:p>
    <w:tbl>
      <w:tblPr>
        <w:tblW w:w="0" w:type="auto"/>
        <w:jc w:val="left"/>
        <w:tblInd w:w="153" w:type="dxa"/>
        <w:tblLayout w:type="fixed"/>
        <w:tblCellMar>
          <w:top w:w="0" w:type="dxa"/>
          <w:left w:w="0" w:type="dxa"/>
          <w:bottom w:w="0" w:type="dxa"/>
          <w:right w:w="0" w:type="dxa"/>
        </w:tblCellMar>
        <w:tblLook w:val="01E0"/>
      </w:tblPr>
      <w:tblGrid>
        <w:gridCol w:w="1840"/>
        <w:gridCol w:w="583"/>
        <w:gridCol w:w="1435"/>
        <w:gridCol w:w="1331"/>
        <w:gridCol w:w="1330"/>
        <w:gridCol w:w="431"/>
        <w:gridCol w:w="1436"/>
        <w:gridCol w:w="612"/>
        <w:gridCol w:w="631"/>
      </w:tblGrid>
      <w:tr>
        <w:trPr>
          <w:trHeight w:val="227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492"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75"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291"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3" w:lineRule="auto"/>
              <w:ind w:left="448" w:right="29" w:hanging="422"/>
              <w:jc w:val="left"/>
              <w:rPr>
                <w:rFonts w:ascii="宋体" w:hAnsi="宋体" w:cs="宋体" w:eastAsia="宋体" w:hint="default"/>
                <w:sz w:val="21"/>
                <w:szCs w:val="21"/>
              </w:rPr>
            </w:pPr>
            <w:r>
              <w:rPr>
                <w:rFonts w:ascii="宋体" w:hAnsi="宋体" w:cs="宋体" w:eastAsia="宋体" w:hint="default"/>
                <w:b/>
                <w:bCs/>
                <w:sz w:val="21"/>
                <w:szCs w:val="21"/>
              </w:rPr>
              <w:t>本年新增补助</w:t>
            </w:r>
            <w:r>
              <w:rPr>
                <w:rFonts w:ascii="宋体" w:hAnsi="宋体" w:cs="宋体" w:eastAsia="宋体" w:hint="default"/>
                <w:b/>
                <w:bCs/>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3" w:lineRule="auto"/>
              <w:ind w:left="132" w:right="29" w:hanging="106"/>
              <w:jc w:val="left"/>
              <w:rPr>
                <w:rFonts w:ascii="宋体" w:hAnsi="宋体" w:cs="宋体" w:eastAsia="宋体" w:hint="default"/>
                <w:sz w:val="21"/>
                <w:szCs w:val="21"/>
              </w:rPr>
            </w:pPr>
            <w:r>
              <w:rPr>
                <w:rFonts w:ascii="宋体" w:hAnsi="宋体" w:cs="宋体" w:eastAsia="宋体" w:hint="default"/>
                <w:b/>
                <w:bCs/>
                <w:sz w:val="21"/>
                <w:szCs w:val="21"/>
              </w:rPr>
              <w:t>本年结转计入</w:t>
            </w:r>
            <w:r>
              <w:rPr>
                <w:rFonts w:ascii="宋体" w:hAnsi="宋体" w:cs="宋体" w:eastAsia="宋体" w:hint="default"/>
                <w:b/>
                <w:bCs/>
                <w:w w:val="99"/>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73" w:lineRule="auto"/>
              <w:ind w:left="104" w:right="104"/>
              <w:jc w:val="both"/>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99"/>
                <w:sz w:val="21"/>
                <w:szCs w:val="21"/>
              </w:rPr>
              <w:t> </w:t>
            </w:r>
            <w:r>
              <w:rPr>
                <w:rFonts w:ascii="宋体" w:hAnsi="宋体" w:cs="宋体" w:eastAsia="宋体" w:hint="default"/>
                <w:b/>
                <w:bCs/>
                <w:sz w:val="21"/>
                <w:szCs w:val="21"/>
              </w:rPr>
              <w:t>他</w:t>
            </w:r>
            <w:r>
              <w:rPr>
                <w:rFonts w:ascii="宋体" w:hAnsi="宋体" w:cs="宋体" w:eastAsia="宋体" w:hint="default"/>
                <w:b/>
                <w:bCs/>
                <w:w w:val="99"/>
                <w:sz w:val="21"/>
                <w:szCs w:val="21"/>
              </w:rPr>
              <w:t> </w:t>
            </w:r>
            <w:r>
              <w:rPr>
                <w:rFonts w:ascii="宋体" w:hAnsi="宋体" w:cs="宋体" w:eastAsia="宋体" w:hint="default"/>
                <w:b/>
                <w:bCs/>
                <w:sz w:val="21"/>
                <w:szCs w:val="21"/>
              </w:rPr>
              <w:t>变</w:t>
            </w:r>
            <w:r>
              <w:rPr>
                <w:rFonts w:ascii="宋体" w:hAnsi="宋体" w:cs="宋体" w:eastAsia="宋体" w:hint="default"/>
                <w:b/>
                <w:bCs/>
                <w:w w:val="99"/>
                <w:sz w:val="21"/>
                <w:szCs w:val="21"/>
              </w:rPr>
              <w:t> </w:t>
            </w:r>
            <w:r>
              <w:rPr>
                <w:rFonts w:ascii="宋体" w:hAnsi="宋体" w:cs="宋体" w:eastAsia="宋体" w:hint="default"/>
                <w:b/>
                <w:bCs/>
                <w:sz w:val="21"/>
                <w:szCs w:val="21"/>
              </w:rPr>
              <w:t>动</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left="291"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90" w:right="87"/>
              <w:jc w:val="both"/>
              <w:rPr>
                <w:rFonts w:ascii="宋体" w:hAnsi="宋体" w:cs="宋体" w:eastAsia="宋体" w:hint="default"/>
                <w:sz w:val="21"/>
                <w:szCs w:val="21"/>
              </w:rPr>
            </w:pPr>
            <w:r>
              <w:rPr>
                <w:rFonts w:ascii="宋体" w:hAnsi="宋体" w:cs="宋体" w:eastAsia="宋体" w:hint="default"/>
                <w:b/>
                <w:bCs/>
                <w:sz w:val="21"/>
                <w:szCs w:val="21"/>
              </w:rPr>
              <w:t>本年</w:t>
            </w:r>
            <w:r>
              <w:rPr>
                <w:rFonts w:ascii="宋体" w:hAnsi="宋体" w:cs="宋体" w:eastAsia="宋体" w:hint="default"/>
                <w:b/>
                <w:bCs/>
                <w:spacing w:val="1"/>
                <w:w w:val="99"/>
                <w:sz w:val="21"/>
                <w:szCs w:val="21"/>
              </w:rPr>
              <w:t> </w:t>
            </w:r>
            <w:r>
              <w:rPr>
                <w:rFonts w:ascii="宋体" w:hAnsi="宋体" w:cs="宋体" w:eastAsia="宋体" w:hint="default"/>
                <w:b/>
                <w:bCs/>
                <w:sz w:val="21"/>
                <w:szCs w:val="21"/>
              </w:rPr>
              <w:t>结转</w:t>
            </w:r>
            <w:r>
              <w:rPr>
                <w:rFonts w:ascii="宋体" w:hAnsi="宋体" w:cs="宋体" w:eastAsia="宋体" w:hint="default"/>
                <w:b/>
                <w:bCs/>
                <w:spacing w:val="1"/>
                <w:w w:val="99"/>
                <w:sz w:val="21"/>
                <w:szCs w:val="21"/>
              </w:rPr>
              <w:t> </w:t>
            </w:r>
            <w:r>
              <w:rPr>
                <w:rFonts w:ascii="宋体" w:hAnsi="宋体" w:cs="宋体" w:eastAsia="宋体" w:hint="default"/>
                <w:b/>
                <w:bCs/>
                <w:sz w:val="21"/>
                <w:szCs w:val="21"/>
              </w:rPr>
              <w:t>计入</w:t>
            </w:r>
            <w:r>
              <w:rPr>
                <w:rFonts w:ascii="宋体" w:hAnsi="宋体" w:cs="宋体" w:eastAsia="宋体" w:hint="default"/>
                <w:b/>
                <w:bCs/>
                <w:spacing w:val="1"/>
                <w:w w:val="99"/>
                <w:sz w:val="21"/>
                <w:szCs w:val="21"/>
              </w:rPr>
              <w:t> </w:t>
            </w:r>
            <w:r>
              <w:rPr>
                <w:rFonts w:ascii="宋体" w:hAnsi="宋体" w:cs="宋体" w:eastAsia="宋体" w:hint="default"/>
                <w:b/>
                <w:bCs/>
                <w:sz w:val="21"/>
                <w:szCs w:val="21"/>
              </w:rPr>
              <w:t>损益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的列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报项</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73" w:lineRule="auto"/>
              <w:ind w:left="46" w:right="43" w:firstLine="52"/>
              <w:jc w:val="both"/>
              <w:rPr>
                <w:rFonts w:ascii="宋体" w:hAnsi="宋体" w:cs="宋体" w:eastAsia="宋体" w:hint="default"/>
                <w:sz w:val="21"/>
                <w:szCs w:val="21"/>
              </w:rPr>
            </w:pPr>
            <w:r>
              <w:rPr>
                <w:rFonts w:ascii="宋体" w:hAnsi="宋体" w:cs="宋体" w:eastAsia="宋体" w:hint="default"/>
                <w:b/>
                <w:bCs/>
                <w:sz w:val="21"/>
                <w:szCs w:val="21"/>
              </w:rPr>
              <w:t>与资</w:t>
            </w:r>
            <w:r>
              <w:rPr>
                <w:rFonts w:ascii="宋体" w:hAnsi="宋体" w:cs="宋体" w:eastAsia="宋体" w:hint="default"/>
                <w:b/>
                <w:bCs/>
                <w:spacing w:val="1"/>
                <w:w w:val="99"/>
                <w:sz w:val="21"/>
                <w:szCs w:val="21"/>
              </w:rPr>
              <w:t> </w:t>
            </w:r>
            <w:r>
              <w:rPr>
                <w:rFonts w:ascii="宋体" w:hAnsi="宋体" w:cs="宋体" w:eastAsia="宋体" w:hint="default"/>
                <w:b/>
                <w:bCs/>
                <w:sz w:val="21"/>
                <w:szCs w:val="21"/>
              </w:rPr>
              <w:t>产相</w:t>
            </w:r>
            <w:r>
              <w:rPr>
                <w:rFonts w:ascii="宋体" w:hAnsi="宋体" w:cs="宋体" w:eastAsia="宋体" w:hint="default"/>
                <w:b/>
                <w:bCs/>
                <w:spacing w:val="1"/>
                <w:w w:val="99"/>
                <w:sz w:val="21"/>
                <w:szCs w:val="21"/>
              </w:rPr>
              <w:t> </w:t>
            </w:r>
            <w:r>
              <w:rPr>
                <w:rFonts w:ascii="宋体" w:hAnsi="宋体" w:cs="宋体" w:eastAsia="宋体" w:hint="default"/>
                <w:b/>
                <w:bCs/>
                <w:sz w:val="21"/>
                <w:szCs w:val="21"/>
              </w:rPr>
              <w:t>关/与</w:t>
            </w:r>
            <w:r>
              <w:rPr>
                <w:rFonts w:ascii="宋体" w:hAnsi="宋体" w:cs="宋体" w:eastAsia="宋体" w:hint="default"/>
                <w:b/>
                <w:bCs/>
                <w:spacing w:val="1"/>
                <w:w w:val="99"/>
                <w:sz w:val="21"/>
                <w:szCs w:val="21"/>
              </w:rPr>
              <w:t> </w:t>
            </w:r>
            <w:r>
              <w:rPr>
                <w:rFonts w:ascii="宋体" w:hAnsi="宋体" w:cs="宋体" w:eastAsia="宋体" w:hint="default"/>
                <w:b/>
                <w:bCs/>
                <w:sz w:val="21"/>
                <w:szCs w:val="21"/>
              </w:rPr>
              <w:t>收益</w:t>
            </w:r>
            <w:r>
              <w:rPr>
                <w:rFonts w:ascii="宋体" w:hAnsi="宋体" w:cs="宋体" w:eastAsia="宋体" w:hint="default"/>
                <w:b/>
                <w:bCs/>
                <w:spacing w:val="1"/>
                <w:w w:val="99"/>
                <w:sz w:val="21"/>
                <w:szCs w:val="21"/>
              </w:rPr>
              <w:t> </w:t>
            </w:r>
            <w:r>
              <w:rPr>
                <w:rFonts w:ascii="宋体" w:hAnsi="宋体" w:cs="宋体" w:eastAsia="宋体" w:hint="default"/>
                <w:b/>
                <w:bCs/>
                <w:sz w:val="21"/>
                <w:szCs w:val="21"/>
              </w:rPr>
              <w:t>相关</w:t>
            </w:r>
            <w:r>
              <w:rPr>
                <w:rFonts w:ascii="宋体" w:hAnsi="宋体" w:cs="宋体" w:eastAsia="宋体" w:hint="default"/>
                <w:sz w:val="21"/>
                <w:szCs w:val="21"/>
              </w:rPr>
            </w:r>
          </w:p>
        </w:tc>
      </w:tr>
      <w:tr>
        <w:trPr>
          <w:trHeight w:val="755"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5" w:right="8"/>
              <w:jc w:val="left"/>
              <w:rPr>
                <w:rFonts w:ascii="宋体" w:hAnsi="宋体" w:cs="宋体" w:eastAsia="宋体" w:hint="default"/>
                <w:sz w:val="21"/>
                <w:szCs w:val="21"/>
              </w:rPr>
            </w:pPr>
            <w:r>
              <w:rPr>
                <w:rFonts w:ascii="宋体" w:hAnsi="宋体" w:cs="宋体" w:eastAsia="宋体" w:hint="default"/>
                <w:spacing w:val="13"/>
                <w:sz w:val="21"/>
                <w:szCs w:val="21"/>
              </w:rPr>
              <w:t>厦门超级计算（云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计算）中心</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128" w:right="23"/>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1,979,696.95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1,979,696.95</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7"/>
              <w:ind w:left="157" w:right="23"/>
              <w:jc w:val="left"/>
              <w:rPr>
                <w:rFonts w:ascii="宋体" w:hAnsi="宋体" w:cs="宋体" w:eastAsia="宋体" w:hint="default"/>
                <w:sz w:val="21"/>
                <w:szCs w:val="21"/>
              </w:rPr>
            </w:pPr>
            <w:r>
              <w:rPr>
                <w:rFonts w:ascii="宋体" w:hAnsi="宋体" w:cs="宋体" w:eastAsia="宋体" w:hint="default"/>
                <w:sz w:val="21"/>
                <w:szCs w:val="21"/>
              </w:rPr>
              <w:t>其他 收益</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71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5" w:right="8"/>
              <w:jc w:val="left"/>
              <w:rPr>
                <w:rFonts w:ascii="宋体" w:hAnsi="宋体" w:cs="宋体" w:eastAsia="宋体" w:hint="default"/>
                <w:sz w:val="21"/>
                <w:szCs w:val="21"/>
              </w:rPr>
            </w:pPr>
            <w:r>
              <w:rPr>
                <w:rFonts w:ascii="宋体" w:hAnsi="宋体" w:cs="宋体" w:eastAsia="宋体" w:hint="default"/>
                <w:spacing w:val="13"/>
                <w:sz w:val="21"/>
                <w:szCs w:val="21"/>
              </w:rPr>
              <w:t>厦门超级计算中心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滚动支持</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4,800,000.00</w:t>
            </w:r>
            <w:r>
              <w:rPr>
                <w:rFonts w:ascii="宋体"/>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4,800,000.00</w:t>
            </w:r>
            <w:r>
              <w:rPr>
                <w:rFonts w:ascii="宋体"/>
                <w:sz w:val="21"/>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pacing w:val="-1"/>
                <w:w w:val="95"/>
                <w:sz w:val="21"/>
                <w:szCs w:val="21"/>
              </w:rPr>
              <w:t>资产</w:t>
            </w:r>
            <w:r>
              <w:rPr>
                <w:rFonts w:ascii="宋体" w:hAnsi="宋体" w:cs="宋体" w:eastAsia="宋体" w:hint="default"/>
                <w:w w:val="95"/>
                <w:sz w:val="21"/>
                <w:szCs w:val="21"/>
              </w:rPr>
            </w:r>
          </w:p>
        </w:tc>
      </w:tr>
      <w:tr>
        <w:trPr>
          <w:trHeight w:val="75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5"/>
              <w:ind w:left="25" w:right="8"/>
              <w:jc w:val="left"/>
              <w:rPr>
                <w:rFonts w:ascii="宋体" w:hAnsi="宋体" w:cs="宋体" w:eastAsia="宋体" w:hint="default"/>
                <w:sz w:val="21"/>
                <w:szCs w:val="21"/>
              </w:rPr>
            </w:pPr>
            <w:r>
              <w:rPr>
                <w:rFonts w:ascii="宋体" w:hAnsi="宋体" w:cs="宋体" w:eastAsia="宋体" w:hint="default"/>
                <w:spacing w:val="13"/>
                <w:sz w:val="21"/>
                <w:szCs w:val="21"/>
              </w:rPr>
              <w:t>面向新型信息技术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和应用环境的网络</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25,038.46</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22,156.84</w:t>
            </w:r>
            <w:r>
              <w:rPr>
                <w:rFonts w:ascii="宋体"/>
                <w:sz w:val="21"/>
              </w:rPr>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2,881.62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157" w:right="23"/>
              <w:jc w:val="left"/>
              <w:rPr>
                <w:rFonts w:ascii="宋体" w:hAnsi="宋体" w:cs="宋体" w:eastAsia="宋体" w:hint="default"/>
                <w:sz w:val="21"/>
                <w:szCs w:val="21"/>
              </w:rPr>
            </w:pPr>
            <w:r>
              <w:rPr>
                <w:rFonts w:ascii="宋体" w:hAnsi="宋体" w:cs="宋体" w:eastAsia="宋体" w:hint="default"/>
                <w:sz w:val="21"/>
                <w:szCs w:val="21"/>
              </w:rPr>
              <w:t>其他 收益</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5"/>
              <w:ind w:left="176" w:right="23"/>
              <w:jc w:val="left"/>
              <w:rPr>
                <w:rFonts w:ascii="宋体" w:hAnsi="宋体" w:cs="宋体" w:eastAsia="宋体" w:hint="default"/>
                <w:sz w:val="21"/>
                <w:szCs w:val="21"/>
              </w:rPr>
            </w:pPr>
            <w:r>
              <w:rPr>
                <w:rFonts w:ascii="宋体" w:hAnsi="宋体" w:cs="宋体" w:eastAsia="宋体" w:hint="default"/>
                <w:sz w:val="21"/>
                <w:szCs w:val="21"/>
              </w:rPr>
              <w:t>部分 与资</w:t>
            </w:r>
          </w:p>
        </w:tc>
      </w:tr>
    </w:tbl>
    <w:p>
      <w:pPr>
        <w:spacing w:after="0" w:line="273"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1840"/>
        <w:gridCol w:w="583"/>
        <w:gridCol w:w="1435"/>
        <w:gridCol w:w="1331"/>
        <w:gridCol w:w="1330"/>
        <w:gridCol w:w="431"/>
        <w:gridCol w:w="1436"/>
        <w:gridCol w:w="612"/>
        <w:gridCol w:w="631"/>
      </w:tblGrid>
      <w:tr>
        <w:trPr>
          <w:trHeight w:val="67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5" w:right="0"/>
              <w:jc w:val="left"/>
              <w:rPr>
                <w:rFonts w:ascii="宋体" w:hAnsi="宋体" w:cs="宋体" w:eastAsia="宋体" w:hint="default"/>
                <w:sz w:val="21"/>
                <w:szCs w:val="21"/>
              </w:rPr>
            </w:pPr>
            <w:r>
              <w:rPr>
                <w:rFonts w:ascii="宋体" w:hAnsi="宋体" w:cs="宋体" w:eastAsia="宋体" w:hint="default"/>
                <w:sz w:val="21"/>
                <w:szCs w:val="21"/>
              </w:rPr>
              <w:t>技术研究</w:t>
            </w:r>
          </w:p>
        </w:tc>
        <w:tc>
          <w:tcPr>
            <w:tcW w:w="58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6" w:right="0"/>
              <w:jc w:val="left"/>
              <w:rPr>
                <w:rFonts w:ascii="宋体" w:hAnsi="宋体" w:cs="宋体" w:eastAsia="宋体" w:hint="default"/>
                <w:sz w:val="21"/>
                <w:szCs w:val="21"/>
              </w:rPr>
            </w:pPr>
            <w:r>
              <w:rPr>
                <w:rFonts w:ascii="宋体" w:hAnsi="宋体" w:cs="宋体" w:eastAsia="宋体" w:hint="default"/>
                <w:sz w:val="21"/>
                <w:szCs w:val="21"/>
              </w:rPr>
              <w:t>产相</w:t>
            </w:r>
          </w:p>
          <w:p>
            <w:pPr>
              <w:pStyle w:val="TableParagraph"/>
              <w:spacing w:line="240" w:lineRule="auto" w:before="38"/>
              <w:ind w:left="386"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1338"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25" w:right="8"/>
              <w:jc w:val="left"/>
              <w:rPr>
                <w:rFonts w:ascii="宋体" w:hAnsi="宋体" w:cs="宋体" w:eastAsia="宋体" w:hint="default"/>
                <w:sz w:val="21"/>
                <w:szCs w:val="21"/>
              </w:rPr>
            </w:pPr>
            <w:r>
              <w:rPr>
                <w:rFonts w:ascii="宋体" w:hAnsi="宋体" w:cs="宋体" w:eastAsia="宋体" w:hint="default"/>
                <w:spacing w:val="13"/>
                <w:sz w:val="21"/>
                <w:szCs w:val="21"/>
              </w:rPr>
              <w:t>电子取证关键技术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研究</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55,213.40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34,298.32</w:t>
            </w:r>
            <w:r>
              <w:rPr>
                <w:rFonts w:ascii="宋体"/>
                <w:sz w:val="21"/>
              </w:rPr>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20,915.08</w:t>
            </w:r>
            <w:r>
              <w:rPr>
                <w:rFonts w:ascii="宋体"/>
                <w:sz w:val="21"/>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307" w:lineRule="auto"/>
              <w:ind w:left="157" w:right="23"/>
              <w:jc w:val="left"/>
              <w:rPr>
                <w:rFonts w:ascii="宋体" w:hAnsi="宋体" w:cs="宋体" w:eastAsia="宋体" w:hint="default"/>
                <w:sz w:val="21"/>
                <w:szCs w:val="21"/>
              </w:rPr>
            </w:pPr>
            <w:r>
              <w:rPr>
                <w:rFonts w:ascii="宋体" w:hAnsi="宋体" w:cs="宋体" w:eastAsia="宋体" w:hint="default"/>
                <w:sz w:val="21"/>
                <w:szCs w:val="21"/>
              </w:rPr>
              <w:t>其他 收益</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176" w:right="23"/>
              <w:jc w:val="both"/>
              <w:rPr>
                <w:rFonts w:ascii="宋体" w:hAnsi="宋体" w:cs="宋体" w:eastAsia="宋体" w:hint="default"/>
                <w:sz w:val="21"/>
                <w:szCs w:val="21"/>
              </w:rPr>
            </w:pPr>
            <w:r>
              <w:rPr>
                <w:rFonts w:ascii="宋体" w:hAnsi="宋体" w:cs="宋体" w:eastAsia="宋体" w:hint="default"/>
                <w:sz w:val="21"/>
                <w:szCs w:val="21"/>
              </w:rPr>
              <w:t>部分 与资 产相</w:t>
            </w:r>
          </w:p>
          <w:p>
            <w:pPr>
              <w:pStyle w:val="TableParagraph"/>
              <w:spacing w:line="240" w:lineRule="auto" w:before="11"/>
              <w:ind w:left="386"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1338"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25" w:right="8"/>
              <w:jc w:val="both"/>
              <w:rPr>
                <w:rFonts w:ascii="宋体" w:hAnsi="宋体" w:cs="宋体" w:eastAsia="宋体" w:hint="default"/>
                <w:sz w:val="21"/>
                <w:szCs w:val="21"/>
              </w:rPr>
            </w:pPr>
            <w:r>
              <w:rPr>
                <w:rFonts w:ascii="宋体" w:hAnsi="宋体" w:cs="宋体" w:eastAsia="宋体" w:hint="default"/>
                <w:spacing w:val="13"/>
                <w:sz w:val="21"/>
                <w:szCs w:val="21"/>
              </w:rPr>
              <w:t>面向互联网的海量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信息分析挖掘关键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技术及系统研究</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55,712.47</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28,339.66</w:t>
            </w:r>
            <w:r>
              <w:rPr>
                <w:rFonts w:ascii="宋体"/>
                <w:sz w:val="21"/>
              </w:rPr>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27,372.81</w:t>
            </w:r>
            <w:r>
              <w:rPr>
                <w:rFonts w:ascii="宋体"/>
                <w:sz w:val="21"/>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307" w:lineRule="auto"/>
              <w:ind w:left="157" w:right="23"/>
              <w:jc w:val="left"/>
              <w:rPr>
                <w:rFonts w:ascii="宋体" w:hAnsi="宋体" w:cs="宋体" w:eastAsia="宋体" w:hint="default"/>
                <w:sz w:val="21"/>
                <w:szCs w:val="21"/>
              </w:rPr>
            </w:pPr>
            <w:r>
              <w:rPr>
                <w:rFonts w:ascii="宋体" w:hAnsi="宋体" w:cs="宋体" w:eastAsia="宋体" w:hint="default"/>
                <w:sz w:val="21"/>
                <w:szCs w:val="21"/>
              </w:rPr>
              <w:t>其他 收益</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176" w:right="23"/>
              <w:jc w:val="both"/>
              <w:rPr>
                <w:rFonts w:ascii="宋体" w:hAnsi="宋体" w:cs="宋体" w:eastAsia="宋体" w:hint="default"/>
                <w:sz w:val="21"/>
                <w:szCs w:val="21"/>
              </w:rPr>
            </w:pPr>
            <w:r>
              <w:rPr>
                <w:rFonts w:ascii="宋体" w:hAnsi="宋体" w:cs="宋体" w:eastAsia="宋体" w:hint="default"/>
                <w:sz w:val="21"/>
                <w:szCs w:val="21"/>
              </w:rPr>
              <w:t>部分 与资 产相</w:t>
            </w:r>
          </w:p>
          <w:p>
            <w:pPr>
              <w:pStyle w:val="TableParagraph"/>
              <w:spacing w:line="240" w:lineRule="auto" w:before="11"/>
              <w:ind w:left="386" w:right="0"/>
              <w:jc w:val="left"/>
              <w:rPr>
                <w:rFonts w:ascii="宋体" w:hAnsi="宋体" w:cs="宋体" w:eastAsia="宋体" w:hint="default"/>
                <w:sz w:val="21"/>
                <w:szCs w:val="21"/>
              </w:rPr>
            </w:pPr>
            <w:r>
              <w:rPr>
                <w:rFonts w:ascii="宋体" w:hAnsi="宋体" w:cs="宋体" w:eastAsia="宋体" w:hint="default"/>
                <w:sz w:val="21"/>
                <w:szCs w:val="21"/>
              </w:rPr>
              <w:t>关</w:t>
            </w:r>
          </w:p>
        </w:tc>
      </w:tr>
      <w:tr>
        <w:trPr>
          <w:trHeight w:val="71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5" w:right="8"/>
              <w:jc w:val="left"/>
              <w:rPr>
                <w:rFonts w:ascii="宋体" w:hAnsi="宋体" w:cs="宋体" w:eastAsia="宋体" w:hint="default"/>
                <w:sz w:val="21"/>
                <w:szCs w:val="21"/>
              </w:rPr>
            </w:pPr>
            <w:r>
              <w:rPr>
                <w:rFonts w:ascii="宋体" w:hAnsi="宋体" w:cs="宋体" w:eastAsia="宋体" w:hint="default"/>
                <w:spacing w:val="13"/>
                <w:sz w:val="21"/>
                <w:szCs w:val="21"/>
              </w:rPr>
              <w:t>企业技术改造项目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补助资金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600,000.00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600,000.00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75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5" w:right="8"/>
              <w:jc w:val="left"/>
              <w:rPr>
                <w:rFonts w:ascii="宋体" w:hAnsi="宋体" w:cs="宋体" w:eastAsia="宋体" w:hint="default"/>
                <w:sz w:val="21"/>
                <w:szCs w:val="21"/>
              </w:rPr>
            </w:pPr>
            <w:r>
              <w:rPr>
                <w:rFonts w:ascii="宋体" w:hAnsi="宋体" w:cs="宋体" w:eastAsia="宋体" w:hint="default"/>
                <w:spacing w:val="13"/>
                <w:sz w:val="21"/>
                <w:szCs w:val="21"/>
              </w:rPr>
              <w:t>科技政策定额扶持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80,497.65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80,343.48</w:t>
            </w:r>
            <w:r>
              <w:rPr>
                <w:rFonts w:ascii="宋体"/>
                <w:sz w:val="21"/>
              </w:rPr>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154.17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157" w:right="23"/>
              <w:jc w:val="left"/>
              <w:rPr>
                <w:rFonts w:ascii="宋体" w:hAnsi="宋体" w:cs="宋体" w:eastAsia="宋体" w:hint="default"/>
                <w:sz w:val="21"/>
                <w:szCs w:val="21"/>
              </w:rPr>
            </w:pPr>
            <w:r>
              <w:rPr>
                <w:rFonts w:ascii="宋体" w:hAnsi="宋体" w:cs="宋体" w:eastAsia="宋体" w:hint="default"/>
                <w:sz w:val="21"/>
                <w:szCs w:val="21"/>
              </w:rPr>
              <w:t>其他 收益</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1026"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5" w:right="8"/>
              <w:jc w:val="both"/>
              <w:rPr>
                <w:rFonts w:ascii="宋体" w:hAnsi="宋体" w:cs="宋体" w:eastAsia="宋体" w:hint="default"/>
                <w:sz w:val="21"/>
                <w:szCs w:val="21"/>
              </w:rPr>
            </w:pPr>
            <w:r>
              <w:rPr>
                <w:rFonts w:ascii="宋体" w:hAnsi="宋体" w:cs="宋体" w:eastAsia="宋体" w:hint="default"/>
                <w:spacing w:val="13"/>
                <w:sz w:val="21"/>
                <w:szCs w:val="21"/>
              </w:rPr>
              <w:t>国家服务业发展引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导资金“电子数据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存证云”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2,000,000.00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1,125,803.44</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874,196.56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62"/>
              <w:ind w:left="157" w:right="23"/>
              <w:jc w:val="left"/>
              <w:rPr>
                <w:rFonts w:ascii="宋体" w:hAnsi="宋体" w:cs="宋体" w:eastAsia="宋体" w:hint="default"/>
                <w:sz w:val="21"/>
                <w:szCs w:val="21"/>
              </w:rPr>
            </w:pPr>
            <w:r>
              <w:rPr>
                <w:rFonts w:ascii="宋体" w:hAnsi="宋体" w:cs="宋体" w:eastAsia="宋体" w:hint="default"/>
                <w:sz w:val="21"/>
                <w:szCs w:val="21"/>
              </w:rPr>
              <w:t>其他 收益</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71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5" w:right="8"/>
              <w:jc w:val="left"/>
              <w:rPr>
                <w:rFonts w:ascii="宋体" w:hAnsi="宋体" w:cs="宋体" w:eastAsia="宋体" w:hint="default"/>
                <w:sz w:val="21"/>
                <w:szCs w:val="21"/>
              </w:rPr>
            </w:pPr>
            <w:r>
              <w:rPr>
                <w:rFonts w:ascii="宋体" w:hAnsi="宋体" w:cs="宋体" w:eastAsia="宋体" w:hint="default"/>
                <w:spacing w:val="13"/>
                <w:sz w:val="21"/>
                <w:szCs w:val="21"/>
              </w:rPr>
              <w:t>物联网实时图像识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别</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3,600,000.00</w:t>
            </w:r>
            <w:r>
              <w:rPr>
                <w:rFonts w:ascii="宋体"/>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3,600,000.00</w:t>
            </w:r>
            <w:r>
              <w:rPr>
                <w:rFonts w:ascii="宋体"/>
                <w:sz w:val="21"/>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pacing w:val="-1"/>
                <w:w w:val="95"/>
                <w:sz w:val="21"/>
                <w:szCs w:val="21"/>
              </w:rPr>
              <w:t>资产</w:t>
            </w:r>
            <w:r>
              <w:rPr>
                <w:rFonts w:ascii="宋体" w:hAnsi="宋体" w:cs="宋体" w:eastAsia="宋体" w:hint="default"/>
                <w:w w:val="95"/>
                <w:sz w:val="21"/>
                <w:szCs w:val="21"/>
              </w:rPr>
            </w:r>
          </w:p>
        </w:tc>
      </w:tr>
      <w:tr>
        <w:trPr>
          <w:trHeight w:val="1338"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5" w:right="8"/>
              <w:jc w:val="both"/>
              <w:rPr>
                <w:rFonts w:ascii="宋体" w:hAnsi="宋体" w:cs="宋体" w:eastAsia="宋体" w:hint="default"/>
                <w:sz w:val="21"/>
                <w:szCs w:val="21"/>
              </w:rPr>
            </w:pPr>
            <w:r>
              <w:rPr>
                <w:rFonts w:ascii="宋体" w:hAnsi="宋体" w:cs="宋体" w:eastAsia="宋体" w:hint="default"/>
                <w:spacing w:val="13"/>
                <w:sz w:val="21"/>
                <w:szCs w:val="21"/>
              </w:rPr>
              <w:t>优秀骨干人才软件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产业化项目“基于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手机云的手机综合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取证系统”</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700,000.00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468,521.24</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231,478.76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307" w:lineRule="auto"/>
              <w:ind w:left="157" w:right="23"/>
              <w:jc w:val="left"/>
              <w:rPr>
                <w:rFonts w:ascii="宋体" w:hAnsi="宋体" w:cs="宋体" w:eastAsia="宋体" w:hint="default"/>
                <w:sz w:val="21"/>
                <w:szCs w:val="21"/>
              </w:rPr>
            </w:pPr>
            <w:r>
              <w:rPr>
                <w:rFonts w:ascii="宋体" w:hAnsi="宋体" w:cs="宋体" w:eastAsia="宋体" w:hint="default"/>
                <w:sz w:val="21"/>
                <w:szCs w:val="21"/>
              </w:rPr>
              <w:t>其他 收益</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1026"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5" w:right="8"/>
              <w:jc w:val="both"/>
              <w:rPr>
                <w:rFonts w:ascii="宋体" w:hAnsi="宋体" w:cs="宋体" w:eastAsia="宋体" w:hint="default"/>
                <w:sz w:val="21"/>
                <w:szCs w:val="21"/>
              </w:rPr>
            </w:pPr>
            <w:r>
              <w:rPr>
                <w:rFonts w:ascii="宋体" w:hAnsi="宋体" w:cs="宋体" w:eastAsia="宋体" w:hint="default"/>
                <w:spacing w:val="13"/>
                <w:sz w:val="21"/>
                <w:szCs w:val="21"/>
              </w:rPr>
              <w:t>省级企业技术中心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“电子数据分析系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统平台建设”</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300,000.00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300,000.00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71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5" w:right="8"/>
              <w:jc w:val="left"/>
              <w:rPr>
                <w:rFonts w:ascii="宋体" w:hAnsi="宋体" w:cs="宋体" w:eastAsia="宋体" w:hint="default"/>
                <w:sz w:val="21"/>
                <w:szCs w:val="21"/>
              </w:rPr>
            </w:pPr>
            <w:r>
              <w:rPr>
                <w:rFonts w:ascii="宋体" w:hAnsi="宋体" w:cs="宋体" w:eastAsia="宋体" w:hint="default"/>
                <w:spacing w:val="13"/>
                <w:sz w:val="21"/>
                <w:szCs w:val="21"/>
              </w:rPr>
              <w:t>博士后工作站科技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政策定额扶持资金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1,000,000.00</w:t>
            </w:r>
            <w:r>
              <w:rPr>
                <w:rFonts w:ascii="宋体"/>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1,000,000.00</w:t>
            </w:r>
            <w:r>
              <w:rPr>
                <w:rFonts w:ascii="宋体"/>
                <w:sz w:val="21"/>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pacing w:val="-1"/>
                <w:w w:val="95"/>
                <w:sz w:val="21"/>
                <w:szCs w:val="21"/>
              </w:rPr>
              <w:t>资产</w:t>
            </w:r>
            <w:r>
              <w:rPr>
                <w:rFonts w:ascii="宋体" w:hAnsi="宋体" w:cs="宋体" w:eastAsia="宋体" w:hint="default"/>
                <w:w w:val="95"/>
                <w:sz w:val="21"/>
                <w:szCs w:val="21"/>
              </w:rPr>
            </w:r>
          </w:p>
        </w:tc>
      </w:tr>
      <w:tr>
        <w:trPr>
          <w:trHeight w:val="1026"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5" w:right="8"/>
              <w:jc w:val="both"/>
              <w:rPr>
                <w:rFonts w:ascii="宋体" w:hAnsi="宋体" w:cs="宋体" w:eastAsia="宋体" w:hint="default"/>
                <w:sz w:val="21"/>
                <w:szCs w:val="21"/>
              </w:rPr>
            </w:pPr>
            <w:r>
              <w:rPr>
                <w:rFonts w:ascii="宋体" w:hAnsi="宋体" w:cs="宋体" w:eastAsia="宋体" w:hint="default"/>
                <w:spacing w:val="13"/>
                <w:sz w:val="21"/>
                <w:szCs w:val="21"/>
              </w:rPr>
              <w:t>基于内容感知的智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能视频浓缩设备产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学研资金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3" w:lineRule="auto"/>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200,000.00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200,000.00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75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5" w:right="8"/>
              <w:jc w:val="left"/>
              <w:rPr>
                <w:rFonts w:ascii="宋体" w:hAnsi="宋体" w:cs="宋体" w:eastAsia="宋体" w:hint="default"/>
                <w:sz w:val="21"/>
                <w:szCs w:val="21"/>
              </w:rPr>
            </w:pPr>
            <w:r>
              <w:rPr>
                <w:rFonts w:ascii="宋体" w:hAnsi="宋体" w:cs="宋体" w:eastAsia="宋体" w:hint="default"/>
                <w:spacing w:val="13"/>
                <w:sz w:val="21"/>
                <w:szCs w:val="21"/>
              </w:rPr>
              <w:t>安全服务器项目创</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新资金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140,000.00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140,000.00</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157" w:right="23"/>
              <w:jc w:val="left"/>
              <w:rPr>
                <w:rFonts w:ascii="宋体" w:hAnsi="宋体" w:cs="宋体" w:eastAsia="宋体" w:hint="default"/>
                <w:sz w:val="21"/>
                <w:szCs w:val="21"/>
              </w:rPr>
            </w:pPr>
            <w:r>
              <w:rPr>
                <w:rFonts w:ascii="宋体" w:hAnsi="宋体" w:cs="宋体" w:eastAsia="宋体" w:hint="default"/>
                <w:sz w:val="21"/>
                <w:szCs w:val="21"/>
              </w:rPr>
              <w:t>其他 收益</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71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5" w:right="8"/>
              <w:jc w:val="left"/>
              <w:rPr>
                <w:rFonts w:ascii="宋体" w:hAnsi="宋体" w:cs="宋体" w:eastAsia="宋体" w:hint="default"/>
                <w:sz w:val="21"/>
                <w:szCs w:val="21"/>
              </w:rPr>
            </w:pPr>
            <w:r>
              <w:rPr>
                <w:rFonts w:ascii="宋体" w:hAnsi="宋体" w:cs="宋体" w:eastAsia="宋体" w:hint="default"/>
                <w:spacing w:val="13"/>
                <w:sz w:val="21"/>
                <w:szCs w:val="21"/>
              </w:rPr>
              <w:t>失泄密取证系统的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产业化项目</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4,000,000.00</w:t>
            </w:r>
            <w:r>
              <w:rPr>
                <w:rFonts w:ascii="宋体"/>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4,000,000.00</w:t>
            </w:r>
            <w:r>
              <w:rPr>
                <w:rFonts w:ascii="宋体"/>
                <w:sz w:val="21"/>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pacing w:val="-1"/>
                <w:w w:val="95"/>
                <w:sz w:val="21"/>
                <w:szCs w:val="21"/>
              </w:rPr>
              <w:t>资产</w:t>
            </w:r>
            <w:r>
              <w:rPr>
                <w:rFonts w:ascii="宋体" w:hAnsi="宋体" w:cs="宋体" w:eastAsia="宋体" w:hint="default"/>
                <w:w w:val="95"/>
                <w:sz w:val="21"/>
                <w:szCs w:val="21"/>
              </w:rPr>
            </w:r>
          </w:p>
        </w:tc>
      </w:tr>
      <w:tr>
        <w:trPr>
          <w:trHeight w:val="71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5" w:right="8"/>
              <w:jc w:val="left"/>
              <w:rPr>
                <w:rFonts w:ascii="宋体" w:hAnsi="宋体" w:cs="宋体" w:eastAsia="宋体" w:hint="default"/>
                <w:sz w:val="21"/>
                <w:szCs w:val="21"/>
              </w:rPr>
            </w:pPr>
            <w:r>
              <w:rPr>
                <w:rFonts w:ascii="宋体" w:hAnsi="宋体" w:cs="宋体" w:eastAsia="宋体" w:hint="default"/>
                <w:spacing w:val="13"/>
                <w:sz w:val="21"/>
                <w:szCs w:val="21"/>
              </w:rPr>
              <w:t>多源、多通道数据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取证技术研究项目</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528,000.00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44" w:right="0"/>
              <w:jc w:val="left"/>
              <w:rPr>
                <w:rFonts w:ascii="宋体" w:hAnsi="宋体" w:cs="宋体" w:eastAsia="宋体" w:hint="default"/>
                <w:sz w:val="21"/>
                <w:szCs w:val="21"/>
              </w:rPr>
            </w:pPr>
            <w:r>
              <w:rPr>
                <w:rFonts w:ascii="宋体"/>
                <w:sz w:val="21"/>
              </w:rPr>
              <w:t>527,000.00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1,055,000.00</w:t>
            </w:r>
            <w:r>
              <w:rPr>
                <w:rFonts w:ascii="宋体"/>
                <w:sz w:val="21"/>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pacing w:val="-1"/>
                <w:w w:val="95"/>
                <w:sz w:val="21"/>
                <w:szCs w:val="21"/>
              </w:rPr>
              <w:t>资产</w:t>
            </w:r>
            <w:r>
              <w:rPr>
                <w:rFonts w:ascii="宋体" w:hAnsi="宋体" w:cs="宋体" w:eastAsia="宋体" w:hint="default"/>
                <w:w w:val="95"/>
                <w:sz w:val="21"/>
                <w:szCs w:val="21"/>
              </w:rPr>
            </w:r>
          </w:p>
        </w:tc>
      </w:tr>
      <w:tr>
        <w:trPr>
          <w:trHeight w:val="755"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5" w:right="8"/>
              <w:jc w:val="left"/>
              <w:rPr>
                <w:rFonts w:ascii="宋体" w:hAnsi="宋体" w:cs="宋体" w:eastAsia="宋体" w:hint="default"/>
                <w:sz w:val="21"/>
                <w:szCs w:val="21"/>
              </w:rPr>
            </w:pPr>
            <w:r>
              <w:rPr>
                <w:rFonts w:ascii="宋体" w:hAnsi="宋体" w:cs="宋体" w:eastAsia="宋体" w:hint="default"/>
                <w:spacing w:val="13"/>
                <w:sz w:val="21"/>
                <w:szCs w:val="21"/>
              </w:rPr>
              <w:t>基于云技术的证据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链综合取证平台</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500,000.00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270,083.96</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229,916.04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7"/>
              <w:ind w:left="157" w:right="23"/>
              <w:jc w:val="left"/>
              <w:rPr>
                <w:rFonts w:ascii="宋体" w:hAnsi="宋体" w:cs="宋体" w:eastAsia="宋体" w:hint="default"/>
                <w:sz w:val="21"/>
                <w:szCs w:val="21"/>
              </w:rPr>
            </w:pPr>
            <w:r>
              <w:rPr>
                <w:rFonts w:ascii="宋体" w:hAnsi="宋体" w:cs="宋体" w:eastAsia="宋体" w:hint="default"/>
                <w:sz w:val="21"/>
                <w:szCs w:val="21"/>
              </w:rPr>
              <w:t>其他 收益</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资产</w:t>
            </w:r>
          </w:p>
        </w:tc>
      </w:tr>
    </w:tbl>
    <w:p>
      <w:pPr>
        <w:spacing w:after="0" w:line="240" w:lineRule="auto"/>
        <w:jc w:val="righ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1840"/>
        <w:gridCol w:w="583"/>
        <w:gridCol w:w="1435"/>
        <w:gridCol w:w="1331"/>
        <w:gridCol w:w="1330"/>
        <w:gridCol w:w="431"/>
        <w:gridCol w:w="1436"/>
        <w:gridCol w:w="612"/>
        <w:gridCol w:w="631"/>
      </w:tblGrid>
      <w:tr>
        <w:trPr>
          <w:trHeight w:val="1338"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5" w:right="8"/>
              <w:jc w:val="both"/>
              <w:rPr>
                <w:rFonts w:ascii="宋体" w:hAnsi="宋体" w:cs="宋体" w:eastAsia="宋体" w:hint="default"/>
                <w:sz w:val="21"/>
                <w:szCs w:val="21"/>
              </w:rPr>
            </w:pPr>
            <w:r>
              <w:rPr>
                <w:rFonts w:ascii="宋体" w:hAnsi="宋体" w:cs="宋体" w:eastAsia="宋体" w:hint="default"/>
                <w:spacing w:val="13"/>
                <w:sz w:val="21"/>
                <w:szCs w:val="21"/>
              </w:rPr>
              <w:t>基于云计算平台的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空气质量预报预警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与决策支持服务关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键技术研究</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27,600.00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27,600.00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71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7"/>
              <w:jc w:val="center"/>
              <w:rPr>
                <w:rFonts w:ascii="宋体" w:hAnsi="宋体" w:cs="宋体" w:eastAsia="宋体" w:hint="default"/>
                <w:sz w:val="21"/>
                <w:szCs w:val="21"/>
              </w:rPr>
            </w:pPr>
            <w:r>
              <w:rPr>
                <w:rFonts w:ascii="宋体" w:hAnsi="宋体" w:cs="宋体" w:eastAsia="宋体" w:hint="default"/>
                <w:sz w:val="21"/>
                <w:szCs w:val="21"/>
              </w:rPr>
              <w:t>科技发展专项资金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800,000.00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800,000.00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71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5" w:right="8"/>
              <w:jc w:val="left"/>
              <w:rPr>
                <w:rFonts w:ascii="宋体" w:hAnsi="宋体" w:cs="宋体" w:eastAsia="宋体" w:hint="default"/>
                <w:sz w:val="21"/>
                <w:szCs w:val="21"/>
              </w:rPr>
            </w:pPr>
            <w:r>
              <w:rPr>
                <w:rFonts w:ascii="宋体" w:hAnsi="宋体" w:cs="宋体" w:eastAsia="宋体" w:hint="default"/>
                <w:spacing w:val="13"/>
                <w:sz w:val="21"/>
                <w:szCs w:val="21"/>
              </w:rPr>
              <w:t>信息产业发展专项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资金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2,000,000.00</w:t>
            </w:r>
            <w:r>
              <w:rPr>
                <w:rFonts w:ascii="宋体"/>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2,000,000.00</w:t>
            </w:r>
            <w:r>
              <w:rPr>
                <w:rFonts w:ascii="宋体"/>
                <w:sz w:val="21"/>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pacing w:val="-1"/>
                <w:w w:val="95"/>
                <w:sz w:val="21"/>
                <w:szCs w:val="21"/>
              </w:rPr>
              <w:t>资产</w:t>
            </w:r>
            <w:r>
              <w:rPr>
                <w:rFonts w:ascii="宋体" w:hAnsi="宋体" w:cs="宋体" w:eastAsia="宋体" w:hint="default"/>
                <w:w w:val="95"/>
                <w:sz w:val="21"/>
                <w:szCs w:val="21"/>
              </w:rPr>
            </w:r>
          </w:p>
        </w:tc>
      </w:tr>
      <w:tr>
        <w:trPr>
          <w:trHeight w:val="75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25" w:right="8"/>
              <w:jc w:val="left"/>
              <w:rPr>
                <w:rFonts w:ascii="宋体" w:hAnsi="宋体" w:cs="宋体" w:eastAsia="宋体" w:hint="default"/>
                <w:sz w:val="21"/>
                <w:szCs w:val="21"/>
              </w:rPr>
            </w:pPr>
            <w:r>
              <w:rPr>
                <w:rFonts w:ascii="宋体" w:hAnsi="宋体" w:cs="宋体" w:eastAsia="宋体" w:hint="default"/>
                <w:spacing w:val="13"/>
                <w:sz w:val="21"/>
                <w:szCs w:val="21"/>
              </w:rPr>
              <w:t>宙斯眼安卓手机恶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意程序调查系统</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6"/>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180,000.00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180,000.00</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6"/>
              <w:ind w:left="157" w:right="23"/>
              <w:jc w:val="left"/>
              <w:rPr>
                <w:rFonts w:ascii="宋体" w:hAnsi="宋体" w:cs="宋体" w:eastAsia="宋体" w:hint="default"/>
                <w:sz w:val="21"/>
                <w:szCs w:val="21"/>
              </w:rPr>
            </w:pPr>
            <w:r>
              <w:rPr>
                <w:rFonts w:ascii="宋体" w:hAnsi="宋体" w:cs="宋体" w:eastAsia="宋体" w:hint="default"/>
                <w:sz w:val="21"/>
                <w:szCs w:val="21"/>
              </w:rPr>
              <w:t>其他 收益</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1026"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5" w:right="8"/>
              <w:jc w:val="both"/>
              <w:rPr>
                <w:rFonts w:ascii="宋体" w:hAnsi="宋体" w:cs="宋体" w:eastAsia="宋体" w:hint="default"/>
                <w:sz w:val="21"/>
                <w:szCs w:val="21"/>
              </w:rPr>
            </w:pPr>
            <w:r>
              <w:rPr>
                <w:rFonts w:ascii="宋体" w:hAnsi="宋体" w:cs="宋体" w:eastAsia="宋体" w:hint="default"/>
                <w:spacing w:val="13"/>
                <w:sz w:val="21"/>
                <w:szCs w:val="21"/>
              </w:rPr>
              <w:t>分布式电子数据取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3"/>
                <w:sz w:val="21"/>
                <w:szCs w:val="21"/>
              </w:rPr>
              <w:t>证关键技术研究项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目</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73" w:lineRule="auto"/>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300,000.00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300,000.00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宋体" w:hAnsi="宋体" w:cs="宋体" w:eastAsia="宋体" w:hint="default"/>
                <w:sz w:val="21"/>
                <w:szCs w:val="21"/>
              </w:rPr>
            </w:pPr>
            <w:r>
              <w:rPr>
                <w:rFonts w:ascii="宋体" w:hAnsi="宋体" w:cs="宋体" w:eastAsia="宋体" w:hint="default"/>
                <w:sz w:val="21"/>
                <w:szCs w:val="21"/>
              </w:rPr>
              <w:t>收益</w:t>
            </w:r>
          </w:p>
        </w:tc>
      </w:tr>
      <w:tr>
        <w:trPr>
          <w:trHeight w:val="71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5" w:right="8"/>
              <w:jc w:val="left"/>
              <w:rPr>
                <w:rFonts w:ascii="宋体" w:hAnsi="宋体" w:cs="宋体" w:eastAsia="宋体" w:hint="default"/>
                <w:sz w:val="21"/>
                <w:szCs w:val="21"/>
              </w:rPr>
            </w:pPr>
            <w:r>
              <w:rPr>
                <w:rFonts w:ascii="宋体" w:hAnsi="宋体" w:cs="宋体" w:eastAsia="宋体" w:hint="default"/>
                <w:spacing w:val="13"/>
                <w:sz w:val="21"/>
                <w:szCs w:val="21"/>
              </w:rPr>
              <w:t>中小企业技术创新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基金配套项目</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800,000.00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800,000.00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hAnsi="宋体" w:cs="宋体" w:eastAsia="宋体" w:hint="default"/>
                <w:sz w:val="21"/>
                <w:szCs w:val="21"/>
              </w:rPr>
              <w:t>收益</w:t>
            </w:r>
          </w:p>
        </w:tc>
      </w:tr>
      <w:tr>
        <w:trPr>
          <w:trHeight w:val="714"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5" w:right="25"/>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8"/>
                <w:sz w:val="21"/>
                <w:szCs w:val="21"/>
              </w:rPr>
              <w:t> </w:t>
            </w:r>
            <w:r>
              <w:rPr>
                <w:rFonts w:ascii="宋体" w:hAnsi="宋体" w:cs="宋体" w:eastAsia="宋体" w:hint="default"/>
                <w:sz w:val="21"/>
                <w:szCs w:val="21"/>
              </w:rPr>
              <w:t>年支持大数据</w:t>
            </w:r>
            <w:r>
              <w:rPr>
                <w:rFonts w:ascii="宋体" w:hAnsi="宋体" w:cs="宋体" w:eastAsia="宋体" w:hint="default"/>
                <w:sz w:val="21"/>
                <w:szCs w:val="21"/>
              </w:rPr>
              <w:t> 示范应用资金</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76" w:right="74"/>
              <w:jc w:val="left"/>
              <w:rPr>
                <w:rFonts w:ascii="宋体" w:hAnsi="宋体" w:cs="宋体" w:eastAsia="宋体" w:hint="default"/>
                <w:sz w:val="21"/>
                <w:szCs w:val="21"/>
              </w:rPr>
            </w:pPr>
            <w:r>
              <w:rPr>
                <w:rFonts w:ascii="宋体" w:hAnsi="宋体" w:cs="宋体" w:eastAsia="宋体" w:hint="default"/>
                <w:sz w:val="21"/>
                <w:szCs w:val="21"/>
              </w:rPr>
              <w:t>财政 拨款</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800,000.00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800,000.00</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hAnsi="宋体" w:cs="宋体" w:eastAsia="宋体" w:hint="default"/>
                <w:sz w:val="21"/>
                <w:szCs w:val="21"/>
              </w:rPr>
              <w:t>资产</w:t>
            </w:r>
          </w:p>
        </w:tc>
      </w:tr>
      <w:tr>
        <w:trPr>
          <w:trHeight w:val="403" w:hRule="exact"/>
        </w:trPr>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1" w:right="0"/>
              <w:jc w:val="left"/>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2"/>
              <w:jc w:val="right"/>
              <w:rPr>
                <w:rFonts w:ascii="宋体" w:hAnsi="宋体" w:cs="宋体" w:eastAsia="宋体" w:hint="default"/>
                <w:sz w:val="21"/>
                <w:szCs w:val="21"/>
              </w:rPr>
            </w:pPr>
            <w:r>
              <w:rPr>
                <w:rFonts w:ascii="宋体"/>
                <w:b/>
                <w:w w:val="95"/>
                <w:sz w:val="21"/>
              </w:rPr>
              <w:t>23,571,758.93</w:t>
            </w:r>
            <w:r>
              <w:rPr>
                <w:rFonts w:ascii="宋体"/>
                <w:sz w:val="21"/>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4"/>
              <w:jc w:val="right"/>
              <w:rPr>
                <w:rFonts w:ascii="宋体" w:hAnsi="宋体" w:cs="宋体" w:eastAsia="宋体" w:hint="default"/>
                <w:sz w:val="21"/>
                <w:szCs w:val="21"/>
              </w:rPr>
            </w:pPr>
            <w:r>
              <w:rPr>
                <w:rFonts w:ascii="宋体"/>
                <w:b/>
                <w:w w:val="95"/>
                <w:sz w:val="21"/>
              </w:rPr>
              <w:t>2,427,000.00</w:t>
            </w:r>
            <w:r>
              <w:rPr>
                <w:rFonts w:ascii="宋体"/>
                <w:sz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4"/>
              <w:jc w:val="right"/>
              <w:rPr>
                <w:rFonts w:ascii="宋体" w:hAnsi="宋体" w:cs="宋体" w:eastAsia="宋体" w:hint="default"/>
                <w:sz w:val="21"/>
                <w:szCs w:val="21"/>
              </w:rPr>
            </w:pPr>
            <w:r>
              <w:rPr>
                <w:rFonts w:ascii="宋体"/>
                <w:b/>
                <w:w w:val="95"/>
                <w:sz w:val="21"/>
              </w:rPr>
              <w:t>4,329,243.89</w:t>
            </w:r>
            <w:r>
              <w:rPr>
                <w:rFonts w:ascii="宋体"/>
                <w:sz w:val="21"/>
              </w:rPr>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w w:val="99"/>
                <w:sz w:val="21"/>
                <w:szCs w:val="21"/>
              </w:rPr>
              <w:t>－</w:t>
            </w:r>
            <w:r>
              <w:rPr>
                <w:rFonts w:ascii="宋体" w:hAnsi="宋体" w:cs="宋体" w:eastAsia="宋体" w:hint="default"/>
                <w:sz w:val="21"/>
                <w:szCs w:val="21"/>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b/>
                <w:w w:val="95"/>
                <w:sz w:val="21"/>
              </w:rPr>
              <w:t>21,669,515.04</w:t>
            </w:r>
            <w:r>
              <w:rPr>
                <w:rFonts w:ascii="宋体"/>
                <w:sz w:val="21"/>
              </w:rPr>
            </w:r>
          </w:p>
        </w:tc>
        <w:tc>
          <w:tcPr>
            <w:tcW w:w="612"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7"/>
          <w:szCs w:val="7"/>
        </w:rPr>
      </w:pPr>
    </w:p>
    <w:p>
      <w:pPr>
        <w:pStyle w:val="BodyText"/>
        <w:spacing w:line="240" w:lineRule="auto" w:before="35"/>
        <w:ind w:left="151" w:right="0"/>
        <w:jc w:val="left"/>
      </w:pPr>
      <w:r>
        <w:rPr/>
        <w:t>（2）</w:t>
      </w:r>
      <w:r>
        <w:rPr>
          <w:spacing w:val="89"/>
        </w:rPr>
        <w:t> </w:t>
      </w:r>
      <w:r>
        <w:rPr/>
        <w:t>采用总额法计入当期损益的政府补助情况</w:t>
      </w:r>
    </w:p>
    <w:p>
      <w:pPr>
        <w:spacing w:line="240" w:lineRule="auto" w:before="10"/>
        <w:rPr>
          <w:rFonts w:ascii="宋体" w:hAnsi="宋体" w:cs="宋体" w:eastAsia="宋体" w:hint="default"/>
          <w:sz w:val="23"/>
          <w:szCs w:val="23"/>
        </w:rPr>
      </w:pPr>
    </w:p>
    <w:tbl>
      <w:tblPr>
        <w:tblW w:w="0" w:type="auto"/>
        <w:jc w:val="left"/>
        <w:tblInd w:w="153" w:type="dxa"/>
        <w:tblLayout w:type="fixed"/>
        <w:tblCellMar>
          <w:top w:w="0" w:type="dxa"/>
          <w:left w:w="0" w:type="dxa"/>
          <w:bottom w:w="0" w:type="dxa"/>
          <w:right w:w="0" w:type="dxa"/>
        </w:tblCellMar>
        <w:tblLook w:val="01E0"/>
      </w:tblPr>
      <w:tblGrid>
        <w:gridCol w:w="4519"/>
        <w:gridCol w:w="1048"/>
        <w:gridCol w:w="1644"/>
        <w:gridCol w:w="1049"/>
        <w:gridCol w:w="1369"/>
      </w:tblGrid>
      <w:tr>
        <w:trPr>
          <w:trHeight w:val="1026"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b/>
                <w:bCs/>
                <w:sz w:val="21"/>
                <w:szCs w:val="21"/>
              </w:rPr>
              <w:t>补助项目</w:t>
            </w:r>
            <w:r>
              <w:rPr>
                <w:rFonts w:ascii="宋体" w:hAnsi="宋体" w:cs="宋体" w:eastAsia="宋体" w:hint="default"/>
                <w:sz w:val="21"/>
                <w:szCs w:val="21"/>
              </w:rPr>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5"/>
              <w:jc w:val="right"/>
              <w:rPr>
                <w:rFonts w:ascii="宋体" w:hAnsi="宋体" w:cs="宋体" w:eastAsia="宋体" w:hint="default"/>
                <w:sz w:val="21"/>
                <w:szCs w:val="21"/>
              </w:rPr>
            </w:pPr>
            <w:r>
              <w:rPr>
                <w:rFonts w:ascii="宋体" w:hAnsi="宋体" w:cs="宋体" w:eastAsia="宋体" w:hint="default"/>
                <w:b/>
                <w:bCs/>
                <w:w w:val="95"/>
                <w:sz w:val="21"/>
                <w:szCs w:val="21"/>
              </w:rPr>
              <w:t>本年计入损益的</w:t>
            </w:r>
            <w:r>
              <w:rPr>
                <w:rFonts w:ascii="宋体" w:hAnsi="宋体" w:cs="宋体" w:eastAsia="宋体" w:hint="default"/>
                <w:sz w:val="21"/>
                <w:szCs w:val="21"/>
              </w:rPr>
            </w:r>
          </w:p>
          <w:p>
            <w:pPr>
              <w:pStyle w:val="TableParagraph"/>
              <w:spacing w:line="240" w:lineRule="auto" w:before="38"/>
              <w:ind w:right="94"/>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 w:right="191"/>
              <w:jc w:val="both"/>
              <w:rPr>
                <w:rFonts w:ascii="宋体" w:hAnsi="宋体" w:cs="宋体" w:eastAsia="宋体" w:hint="default"/>
                <w:sz w:val="21"/>
                <w:szCs w:val="21"/>
              </w:rPr>
            </w:pPr>
            <w:r>
              <w:rPr>
                <w:rFonts w:ascii="宋体" w:hAnsi="宋体" w:cs="宋体" w:eastAsia="宋体" w:hint="default"/>
                <w:b/>
                <w:bCs/>
                <w:sz w:val="21"/>
                <w:szCs w:val="21"/>
              </w:rPr>
              <w:t>本年计入</w:t>
            </w:r>
            <w:r>
              <w:rPr>
                <w:rFonts w:ascii="宋体" w:hAnsi="宋体" w:cs="宋体" w:eastAsia="宋体" w:hint="default"/>
                <w:b/>
                <w:bCs/>
                <w:spacing w:val="1"/>
                <w:w w:val="99"/>
                <w:sz w:val="21"/>
                <w:szCs w:val="21"/>
              </w:rPr>
              <w:t> </w:t>
            </w:r>
            <w:r>
              <w:rPr>
                <w:rFonts w:ascii="宋体" w:hAnsi="宋体" w:cs="宋体" w:eastAsia="宋体" w:hint="default"/>
                <w:b/>
                <w:bCs/>
                <w:sz w:val="21"/>
                <w:szCs w:val="21"/>
              </w:rPr>
              <w:t>损益的列</w:t>
            </w:r>
            <w:r>
              <w:rPr>
                <w:rFonts w:ascii="宋体" w:hAnsi="宋体" w:cs="宋体" w:eastAsia="宋体" w:hint="default"/>
                <w:b/>
                <w:bCs/>
                <w:spacing w:val="1"/>
                <w:w w:val="99"/>
                <w:sz w:val="21"/>
                <w:szCs w:val="21"/>
              </w:rPr>
              <w:t> </w:t>
            </w:r>
            <w:r>
              <w:rPr>
                <w:rFonts w:ascii="宋体" w:hAnsi="宋体" w:cs="宋体" w:eastAsia="宋体" w:hint="default"/>
                <w:b/>
                <w:bCs/>
                <w:sz w:val="21"/>
                <w:szCs w:val="21"/>
              </w:rPr>
              <w:t>报项目</w:t>
            </w:r>
            <w:r>
              <w:rPr>
                <w:rFonts w:ascii="宋体" w:hAnsi="宋体" w:cs="宋体" w:eastAsia="宋体" w:hint="default"/>
                <w:sz w:val="21"/>
                <w:szCs w:val="21"/>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 w:right="196"/>
              <w:jc w:val="left"/>
              <w:rPr>
                <w:rFonts w:ascii="宋体" w:hAnsi="宋体" w:cs="宋体" w:eastAsia="宋体" w:hint="default"/>
                <w:sz w:val="21"/>
                <w:szCs w:val="21"/>
              </w:rPr>
            </w:pPr>
            <w:r>
              <w:rPr>
                <w:rFonts w:ascii="宋体" w:hAnsi="宋体" w:cs="宋体" w:eastAsia="宋体" w:hint="default"/>
                <w:b/>
                <w:bCs/>
                <w:sz w:val="21"/>
                <w:szCs w:val="21"/>
              </w:rPr>
              <w:t>与资产相关/</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与收益相关</w:t>
            </w:r>
            <w:r>
              <w:rPr>
                <w:rFonts w:ascii="宋体" w:hAnsi="宋体" w:cs="宋体" w:eastAsia="宋体" w:hint="default"/>
                <w:sz w:val="21"/>
                <w:szCs w:val="21"/>
              </w:rPr>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软件产品增值税返还</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47,866,970.23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高新技术成果转化项目扶持资金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pacing w:val="-1"/>
                <w:sz w:val="21"/>
              </w:rPr>
              <w:t>2,829,559.00</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厦门超级计算中心（云计算中心）</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pacing w:val="-1"/>
                <w:sz w:val="21"/>
              </w:rPr>
              <w:t>1,979,696.95</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资产</w:t>
            </w:r>
          </w:p>
        </w:tc>
      </w:tr>
      <w:tr>
        <w:trPr>
          <w:trHeight w:val="408"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年厦门市软件和服务业发展专项资金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1,858,000.00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2016/2017</w:t>
            </w:r>
            <w:r>
              <w:rPr>
                <w:rFonts w:ascii="宋体" w:hAnsi="宋体" w:cs="宋体" w:eastAsia="宋体" w:hint="default"/>
                <w:spacing w:val="-54"/>
                <w:sz w:val="21"/>
                <w:szCs w:val="21"/>
              </w:rPr>
              <w:t> </w:t>
            </w:r>
            <w:r>
              <w:rPr>
                <w:rFonts w:ascii="宋体" w:hAnsi="宋体" w:cs="宋体" w:eastAsia="宋体" w:hint="default"/>
                <w:sz w:val="21"/>
                <w:szCs w:val="21"/>
              </w:rPr>
              <w:t>年度第一批企业研发经费补助资金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pacing w:val="-1"/>
                <w:sz w:val="21"/>
              </w:rPr>
              <w:t>1,800,000.00</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上合组织演练专项经费</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5"/>
              <w:jc w:val="right"/>
              <w:rPr>
                <w:rFonts w:ascii="宋体" w:hAnsi="宋体" w:cs="宋体" w:eastAsia="宋体" w:hint="default"/>
                <w:sz w:val="21"/>
                <w:szCs w:val="21"/>
              </w:rPr>
            </w:pPr>
            <w:r>
              <w:rPr>
                <w:rFonts w:ascii="宋体"/>
                <w:spacing w:val="-1"/>
                <w:sz w:val="21"/>
              </w:rPr>
              <w:t>1,743,936.24</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714"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right="97"/>
              <w:jc w:val="left"/>
              <w:rPr>
                <w:rFonts w:ascii="宋体" w:hAnsi="宋体" w:cs="宋体" w:eastAsia="宋体" w:hint="default"/>
                <w:sz w:val="21"/>
                <w:szCs w:val="21"/>
              </w:rPr>
            </w:pPr>
            <w:r>
              <w:rPr>
                <w:rFonts w:ascii="宋体" w:hAnsi="宋体" w:cs="宋体" w:eastAsia="宋体" w:hint="default"/>
                <w:sz w:val="21"/>
                <w:szCs w:val="21"/>
              </w:rPr>
              <w:t>引进和培育优秀软件信息企业六条措施落户成长 奖励--2017</w:t>
            </w:r>
            <w:r>
              <w:rPr>
                <w:rFonts w:ascii="宋体" w:hAnsi="宋体" w:cs="宋体" w:eastAsia="宋体" w:hint="default"/>
                <w:spacing w:val="-53"/>
                <w:sz w:val="21"/>
                <w:szCs w:val="21"/>
              </w:rPr>
              <w:t> </w:t>
            </w:r>
            <w:r>
              <w:rPr>
                <w:rFonts w:ascii="宋体" w:hAnsi="宋体" w:cs="宋体" w:eastAsia="宋体" w:hint="default"/>
                <w:sz w:val="21"/>
                <w:szCs w:val="21"/>
              </w:rPr>
              <w:t>年中国软件百强</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1,500,000.00</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软件和信息服务业发展专项资</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pacing w:val="-1"/>
                <w:sz w:val="21"/>
              </w:rPr>
              <w:t>1,244,000.00</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第四届厦门市质量奖奖励</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5"/>
              <w:jc w:val="right"/>
              <w:rPr>
                <w:rFonts w:ascii="宋体" w:hAnsi="宋体" w:cs="宋体" w:eastAsia="宋体" w:hint="default"/>
                <w:sz w:val="21"/>
                <w:szCs w:val="21"/>
              </w:rPr>
            </w:pPr>
            <w:r>
              <w:rPr>
                <w:rFonts w:ascii="宋体"/>
                <w:spacing w:val="-1"/>
                <w:sz w:val="21"/>
              </w:rPr>
              <w:t>1,200,000.00</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国家服务业发展引导资金“电子数据存证云”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pacing w:val="-1"/>
                <w:sz w:val="21"/>
              </w:rPr>
              <w:t>1,125,803.44</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资产</w:t>
            </w:r>
          </w:p>
        </w:tc>
      </w:tr>
      <w:tr>
        <w:trPr>
          <w:trHeight w:val="408"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质量技术专项奖励资金--质量奖</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pacing w:val="-1"/>
                <w:sz w:val="21"/>
              </w:rPr>
              <w:t>1,000,000.00</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科学仪器设备资源共享优惠补贴</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903,168.00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研究开发补助资金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828,900.00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收益</w:t>
            </w:r>
          </w:p>
        </w:tc>
      </w:tr>
    </w:tbl>
    <w:p>
      <w:pPr>
        <w:spacing w:after="0" w:line="240"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4519"/>
        <w:gridCol w:w="1048"/>
        <w:gridCol w:w="1644"/>
        <w:gridCol w:w="1049"/>
        <w:gridCol w:w="1369"/>
      </w:tblGrid>
      <w:tr>
        <w:trPr>
          <w:trHeight w:val="714"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right="97"/>
              <w:jc w:val="left"/>
              <w:rPr>
                <w:rFonts w:ascii="宋体" w:hAnsi="宋体" w:cs="宋体" w:eastAsia="宋体" w:hint="default"/>
                <w:sz w:val="21"/>
                <w:szCs w:val="21"/>
              </w:rPr>
            </w:pPr>
            <w:r>
              <w:rPr>
                <w:rFonts w:ascii="宋体" w:hAnsi="宋体" w:cs="宋体" w:eastAsia="宋体" w:hint="default"/>
                <w:sz w:val="21"/>
                <w:szCs w:val="21"/>
              </w:rPr>
              <w:t>优秀骨干人才承担的软件产业化项目（基于知识 图谱的网络舆情分析系统）</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4"/>
              <w:jc w:val="right"/>
              <w:rPr>
                <w:rFonts w:ascii="宋体" w:hAnsi="宋体" w:cs="宋体" w:eastAsia="宋体" w:hint="default"/>
                <w:sz w:val="21"/>
                <w:szCs w:val="21"/>
              </w:rPr>
            </w:pPr>
            <w:r>
              <w:rPr>
                <w:rFonts w:ascii="宋体"/>
                <w:sz w:val="21"/>
              </w:rPr>
              <w:t>818,000.00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众创空间补助款</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557,838.00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鄂财企发[2017]68</w:t>
            </w:r>
            <w:r>
              <w:rPr>
                <w:rFonts w:ascii="宋体" w:hAnsi="宋体" w:cs="宋体" w:eastAsia="宋体" w:hint="default"/>
                <w:spacing w:val="-54"/>
                <w:sz w:val="21"/>
                <w:szCs w:val="21"/>
              </w:rPr>
              <w:t> </w:t>
            </w:r>
            <w:r>
              <w:rPr>
                <w:rFonts w:ascii="宋体" w:hAnsi="宋体" w:cs="宋体" w:eastAsia="宋体" w:hint="default"/>
                <w:sz w:val="21"/>
                <w:szCs w:val="21"/>
              </w:rPr>
              <w:t>号-省科技项目补贴</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500,000.00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8"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失业保险支持企业稳定岗位工作补贴</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492,442.48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713"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right="97"/>
              <w:jc w:val="left"/>
              <w:rPr>
                <w:rFonts w:ascii="宋体" w:hAnsi="宋体" w:cs="宋体" w:eastAsia="宋体" w:hint="default"/>
                <w:sz w:val="21"/>
                <w:szCs w:val="21"/>
              </w:rPr>
            </w:pPr>
            <w:r>
              <w:rPr>
                <w:rFonts w:ascii="宋体" w:hAnsi="宋体" w:cs="宋体" w:eastAsia="宋体" w:hint="default"/>
                <w:sz w:val="21"/>
                <w:szCs w:val="21"/>
              </w:rPr>
              <w:t>优秀骨干人才软件产业化项目“基于手机云的手 机综合取证系统”</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4"/>
              <w:jc w:val="right"/>
              <w:rPr>
                <w:rFonts w:ascii="宋体" w:hAnsi="宋体" w:cs="宋体" w:eastAsia="宋体" w:hint="default"/>
                <w:sz w:val="21"/>
                <w:szCs w:val="21"/>
              </w:rPr>
            </w:pPr>
            <w:r>
              <w:rPr>
                <w:rFonts w:ascii="宋体"/>
                <w:sz w:val="21"/>
              </w:rPr>
              <w:t>468,521.24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资产</w:t>
            </w:r>
          </w:p>
        </w:tc>
      </w:tr>
      <w:tr>
        <w:trPr>
          <w:trHeight w:val="408"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市科学技术局，企业研发经费补助</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463,900.00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年产业转型升级专项资金物联网支持项目</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3"/>
              <w:jc w:val="right"/>
              <w:rPr>
                <w:rFonts w:ascii="宋体" w:hAnsi="宋体" w:cs="宋体" w:eastAsia="宋体" w:hint="default"/>
                <w:sz w:val="21"/>
                <w:szCs w:val="21"/>
              </w:rPr>
            </w:pPr>
            <w:r>
              <w:rPr>
                <w:rFonts w:ascii="宋体"/>
                <w:sz w:val="21"/>
              </w:rPr>
              <w:t>450,000.00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思明区促进互联网经济发展办法</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543,014.00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厦门市科学技术局,2016</w:t>
            </w:r>
            <w:r>
              <w:rPr>
                <w:rFonts w:ascii="宋体" w:hAnsi="宋体" w:cs="宋体" w:eastAsia="宋体" w:hint="default"/>
                <w:spacing w:val="-53"/>
                <w:sz w:val="21"/>
                <w:szCs w:val="21"/>
              </w:rPr>
              <w:t> </w:t>
            </w:r>
            <w:r>
              <w:rPr>
                <w:rFonts w:ascii="宋体" w:hAnsi="宋体" w:cs="宋体" w:eastAsia="宋体" w:hint="default"/>
                <w:sz w:val="21"/>
                <w:szCs w:val="21"/>
              </w:rPr>
              <w:t>年度研发经费补助</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422,100.00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基于云技术的证据链综合取证平台</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270,083.96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资产</w:t>
            </w:r>
          </w:p>
        </w:tc>
      </w:tr>
      <w:tr>
        <w:trPr>
          <w:trHeight w:val="408"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科技发展专项资金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202,000.00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宙斯眼安卓手机恶意程序调查系统</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180,000.00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资产</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厦门市技术交易奖</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170,700.00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年小微企业引才补贴</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156,000.00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安全服务器项目创新资金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140,000.00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资产</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社保补差补贴</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83,426.76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8"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科技政策定额扶持资金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80,343.48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资产</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市财政局新增规模以上工业企业奖励资金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76,000.00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专利补贴</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75,000.00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湖北省</w:t>
            </w:r>
            <w:r>
              <w:rPr>
                <w:rFonts w:ascii="宋体" w:hAnsi="宋体" w:cs="宋体" w:eastAsia="宋体" w:hint="default"/>
                <w:spacing w:val="-63"/>
                <w:sz w:val="21"/>
                <w:szCs w:val="21"/>
              </w:rPr>
              <w:t> </w:t>
            </w:r>
            <w:r>
              <w:rPr>
                <w:rFonts w:ascii="宋体" w:hAnsi="宋体" w:cs="宋体" w:eastAsia="宋体" w:hint="default"/>
                <w:sz w:val="21"/>
                <w:szCs w:val="21"/>
              </w:rPr>
              <w:t>2017</w:t>
            </w:r>
            <w:r>
              <w:rPr>
                <w:rFonts w:ascii="宋体" w:hAnsi="宋体" w:cs="宋体" w:eastAsia="宋体" w:hint="default"/>
                <w:spacing w:val="-63"/>
                <w:sz w:val="21"/>
                <w:szCs w:val="21"/>
              </w:rPr>
              <w:t> </w:t>
            </w:r>
            <w:r>
              <w:rPr>
                <w:rFonts w:ascii="宋体" w:hAnsi="宋体" w:cs="宋体" w:eastAsia="宋体" w:hint="default"/>
                <w:sz w:val="21"/>
                <w:szCs w:val="21"/>
              </w:rPr>
              <w:t>年软件和信息服务发展专项资金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pacing w:val="-1"/>
                <w:sz w:val="21"/>
              </w:rPr>
              <w:t>71,000.00</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江苏省互联网产业园-园区重点互联网企业奖励</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50,000.00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思明区质量技术品牌奖励</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50,000.00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8"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安全服务器项目资金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42,000.00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714"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电子取证关键技术研究</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4"/>
              <w:jc w:val="right"/>
              <w:rPr>
                <w:rFonts w:ascii="宋体" w:hAnsi="宋体" w:cs="宋体" w:eastAsia="宋体" w:hint="default"/>
                <w:sz w:val="21"/>
                <w:szCs w:val="21"/>
              </w:rPr>
            </w:pPr>
            <w:r>
              <w:rPr>
                <w:rFonts w:ascii="宋体"/>
                <w:sz w:val="21"/>
              </w:rPr>
              <w:t>34,298.32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 w:right="97"/>
              <w:jc w:val="left"/>
              <w:rPr>
                <w:rFonts w:ascii="宋体" w:hAnsi="宋体" w:cs="宋体" w:eastAsia="宋体" w:hint="default"/>
                <w:sz w:val="21"/>
                <w:szCs w:val="21"/>
              </w:rPr>
            </w:pPr>
            <w:r>
              <w:rPr>
                <w:rFonts w:ascii="宋体" w:hAnsi="宋体" w:cs="宋体" w:eastAsia="宋体" w:hint="default"/>
                <w:sz w:val="21"/>
                <w:szCs w:val="21"/>
              </w:rPr>
              <w:t>部分与资产相 关</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企业研发经费补助</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33,800.00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714"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right="97"/>
              <w:jc w:val="left"/>
              <w:rPr>
                <w:rFonts w:ascii="宋体" w:hAnsi="宋体" w:cs="宋体" w:eastAsia="宋体" w:hint="default"/>
                <w:sz w:val="21"/>
                <w:szCs w:val="21"/>
              </w:rPr>
            </w:pPr>
            <w:r>
              <w:rPr>
                <w:rFonts w:ascii="宋体" w:hAnsi="宋体" w:cs="宋体" w:eastAsia="宋体" w:hint="default"/>
                <w:sz w:val="21"/>
                <w:szCs w:val="21"/>
              </w:rPr>
              <w:t>面向互联网的海量信息分析挖掘关键技术及系统 研究</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4"/>
              <w:jc w:val="right"/>
              <w:rPr>
                <w:rFonts w:ascii="宋体" w:hAnsi="宋体" w:cs="宋体" w:eastAsia="宋体" w:hint="default"/>
                <w:sz w:val="21"/>
                <w:szCs w:val="21"/>
              </w:rPr>
            </w:pPr>
            <w:r>
              <w:rPr>
                <w:rFonts w:ascii="宋体"/>
                <w:sz w:val="21"/>
              </w:rPr>
              <w:t>28,339.66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 w:right="97"/>
              <w:jc w:val="left"/>
              <w:rPr>
                <w:rFonts w:ascii="宋体" w:hAnsi="宋体" w:cs="宋体" w:eastAsia="宋体" w:hint="default"/>
                <w:sz w:val="21"/>
                <w:szCs w:val="21"/>
              </w:rPr>
            </w:pPr>
            <w:r>
              <w:rPr>
                <w:rFonts w:ascii="宋体" w:hAnsi="宋体" w:cs="宋体" w:eastAsia="宋体" w:hint="default"/>
                <w:sz w:val="21"/>
                <w:szCs w:val="21"/>
              </w:rPr>
              <w:t>部分与资产相 关</w:t>
            </w:r>
          </w:p>
        </w:tc>
      </w:tr>
      <w:tr>
        <w:trPr>
          <w:trHeight w:val="714"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面向新型信息技术和应用环境的网络技术研究</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4"/>
              <w:jc w:val="right"/>
              <w:rPr>
                <w:rFonts w:ascii="宋体" w:hAnsi="宋体" w:cs="宋体" w:eastAsia="宋体" w:hint="default"/>
                <w:sz w:val="21"/>
                <w:szCs w:val="21"/>
              </w:rPr>
            </w:pPr>
            <w:r>
              <w:rPr>
                <w:rFonts w:ascii="宋体"/>
                <w:sz w:val="21"/>
              </w:rPr>
              <w:t>22,156.84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1" w:right="97"/>
              <w:jc w:val="left"/>
              <w:rPr>
                <w:rFonts w:ascii="宋体" w:hAnsi="宋体" w:cs="宋体" w:eastAsia="宋体" w:hint="default"/>
                <w:sz w:val="21"/>
                <w:szCs w:val="21"/>
              </w:rPr>
            </w:pPr>
            <w:r>
              <w:rPr>
                <w:rFonts w:ascii="宋体" w:hAnsi="宋体" w:cs="宋体" w:eastAsia="宋体" w:hint="default"/>
                <w:sz w:val="21"/>
                <w:szCs w:val="21"/>
              </w:rPr>
              <w:t>部分与资产相 关</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纳税大户企业奖励金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20,000.00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知识产权资助资金</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20,000.00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8"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毕业生补贴</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18,400.90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bl>
    <w:p>
      <w:pPr>
        <w:spacing w:after="0" w:line="240"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4519"/>
        <w:gridCol w:w="1048"/>
        <w:gridCol w:w="1644"/>
        <w:gridCol w:w="1049"/>
        <w:gridCol w:w="1369"/>
      </w:tblGrid>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科学技术局科创红包补贴</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4"/>
              <w:jc w:val="right"/>
              <w:rPr>
                <w:rFonts w:ascii="宋体" w:hAnsi="宋体" w:cs="宋体" w:eastAsia="宋体" w:hint="default"/>
                <w:sz w:val="21"/>
                <w:szCs w:val="21"/>
              </w:rPr>
            </w:pPr>
            <w:r>
              <w:rPr>
                <w:rFonts w:ascii="宋体"/>
                <w:sz w:val="21"/>
              </w:rPr>
              <w:t>10,643.00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高新技术产品奖励</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10,000.00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8"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财政拨款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94"/>
              <w:jc w:val="right"/>
              <w:rPr>
                <w:rFonts w:ascii="宋体" w:hAnsi="宋体" w:cs="宋体" w:eastAsia="宋体" w:hint="default"/>
                <w:sz w:val="21"/>
                <w:szCs w:val="21"/>
              </w:rPr>
            </w:pPr>
            <w:r>
              <w:rPr>
                <w:rFonts w:ascii="宋体"/>
                <w:sz w:val="21"/>
              </w:rPr>
              <w:t>5,360.92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left"/>
              <w:rPr>
                <w:rFonts w:ascii="宋体" w:hAnsi="宋体" w:cs="宋体" w:eastAsia="宋体" w:hint="default"/>
                <w:sz w:val="21"/>
                <w:szCs w:val="21"/>
              </w:rPr>
            </w:pPr>
            <w:r>
              <w:rPr>
                <w:rFonts w:ascii="宋体" w:hAnsi="宋体" w:cs="宋体" w:eastAsia="宋体" w:hint="default"/>
                <w:sz w:val="21"/>
                <w:szCs w:val="21"/>
              </w:rPr>
              <w:t>收益</w:t>
            </w:r>
          </w:p>
        </w:tc>
      </w:tr>
      <w:tr>
        <w:trPr>
          <w:trHeight w:val="407" w:hRule="exact"/>
        </w:trPr>
        <w:tc>
          <w:tcPr>
            <w:tcW w:w="4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center"/>
              <w:rPr>
                <w:rFonts w:ascii="宋体" w:hAnsi="宋体" w:cs="宋体" w:eastAsia="宋体" w:hint="default"/>
                <w:sz w:val="21"/>
                <w:szCs w:val="21"/>
              </w:rPr>
            </w:pPr>
            <w:r>
              <w:rPr>
                <w:rFonts w:ascii="宋体" w:hAnsi="宋体" w:cs="宋体" w:eastAsia="宋体" w:hint="default"/>
                <w:b/>
                <w:bCs/>
                <w:sz w:val="21"/>
                <w:szCs w:val="21"/>
              </w:rPr>
              <w:t>合</w:t>
            </w:r>
            <w:r>
              <w:rPr>
                <w:rFonts w:ascii="宋体" w:hAnsi="宋体" w:cs="宋体" w:eastAsia="宋体" w:hint="default"/>
                <w:b/>
                <w:bCs/>
                <w:spacing w:val="-2"/>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048"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5"/>
              <w:jc w:val="right"/>
              <w:rPr>
                <w:rFonts w:ascii="宋体" w:hAnsi="宋体" w:cs="宋体" w:eastAsia="宋体" w:hint="default"/>
                <w:sz w:val="21"/>
                <w:szCs w:val="21"/>
              </w:rPr>
            </w:pPr>
            <w:r>
              <w:rPr>
                <w:rFonts w:ascii="宋体"/>
                <w:b/>
                <w:w w:val="95"/>
                <w:sz w:val="21"/>
              </w:rPr>
              <w:t>72,445,403.42</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634"/>
        <w:gridCol w:w="763"/>
        <w:gridCol w:w="762"/>
        <w:gridCol w:w="762"/>
        <w:gridCol w:w="763"/>
        <w:gridCol w:w="788"/>
        <w:gridCol w:w="654"/>
        <w:gridCol w:w="762"/>
        <w:gridCol w:w="814"/>
        <w:gridCol w:w="932"/>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4,383,00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4,383,00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239,921,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472.84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30,357,1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72.27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12.65%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209,564,3</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180,904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,680.24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29,314,70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151,589,97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244,339,</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472.84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34,775,1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72.27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 w:right="0"/>
              <w:jc w:val="center"/>
              <w:rPr>
                <w:rFonts w:ascii="Times New Roman" w:hAnsi="Times New Roman" w:cs="Times New Roman" w:eastAsia="Times New Roman" w:hint="default"/>
                <w:sz w:val="18"/>
                <w:szCs w:val="18"/>
              </w:rPr>
            </w:pPr>
            <w:r>
              <w:rPr>
                <w:rFonts w:ascii="Times New Roman"/>
                <w:sz w:val="18"/>
              </w:rPr>
              <w:t>14.23%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209,564,3</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00.57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180,904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,680.24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left"/>
              <w:rPr>
                <w:rFonts w:ascii="Times New Roman" w:hAnsi="Times New Roman" w:cs="Times New Roman" w:eastAsia="Times New Roman" w:hint="default"/>
                <w:sz w:val="18"/>
                <w:szCs w:val="18"/>
              </w:rPr>
            </w:pPr>
            <w:r>
              <w:rPr>
                <w:rFonts w:ascii="Times New Roman"/>
                <w:sz w:val="18"/>
              </w:rPr>
              <w:t>29,314,70</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151,589,97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7.92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6"/>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836"/>
        <w:gridCol w:w="1560"/>
        <w:gridCol w:w="1559"/>
        <w:gridCol w:w="992"/>
        <w:gridCol w:w="2624"/>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3"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7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47"/>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北京瑞邦一网科技发展有限公司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100.00%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71"/>
              <w:jc w:val="right"/>
              <w:rPr>
                <w:rFonts w:ascii="宋体" w:hAnsi="宋体" w:cs="宋体" w:eastAsia="宋体" w:hint="default"/>
                <w:sz w:val="18"/>
                <w:szCs w:val="18"/>
              </w:rPr>
            </w:pPr>
            <w:r>
              <w:rPr>
                <w:rFonts w:ascii="宋体" w:hAnsi="宋体" w:cs="宋体" w:eastAsia="宋体" w:hint="default"/>
                <w:sz w:val="18"/>
                <w:szCs w:val="18"/>
              </w:rPr>
              <w:t>已列入经营异常名录</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4,383,000.00</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5" w:space="4714"/>
            <w:col w:w="1121"/>
          </w:cols>
        </w:sectPr>
      </w:pPr>
    </w:p>
    <w:p>
      <w:pPr>
        <w:spacing w:line="240" w:lineRule="auto" w:before="9"/>
        <w:rPr>
          <w:rFonts w:ascii="宋体" w:hAnsi="宋体" w:cs="宋体" w:eastAsia="宋体" w:hint="default"/>
          <w:sz w:val="7"/>
          <w:szCs w:val="7"/>
        </w:rPr>
      </w:pPr>
    </w:p>
    <w:p>
      <w:pPr>
        <w:spacing w:line="421" w:lineRule="exact"/>
        <w:ind w:left="14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1.1pt;mso-position-horizontal-relative:char;mso-position-vertical-relative:line" coordorigin="0,0" coordsize="9588,422">
            <v:group style="position:absolute;left:2476;top:14;width:23;height:393" coordorigin="2476,14" coordsize="23,393">
              <v:shape style="position:absolute;left:2476;top:14;width:23;height:393" coordorigin="2476,14" coordsize="23,393" path="m2476,407l2498,407,2498,14,2476,14,2476,407xe" filled="true" fillcolor="#d3d3d3" stroked="false">
                <v:path arrowok="t"/>
                <v:fill type="solid"/>
              </v:shape>
            </v:group>
            <v:group style="position:absolute;left:16;top:14;width:23;height:393" coordorigin="16,14" coordsize="23,393">
              <v:shape style="position:absolute;left:16;top:14;width:23;height:393" coordorigin="16,14" coordsize="23,393" path="m16,407l38,407,38,14,16,14,16,407xe" filled="true" fillcolor="#d3d3d3" stroked="false">
                <v:path arrowok="t"/>
                <v:fill type="solid"/>
              </v:shape>
            </v:group>
            <v:group style="position:absolute;left:38;top:14;width:2438;height:393" coordorigin="38,14" coordsize="2438,393">
              <v:shape style="position:absolute;left:38;top:14;width:2438;height:393" coordorigin="38,14" coordsize="2438,393" path="m38,407l2476,407,2476,14,38,14,38,407xe" filled="true" fillcolor="#d3d3d3" stroked="false">
                <v:path arrowok="t"/>
                <v:fill type="solid"/>
              </v:shape>
            </v:group>
            <v:group style="position:absolute;left:2508;top:14;width:23;height:393" coordorigin="2508,14" coordsize="23,393">
              <v:shape style="position:absolute;left:2508;top:14;width:23;height:393" coordorigin="2508,14" coordsize="23,393" path="m2508,407l2531,407,2531,14,2508,14,2508,407xe" filled="true" fillcolor="#d3d3d3" stroked="false">
                <v:path arrowok="t"/>
                <v:fill type="solid"/>
              </v:shape>
            </v:group>
            <v:group style="position:absolute;left:9550;top:14;width:24;height:393" coordorigin="9550,14" coordsize="24,393">
              <v:shape style="position:absolute;left:9550;top:14;width:24;height:393" coordorigin="9550,14" coordsize="24,393" path="m9550,407l9574,407,9574,14,9550,14,9550,407xe" filled="true" fillcolor="#d3d3d3" stroked="false">
                <v:path arrowok="t"/>
                <v:fill type="solid"/>
              </v:shape>
            </v:group>
            <v:group style="position:absolute;left:2531;top:14;width:7019;height:393" coordorigin="2531,14" coordsize="7019,393">
              <v:shape style="position:absolute;left:2531;top:14;width:7019;height:393" coordorigin="2531,14" coordsize="7019,393" path="m2531,407l9550,407,9550,14,2531,14,2531,407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pt" strokecolor="#000000">
                <v:path arrowok="t"/>
              </v:shape>
            </v:group>
            <v:group style="position:absolute;left:5;top:412;width:2494;height:2" coordorigin="5,412" coordsize="2494,2">
              <v:shape style="position:absolute;left:5;top:412;width:2494;height:2" coordorigin="5,412" coordsize="2494,0" path="m5,412l2498,412e" filled="false" stroked="true" strokeweight=".48001pt" strokecolor="#000000">
                <v:path arrowok="t"/>
              </v:shape>
            </v:group>
            <v:group style="position:absolute;left:2503;top:14;width:2;height:402" coordorigin="2503,14" coordsize="2,402">
              <v:shape style="position:absolute;left:2503;top:14;width:2;height:402" coordorigin="2503,14" coordsize="0,402" path="m2503,14l2503,416e" filled="false" stroked="true" strokeweight=".48pt" strokecolor="#000000">
                <v:path arrowok="t"/>
              </v:shape>
            </v:group>
            <v:group style="position:absolute;left:2508;top:412;width:7066;height:2" coordorigin="2508,412" coordsize="7066,2">
              <v:shape style="position:absolute;left:2508;top:412;width:7066;height:2" coordorigin="2508,412" coordsize="7066,0" path="m2508,412l9574,412e" filled="false" stroked="true" strokeweight=".48001pt" strokecolor="#000000">
                <v:path arrowok="t"/>
              </v:shape>
            </v:group>
            <v:group style="position:absolute;left:9578;top:5;width:2;height:412" coordorigin="9578,5" coordsize="2,412">
              <v:shape style="position:absolute;left:9578;top:5;width:2;height:412" coordorigin="9578,5" coordsize="0,412" path="m9578,5l9578,416e" filled="false" stroked="true" strokeweight=".47998pt" strokecolor="#000000">
                <v:path arrowok="t"/>
              </v:shape>
              <v:shape style="position:absolute;left:10;top:10;width:2493;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5680;top:12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93"/>
        <w:gridCol w:w="2296"/>
        <w:gridCol w:w="2389"/>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109,899,177.34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5,494,958.87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109,899,177.34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5,494,958.87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20,728,278.65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2,072,827.87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11,149,940.40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3,344,982.12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12,328,998.26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6,164,499.13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1,329,941.00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1,063,952.80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12,215,951.48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12,215,951.48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167,652,287.13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30,357,172.27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18.11%</w:t>
            </w:r>
          </w:p>
        </w:tc>
      </w:tr>
    </w:tbl>
    <w:p>
      <w:pPr>
        <w:spacing w:line="360" w:lineRule="auto" w:before="51"/>
        <w:ind w:left="153" w:right="545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5,472,409.95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700"/>
        <w:gridCol w:w="2128"/>
        <w:gridCol w:w="3133"/>
        <w:gridCol w:w="2320"/>
      </w:tblGrid>
      <w:tr>
        <w:trPr>
          <w:trHeight w:val="35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662" w:right="0"/>
              <w:jc w:val="left"/>
              <w:rPr>
                <w:rFonts w:ascii="宋体" w:hAnsi="宋体" w:cs="宋体" w:eastAsia="宋体" w:hint="default"/>
                <w:sz w:val="18"/>
                <w:szCs w:val="18"/>
              </w:rPr>
            </w:pPr>
            <w:r>
              <w:rPr>
                <w:rFonts w:ascii="宋体" w:hAnsi="宋体" w:cs="宋体" w:eastAsia="宋体" w:hint="default"/>
                <w:b/>
                <w:bCs/>
                <w:sz w:val="18"/>
                <w:szCs w:val="18"/>
              </w:rPr>
              <w:t>应收账款年末余额</w:t>
            </w:r>
            <w:r>
              <w:rPr>
                <w:rFonts w:ascii="宋体" w:hAnsi="宋体" w:cs="宋体" w:eastAsia="宋体" w:hint="default"/>
                <w:sz w:val="18"/>
                <w:szCs w:val="18"/>
              </w:rPr>
            </w:r>
          </w:p>
        </w:tc>
        <w:tc>
          <w:tcPr>
            <w:tcW w:w="3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占应收账款年末余额合计数的比例</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w w:val="95"/>
                <w:sz w:val="18"/>
                <w:szCs w:val="18"/>
              </w:rPr>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w w:val="95"/>
                <w:sz w:val="18"/>
                <w:szCs w:val="18"/>
              </w:rPr>
              <w:t>坏账准备年末余额</w:t>
            </w:r>
            <w:r>
              <w:rPr>
                <w:rFonts w:ascii="宋体" w:hAnsi="宋体" w:cs="宋体" w:eastAsia="宋体" w:hint="default"/>
                <w:sz w:val="18"/>
                <w:szCs w:val="18"/>
              </w:rPr>
            </w:r>
          </w:p>
        </w:tc>
      </w:tr>
      <w:tr>
        <w:trPr>
          <w:trHeight w:val="35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37" w:right="0"/>
              <w:jc w:val="left"/>
              <w:rPr>
                <w:rFonts w:ascii="Times New Roman" w:hAnsi="Times New Roman" w:cs="Times New Roman" w:eastAsia="Times New Roman" w:hint="default"/>
                <w:sz w:val="18"/>
                <w:szCs w:val="18"/>
              </w:rPr>
            </w:pPr>
            <w:r>
              <w:rPr>
                <w:rFonts w:ascii="Times New Roman"/>
                <w:sz w:val="18"/>
              </w:rPr>
              <w:t>54,720,235.61</w:t>
            </w:r>
          </w:p>
        </w:tc>
        <w:tc>
          <w:tcPr>
            <w:tcW w:w="3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22.40</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3"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37" w:right="0"/>
              <w:jc w:val="left"/>
              <w:rPr>
                <w:rFonts w:ascii="Times New Roman" w:hAnsi="Times New Roman" w:cs="Times New Roman" w:eastAsia="Times New Roman" w:hint="default"/>
                <w:sz w:val="18"/>
                <w:szCs w:val="18"/>
              </w:rPr>
            </w:pPr>
            <w:r>
              <w:rPr>
                <w:rFonts w:ascii="Times New Roman"/>
                <w:sz w:val="18"/>
              </w:rPr>
              <w:t>11,538,928.00</w:t>
            </w:r>
          </w:p>
        </w:tc>
        <w:tc>
          <w:tcPr>
            <w:tcW w:w="3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4.72</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576,946.40</w:t>
            </w:r>
          </w:p>
        </w:tc>
      </w:tr>
      <w:tr>
        <w:trPr>
          <w:trHeight w:val="35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37" w:right="0"/>
              <w:jc w:val="left"/>
              <w:rPr>
                <w:rFonts w:ascii="Times New Roman" w:hAnsi="Times New Roman" w:cs="Times New Roman" w:eastAsia="Times New Roman" w:hint="default"/>
                <w:sz w:val="18"/>
                <w:szCs w:val="18"/>
              </w:rPr>
            </w:pPr>
            <w:r>
              <w:rPr>
                <w:rFonts w:ascii="Times New Roman"/>
                <w:sz w:val="18"/>
              </w:rPr>
              <w:t>10,803,600.07</w:t>
            </w:r>
          </w:p>
        </w:tc>
        <w:tc>
          <w:tcPr>
            <w:tcW w:w="3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4.42</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1,331,430.021</w:t>
            </w:r>
          </w:p>
        </w:tc>
      </w:tr>
      <w:tr>
        <w:trPr>
          <w:trHeight w:val="352"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027" w:right="0"/>
              <w:jc w:val="left"/>
              <w:rPr>
                <w:rFonts w:ascii="Times New Roman" w:hAnsi="Times New Roman" w:cs="Times New Roman" w:eastAsia="Times New Roman" w:hint="default"/>
                <w:sz w:val="18"/>
                <w:szCs w:val="18"/>
              </w:rPr>
            </w:pPr>
            <w:r>
              <w:rPr>
                <w:rFonts w:ascii="Times New Roman"/>
                <w:sz w:val="18"/>
              </w:rPr>
              <w:t>8,771,700.77</w:t>
            </w:r>
          </w:p>
        </w:tc>
        <w:tc>
          <w:tcPr>
            <w:tcW w:w="3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3.59</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4,376,730.39</w:t>
            </w:r>
          </w:p>
        </w:tc>
      </w:tr>
      <w:tr>
        <w:trPr>
          <w:trHeight w:val="353"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027" w:right="0"/>
              <w:jc w:val="left"/>
              <w:rPr>
                <w:rFonts w:ascii="Times New Roman" w:hAnsi="Times New Roman" w:cs="Times New Roman" w:eastAsia="Times New Roman" w:hint="default"/>
                <w:sz w:val="18"/>
                <w:szCs w:val="18"/>
              </w:rPr>
            </w:pPr>
            <w:r>
              <w:rPr>
                <w:rFonts w:ascii="Times New Roman"/>
                <w:sz w:val="18"/>
              </w:rPr>
              <w:t>8,634,950.00</w:t>
            </w:r>
          </w:p>
        </w:tc>
        <w:tc>
          <w:tcPr>
            <w:tcW w:w="3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3.53</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3" w:hRule="exact"/>
        </w:trPr>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937" w:right="0"/>
              <w:jc w:val="left"/>
              <w:rPr>
                <w:rFonts w:ascii="Times New Roman" w:hAnsi="Times New Roman" w:cs="Times New Roman" w:eastAsia="Times New Roman" w:hint="default"/>
                <w:sz w:val="18"/>
                <w:szCs w:val="18"/>
              </w:rPr>
            </w:pPr>
            <w:r>
              <w:rPr>
                <w:rFonts w:ascii="Times New Roman"/>
                <w:b/>
                <w:sz w:val="18"/>
              </w:rPr>
              <w:t>94,469,414.45</w:t>
            </w:r>
            <w:r>
              <w:rPr>
                <w:rFonts w:ascii="Times New Roman"/>
                <w:sz w:val="18"/>
              </w:rPr>
            </w:r>
          </w:p>
        </w:tc>
        <w:tc>
          <w:tcPr>
            <w:tcW w:w="3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b/>
                <w:sz w:val="18"/>
              </w:rPr>
              <w:t>38.66</w:t>
            </w:r>
            <w:r>
              <w:rPr>
                <w:rFonts w:ascii="Times New Roman"/>
                <w:sz w:val="18"/>
              </w:rPr>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b/>
                <w:spacing w:val="-1"/>
                <w:sz w:val="18"/>
              </w:rPr>
              <w:t>6,285,106.81</w:t>
            </w:r>
            <w:r>
              <w:rPr>
                <w:rFonts w:ascii="Times New Roman"/>
                <w:spacing w:val="-1"/>
                <w:sz w:val="18"/>
              </w:rPr>
            </w:r>
          </w:p>
        </w:tc>
      </w:tr>
    </w:tbl>
    <w:p>
      <w:pPr>
        <w:spacing w:line="240" w:lineRule="auto" w:before="1"/>
        <w:rPr>
          <w:rFonts w:ascii="宋体" w:hAnsi="宋体" w:cs="宋体" w:eastAsia="宋体" w:hint="default"/>
          <w:sz w:val="19"/>
          <w:szCs w:val="19"/>
        </w:rPr>
      </w:pPr>
    </w:p>
    <w:p>
      <w:pPr>
        <w:spacing w:line="506" w:lineRule="auto" w:before="35"/>
        <w:ind w:left="154" w:right="431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本年本公司无因金融资产转移而终止确认的应收账款情况。</w:t>
      </w:r>
    </w:p>
    <w:p>
      <w:pPr>
        <w:spacing w:after="0" w:line="50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520" w:lineRule="auto" w:before="35"/>
        <w:ind w:left="154" w:right="368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spacing w:val="1"/>
          <w:w w:val="99"/>
          <w:sz w:val="21"/>
          <w:szCs w:val="21"/>
        </w:rPr>
        <w:t> </w:t>
      </w:r>
      <w:r>
        <w:rPr>
          <w:rFonts w:ascii="宋体" w:hAnsi="宋体" w:cs="宋体" w:eastAsia="宋体" w:hint="default"/>
          <w:sz w:val="21"/>
          <w:szCs w:val="21"/>
        </w:rPr>
        <w:t>本年本公司无转移应收账款且继续涉入形成的资产、负债的金额。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3"/>
        <w:spacing w:line="240" w:lineRule="auto" w:before="49"/>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418"/>
        <w:gridCol w:w="979"/>
        <w:gridCol w:w="762"/>
        <w:gridCol w:w="762"/>
        <w:gridCol w:w="763"/>
        <w:gridCol w:w="788"/>
        <w:gridCol w:w="654"/>
        <w:gridCol w:w="762"/>
        <w:gridCol w:w="814"/>
        <w:gridCol w:w="932"/>
        <w:gridCol w:w="931"/>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418" w:type="dxa"/>
            <w:vMerge/>
            <w:tcBorders>
              <w:left w:val="single" w:sz="4" w:space="0" w:color="000000"/>
              <w:right w:val="single" w:sz="4" w:space="0" w:color="000000"/>
            </w:tcBorders>
            <w:shd w:val="clear" w:color="auto" w:fill="D3D3D3"/>
          </w:tcPr>
          <w:p>
            <w:pPr/>
          </w:p>
        </w:tc>
        <w:tc>
          <w:tcPr>
            <w:tcW w:w="174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9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7"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122"/>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60,159,393.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14,457,1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05.28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45,702,28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42,387,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832.09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12,361,85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30,025,981.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60,159,393.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14,457,1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05.28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45,702,28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8.01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42,387,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832.09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left"/>
              <w:rPr>
                <w:rFonts w:ascii="Times New Roman" w:hAnsi="Times New Roman" w:cs="Times New Roman" w:eastAsia="Times New Roman" w:hint="default"/>
                <w:sz w:val="18"/>
                <w:szCs w:val="18"/>
              </w:rPr>
            </w:pPr>
            <w:r>
              <w:rPr>
                <w:rFonts w:ascii="Times New Roman"/>
                <w:sz w:val="18"/>
              </w:rPr>
              <w:t>12,361,85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30,025,981.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493"/>
        <w:gridCol w:w="2296"/>
        <w:gridCol w:w="2389"/>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19,345,593.40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967,279.67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19,345,593.40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967,279.67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6,830,192.28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683,019.23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3,196,763.62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959,029.09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3,383,264.66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1,691,632.33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5,225,619.33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4,180,495.46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5,975,649.50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5,975,649.50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43,957,082.79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14,457,105.28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w:t>
            </w:r>
          </w:p>
        </w:tc>
      </w:tr>
    </w:tbl>
    <w:p>
      <w:pPr>
        <w:spacing w:line="360" w:lineRule="auto" w:before="51"/>
        <w:ind w:left="153" w:right="527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after="0" w:line="338"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2,095,254.84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68"/>
        <w:gridCol w:w="3101"/>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605,623.13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39,137,667.79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34,039,021.53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18,497,192.01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4,519,379.96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代收代垫款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2,145,933.43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3,133,674.22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378,600.06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90,133.25</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60,159,393.29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42,387,832.09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135"/>
        <w:gridCol w:w="1417"/>
        <w:gridCol w:w="1417"/>
        <w:gridCol w:w="2370"/>
        <w:gridCol w:w="1615"/>
        <w:gridCol w:w="1615"/>
      </w:tblGrid>
      <w:tr>
        <w:trPr>
          <w:trHeight w:val="714"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1" w:right="8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4,694,600.00</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234,730.00</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往来和代垫款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4,156,201.38</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170,000.00</w:t>
            </w:r>
          </w:p>
        </w:tc>
      </w:tr>
      <w:tr>
        <w:trPr>
          <w:trHeight w:val="71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3,340,000.00</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2,150,000.00</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1,190,000.00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2,910,000.00</w:t>
            </w: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往来和代垫款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2,925,008.73</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18,515,810.11</w:t>
            </w:r>
          </w:p>
        </w:tc>
        <w:tc>
          <w:tcPr>
            <w:tcW w:w="2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3,314,730.00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line="506" w:lineRule="auto" w:before="35"/>
        <w:ind w:left="154" w:right="410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99"/>
          <w:sz w:val="21"/>
          <w:szCs w:val="21"/>
        </w:rPr>
        <w:t> </w:t>
      </w:r>
      <w:r>
        <w:rPr>
          <w:rFonts w:ascii="宋体" w:hAnsi="宋体" w:cs="宋体" w:eastAsia="宋体" w:hint="default"/>
          <w:sz w:val="21"/>
          <w:szCs w:val="21"/>
        </w:rPr>
        <w:t>本年本公司无因金融资产转移而终止确认的其他应收款情况。</w:t>
      </w:r>
    </w:p>
    <w:p>
      <w:pPr>
        <w:spacing w:line="520" w:lineRule="auto" w:before="104"/>
        <w:ind w:left="154" w:right="347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b/>
          <w:bCs/>
          <w:spacing w:val="1"/>
          <w:w w:val="99"/>
          <w:sz w:val="21"/>
          <w:szCs w:val="21"/>
        </w:rPr>
        <w:t> </w:t>
      </w:r>
      <w:r>
        <w:rPr>
          <w:rFonts w:ascii="宋体" w:hAnsi="宋体" w:cs="宋体" w:eastAsia="宋体" w:hint="default"/>
          <w:sz w:val="21"/>
          <w:szCs w:val="21"/>
        </w:rPr>
        <w:t>本年本公司无转移其他应收款且继续涉入形成的资产、负债的金额。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7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369"/>
        <w:gridCol w:w="1368"/>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942,089,213.86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23,154,000.00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918,935,213.86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932,089,213.86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929,182,213.86</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6,164,540.17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6,164,540.17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6,225,370.99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6,225,370.99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948,253,754.03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23,154,000.00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925,099,754.03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938,314,584.85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935,407,584.85</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447"/>
        <w:gridCol w:w="1337"/>
        <w:gridCol w:w="1334"/>
        <w:gridCol w:w="1336"/>
        <w:gridCol w:w="1334"/>
        <w:gridCol w:w="1390"/>
        <w:gridCol w:w="1388"/>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美亚研究所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322,657,994.98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322,657,994.98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香港鼎永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1,256,232.00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1,256,232.00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安胜网络</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20,247,000.00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23,154,000.00</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543,199,986.88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543,199,986.88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美亚宏数</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13,575,000.00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美亚智讯</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美亚商鼎</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932,089,213.86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942,089,213.86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20,247,000.00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23,154,000.00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796"/>
        <w:gridCol w:w="1046"/>
        <w:gridCol w:w="6133"/>
        <w:gridCol w:w="798"/>
        <w:gridCol w:w="798"/>
      </w:tblGrid>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797"/>
        <w:gridCol w:w="1046"/>
        <w:gridCol w:w="547"/>
        <w:gridCol w:w="798"/>
        <w:gridCol w:w="798"/>
        <w:gridCol w:w="798"/>
        <w:gridCol w:w="798"/>
        <w:gridCol w:w="798"/>
        <w:gridCol w:w="798"/>
        <w:gridCol w:w="798"/>
        <w:gridCol w:w="798"/>
        <w:gridCol w:w="798"/>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厦门服云 信息科技 有限公司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3,657,153.27</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4" w:right="20" w:firstLine="660"/>
              <w:jc w:val="right"/>
              <w:rPr>
                <w:rFonts w:ascii="Times New Roman" w:hAnsi="Times New Roman" w:cs="Times New Roman" w:eastAsia="Times New Roman" w:hint="default"/>
                <w:sz w:val="18"/>
                <w:szCs w:val="18"/>
              </w:rPr>
            </w:pPr>
            <w:r>
              <w:rPr>
                <w:rFonts w:ascii="Times New Roman"/>
                <w:sz w:val="18"/>
              </w:rPr>
              <w:t>- 3,269,723</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1,452,996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1,840,425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北京万诚</w:t>
            </w:r>
          </w:p>
        </w:tc>
        <w:tc>
          <w:tcPr>
            <w:tcW w:w="1046" w:type="dxa"/>
            <w:tcBorders>
              <w:top w:val="single" w:sz="4" w:space="0" w:color="000000"/>
              <w:left w:val="single" w:sz="4" w:space="0" w:color="000000"/>
              <w:bottom w:val="nil" w:sz="6" w:space="0" w:color="auto"/>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3"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信用评价</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324,958.63</w:t>
            </w:r>
          </w:p>
        </w:tc>
        <w:tc>
          <w:tcPr>
            <w:tcW w:w="54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229,713.8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44" w:right="0"/>
              <w:jc w:val="left"/>
              <w:rPr>
                <w:rFonts w:ascii="Times New Roman" w:hAnsi="Times New Roman" w:cs="Times New Roman" w:eastAsia="Times New Roman" w:hint="default"/>
                <w:sz w:val="18"/>
                <w:szCs w:val="18"/>
              </w:rPr>
            </w:pPr>
            <w:r>
              <w:rPr>
                <w:rFonts w:ascii="Times New Roman"/>
                <w:sz w:val="18"/>
              </w:rPr>
              <w:t>95,244.83</w:t>
            </w:r>
          </w:p>
        </w:tc>
        <w:tc>
          <w:tcPr>
            <w:tcW w:w="798" w:type="dxa"/>
            <w:vMerge/>
            <w:tcBorders>
              <w:left w:val="single" w:sz="4" w:space="0" w:color="000000"/>
              <w:right w:val="single" w:sz="4" w:space="0" w:color="000000"/>
            </w:tcBorders>
          </w:tcPr>
          <w:p>
            <w:pPr/>
          </w:p>
        </w:tc>
      </w:tr>
      <w:tr>
        <w:trPr>
          <w:trHeight w:val="352"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46" w:type="dxa"/>
            <w:tcBorders>
              <w:top w:val="nil" w:sz="6" w:space="0" w:color="auto"/>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厦门正信</w:t>
            </w:r>
          </w:p>
        </w:tc>
        <w:tc>
          <w:tcPr>
            <w:tcW w:w="1046" w:type="dxa"/>
            <w:tcBorders>
              <w:top w:val="single" w:sz="4" w:space="0" w:color="000000"/>
              <w:left w:val="single" w:sz="4" w:space="0" w:color="000000"/>
              <w:bottom w:val="nil" w:sz="6" w:space="0" w:color="auto"/>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1"/>
              <w:jc w:val="left"/>
              <w:rPr>
                <w:rFonts w:ascii="宋体" w:hAnsi="宋体" w:cs="宋体" w:eastAsia="宋体" w:hint="default"/>
                <w:sz w:val="18"/>
                <w:szCs w:val="18"/>
              </w:rPr>
            </w:pPr>
            <w:r>
              <w:rPr>
                <w:rFonts w:ascii="宋体" w:hAnsi="宋体" w:cs="宋体" w:eastAsia="宋体" w:hint="default"/>
                <w:sz w:val="18"/>
                <w:szCs w:val="18"/>
              </w:rPr>
              <w:t>世纪信息 科技有限</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1,899,763.41</w:t>
            </w:r>
          </w:p>
        </w:tc>
        <w:tc>
          <w:tcPr>
            <w:tcW w:w="54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362" w:lineRule="auto" w:before="50"/>
              <w:ind w:left="44" w:right="20" w:firstLine="660"/>
              <w:jc w:val="left"/>
              <w:rPr>
                <w:rFonts w:ascii="Times New Roman" w:hAnsi="Times New Roman" w:cs="Times New Roman" w:eastAsia="Times New Roman" w:hint="default"/>
                <w:sz w:val="18"/>
                <w:szCs w:val="18"/>
              </w:rPr>
            </w:pPr>
            <w:r>
              <w:rPr>
                <w:rFonts w:ascii="Times New Roman"/>
                <w:sz w:val="18"/>
              </w:rPr>
              <w:t>- 62,847.74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1,836,915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798" w:type="dxa"/>
            <w:vMerge/>
            <w:tcBorders>
              <w:left w:val="single" w:sz="4" w:space="0" w:color="000000"/>
              <w:right w:val="single" w:sz="4" w:space="0" w:color="000000"/>
            </w:tcBorders>
          </w:tcPr>
          <w:p>
            <w:pPr/>
          </w:p>
        </w:tc>
      </w:tr>
      <w:tr>
        <w:trPr>
          <w:trHeight w:val="351"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46" w:type="dxa"/>
            <w:tcBorders>
              <w:top w:val="nil" w:sz="6" w:space="0" w:color="auto"/>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厦门市美</w:t>
            </w:r>
          </w:p>
        </w:tc>
        <w:tc>
          <w:tcPr>
            <w:tcW w:w="1046" w:type="dxa"/>
            <w:tcBorders>
              <w:top w:val="single" w:sz="4" w:space="0" w:color="000000"/>
              <w:left w:val="single" w:sz="4" w:space="0" w:color="000000"/>
              <w:bottom w:val="nil" w:sz="6" w:space="0" w:color="auto"/>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29"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41"/>
              <w:jc w:val="left"/>
              <w:rPr>
                <w:rFonts w:ascii="宋体" w:hAnsi="宋体" w:cs="宋体" w:eastAsia="宋体" w:hint="default"/>
                <w:sz w:val="18"/>
                <w:szCs w:val="18"/>
              </w:rPr>
            </w:pPr>
            <w:r>
              <w:rPr>
                <w:rFonts w:ascii="宋体" w:hAnsi="宋体" w:cs="宋体" w:eastAsia="宋体" w:hint="default"/>
                <w:sz w:val="18"/>
                <w:szCs w:val="18"/>
              </w:rPr>
              <w:t>亚梧桐投 资管理有</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343,495.68</w:t>
            </w:r>
          </w:p>
        </w:tc>
        <w:tc>
          <w:tcPr>
            <w:tcW w:w="54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2,048,458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2,391,953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c>
          <w:tcPr>
            <w:tcW w:w="798" w:type="dxa"/>
            <w:vMerge/>
            <w:tcBorders>
              <w:left w:val="single" w:sz="4" w:space="0" w:color="000000"/>
              <w:right w:val="single" w:sz="4" w:space="0" w:color="000000"/>
            </w:tcBorders>
          </w:tcPr>
          <w:p>
            <w:pPr/>
          </w:p>
        </w:tc>
      </w:tr>
      <w:tr>
        <w:trPr>
          <w:trHeight w:val="351"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46" w:type="dxa"/>
            <w:tcBorders>
              <w:top w:val="nil" w:sz="6" w:space="0" w:color="auto"/>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6,225,370.99</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4" w:right="20" w:firstLine="660"/>
              <w:jc w:val="right"/>
              <w:rPr>
                <w:rFonts w:ascii="Times New Roman" w:hAnsi="Times New Roman" w:cs="Times New Roman" w:eastAsia="Times New Roman" w:hint="default"/>
                <w:sz w:val="18"/>
                <w:szCs w:val="18"/>
              </w:rPr>
            </w:pPr>
            <w:r>
              <w:rPr>
                <w:rFonts w:ascii="Times New Roman"/>
                <w:sz w:val="18"/>
              </w:rPr>
              <w:t>- 1,513,827</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1,452,996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6,164,540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6,225,370.99</w:t>
            </w:r>
          </w:p>
        </w:tc>
        <w:tc>
          <w:tcPr>
            <w:tcW w:w="54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44" w:right="20" w:firstLine="660"/>
              <w:jc w:val="right"/>
              <w:rPr>
                <w:rFonts w:ascii="Times New Roman" w:hAnsi="Times New Roman" w:cs="Times New Roman" w:eastAsia="Times New Roman" w:hint="default"/>
                <w:sz w:val="18"/>
                <w:szCs w:val="18"/>
              </w:rPr>
            </w:pPr>
            <w:r>
              <w:rPr>
                <w:rFonts w:ascii="Times New Roman"/>
                <w:sz w:val="18"/>
              </w:rPr>
              <w:t>- 1,513,827</w:t>
            </w:r>
          </w:p>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1,452,996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6,164,540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994"/>
        <w:gridCol w:w="1837"/>
        <w:gridCol w:w="1913"/>
        <w:gridCol w:w="1913"/>
        <w:gridCol w:w="1914"/>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938,458,249.28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402,758,739.54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680,494,020.69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284,199,417.81</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1,530,133.56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1,308,491.59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1,349,274.64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1,322,325.31</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939,988,382.84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404,067,231.13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681,843,295.33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285,521,743.12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25"/>
        <w:gridCol w:w="3059"/>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-1,513,827.18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-6,211,637.58</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1,879,393.00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2,050,000.00</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按权益法核算的长期股权投资分红</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365,565.82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-3,561,637.58</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325"/>
        <w:gridCol w:w="3059"/>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-201,165.13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24,578,433.19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-28,833.10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2,672,113.47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727,111.66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20,949,209.83</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对公司根据《公开发行证券的公司信息披露解释性公告第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非经常性损益》定义界定的非经常性损益项目，以及把</w:t>
      </w:r>
    </w:p>
    <w:p>
      <w:pPr>
        <w:spacing w:line="302" w:lineRule="auto" w:before="61"/>
        <w:ind w:left="154" w:right="232" w:firstLine="0"/>
        <w:jc w:val="left"/>
        <w:rPr>
          <w:rFonts w:ascii="宋体" w:hAnsi="宋体" w:cs="宋体" w:eastAsia="宋体" w:hint="default"/>
          <w:sz w:val="18"/>
          <w:szCs w:val="18"/>
        </w:rPr>
      </w:pPr>
      <w:r>
        <w:rPr>
          <w:rFonts w:ascii="宋体" w:hAnsi="宋体" w:cs="宋体" w:eastAsia="宋体" w:hint="default"/>
          <w:sz w:val="18"/>
          <w:szCs w:val="18"/>
        </w:rPr>
        <w:t>《公开发行证券的公司信息披露解释性公告第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非经常性损益》中列举的非经常性损益项目界定为经常性损益的项 目，应说明原因。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325"/>
        <w:gridCol w:w="3059"/>
        <w:gridCol w:w="3186"/>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3"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0" w:right="0"/>
              <w:jc w:val="left"/>
              <w:rPr>
                <w:rFonts w:ascii="Times New Roman" w:hAnsi="Times New Roman" w:cs="Times New Roman" w:eastAsia="Times New Roman" w:hint="default"/>
                <w:sz w:val="18"/>
                <w:szCs w:val="18"/>
              </w:rPr>
            </w:pPr>
            <w:r>
              <w:rPr>
                <w:rFonts w:ascii="Times New Roman"/>
                <w:sz w:val="18"/>
              </w:rPr>
              <w:t>47,866,970.23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退税政策为长期的政策，本集团的软件 退税属于经常性发生的补助</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663"/>
        <w:gridCol w:w="3080"/>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3"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662"/>
        <w:gridCol w:w="3080"/>
        <w:gridCol w:w="1913"/>
        <w:gridCol w:w="1913"/>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r>
    </w:tbl>
    <w:p>
      <w:pPr>
        <w:spacing w:line="240" w:lineRule="auto" w:before="1"/>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56"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12"/>
      <w:r>
        <w:rPr/>
        <w:t>第十二节</w:t>
      </w:r>
      <w:r>
        <w:rPr>
          <w:spacing w:val="-9"/>
        </w:rPr>
        <w:t> </w:t>
      </w:r>
      <w:r>
        <w:rPr/>
        <w:t>备查文件目录</w:t>
      </w:r>
      <w:bookmarkEnd w:id="12"/>
      <w:r>
        <w:rPr>
          <w:b w:val="0"/>
          <w:bCs w:val="0"/>
        </w:rPr>
      </w:r>
    </w:p>
    <w:p>
      <w:pPr>
        <w:spacing w:line="240" w:lineRule="auto" w:before="6"/>
        <w:rPr>
          <w:rFonts w:ascii="宋体" w:hAnsi="宋体" w:cs="宋体" w:eastAsia="宋体" w:hint="default"/>
          <w:b/>
          <w:bCs/>
          <w:sz w:val="40"/>
          <w:szCs w:val="40"/>
        </w:rPr>
      </w:pPr>
    </w:p>
    <w:p>
      <w:pPr>
        <w:pStyle w:val="BodyText"/>
        <w:spacing w:line="273" w:lineRule="auto"/>
        <w:ind w:right="320" w:firstLine="420"/>
        <w:jc w:val="left"/>
      </w:pPr>
      <w:r>
        <w:rPr/>
        <w:t>一、公司法定代表人、主管会计工作负责人、会计机构负责人（会计主管人员）签名并盖章的财务 报表。</w:t>
      </w:r>
    </w:p>
    <w:p>
      <w:pPr>
        <w:pStyle w:val="BodyText"/>
        <w:spacing w:line="376" w:lineRule="auto" w:before="127"/>
        <w:ind w:left="573" w:right="951"/>
        <w:jc w:val="left"/>
      </w:pPr>
      <w:r>
        <w:rPr/>
        <w:t>二、会计师事务所盖章、注册会计师签名并盖章的审计报告原件。 三、报告期内在中国证监会指定网站上公开披露过的本公司所有文件的正本及公告的原稿。 四、公司法定代表人签名的</w:t>
      </w:r>
      <w:r>
        <w:rPr>
          <w:rFonts w:ascii="Times New Roman" w:hAnsi="Times New Roman" w:cs="Times New Roman" w:eastAsia="Times New Roman" w:hint="default"/>
        </w:rPr>
        <w:t>2017</w:t>
      </w:r>
      <w:r>
        <w:rPr/>
        <w:t>年年度报告全文及其摘要。</w:t>
      </w:r>
    </w:p>
    <w:p>
      <w:pPr>
        <w:pStyle w:val="BodyText"/>
        <w:spacing w:line="376" w:lineRule="auto" w:before="8"/>
        <w:ind w:left="573" w:right="5571"/>
        <w:jc w:val="left"/>
      </w:pPr>
      <w:r>
        <w:rPr/>
        <w:t>五、其他相关资料。 以上备查文件的备置地点：公司证券部。</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32712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26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27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27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27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27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27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3269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26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3269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325325pt;width:222.5pt;height:11.5pt;mso-position-horizontal-relative:page;mso-position-vertical-relative:page;z-index:-1327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676"/>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300188.cn/" TargetMode="External"/><Relationship Id="rId10" Type="http://schemas.openxmlformats.org/officeDocument/2006/relationships/hyperlink" Target="mailto:tzzgx@300188.cn"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image" Target="media/image4.jpeg"/><Relationship Id="rId16" Type="http://schemas.openxmlformats.org/officeDocument/2006/relationships/footer" Target="footer4.xml"/><Relationship Id="rId17" Type="http://schemas.openxmlformats.org/officeDocument/2006/relationships/hyperlink" Target="http://qyxy.baic.gov.cn/" TargetMode="External"/><Relationship Id="rId18" Type="http://schemas.openxmlformats.org/officeDocument/2006/relationships/hyperlink" Target="http://www.cninfo.com.cn&#30340;&#30456;&#20851;&#20844;&#21578;/" TargetMode="External"/><Relationship Id="rId19" Type="http://schemas.openxmlformats.org/officeDocument/2006/relationships/hyperlink" Target="http://www.cninfo.com.cn&#30340;&#30456;&#20851;&#20844;/" TargetMode="External"/><Relationship Id="rId20" Type="http://schemas.openxmlformats.org/officeDocument/2006/relationships/hyperlink" Target="http://www.xiamencredit.gov.cn/" TargetMode="External"/><Relationship Id="rId21" Type="http://schemas.openxmlformats.org/officeDocument/2006/relationships/hyperlink" Target="http://www.cninfo.com.cn&#30340;&#30456;/" TargetMode="Externa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yperlink" Target="http://www.cninfo.com.cn&#30340;/" TargetMode="External"/><Relationship Id="rId25" Type="http://schemas.openxmlformats.org/officeDocument/2006/relationships/image" Target="media/image5.jpeg"/><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chenq</dc:creator>
  <dc:title>&lt;4D6963726F736F667420576F7264202D2032303137C4EAC4EAB6C8B1A8B8E6C8ABCEC42E646F6378&gt;</dc:title>
  <dcterms:created xsi:type="dcterms:W3CDTF">2020-05-03T00:08:41Z</dcterms:created>
  <dcterms:modified xsi:type="dcterms:W3CDTF">2020-05-03T00:08:41Z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2018-03-22T00:00:00Z</vt:filetime>
  </property>
  <property fmtid="{D5CDD505-2E9C-101B-9397-08002B2CF9AE}" pid="3" name="Creator">
    <vt:lpwstr>PScript5.dll Version 5.2.2</vt:lpwstr>
  </property>
  <property fmtid="{D5CDD505-2E9C-101B-9397-08002B2CF9AE}" pid="4" name="LastSaved">
    <vt:filetime>2020-05-02T00:00:00Z</vt:filetime>
  </property>
</Properties>
</file>